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Study Identity</w:t>
      </w:r>
    </w:p>
    <w:p>
      <w:r>
        <w:t>Short title: REL-VAL-03</w:t>
      </w:r>
    </w:p>
    <w:p>
      <w:pPr>
        <w:pStyle w:val="Heading1"/>
      </w:pPr>
      <w:r>
        <w:t>Objectives</w:t>
      </w:r>
    </w:p>
    <w:p>
      <w:r>
        <w:t>Objective: Assess synthetic marker change</w:t>
      </w:r>
    </w:p>
    <w:p>
      <w:pPr>
        <w:pStyle w:val="Heading1"/>
      </w:pPr>
      <w:r>
        <w:t>Endpoints</w:t>
      </w:r>
    </w:p>
    <w:p>
      <w:r>
        <w:t>Endpoint: Synthetic marker change at Week 12</w:t>
      </w:r>
    </w:p>
    <w:p>
      <w:pPr>
        <w:pStyle w:val="Heading1"/>
      </w:pPr>
      <w:r>
        <w:t>Arms and Interventions</w:t>
      </w:r>
    </w:p>
    <w:p>
      <w:r>
        <w:t>Arm: Low-dose arm; Intervention: Synthetic Compound Gamma 7.5 mg once daily</w:t>
      </w:r>
    </w:p>
    <w:p>
      <w:pPr>
        <w:pStyle w:val="Heading1"/>
      </w:pPr>
      <w:r>
        <w:t>Population</w:t>
      </w:r>
    </w:p>
    <w:p>
      <w:r>
        <w:t>Population: Adults with synthetic condition Gamma</w:t>
      </w:r>
    </w:p>
    <w:p>
      <w:pPr>
        <w:pStyle w:val="Heading1"/>
      </w:pPr>
      <w:r>
        <w:t>Eligibility</w:t>
      </w:r>
    </w:p>
    <w:p>
      <w:r>
        <w:t>Eligibility: Adults aged 30 through 65 years with synthetic condition Gamma</w:t>
      </w:r>
    </w:p>
    <w:p>
      <w:r>
        <w:t>Duration: 1 week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