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  STUDY   IDENTITY  </w:t>
      </w:r>
    </w:p>
    <w:p>
      <w:r>
        <w:t>Short title: REL-VOC-02</w:t>
      </w:r>
    </w:p>
    <w:p>
      <w:pPr>
        <w:pStyle w:val="Heading1"/>
      </w:pPr>
      <w:r>
        <w:t>OBJECTIVES</w:t>
      </w:r>
    </w:p>
    <w:p>
      <w:r>
        <w:t>Objective: Evaluate synthetic response durability</w:t>
      </w:r>
    </w:p>
    <w:p>
      <w:pPr>
        <w:pStyle w:val="Heading1"/>
      </w:pPr>
      <w:r>
        <w:t>ENDPOINTS</w:t>
      </w:r>
    </w:p>
    <w:p>
      <w:r>
        <w:t>Endpoint: Sustained response at Week 18</w:t>
      </w:r>
    </w:p>
    <w:p>
      <w:pPr>
        <w:pStyle w:val="Heading1"/>
      </w:pPr>
      <w:r>
        <w:t>ARMS / INTERVENTIONS</w:t>
      </w:r>
    </w:p>
    <w:p>
      <w:r>
        <w:t>Arm: Active arm; Intervention: Synthetic Compound Beta 25 mg once daily</w:t>
      </w:r>
    </w:p>
    <w:p>
      <w:pPr>
        <w:pStyle w:val="Heading1"/>
      </w:pPr>
      <w:r>
        <w:t>Study Population</w:t>
      </w:r>
    </w:p>
    <w:p>
      <w:r>
        <w:t>Population: Adults with synthetic condition Beta</w:t>
      </w:r>
    </w:p>
    <w:p>
      <w:pPr>
        <w:pStyle w:val="Heading1"/>
      </w:pPr>
      <w:r>
        <w:t>Eligibility Criteria</w:t>
      </w:r>
    </w:p>
    <w:p>
      <w:r>
        <w:t>Eligibility: Adults aged 21 through 70 years with synthetic condition Beta</w:t>
      </w:r>
    </w:p>
    <w:p>
      <w:r>
        <w:t>Duration: 18 weeks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C0006"/>
        <w:sz w:val="16"/>
      </w:rPr>
      <w:t>Not validated for clinical or regulatory use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666666"/>
        <w:sz w:val="18"/>
      </w:rPr>
      <w:t>Synthetic Clinical Protocol POC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POCTitle">
    <w:name w:val="POC Title"/>
    <w:basedOn w:val="Normal"/>
    <w:pPr>
      <w:jc w:val="center"/>
      <w:spacing w:before="0" w:after="160"/>
    </w:pPr>
    <w:rPr>
      <w:b/>
      <w:color w:val="17365D"/>
      <w:sz w:val="40"/>
    </w:rPr>
  </w:style>
  <w:style w:type="paragraph" w:styleId="POCDisclaimer">
    <w:name w:val="POC Disclaimer"/>
    <w:basedOn w:val="Normal"/>
    <w:pPr>
      <w:jc w:val="center"/>
      <w:spacing w:before="0" w:after="360"/>
    </w:pPr>
    <w:rPr>
      <w:i/>
      <w:color w:val="9C0006"/>
    </w:rPr>
  </w:style>
  <w:style w:type="paragraph" w:styleId="Heading1">
    <w:name w:val="heading 1"/>
    <w:basedOn w:val="Normal"/>
    <w:next w:val="Normal"/>
    <w:qFormat/>
    <w:pPr>
      <w:keepNext/>
      <w:spacing w:before="360" w:after="200"/>
    </w:pPr>
    <w:rPr>
      <w:b/>
      <w:color w:val="2E74B5"/>
      <w:sz w:val="32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/Relationships>
</file>