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2545"/>
          <w:sz w:val="40"/>
        </w:rPr>
        <w:t>Synthetic Phase 2 Study Synopsis</w:t>
      </w:r>
    </w:p>
    <w:p>
      <w:pPr>
        <w:spacing w:after="240"/>
      </w:pPr>
      <w:r>
        <w:rPr>
          <w:rFonts w:ascii="Calibri" w:hAnsi="Calibri"/>
          <w:b w:val="0"/>
          <w:color w:val="555555"/>
          <w:sz w:val="22"/>
        </w:rPr>
        <w:t>Fixture SYN-24 · synthetic data only · version 1.0.0</w:t>
      </w:r>
    </w:p>
    <w:p>
      <w:pPr>
        <w:pStyle w:val="Heading1"/>
      </w:pPr>
      <w:r>
        <w:t>Study identity</w:t>
      </w:r>
    </w:p>
    <w:p>
      <w:r>
        <w:t>Short title: SYN-24.</w:t>
      </w:r>
    </w:p>
    <w:p>
      <w:pPr>
        <w:pStyle w:val="Heading1"/>
      </w:pPr>
      <w:r>
        <w:t>Objectives</w:t>
      </w:r>
    </w:p>
    <w:p>
      <w:r>
        <w:t>Primary objective: Evaluate change from baseline in symptom score at Week 24.</w:t>
      </w:r>
    </w:p>
    <w:p>
      <w:pPr>
        <w:pStyle w:val="Heading1"/>
      </w:pPr>
      <w:r>
        <w:t>Endpoints</w:t>
      </w:r>
    </w:p>
    <w:p>
      <w:r>
        <w:t>Primary endpoint: Change from baseline in symptom score at Week 24.</w:t>
      </w:r>
    </w:p>
    <w:p>
      <w:pPr>
        <w:pStyle w:val="Heading1"/>
      </w:pPr>
      <w:r>
        <w:t>Arms and interventions</w:t>
      </w:r>
    </w:p>
    <w:p>
      <w:r>
        <w:t>Arm A: Synthetic Intervention A, 10 mg once daily, administered for 24 weeks.</w:t>
      </w:r>
    </w:p>
    <w:p>
      <w:r>
        <w:t>Arm B: Matching synthetic placebo once daily, administered for 24 weeks.</w:t>
      </w:r>
    </w:p>
    <w:p>
      <w:pPr>
        <w:pStyle w:val="Heading1"/>
      </w:pPr>
      <w:r>
        <w:t>Population</w:t>
      </w:r>
    </w:p>
    <w:p>
      <w:r>
        <w:t>Adults aged 18 through 75 years with synthetic condition X.</w:t>
      </w:r>
    </w:p>
    <w:p>
      <w:pPr>
        <w:pStyle w:val="Heading1"/>
      </w:pPr>
      <w:r>
        <w:t>Eligibility</w:t>
      </w:r>
    </w:p>
    <w:p>
      <w:r>
        <w:t>Age 18 through 75 years at screening.</w:t>
      </w:r>
    </w:p>
    <w:p>
      <w:r>
        <w:t>Documented synthetic condition X for at least 6 months.</w:t>
      </w:r>
    </w:p>
    <w:p>
      <w:pPr>
        <w:pStyle w:val="Heading1"/>
      </w:pPr>
      <w:r>
        <w:t>Fixture limitation</w:t>
      </w:r>
    </w:p>
    <w:p>
      <w:r>
        <w:t>This document contains synthetic information for software evaluation only. It is not a clinical, regulatory, operational, or submission-ready protocol.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