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0B2545"/>
          <w:sz w:val="40"/>
        </w:rPr>
        <w:t>Synthetic Clinical Trial Protocol Template</w:t>
      </w:r>
    </w:p>
    <w:p>
      <w:pPr>
        <w:spacing w:after="240"/>
      </w:pPr>
      <w:r>
        <w:rPr>
          <w:rFonts w:ascii="Calibri" w:hAnsi="Calibri"/>
          <w:b w:val="0"/>
          <w:color w:val="555555"/>
          <w:sz w:val="22"/>
        </w:rPr>
        <w:t>Allowlisted insertion headings · fixture version 1.0.0</w:t>
      </w:r>
    </w:p>
    <w:p>
      <w:r>
        <w:t>Replace content only beneath the uniquely named insertion headings. The surrounding structure is part of the deterministic rendering fixture.</w:t>
      </w:r>
    </w:p>
    <w:p>
      <w:pPr>
        <w:pStyle w:val="Heading1"/>
      </w:pPr>
      <w:r>
        <w:t>1. Protocol synopsis</w:t>
      </w:r>
    </w:p>
    <w:p>
      <w:r>
        <w:rPr>
          <w:rFonts w:ascii="Calibri" w:hAnsi="Calibri"/>
          <w:b/>
          <w:color w:val="7A5A00"/>
          <w:sz w:val="22"/>
        </w:rPr>
        <w:t>INSERT_PROTOCOL_SYNOPSIS</w:t>
      </w:r>
    </w:p>
    <w:p>
      <w:r>
        <w:t>Reserved synthetic fixture content.</w:t>
      </w:r>
    </w:p>
    <w:p>
      <w:pPr>
        <w:pStyle w:val="Heading1"/>
      </w:pPr>
      <w:r>
        <w:t>2. Objectives and endpoints</w:t>
      </w:r>
    </w:p>
    <w:p>
      <w:r>
        <w:rPr>
          <w:rFonts w:ascii="Calibri" w:hAnsi="Calibri"/>
          <w:b/>
          <w:color w:val="7A5A00"/>
          <w:sz w:val="22"/>
        </w:rPr>
        <w:t>INSERT_OBJECTIVES_ENDPOINTS</w:t>
      </w:r>
    </w:p>
    <w:p>
      <w:r>
        <w:t>Reserved synthetic fixture content.</w:t>
      </w:r>
    </w:p>
    <w:p>
      <w:pPr>
        <w:pStyle w:val="Heading1"/>
      </w:pPr>
      <w:r>
        <w:t>3. Study design</w:t>
      </w:r>
    </w:p>
    <w:p>
      <w:r>
        <w:rPr>
          <w:rFonts w:ascii="Calibri" w:hAnsi="Calibri"/>
          <w:b/>
          <w:color w:val="7A5A00"/>
          <w:sz w:val="22"/>
        </w:rPr>
        <w:t>INSERT_STUDY_DESIGN</w:t>
      </w:r>
    </w:p>
    <w:p>
      <w:r>
        <w:t>Reserved synthetic fixture content.</w:t>
      </w:r>
    </w:p>
    <w:p>
      <w:pPr>
        <w:pStyle w:val="Heading1"/>
      </w:pPr>
      <w:r>
        <w:t>4. Study population</w:t>
      </w:r>
    </w:p>
    <w:p>
      <w:r>
        <w:rPr>
          <w:rFonts w:ascii="Calibri" w:hAnsi="Calibri"/>
          <w:b/>
          <w:color w:val="7A5A00"/>
          <w:sz w:val="22"/>
        </w:rPr>
        <w:t>INSERT_STUDY_POPULATION</w:t>
      </w:r>
    </w:p>
    <w:p>
      <w:r>
        <w:t>Reserved synthetic fixture content.</w:t>
      </w:r>
    </w:p>
    <w:p>
      <w:pPr>
        <w:pStyle w:val="Heading1"/>
      </w:pPr>
      <w:r>
        <w:t>5. Treatment administration</w:t>
      </w:r>
    </w:p>
    <w:p>
      <w:r>
        <w:rPr>
          <w:rFonts w:ascii="Calibri" w:hAnsi="Calibri"/>
          <w:b/>
          <w:color w:val="7A5A00"/>
          <w:sz w:val="22"/>
        </w:rPr>
        <w:t>INSERT_TREATMENT_ADMINISTRATION</w:t>
      </w:r>
    </w:p>
    <w:p>
      <w:r>
        <w:t>Reserved synthetic fixture content.</w:t>
      </w:r>
    </w:p>
    <w:p>
      <w:pPr>
        <w:pStyle w:val="Heading1"/>
      </w:pPr>
      <w:r>
        <w:t>6. Eligibility criteria</w:t>
      </w:r>
    </w:p>
    <w:p>
      <w:r>
        <w:rPr>
          <w:rFonts w:ascii="Calibri" w:hAnsi="Calibri"/>
          <w:b/>
          <w:color w:val="7A5A00"/>
          <w:sz w:val="22"/>
        </w:rPr>
        <w:t>INSERT_ELIGIBILITY_CRITERIA</w:t>
      </w:r>
    </w:p>
    <w:p>
      <w:r>
        <w:t>Reserved synthetic fixture content.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Appendix: fixture notice</w:t>
      </w:r>
    </w:p>
    <w:p>
      <w:r>
        <w:t>Synthetic data only. This template does not represent a validated clinical document.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