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038C">
      <w:pPr>
        <w:pStyle w:val="Heading1"/>
      </w:pPr>
      <w:r>
        <w:t>Introdução</w:t>
      </w:r>
    </w:p>
    <w:p w:rsidR="00000000" w:rsidRDefault="0008038C">
      <w:pPr>
        <w:pStyle w:val="Corpo"/>
        <w:rPr>
          <w:rFonts w:ascii="Times New Roman" w:hAnsi="Times New Roman"/>
        </w:rPr>
      </w:pPr>
      <w:r>
        <w:rPr>
          <w:rFonts w:ascii="Times New Roman" w:hAnsi="Times New Roman"/>
        </w:rPr>
        <w:tab/>
        <w:t>Os tumores cerebrais são um grupo heterogêneo de doenças neoplásicas de comportamento variável, com as características comuns de relativa raridade, elevada morbidade e elevada mortalidade. Dentre as neoplasias infantis, no entanto, constituem (</w:t>
      </w:r>
      <w:r>
        <w:rPr>
          <w:rFonts w:ascii="Times New Roman" w:hAnsi="Times New Roman"/>
        </w:rPr>
        <w:t>como um grupo) o primeiro tumor sólido e a segunda neoplasia maligna mais frequente nas crianças, atrás apenas das leucemias, perfazendo em torno de 20% das neoplasias pediátricas. A sua incidência varia de acordo com a região do mundo. Nos EUA, a incidênc</w:t>
      </w:r>
      <w:r>
        <w:rPr>
          <w:rFonts w:ascii="Times New Roman" w:hAnsi="Times New Roman"/>
        </w:rPr>
        <w:t>ia anual ajustada para a idade de tumores cerebrais malignos primários na população de 0-15 anos foi de 3,4 por 100000 pessoas-ano entre 2004-2008 (CBTRUS, 2012). Já na Europa, entre 1988-1997, a incidência reportada foi de 2,99 por 100000 (Peris-Bonet, 20</w:t>
      </w:r>
      <w:r>
        <w:rPr>
          <w:rFonts w:ascii="Times New Roman" w:hAnsi="Times New Roman"/>
        </w:rPr>
        <w:t>06).  Esta incidência é mais alta do que a usualmente reportada na Ásia, onde relatos indicam entre 1,8-2,2 casos por 100000 (Wong, 2005). No Brasil, o primeiro relato do Registro de Câncer de Base Populacional indicou uma incidência de 3,1 por 100000, sem</w:t>
      </w:r>
      <w:r>
        <w:rPr>
          <w:rFonts w:ascii="Times New Roman" w:hAnsi="Times New Roman"/>
        </w:rPr>
        <w:t xml:space="preserve">elhante à estatística do mundo desenvolvido ocidental (Camargo, 2009). Fortaleza teve uma das menores incidências relatadas, 1,3 casos por 100000, o que pode indicar subdiagnóstico. Hoje em dia, no entanto, já não é apropriado falar em “tumores cerebrais” </w:t>
      </w:r>
      <w:r>
        <w:rPr>
          <w:rFonts w:ascii="Times New Roman" w:hAnsi="Times New Roman"/>
        </w:rPr>
        <w:t>infantis, sem separar as diversas entidades patológicas entre si, as quais têm incidência, tratamento e prognóstico muito díspares.</w:t>
      </w:r>
    </w:p>
    <w:p w:rsidR="00000000" w:rsidRDefault="0008038C">
      <w:pPr>
        <w:pStyle w:val="Corpo"/>
        <w:rPr>
          <w:rFonts w:ascii="Times New Roman" w:hAnsi="Times New Roman"/>
        </w:rPr>
      </w:pPr>
      <w:r>
        <w:rPr>
          <w:rFonts w:ascii="Times New Roman" w:hAnsi="Times New Roman"/>
        </w:rPr>
        <w:tab/>
        <w:t>Os tumores cerebrais mais frequentes em crianças são os astrocitomas pilocíticos, tumores de comportamento incerto, ora cla</w:t>
      </w:r>
      <w:r>
        <w:rPr>
          <w:rFonts w:ascii="Times New Roman" w:hAnsi="Times New Roman"/>
        </w:rPr>
        <w:t xml:space="preserve">ssificados como benignos, ora como malignos. Eles representam em torno de 18% dos tumores cerebrais infantis. Em seguida, vem os tumores embrionários, a maior parte dos quais meduloblastomas, os tumores malignos mais comuns da infància, que representam em </w:t>
      </w:r>
      <w:r>
        <w:rPr>
          <w:rFonts w:ascii="Times New Roman" w:hAnsi="Times New Roman"/>
        </w:rPr>
        <w:t>torno de 15% dos diagnósticos de tumor cerebral em crianças (CBTRUS, 2012). Astrocitomas pilocíticos são tumores indolentes, de crescimento lento, tratados principalmente pela ressecção cirúrgica, a qual é curativa na maioria dos casos, com pouca probabili</w:t>
      </w:r>
      <w:r>
        <w:rPr>
          <w:rFonts w:ascii="Times New Roman" w:hAnsi="Times New Roman"/>
        </w:rPr>
        <w:t>dade de disseminação e virtualmente ausência de transformação maligna (Gan &amp; Haas-Kogan, 2010). Já os meduloblastomas são tumores indiferenciados, com elevado índice mitótico, com acentuada propensão à disseminação e recidiva, necessitando de terapia adjuv</w:t>
      </w:r>
      <w:r>
        <w:rPr>
          <w:rFonts w:ascii="Times New Roman" w:hAnsi="Times New Roman"/>
        </w:rPr>
        <w:t>ante com radioquimioterapia após ressecção cirúrgica (Partap &amp; Fisher, 2010). Estes dois tipos tumorais, que juntos correspondem a mais de 30% dos casos de tumores cerebrais em crianças, têm hoje um excelente prognóstico quando comparado ao passado. Outros</w:t>
      </w:r>
      <w:r>
        <w:rPr>
          <w:rFonts w:ascii="Times New Roman" w:hAnsi="Times New Roman"/>
        </w:rPr>
        <w:t xml:space="preserve"> tipos tumorais menos frequentes, todavia, têm resultados menos brilhantes com o tratamento atualmente disponível. Tumores de tronco cerebral, normalmente não biopsiados na sua maioria, constituem cerca de 10% dos tumores cerebrais infantis, e têm um progn</w:t>
      </w:r>
      <w:r>
        <w:rPr>
          <w:rFonts w:ascii="Times New Roman" w:hAnsi="Times New Roman"/>
        </w:rPr>
        <w:t>óstico extremamente reservado, com apenas um subgrupo pequeno de pacientes com tumores neste sítio alcançando sobrevida prolongada.</w:t>
      </w:r>
    </w:p>
    <w:p w:rsidR="00000000" w:rsidRDefault="0008038C">
      <w:pPr>
        <w:pStyle w:val="Corpo"/>
        <w:rPr>
          <w:rFonts w:ascii="Times New Roman" w:hAnsi="Times New Roman"/>
        </w:rPr>
      </w:pPr>
      <w:r>
        <w:rPr>
          <w:rFonts w:ascii="Times New Roman" w:hAnsi="Times New Roman"/>
        </w:rPr>
        <w:tab/>
        <w:t>O tratamento de tumores cerebrais em crianças e adolescentes evoluiu significantemente nas últimas décadas. Dos anos 80 até</w:t>
      </w:r>
      <w:r>
        <w:rPr>
          <w:rFonts w:ascii="Times New Roman" w:hAnsi="Times New Roman"/>
        </w:rPr>
        <w:t xml:space="preserve"> hoje, o conhecimento sobre o papel das várias modalidades de terapia (cirurgia, radioterapia e quimioterapia) ficou mais claro e programas terapêuticos específicos para cada tipo de doença puderam ser desenvolvidos. Hoje em dia, a maioria das crianças com</w:t>
      </w:r>
      <w:r>
        <w:rPr>
          <w:rFonts w:ascii="Times New Roman" w:hAnsi="Times New Roman"/>
        </w:rPr>
        <w:t xml:space="preserve"> um diagnóstico de tumor cerebral conseguirá ser adequadamente tratada e alcançará sobrevida prolongada. O manejo dos efeitos colaterais a longo prazo da terapia e das sequelas da doença são as principais preocupações na neuro-oncologia pediátrica moderna </w:t>
      </w:r>
      <w:r>
        <w:rPr>
          <w:rFonts w:ascii="Times New Roman" w:hAnsi="Times New Roman"/>
        </w:rPr>
        <w:t>(Merchant, 2010). No Brasil, estudos de sobrevida de pacientes pediátricos com tumores cerebrais são raros. Nosso grupo publicou recentemente uma análise de sobrevida de 103 pacientes pediátricos diagnosticados com tumores cerebrais entre 2000 e 2006 num ú</w:t>
      </w:r>
      <w:r>
        <w:rPr>
          <w:rFonts w:ascii="Times New Roman" w:hAnsi="Times New Roman"/>
        </w:rPr>
        <w:t>nico centro hospitalar, mostrando resultados que se assemelham aqueles dos registros populacionais dos EUA e Europa para as principais patologias (de Araujo, 2011). Nesta revisão integrativa, focalizamos as diversas modalidades de tratamento para os pacien</w:t>
      </w:r>
      <w:r>
        <w:rPr>
          <w:rFonts w:ascii="Times New Roman" w:hAnsi="Times New Roman"/>
        </w:rPr>
        <w:t>tes pediátricos com tumores cerebrais, examinando a evidência atual a fim de delinear linhas de tratamento e levantar questões importantes que ainda precisam ser equacionadas.</w:t>
      </w:r>
    </w:p>
    <w:p w:rsidR="00000000" w:rsidRDefault="0008038C">
      <w:pPr>
        <w:pStyle w:val="Heading1"/>
      </w:pPr>
      <w:r>
        <w:lastRenderedPageBreak/>
        <w:t>Metodologia</w:t>
      </w:r>
    </w:p>
    <w:p w:rsidR="00000000" w:rsidRDefault="0008038C">
      <w:pPr>
        <w:pStyle w:val="Corpo"/>
        <w:rPr>
          <w:rFonts w:ascii="Times New Roman" w:hAnsi="Times New Roman"/>
        </w:rPr>
      </w:pPr>
      <w:r>
        <w:rPr>
          <w:rFonts w:ascii="Times New Roman" w:hAnsi="Times New Roman"/>
        </w:rPr>
        <w:tab/>
        <w:t>Uma busca foi realizada no PubMed com os termos “low grade glioma”,</w:t>
      </w:r>
      <w:r>
        <w:rPr>
          <w:rFonts w:ascii="Times New Roman" w:hAnsi="Times New Roman"/>
        </w:rPr>
        <w:t xml:space="preserve"> “medulloblastoma”, “high-grade glioma”, “brainstem tumor”, “combined treatment” e os filtros “all children” e “clinical trial”. O número total de entradas conseguidas com esta estratégia foi de 271 publicações. Foram excluídas aquelas sobre adultos ou out</w:t>
      </w:r>
      <w:r>
        <w:rPr>
          <w:rFonts w:ascii="Times New Roman" w:hAnsi="Times New Roman"/>
        </w:rPr>
        <w:t>ras patologias e também aqueles com mais de 2 décadas e incluídos preferencialmente os ensaios clínicos fase 1, 2 e 3 e as revisões sistemáticas. Os trabalhos foram revisados e qualificados segundo a nova classificação de níveis de evidência da OCEBM (OCEB</w:t>
      </w:r>
      <w:r>
        <w:rPr>
          <w:rFonts w:ascii="Times New Roman" w:hAnsi="Times New Roman"/>
        </w:rPr>
        <w:t>M, 2011). A partir desta classificação, foram selecionados os tratamentos com maior qualidade de evidência, os quais podem ser recomendados rotineiramente. Lacunas no conhecimento atual foram listadas (não exaustivamente).</w:t>
      </w:r>
    </w:p>
    <w:p w:rsidR="00000000" w:rsidRDefault="0008038C">
      <w:pPr>
        <w:pStyle w:val="Heading1"/>
      </w:pPr>
      <w:r>
        <w:t>Resultados</w:t>
      </w:r>
    </w:p>
    <w:p w:rsidR="00000000" w:rsidRDefault="0008038C">
      <w:pPr>
        <w:pStyle w:val="Corpo"/>
        <w:rPr>
          <w:rFonts w:ascii="Times New Roman" w:hAnsi="Times New Roman"/>
        </w:rPr>
      </w:pPr>
      <w:r>
        <w:rPr>
          <w:rFonts w:ascii="Times New Roman" w:hAnsi="Times New Roman"/>
        </w:rPr>
        <w:tab/>
        <w:t>Foram selecionados 11</w:t>
      </w:r>
      <w:r>
        <w:rPr>
          <w:rFonts w:ascii="Times New Roman" w:hAnsi="Times New Roman"/>
        </w:rPr>
        <w:t xml:space="preserve">4 trabalhos publicados entre 1993 e 2012, sendo 20 deles ensaios clínicos controlados e randomizados e o restante ensaios clínicos não controlados ou séries de casos. Nenhuma revisão sistemática foi encontrada. De acordo com a classificação 2011 da OCEBM, </w:t>
      </w:r>
      <w:r>
        <w:rPr>
          <w:rFonts w:ascii="Times New Roman" w:hAnsi="Times New Roman"/>
        </w:rPr>
        <w:t>os ensaios controlados e randomizados são considerados evidência de nível 2, enquanto os estudos não controlados e séries de casos (equivalentes) são considerados  evidência de nível 4 (tratamento). Nenhum trabalho com nível 3 de evidência (controlados, po</w:t>
      </w:r>
      <w:r>
        <w:rPr>
          <w:rFonts w:ascii="Times New Roman" w:hAnsi="Times New Roman"/>
        </w:rPr>
        <w:t>rém não randomizados) foi encontrado. Alguns ensaios foram desenhados para obter informações sobre história natural da doença. Grandes coortes para estudo de prognóstico (inception cohort) são consideradas nível 2 de evidência, enquanto coortes de qualidad</w:t>
      </w:r>
      <w:r>
        <w:rPr>
          <w:rFonts w:ascii="Times New Roman" w:hAnsi="Times New Roman"/>
        </w:rPr>
        <w:t>e menor ou grupos controle de ensaios randomizados são nível 3. Do total, 51 trabalhos foram sobre meduloblastomas, 42 sobre tumores de tronco cerebral, 23 sobre gliomas de alto grau e 18 sobre gliomas de baixo grau (alguns trabalhos incluem mais de um tip</w:t>
      </w:r>
      <w:r>
        <w:rPr>
          <w:rFonts w:ascii="Times New Roman" w:hAnsi="Times New Roman"/>
        </w:rPr>
        <w:t>o tumoral). Detalhando subgrupos dentro deste total, encontramos 48 trabalhos com o termo “cirurgia”, 89 com o termo “radioterapia” e 108 com o termo “quimioterapia”.</w:t>
      </w:r>
    </w:p>
    <w:p w:rsidR="00000000" w:rsidRDefault="0008038C">
      <w:pPr>
        <w:pStyle w:val="Heading1"/>
      </w:pPr>
      <w:r>
        <w:t>Discussão</w:t>
      </w:r>
    </w:p>
    <w:p w:rsidR="00000000" w:rsidRDefault="0008038C">
      <w:pPr>
        <w:pStyle w:val="Corpo"/>
        <w:rPr>
          <w:rFonts w:ascii="Times New Roman" w:hAnsi="Times New Roman"/>
        </w:rPr>
      </w:pPr>
      <w:r>
        <w:rPr>
          <w:rFonts w:ascii="Times New Roman" w:hAnsi="Times New Roman"/>
        </w:rPr>
        <w:tab/>
        <w:t>Com a estratégia de busca selecionada, conseguimos um número expressivo de pub</w:t>
      </w:r>
      <w:r>
        <w:rPr>
          <w:rFonts w:ascii="Times New Roman" w:hAnsi="Times New Roman"/>
        </w:rPr>
        <w:t xml:space="preserve">licações, representativas dos principais avanços que ocorreram no tratamento dos tumores cerebrais pediátricos nos últimos 20 anos. Nesta discussão, apresentamos os resultados no contexto do tratamento dos 4 grupos mais comuns de pacientes pediátricos com </w:t>
      </w:r>
      <w:r>
        <w:rPr>
          <w:rFonts w:ascii="Times New Roman" w:hAnsi="Times New Roman"/>
        </w:rPr>
        <w:t xml:space="preserve">tumores cerebrais que necessitam de terapia, em geral multimodalidade: gliomas de baixo grau, meduloblastomas, gliomas de alto grau e tumores de tronco cerebral. Textos de referência são citados para contextualizar a revisão e os principais resultados dos </w:t>
      </w:r>
      <w:r>
        <w:rPr>
          <w:rFonts w:ascii="Times New Roman" w:hAnsi="Times New Roman"/>
        </w:rPr>
        <w:t>ensaios clínicos oriundos da pesquisa bibliográfica são citados com seu nível de evidência.</w:t>
      </w:r>
    </w:p>
    <w:p w:rsidR="00000000" w:rsidRDefault="0008038C">
      <w:pPr>
        <w:pStyle w:val="Heading2"/>
      </w:pPr>
      <w:r>
        <w:t>Tratamento de Gliomas de Baixo Grau</w:t>
      </w:r>
    </w:p>
    <w:p w:rsidR="00000000" w:rsidRDefault="0008038C">
      <w:pPr>
        <w:pStyle w:val="Corpo"/>
        <w:rPr>
          <w:rFonts w:ascii="Times New Roman" w:hAnsi="Times New Roman"/>
        </w:rPr>
      </w:pPr>
      <w:r>
        <w:rPr>
          <w:rFonts w:ascii="Times New Roman" w:hAnsi="Times New Roman"/>
        </w:rPr>
        <w:tab/>
        <w:t xml:space="preserve">Esse grupo inclui os astrocitomas, oligodendrogliomas, gangliogliomas e tumores gliais mistos ou variantes (grupos IIIa, b e d </w:t>
      </w:r>
      <w:r>
        <w:rPr>
          <w:rFonts w:ascii="Times New Roman" w:hAnsi="Times New Roman"/>
        </w:rPr>
        <w:t>da ICCC3) (Steliarova-Foucher, 2005). A denominação de baixo grau refere-se à classificação da OMS para tumores do sistema nervoso central, a qual divide as neoplasias em 4 grupos, baseada em critérios histológicos. A classificação da OMS para tumores do s</w:t>
      </w:r>
      <w:r>
        <w:rPr>
          <w:rFonts w:ascii="Times New Roman" w:hAnsi="Times New Roman"/>
        </w:rPr>
        <w:t>istema nervoso central constitui uma “escala de malignidade”, mais do que um esquema de estadiamento convencional (Louis, 2007). Os tumores classificados como Grau I ou II são coletivamente denominados tumores de baixo grau de malignidade, enquanto aqueles</w:t>
      </w:r>
      <w:r>
        <w:rPr>
          <w:rFonts w:ascii="Times New Roman" w:hAnsi="Times New Roman"/>
        </w:rPr>
        <w:t xml:space="preserve"> classificados como Grau III ou IV são designados tumores de alto grau de malignidade. Os tumores de baixo grau são comumente tratados apenas cirurgicamente, com elevados índices de cura e sobrevida prolongada. Tumores  astrocíticos e oligodendrogliais de </w:t>
      </w:r>
      <w:r>
        <w:rPr>
          <w:rFonts w:ascii="Times New Roman" w:hAnsi="Times New Roman"/>
        </w:rPr>
        <w:t xml:space="preserve">baixo grau têm bom prognóstico associado à ressecção cirúrgica como única terapia. Todavia, a possibilidade de ressecção cirúrgica completa varia muito de acordo com o sítio tumoral (Wisoff, 2011). </w:t>
      </w:r>
    </w:p>
    <w:p w:rsidR="00000000" w:rsidRDefault="0008038C">
      <w:pPr>
        <w:pStyle w:val="Corpo"/>
        <w:rPr>
          <w:rFonts w:ascii="Times New Roman" w:hAnsi="Times New Roman"/>
        </w:rPr>
      </w:pPr>
      <w:r>
        <w:rPr>
          <w:rFonts w:ascii="Times New Roman" w:hAnsi="Times New Roman"/>
        </w:rPr>
        <w:lastRenderedPageBreak/>
        <w:tab/>
        <w:t xml:space="preserve">Gliomas cerebelares são passíveis de ressecção completa </w:t>
      </w:r>
      <w:r>
        <w:rPr>
          <w:rFonts w:ascii="Times New Roman" w:hAnsi="Times New Roman"/>
        </w:rPr>
        <w:t>em 60-70% dos casos, a maioria são astrocitomas pilocíticos (grau I) e seu comportamento é praticamente benigno (Gan &amp; Haas-Kogan, 2010). A recidiva após ressecção e a progressão para tumores de maior grau de malignidade são muito raras. Mesmo tumores inco</w:t>
      </w:r>
      <w:r>
        <w:rPr>
          <w:rFonts w:ascii="Times New Roman" w:hAnsi="Times New Roman"/>
        </w:rPr>
        <w:t>mpletamente ressecados mostram uma baixa propensão a progredir. A sobrevida livre de progressão em 5 anos após a cirurgia é de 84-91%. A sobrevida livre de progressão em 5 anos em pacientes com doença residual é de 54-63% (Wisoff, 2011). Gliomas da via ópt</w:t>
      </w:r>
      <w:r>
        <w:rPr>
          <w:rFonts w:ascii="Times New Roman" w:hAnsi="Times New Roman"/>
        </w:rPr>
        <w:t>ica e hipotálamo (e demais tumores diencefálicos ou da linha média) são lesões difusas, infiltrativas, em sua maioria astrocitomas  de baixo grau (pilocítico ou difuso), com maior chance de disseminação e metástase no neuro-eixo, com maior incidência em pa</w:t>
      </w:r>
      <w:r>
        <w:rPr>
          <w:rFonts w:ascii="Times New Roman" w:hAnsi="Times New Roman"/>
        </w:rPr>
        <w:t>cientes com neurofibromatose tipo 1. Devido a sua natureza infiltrativa e ao risco de sequelas visuais e neuro-endócrinas, a ressecção cirúrgica não é realizada na maioria dos casos e a biópsia somente está indicada nos casos de imagem atípica. A maioria d</w:t>
      </w:r>
      <w:r>
        <w:rPr>
          <w:rFonts w:ascii="Times New Roman" w:hAnsi="Times New Roman"/>
        </w:rPr>
        <w:t>os pacientes é tratada com base apenas em imagens sugestivas. Apesar de sua histologia, têm um prognóstico mais reservado do que os pacientes com lesões cerebelares (Gan &amp; Haas-Kogan, 2010). A sobrevida livre de progressão em 5 anos é de 47% (Wisoff, 2011)</w:t>
      </w:r>
      <w:r>
        <w:rPr>
          <w:rFonts w:ascii="Times New Roman" w:hAnsi="Times New Roman"/>
        </w:rPr>
        <w:t>. Oligodendrogliomas, tumores mistos e variantes de tumores astrocíticos são raros em crianças (1% ou menos de todos os tumores cerebrais). São tumores da substância branca supratentorial, infiltrativos, e o controle cirúrgico é curativo na maioria. Terapi</w:t>
      </w:r>
      <w:r>
        <w:rPr>
          <w:rFonts w:ascii="Times New Roman" w:hAnsi="Times New Roman"/>
        </w:rPr>
        <w:t xml:space="preserve">a adjuvante não está bem definida para estes tumores (Gan &amp; Haas-Kogan, 2010). A sobrevida livre de progressão em 5 anos é de 67% (Wisoff, 2011). </w:t>
      </w:r>
    </w:p>
    <w:p w:rsidR="00000000" w:rsidRDefault="0008038C">
      <w:pPr>
        <w:pStyle w:val="Corpo"/>
        <w:rPr>
          <w:rFonts w:ascii="Times New Roman" w:hAnsi="Times New Roman"/>
        </w:rPr>
      </w:pPr>
      <w:r>
        <w:rPr>
          <w:rFonts w:ascii="Times New Roman" w:hAnsi="Times New Roman"/>
        </w:rPr>
        <w:tab/>
        <w:t>O papel da cirurgia no controle dos gliomas de baixo grau está bem estabelecido. O estudo prospectivo multi-</w:t>
      </w:r>
      <w:r>
        <w:rPr>
          <w:rFonts w:ascii="Times New Roman" w:hAnsi="Times New Roman"/>
        </w:rPr>
        <w:t>institucional do Children’s Oncology Group (COG) CCG9891 avaliou uma coorte de 518 pacientes diagnosticados com tumores de origem glial, tratados inicialmente com ressecção cirúrgica. Ocorreu revisão central da histologia de todos os casos incluídos. Do to</w:t>
      </w:r>
      <w:r>
        <w:rPr>
          <w:rFonts w:ascii="Times New Roman" w:hAnsi="Times New Roman"/>
        </w:rPr>
        <w:t>tal, 64% dos pacientes não tinha evidência de doença residual após a cirurgia, 20% tinha doença residual limitada (&lt; 1,5 cm</w:t>
      </w:r>
      <w:r>
        <w:rPr>
          <w:rFonts w:ascii="Times New Roman" w:hAnsi="Times New Roman"/>
          <w:vertAlign w:val="superscript"/>
        </w:rPr>
        <w:t>3</w:t>
      </w:r>
      <w:r>
        <w:rPr>
          <w:rFonts w:ascii="Times New Roman" w:hAnsi="Times New Roman"/>
        </w:rPr>
        <w:t>) e 16% tinha doença residual significante (&gt; 1,5 cm</w:t>
      </w:r>
      <w:r>
        <w:rPr>
          <w:rFonts w:ascii="Times New Roman" w:hAnsi="Times New Roman"/>
          <w:vertAlign w:val="superscript"/>
        </w:rPr>
        <w:t>3</w:t>
      </w:r>
      <w:r>
        <w:rPr>
          <w:rFonts w:ascii="Times New Roman" w:hAnsi="Times New Roman"/>
        </w:rPr>
        <w:t>). A maioria dos pacientes (76%) tinha astrocitoma pilocítico, 6% astrocitoma d</w:t>
      </w:r>
      <w:r>
        <w:rPr>
          <w:rFonts w:ascii="Times New Roman" w:hAnsi="Times New Roman"/>
        </w:rPr>
        <w:t>ifuso, 8% ganglioglioma e 10% oligodendroglioma, tumores mistos ou variantes. A maioria dos pacientes (73%) tinha 5 anos ou mais. A maioria (57%) tinha tumores cerebelares, 24% de hemisférios cerebrais, 14% da linha média e 4% das vias ópticas ou hipotálam</w:t>
      </w:r>
      <w:r>
        <w:rPr>
          <w:rFonts w:ascii="Times New Roman" w:hAnsi="Times New Roman"/>
        </w:rPr>
        <w:t>o. A sobrevida livre de progressão em 5 anos de toda a coorte foi de 80%, sendo 84 a 91% para tumores cerebelares, 78% para hemisférios cerebrais, 65% para a linha média e 47% para vias ópticas ou hipotálamo (p&lt;0,001) (nível 2). A sobrevida livre de progre</w:t>
      </w:r>
      <w:r>
        <w:rPr>
          <w:rFonts w:ascii="Times New Roman" w:hAnsi="Times New Roman"/>
        </w:rPr>
        <w:t>ssão em 5 anos foi de 83% para astrocitomas pilocíticos, 88% para gangliogliomas, 66% para astrocitomas difusos e 67% para outros tumores (p=0,64) (nível 2). Finalmente, a ressecção cirúrgica completa foi o fator isolado de maior impacto na progressão nest</w:t>
      </w:r>
      <w:r>
        <w:rPr>
          <w:rFonts w:ascii="Times New Roman" w:hAnsi="Times New Roman"/>
        </w:rPr>
        <w:t>a coorte, 94% dos pacientes com ressecção completa estavam livres de progressão após 5 anos, enquanto 59% dos pacientes com doença residual limitada e 53% dos pacientes com doença residual significante alcançaram sobrevida livre de progressão prolongada (p</w:t>
      </w:r>
      <w:r>
        <w:rPr>
          <w:rFonts w:ascii="Times New Roman" w:hAnsi="Times New Roman"/>
        </w:rPr>
        <w:t>&lt;0,01) (nível 2). A conclusão é de que a ressecção completa deve ser tentada sempre que possível (ou seja, desde que não acarrete comprometimento funcional) para os pacientes pediátricos com gliomas de baixo grau (nível 4). Além disso, o fato de que mais d</w:t>
      </w:r>
      <w:r>
        <w:rPr>
          <w:rFonts w:ascii="Times New Roman" w:hAnsi="Times New Roman"/>
        </w:rPr>
        <w:t>e 50% dos pacientes com doença residual não progrediram em 5 anos indica que as intervenções terapêuticas adjuvantes devem ser postergadas até que ocorra progressão objetiva da doença. No entanto, apesar de sua histologia aparentemente benigna, 44% dos pac</w:t>
      </w:r>
      <w:r>
        <w:rPr>
          <w:rFonts w:ascii="Times New Roman" w:hAnsi="Times New Roman"/>
        </w:rPr>
        <w:t xml:space="preserve">ientes progrediram mesmo com doença residual muito limitada, o que indica a necessidade de monitorização dos pacientes com ressecção incompleta, independente da quantidade de tumor residual (nível 2) (Wisoff, 2011). </w:t>
      </w:r>
    </w:p>
    <w:p w:rsidR="00000000" w:rsidRDefault="0008038C">
      <w:pPr>
        <w:pStyle w:val="Corpo"/>
        <w:rPr>
          <w:rFonts w:ascii="Times New Roman" w:hAnsi="Times New Roman"/>
        </w:rPr>
      </w:pPr>
      <w:r>
        <w:rPr>
          <w:rFonts w:ascii="Times New Roman" w:hAnsi="Times New Roman"/>
        </w:rPr>
        <w:tab/>
        <w:t>Fica evidente que um número significat</w:t>
      </w:r>
      <w:r>
        <w:rPr>
          <w:rFonts w:ascii="Times New Roman" w:hAnsi="Times New Roman"/>
        </w:rPr>
        <w:t>ivo de pacientes pediátricos com gliomas de baixo grau sofre recidiva após controle cirúrgico ou não pode ter seu tumor ressecado. Nestes casos, indica-se terapia adjuvante com a intenção de evitar a progressão da doença. Vários estudos exploraram a contri</w:t>
      </w:r>
      <w:r>
        <w:rPr>
          <w:rFonts w:ascii="Times New Roman" w:hAnsi="Times New Roman"/>
        </w:rPr>
        <w:t xml:space="preserve">buição da radioterapia e quimioterapia no tratamento de gliomas de baixo grau progressivos. Um ensaio fase II não controlado estudou 78 crianças com gliomas de baixo grau tratadas com radioterapia conformacional. Os pacientes tinham astrocitoma pilocítico </w:t>
      </w:r>
      <w:r>
        <w:rPr>
          <w:rFonts w:ascii="Times New Roman" w:hAnsi="Times New Roman"/>
        </w:rPr>
        <w:t xml:space="preserve">(n=50), tumores de via </w:t>
      </w:r>
      <w:r>
        <w:rPr>
          <w:rFonts w:ascii="Times New Roman" w:hAnsi="Times New Roman"/>
        </w:rPr>
        <w:lastRenderedPageBreak/>
        <w:t>óptica ou hipotálamo sem biópsia (n=13), astrocitoma difuso (n=4),  ganglioglioma (n=3) e oligodendroglioma, tumores mistos ou variantes (n=8). A maioria dos tumores localizava-se no diencéfalo (47), 17 no cerebelo e 3 nos hemisfério</w:t>
      </w:r>
      <w:r>
        <w:rPr>
          <w:rFonts w:ascii="Times New Roman" w:hAnsi="Times New Roman"/>
        </w:rPr>
        <w:t xml:space="preserve">s cerebrais. Treze pacientes tinham NF-1, 25 receberam QT previamente e 65 sofreram cirurgia (biópsia ou ressecção incompleta). O tratamento foi indicado nos pacientes sintomáticos na avaliação inicial ou com evidência radiológica de progressão ou, ainda, </w:t>
      </w:r>
      <w:r>
        <w:rPr>
          <w:rFonts w:ascii="Times New Roman" w:hAnsi="Times New Roman"/>
        </w:rPr>
        <w:t xml:space="preserve">com uma lesão residual numa área de risco para progressão. Dentre os pacientes cujo tratamento primário foi radioterapia, mais da metade iniciou o tratamento em menos de 90 dias após o diagnóstico. A sobrevida livre de progressão em 5 anos do grupo foi de </w:t>
      </w:r>
      <w:r>
        <w:rPr>
          <w:rFonts w:ascii="Times New Roman" w:hAnsi="Times New Roman"/>
        </w:rPr>
        <w:t>87%. Treze pacientes apresentaram progressão com uma mediana de tempo de 83 meses. Quatro pacientes apresentaram falha terapêutica, desenvolvendo doença metastática. Não ocorreu diferença digna de nota entre os tipos histológicos (nível 2). Nenhum dos paci</w:t>
      </w:r>
      <w:r>
        <w:rPr>
          <w:rFonts w:ascii="Times New Roman" w:hAnsi="Times New Roman"/>
        </w:rPr>
        <w:t>entes com NF-1 teve progressão ou malignização. Um paciente da série desenvolveu um glioma de alto grau na região do campo de irradiação, 78 meses após o tratamento. A incidência cumulativa de vasculopatia na série foi de cerca de 5% em 7 anos e o principa</w:t>
      </w:r>
      <w:r>
        <w:rPr>
          <w:rFonts w:ascii="Times New Roman" w:hAnsi="Times New Roman"/>
        </w:rPr>
        <w:t>l fator de risco para esta complicação foi a idade menor que 5 anos (nível 2) (Merchant, 2009a). Em relação aos efeitos cognitivos, um declínio de 10 pontos de QI foi estimado para crianças com 5 anos de idade ao tratamento, 5 anos após a radioterapia. O r</w:t>
      </w:r>
      <w:r>
        <w:rPr>
          <w:rFonts w:ascii="Times New Roman" w:hAnsi="Times New Roman"/>
        </w:rPr>
        <w:t>isco cumulativo de desenvolver insuficiência tireoidiana foi de 64% e de deficiência de GH foi de 49%, em 10 anos. A incidência cumulativa de déficit auditivo foi de cerca de 6% em 10 anos. A presença de NF-1 foi um fator de risco para vasculopatia e défic</w:t>
      </w:r>
      <w:r>
        <w:rPr>
          <w:rFonts w:ascii="Times New Roman" w:hAnsi="Times New Roman"/>
        </w:rPr>
        <w:t>it cognitivo (nível 2) (Merchant, 2009b). Em conclusão, esta série mostrou inequivocamente que a radioterapia pode controlar adequadamente os gliomas de baixo grau pediátricos não controlados cirurgicamente, com uma elevada proporção de pacientes tendo sob</w:t>
      </w:r>
      <w:r>
        <w:rPr>
          <w:rFonts w:ascii="Times New Roman" w:hAnsi="Times New Roman"/>
        </w:rPr>
        <w:t>revida prolongada sem progressão (nível 4). No entanto, isso ocorre às custas de frequentes efeitos colaterais, provavelmente permanentes. A radioterapia para gliomas de baixo grau deve ser evitada em pacientes com menos de 5 anos, devido ao risco de vascu</w:t>
      </w:r>
      <w:r>
        <w:rPr>
          <w:rFonts w:ascii="Times New Roman" w:hAnsi="Times New Roman"/>
        </w:rPr>
        <w:t>lopatia (nível 2). Apesar do risco cumulativo de déficit auditivo ser baixo e do fato do declínio cognitivo ser menor com o avançar da idade, adiar a radioterapia o quanto for possível parece razoável.</w:t>
      </w:r>
    </w:p>
    <w:p w:rsidR="00000000" w:rsidRDefault="0008038C">
      <w:pPr>
        <w:pStyle w:val="Corpo"/>
        <w:rPr>
          <w:rFonts w:ascii="Times New Roman" w:hAnsi="Times New Roman"/>
        </w:rPr>
      </w:pPr>
      <w:r>
        <w:rPr>
          <w:rFonts w:ascii="Times New Roman" w:hAnsi="Times New Roman"/>
        </w:rPr>
        <w:tab/>
        <w:t>Com o intuito de atrasar o início da radioterapia, vá</w:t>
      </w:r>
      <w:r>
        <w:rPr>
          <w:rFonts w:ascii="Times New Roman" w:hAnsi="Times New Roman"/>
        </w:rPr>
        <w:t>rios estudos foram realizados com diferentes esquemas de quimioterapia em crianças com gliomas de baixo grau recorrentes ou progressivos. As combinações mais utilizadas foram: carboplatina e vincristina (Packer, 1997; Gnekow, 2004); procarbazina, tioguanin</w:t>
      </w:r>
      <w:r>
        <w:rPr>
          <w:rFonts w:ascii="Times New Roman" w:hAnsi="Times New Roman"/>
        </w:rPr>
        <w:t xml:space="preserve">a, lomustina e vincristina (TPCV) (Prados, 1997); cisplatina e etoposido (Massimino, 2002). Packer </w:t>
      </w:r>
      <w:r>
        <w:rPr>
          <w:rFonts w:ascii="Times New Roman Italic" w:hAnsi="Times New Roman Italic"/>
        </w:rPr>
        <w:t>et al</w:t>
      </w:r>
      <w:r>
        <w:rPr>
          <w:rFonts w:ascii="Times New Roman" w:hAnsi="Times New Roman"/>
        </w:rPr>
        <w:t xml:space="preserve"> trataram 78 pacientes até 15 anos com gliomas de baixo grau confirmados por histologia ou imagem típica, progressivos, reportando 56% de resposta radio</w:t>
      </w:r>
      <w:r>
        <w:rPr>
          <w:rFonts w:ascii="Times New Roman" w:hAnsi="Times New Roman"/>
        </w:rPr>
        <w:t>lógica objetiva e 68% de sobrevida livre de progressão em 3 anos (nível 4). A maioria dos pacientes (n=32) tinha astrocitoma fibrilar (difuso), 17 tinham astrocitoma pilocítico e 26 não tinham histologia. A maioria dos pacientes tinha tumores diencefálicos</w:t>
      </w:r>
      <w:r>
        <w:rPr>
          <w:rFonts w:ascii="Times New Roman" w:hAnsi="Times New Roman"/>
        </w:rPr>
        <w:t xml:space="preserve"> (n=52), 12 tinham no tronco e 6 em outros locais. Somente pacientes que sofreram ressecção de 50% ou menos das lesões foram admitidos. Não ocorreu revisão central de histologia ou imagens. Este ensaio clínico não avaliou se o esquema conseguia adiar o iní</w:t>
      </w:r>
      <w:r>
        <w:rPr>
          <w:rFonts w:ascii="Times New Roman" w:hAnsi="Times New Roman"/>
        </w:rPr>
        <w:t>cio da radioterapia, principal motivo do tratamento, devido ao curto tempo de seguimento (Packer, 1997). A carboplatina fora testada pelo Pediatric Oncology Group (POG), em comparação com a iproplatina, num ensaio fase II, randomizado. Um grupo de paciente</w:t>
      </w:r>
      <w:r>
        <w:rPr>
          <w:rFonts w:ascii="Times New Roman" w:hAnsi="Times New Roman"/>
        </w:rPr>
        <w:t>s pediátricos com tumores cerebrais histologicamente verificados, recorrentes ou progressivos, foi avaliado. O subgrupo de pacientes com astrocitoma de baixo grau (12 pacientes, agregando pacientes de um ensaio não randomizado prévio do POG) não mostrou re</w:t>
      </w:r>
      <w:r>
        <w:rPr>
          <w:rFonts w:ascii="Times New Roman" w:hAnsi="Times New Roman"/>
        </w:rPr>
        <w:t>sposta radiológica objetiva, mas a maioria dos pacientes apresentou estabilização prolongada da doença com a carboplatina, o que motivou os pesquisadores a testá-la num grupo maior (Friedman, 1992). O ensaio não randomizado HIT-LGG 1996, do grupo de pediat</w:t>
      </w:r>
      <w:r>
        <w:rPr>
          <w:rFonts w:ascii="Times New Roman" w:hAnsi="Times New Roman"/>
        </w:rPr>
        <w:t>ria oncológica dos países de língua alemã (GPOH) utilizou um esquema de carboplatina e vincristina diferente daquele do COG. Um relato do subgrupo com gliomas hipotalâmico-quiasmáticos que recebeu quimioterapia (n=123) mostrou sobrevida livre de progressão</w:t>
      </w:r>
      <w:r>
        <w:rPr>
          <w:rFonts w:ascii="Times New Roman" w:hAnsi="Times New Roman"/>
        </w:rPr>
        <w:t xml:space="preserve"> de 61% em 5 anos (Gnekow, 2004) (nível 4). Os resultados completos do ensaio ainda não foram publicados, mas foram apresentados na reunião anual da Société Internationale d’Oncologie Pédiatrique (SIOP) de 2005. A sobrevida livre de eventos em 5 anos relat</w:t>
      </w:r>
      <w:r>
        <w:rPr>
          <w:rFonts w:ascii="Times New Roman" w:hAnsi="Times New Roman"/>
        </w:rPr>
        <w:t xml:space="preserve">ada foi de 43% para o grupo tratado com quimioterapia (Gnekow, 2005). </w:t>
      </w:r>
      <w:r>
        <w:rPr>
          <w:rFonts w:ascii="Times New Roman" w:hAnsi="Times New Roman"/>
        </w:rPr>
        <w:lastRenderedPageBreak/>
        <w:t>Com o intuito de tentar melhorar estes resultados, a SIOP e o GPOH iniciaram conjuntamente o ensaio SIOP-LGG 2004, o qual terminou de cadastrar pacientes em 2012. Este ensaio randomizado</w:t>
      </w:r>
      <w:r>
        <w:rPr>
          <w:rFonts w:ascii="Times New Roman" w:hAnsi="Times New Roman"/>
        </w:rPr>
        <w:t xml:space="preserve"> compara carboplatina e vincristina com carboplatina, vincristina e etoposide (Gnekow, 2012). Em 2002, um grupo italiano relatou um grupo de 34 crianças com gliomas de baixo grau não ressecáveis, a maior parte hipotalâmico-quiasmáticos (n=29), tratadas com</w:t>
      </w:r>
      <w:r>
        <w:rPr>
          <w:rFonts w:ascii="Times New Roman" w:hAnsi="Times New Roman"/>
        </w:rPr>
        <w:t xml:space="preserve"> cisplatina e etoposide. Eles mostraram uma sobrevida livre de progressão de 78% em 3 anos, com 11 pacientes obtendo remissão parcial e 1 completa (nível 4). No entanto, uma quantidade significativa de pacientes apresentou toxicidade auditiva, um efeito co</w:t>
      </w:r>
      <w:r>
        <w:rPr>
          <w:rFonts w:ascii="Times New Roman" w:hAnsi="Times New Roman"/>
        </w:rPr>
        <w:t>lateral conhecido da cisplatina (Massimino, 2002).</w:t>
      </w:r>
    </w:p>
    <w:p w:rsidR="00000000" w:rsidRDefault="0008038C">
      <w:pPr>
        <w:pStyle w:val="Corpo"/>
        <w:rPr>
          <w:rFonts w:ascii="Times New Roman" w:hAnsi="Times New Roman"/>
        </w:rPr>
      </w:pPr>
      <w:r>
        <w:rPr>
          <w:rFonts w:ascii="Times New Roman" w:hAnsi="Times New Roman"/>
        </w:rPr>
        <w:tab/>
        <w:t xml:space="preserve">Prados </w:t>
      </w:r>
      <w:r>
        <w:rPr>
          <w:rFonts w:ascii="Times New Roman Italic" w:hAnsi="Times New Roman Italic"/>
        </w:rPr>
        <w:t>et al</w:t>
      </w:r>
      <w:r>
        <w:rPr>
          <w:rFonts w:ascii="Times New Roman" w:hAnsi="Times New Roman"/>
        </w:rPr>
        <w:t xml:space="preserve"> trataram 42 crianças até 18 anos com gliomas de baixo grau histologicamente confirmados (exceto tumores de diencéfalo em pacientes com NF-1 ou de vias ópticas), com doença progressiva. A sobr</w:t>
      </w:r>
      <w:r>
        <w:rPr>
          <w:rFonts w:ascii="Times New Roman" w:hAnsi="Times New Roman"/>
        </w:rPr>
        <w:t>evida livre de progressão foi de 45% em 3 anos, com mediana de 2,5 anos para progressão (nível 4). A maioria dos pacientes tinha astrocitoma pilocítico (n=23), 11 tinham astrocitoma (sem outra especificação), 6 não tinham histologia e 2 tinham oligodendrog</w:t>
      </w:r>
      <w:r>
        <w:rPr>
          <w:rFonts w:ascii="Times New Roman" w:hAnsi="Times New Roman"/>
        </w:rPr>
        <w:t>lioma ou ganglioglioma. A maioria dos pacientes tinham tumores hipotalâmicos ou quiasmáticos (n=33), 4 talâmicos e 5 em outras localizações. A maioria dos pacientes sofreu ressecção parcial ou subtotal. Este esquema foi derivado de experimentos pré-clínico</w:t>
      </w:r>
      <w:r>
        <w:rPr>
          <w:rFonts w:ascii="Times New Roman" w:hAnsi="Times New Roman"/>
        </w:rPr>
        <w:t>s que mostraram que a combinação das drogas utilizadas tinha efeitos sinérgicos nas células neoplásicas (Prados, 1992). Apesar da aparente superioridade da combinação carboplatina e vincristina, os ensaios tinham grandes diferenças entre si quanto aos diag</w:t>
      </w:r>
      <w:r>
        <w:rPr>
          <w:rFonts w:ascii="Times New Roman" w:hAnsi="Times New Roman"/>
        </w:rPr>
        <w:t xml:space="preserve">nósticos histológicos e topográficos dos pacientes, além de diferenças na terapia prévia. Para definir qual o melhor dentre os dois esquemas, um ensaio fase III randomizado foi levado a cabo pelo COG e seus resultados publicados recentemente (Ater, 2012). </w:t>
      </w:r>
      <w:r>
        <w:rPr>
          <w:rFonts w:ascii="Times New Roman" w:hAnsi="Times New Roman"/>
        </w:rPr>
        <w:t>O estudo avaliou 274 pacientes com 10 anos ou menos, com gliomas de baixo grau e com doença residual (mais de 5% da lesão inicial ou 1,5 cm</w:t>
      </w:r>
      <w:r>
        <w:rPr>
          <w:rFonts w:ascii="Times New Roman" w:hAnsi="Times New Roman"/>
          <w:vertAlign w:val="superscript"/>
        </w:rPr>
        <w:t>2</w:t>
      </w:r>
      <w:r>
        <w:rPr>
          <w:rFonts w:ascii="Times New Roman" w:hAnsi="Times New Roman"/>
        </w:rPr>
        <w:t>) ou progressiva. Ocorreu revisão central das imagens e da patologia. Pacientes com tumores hipotalâmico-quiasmático</w:t>
      </w:r>
      <w:r>
        <w:rPr>
          <w:rFonts w:ascii="Times New Roman" w:hAnsi="Times New Roman"/>
        </w:rPr>
        <w:t>s foram incluídos com base nas imagens. A sobrevida livre de progressão em 5 anos foi de 45% para todo o grupo, sendo de 39% para o esquema carboplatina-vincristina e 52% para o esquema TPCV. Esta diferença não foi significante num teste de log-rank, mas m</w:t>
      </w:r>
      <w:r>
        <w:rPr>
          <w:rFonts w:ascii="Times New Roman" w:hAnsi="Times New Roman"/>
        </w:rPr>
        <w:t>ostrou-se significante num modelo de sobrevida com fração de cura (cure rate model), onde parte desta diferença deveu-se a pacientes com sobrevida prolongada (p&lt;0,05) (nível 2). O ensaio encontrou dois preditores independentes da sobrevida livre de eventos</w:t>
      </w:r>
      <w:r>
        <w:rPr>
          <w:rFonts w:ascii="Times New Roman" w:hAnsi="Times New Roman"/>
        </w:rPr>
        <w:t>: idade (menor risco entre 1 e 5 anos e doença residual (menor risco se &lt;3 cm</w:t>
      </w:r>
      <w:r>
        <w:rPr>
          <w:rFonts w:ascii="Times New Roman" w:hAnsi="Times New Roman"/>
          <w:vertAlign w:val="superscript"/>
        </w:rPr>
        <w:t>2</w:t>
      </w:r>
      <w:r>
        <w:rPr>
          <w:rFonts w:ascii="Times New Roman" w:hAnsi="Times New Roman"/>
        </w:rPr>
        <w:t xml:space="preserve">) (nível 2). </w:t>
      </w:r>
    </w:p>
    <w:p w:rsidR="00000000" w:rsidRDefault="0008038C">
      <w:pPr>
        <w:pStyle w:val="Corpo"/>
        <w:rPr>
          <w:rFonts w:ascii="Times New Roman" w:hAnsi="Times New Roman"/>
        </w:rPr>
      </w:pPr>
      <w:r>
        <w:rPr>
          <w:rFonts w:ascii="Times New Roman" w:hAnsi="Times New Roman"/>
        </w:rPr>
        <w:tab/>
        <w:t>O resultado deste ensaio deve ser encarado com senso crítico. Apesar de ambos os regimes terapêuticos aparentemente terem conseguido adiar a progressão nos pacient</w:t>
      </w:r>
      <w:r>
        <w:rPr>
          <w:rFonts w:ascii="Times New Roman" w:hAnsi="Times New Roman"/>
        </w:rPr>
        <w:t>es estudados, a comparação com o subgrupo com doença residual significante do CCG9891 indica que deve-se ter cautela na indicação de tratamentos adjuvantes. Pacientes com tumor residual maior que 1,5 cm</w:t>
      </w:r>
      <w:r>
        <w:rPr>
          <w:rFonts w:ascii="Times New Roman" w:hAnsi="Times New Roman"/>
          <w:vertAlign w:val="superscript"/>
        </w:rPr>
        <w:t>2</w:t>
      </w:r>
      <w:r>
        <w:rPr>
          <w:rFonts w:ascii="Times New Roman" w:hAnsi="Times New Roman"/>
        </w:rPr>
        <w:t xml:space="preserve"> e menor que 3,0 cm</w:t>
      </w:r>
      <w:r>
        <w:rPr>
          <w:rFonts w:ascii="Times New Roman" w:hAnsi="Times New Roman"/>
          <w:vertAlign w:val="superscript"/>
        </w:rPr>
        <w:t>2</w:t>
      </w:r>
      <w:r>
        <w:rPr>
          <w:rFonts w:ascii="Times New Roman" w:hAnsi="Times New Roman"/>
        </w:rPr>
        <w:t xml:space="preserve"> serão melhor seguidos com condut</w:t>
      </w:r>
      <w:r>
        <w:rPr>
          <w:rFonts w:ascii="Times New Roman" w:hAnsi="Times New Roman"/>
        </w:rPr>
        <w:t>a expectante? Para pacientes com mais de 5 anos e mais de 3,0 cm</w:t>
      </w:r>
      <w:r>
        <w:rPr>
          <w:rFonts w:ascii="Times New Roman" w:hAnsi="Times New Roman"/>
          <w:vertAlign w:val="superscript"/>
        </w:rPr>
        <w:t>2</w:t>
      </w:r>
      <w:r>
        <w:rPr>
          <w:rFonts w:ascii="Times New Roman" w:hAnsi="Times New Roman"/>
        </w:rPr>
        <w:t xml:space="preserve"> de tumor residual, deve-se indicar radioterapia precocemente? A quimioterapia tem papel restrito aos pacientes menores de 5 anos com progressão documentada e naqueles com gliomas hipotalâmic</w:t>
      </w:r>
      <w:r>
        <w:rPr>
          <w:rFonts w:ascii="Times New Roman" w:hAnsi="Times New Roman"/>
        </w:rPr>
        <w:t>o-quiasmáticos? A ausência de ensaios comparativos entre as abordagens terapêuticas e de ensaios com controles não tratados impede a resposta destas questões com certeza. A conclusão sobre a terapia dos gliomas de baixo grau é de que, hoje em dia, temos ev</w:t>
      </w:r>
      <w:r>
        <w:rPr>
          <w:rFonts w:ascii="Times New Roman" w:hAnsi="Times New Roman"/>
        </w:rPr>
        <w:t>idência de relativa boa qualidade documentando a história natural deste grupo de tumores, mas a ausência de adequados estudos controlados e randomizados ainda suscita dúvidas quanto à melhor conduta em cada situação. A partir dos dados que temos até o mome</w:t>
      </w:r>
      <w:r>
        <w:rPr>
          <w:rFonts w:ascii="Times New Roman" w:hAnsi="Times New Roman"/>
        </w:rPr>
        <w:t>nto, um esquema racional de tratamento para gliomas de baixo grau pediátricos inclui a melhor ressecção cirúrgica possível (mantendo ao máximo a função), seguimento de perto de todos os pacientes com doença residual (independente da quantidade), aguardar a</w:t>
      </w:r>
      <w:r>
        <w:rPr>
          <w:rFonts w:ascii="Times New Roman" w:hAnsi="Times New Roman"/>
        </w:rPr>
        <w:t xml:space="preserve"> progressão para indicar terapia adjuvante (mesmo quando doença residual), evitar radioterapia em menores de 5 anos e portadores de NF-1 através do uso de quimioterapia (TPCV um pouco superior a carboplatina-vincristina) e tratar com radioterapia lesões pr</w:t>
      </w:r>
      <w:r>
        <w:rPr>
          <w:rFonts w:ascii="Times New Roman" w:hAnsi="Times New Roman"/>
        </w:rPr>
        <w:t xml:space="preserve">ogressivas após cirurgia e/ou quimioterapia. Infelizmente, mesmo com essa abordagem baseada em evidência, uma quantidade significativa de pacientes terá </w:t>
      </w:r>
      <w:r>
        <w:rPr>
          <w:rFonts w:ascii="Times New Roman" w:hAnsi="Times New Roman"/>
        </w:rPr>
        <w:lastRenderedPageBreak/>
        <w:t>doença progressiva apesar da melhor terapia, mostrando que a idéia geral de que os gliomas de baixo gra</w:t>
      </w:r>
      <w:r>
        <w:rPr>
          <w:rFonts w:ascii="Times New Roman" w:hAnsi="Times New Roman"/>
        </w:rPr>
        <w:t xml:space="preserve">u pediátricos são “benignos” deve ser revista e que ainda é necessário definir subgrupos de risco. </w:t>
      </w:r>
    </w:p>
    <w:p w:rsidR="00000000" w:rsidRDefault="0008038C">
      <w:pPr>
        <w:pStyle w:val="Heading2"/>
      </w:pPr>
      <w:r>
        <w:t>Tratamento de Meduloblastomas</w:t>
      </w:r>
    </w:p>
    <w:p w:rsidR="00000000" w:rsidRDefault="0008038C">
      <w:pPr>
        <w:pStyle w:val="Corpo"/>
        <w:rPr>
          <w:rFonts w:ascii="Times New Roman" w:hAnsi="Times New Roman"/>
        </w:rPr>
      </w:pPr>
      <w:r>
        <w:rPr>
          <w:rFonts w:ascii="Times New Roman" w:hAnsi="Times New Roman"/>
        </w:rPr>
        <w:tab/>
        <w:t>O meduloblastoma é provavelmente o mais bem estudado tumor cerebral pediátrico, incluindo desde modelos animais de patogênese</w:t>
      </w:r>
      <w:r>
        <w:rPr>
          <w:rFonts w:ascii="Times New Roman" w:hAnsi="Times New Roman"/>
        </w:rPr>
        <w:t xml:space="preserve">, testes pré-clínicos e clínicos de drogas e ensaios clínicos em grandes grupos de crianças. </w:t>
      </w:r>
    </w:p>
    <w:p w:rsidR="00000000" w:rsidRDefault="0008038C">
      <w:pPr>
        <w:pStyle w:val="Corpo"/>
        <w:rPr>
          <w:rFonts w:ascii="Times New Roman" w:hAnsi="Times New Roman"/>
        </w:rPr>
      </w:pPr>
    </w:p>
    <w:p w:rsidR="00000000" w:rsidRDefault="0008038C">
      <w:pPr>
        <w:pStyle w:val="FormaLivre"/>
        <w:spacing w:after="240"/>
        <w:rPr>
          <w:rFonts w:ascii="Times New Roman" w:hAnsi="Times New Roman"/>
        </w:rPr>
      </w:pPr>
      <w:r>
        <w:rPr>
          <w:rFonts w:ascii="Times New Roman" w:hAnsi="Times New Roman"/>
        </w:rPr>
        <w:t xml:space="preserve">CBTRUS (2012). CBTRUS Statistical Report: Primary Brain and Central Nervous System Tumors Diagnosed in the United States in 2004-2008 (March 23, 2012 Revision). </w:t>
      </w:r>
      <w:r>
        <w:rPr>
          <w:rFonts w:ascii="Times New Roman" w:hAnsi="Times New Roman"/>
        </w:rPr>
        <w:t xml:space="preserve">Source: Central Brain Tumor Registry of the United States, Hinsdale, IL. website: </w:t>
      </w:r>
      <w:hyperlink r:id="rId6" w:history="1">
        <w:r>
          <w:rPr>
            <w:rFonts w:ascii="Times New Roman" w:hAnsi="Times New Roman"/>
            <w:color w:val="000099"/>
            <w:u w:val="single"/>
          </w:rPr>
          <w:t>www.cbtrus.org</w:t>
        </w:r>
      </w:hyperlink>
    </w:p>
    <w:p w:rsidR="00000000" w:rsidRDefault="0008038C">
      <w:pPr>
        <w:pStyle w:val="FormaLivre"/>
        <w:spacing w:after="240"/>
        <w:rPr>
          <w:rFonts w:ascii="Times New Roman" w:hAnsi="Times New Roman"/>
        </w:rPr>
      </w:pPr>
      <w:r>
        <w:rPr>
          <w:rFonts w:ascii="Times New Roman" w:hAnsi="Times New Roman"/>
        </w:rPr>
        <w:t>Peris-Bonet R, Martínez-García C, Lacour B, Petrovich S, Giner- Ripoll B, Navajas A, Steliarova-Foucher E (2006) Childho</w:t>
      </w:r>
      <w:r>
        <w:rPr>
          <w:rFonts w:ascii="Times New Roman" w:hAnsi="Times New Roman"/>
        </w:rPr>
        <w:t xml:space="preserve">od central nervous system tumors–incidence and survival in Europe (1978–1997): report from Automated Childhood Cancer Infor- mation System project. Eur J Cancer 42:2064–2080. doi: </w:t>
      </w:r>
      <w:r>
        <w:rPr>
          <w:rStyle w:val="Unknown0"/>
          <w:rFonts w:ascii="Times New Roman" w:hAnsi="Times New Roman"/>
          <w:color w:val="0000FF"/>
        </w:rPr>
        <w:t>10.1016/j.ejca.2006.05.009</w:t>
      </w:r>
    </w:p>
    <w:p w:rsidR="00000000" w:rsidRDefault="0008038C">
      <w:pPr>
        <w:pStyle w:val="FormaLivre"/>
        <w:spacing w:after="240"/>
        <w:rPr>
          <w:rFonts w:ascii="Times New Roman" w:hAnsi="Times New Roman"/>
        </w:rPr>
      </w:pPr>
      <w:r>
        <w:rPr>
          <w:rFonts w:ascii="Times New Roman" w:hAnsi="Times New Roman"/>
        </w:rPr>
        <w:t>Wong TT, Ho DM, Chang KP, et al. Primary pediatri</w:t>
      </w:r>
      <w:r>
        <w:rPr>
          <w:rFonts w:ascii="Times New Roman" w:hAnsi="Times New Roman"/>
        </w:rPr>
        <w:t>c brain tumors: statistics of Taipei VGH, Taiwan (1975-2004). Cancer. 2005;104:2156–2167.</w:t>
      </w:r>
    </w:p>
    <w:p w:rsidR="00000000" w:rsidRDefault="0008038C">
      <w:pPr>
        <w:pStyle w:val="FormaLivre"/>
        <w:tabs>
          <w:tab w:val="left" w:pos="220"/>
          <w:tab w:val="left" w:pos="720"/>
        </w:tabs>
        <w:spacing w:after="200"/>
        <w:rPr>
          <w:rFonts w:ascii="Times New Roman" w:hAnsi="Times New Roman"/>
        </w:rPr>
      </w:pPr>
      <w:r>
        <w:rPr>
          <w:rFonts w:ascii="Times New Roman" w:hAnsi="Times New Roman"/>
        </w:rPr>
        <w:t>Camargo B, Santos MO, Rebelo MS, et al. Cancer incidence among children and adolescents in Brazil: first report of 14 population-based cancer registries. Int J Cancer</w:t>
      </w:r>
      <w:r>
        <w:rPr>
          <w:rFonts w:ascii="Times New Roman" w:hAnsi="Times New Roman"/>
        </w:rPr>
        <w:t xml:space="preserve">. 2009;126: 715–720. </w:t>
      </w:r>
    </w:p>
    <w:p w:rsidR="00000000" w:rsidRDefault="0008038C">
      <w:pPr>
        <w:pStyle w:val="FormaLivre"/>
        <w:spacing w:after="240"/>
        <w:rPr>
          <w:rFonts w:ascii="Times New Roman" w:hAnsi="Times New Roman"/>
        </w:rPr>
      </w:pPr>
      <w:r>
        <w:rPr>
          <w:rFonts w:ascii="Times New Roman" w:hAnsi="Times New Roman"/>
        </w:rPr>
        <w:t xml:space="preserve">Gan, G. &amp; Haas-Kogan, D. Low-Grade Gliomas, </w:t>
      </w:r>
      <w:r>
        <w:rPr>
          <w:rFonts w:ascii="Times New Roman Italic" w:hAnsi="Times New Roman Italic"/>
        </w:rPr>
        <w:t>in</w:t>
      </w:r>
      <w:r>
        <w:rPr>
          <w:rFonts w:ascii="Times New Roman" w:hAnsi="Times New Roman"/>
        </w:rPr>
        <w:t xml:space="preserve"> Gupta, N., Banerjee, A., Haas-Kogan, D [Editors]. Pediatric CNS Tumors, Pediatric Oncology [Series], 2010, Springer Berlin Heidelberg, pages 1-35</w:t>
      </w:r>
    </w:p>
    <w:p w:rsidR="00000000" w:rsidRDefault="0008038C">
      <w:pPr>
        <w:pStyle w:val="FormaLivre"/>
        <w:spacing w:after="240"/>
        <w:rPr>
          <w:rFonts w:ascii="Times New Roman" w:hAnsi="Times New Roman"/>
        </w:rPr>
      </w:pPr>
      <w:r>
        <w:rPr>
          <w:rFonts w:ascii="Times New Roman" w:hAnsi="Times New Roman"/>
        </w:rPr>
        <w:t>Partap, S. &amp; Fisher, PG. Embryonal Tumors</w:t>
      </w:r>
      <w:r>
        <w:rPr>
          <w:rFonts w:ascii="Times New Roman" w:hAnsi="Times New Roman"/>
        </w:rPr>
        <w:t xml:space="preserve">, </w:t>
      </w:r>
      <w:r>
        <w:rPr>
          <w:rFonts w:ascii="Times New Roman Italic" w:hAnsi="Times New Roman Italic"/>
        </w:rPr>
        <w:t>in</w:t>
      </w:r>
      <w:r>
        <w:rPr>
          <w:rFonts w:ascii="Times New Roman" w:hAnsi="Times New Roman"/>
        </w:rPr>
        <w:t xml:space="preserve"> Gupta, N., Banerjee, A., Haas-Kogan, D [Editors]. Pediatric CNS Tumors, Pediatric Oncology [Series], 2010, Springer Berlin Heidelberg, pages 89-114</w:t>
      </w:r>
    </w:p>
    <w:p w:rsidR="00000000" w:rsidRDefault="0008038C">
      <w:pPr>
        <w:pStyle w:val="FormaLivre"/>
        <w:spacing w:after="240"/>
        <w:rPr>
          <w:rFonts w:ascii="Times New Roman" w:hAnsi="Times New Roman"/>
        </w:rPr>
      </w:pPr>
      <w:r>
        <w:rPr>
          <w:rFonts w:ascii="Times New Roman" w:hAnsi="Times New Roman"/>
        </w:rPr>
        <w:t xml:space="preserve">Merchant TE, Pollack IF, Loeffler JS. Brain tumors across the age spectrum: biology, therapy, and late </w:t>
      </w:r>
      <w:r>
        <w:rPr>
          <w:rFonts w:ascii="Times New Roman" w:hAnsi="Times New Roman"/>
        </w:rPr>
        <w:t>effects. Semin Radiat Oncol. 2010;20(1):58-66.</w:t>
      </w:r>
    </w:p>
    <w:p w:rsidR="00000000" w:rsidRDefault="0008038C">
      <w:pPr>
        <w:pStyle w:val="FormaLivre"/>
        <w:spacing w:after="240"/>
        <w:rPr>
          <w:rFonts w:ascii="Times New Roman" w:hAnsi="Times New Roman"/>
        </w:rPr>
      </w:pPr>
      <w:r>
        <w:rPr>
          <w:rFonts w:ascii="Times New Roman" w:hAnsi="Times New Roman"/>
        </w:rPr>
        <w:t>de Araujo OL, da Trindade KM, Trompieri NM, Fontenele JB, Felix FH. Analysis of survival and prognostic factors of pediatric patients with brain tumor. J Pediatr (Rio J). 2011;87(5):425-32</w:t>
      </w:r>
    </w:p>
    <w:p w:rsidR="00000000" w:rsidRDefault="0008038C">
      <w:pPr>
        <w:pStyle w:val="FormaLivre"/>
        <w:spacing w:after="240"/>
        <w:rPr>
          <w:rFonts w:ascii="Times New Roman" w:hAnsi="Times New Roman"/>
        </w:rPr>
      </w:pPr>
      <w:r>
        <w:rPr>
          <w:rFonts w:ascii="Times New Roman" w:hAnsi="Times New Roman"/>
        </w:rPr>
        <w:t>Steliarova-Foucher E</w:t>
      </w:r>
      <w:r>
        <w:rPr>
          <w:rFonts w:ascii="Times New Roman" w:hAnsi="Times New Roman"/>
        </w:rPr>
        <w:t>, Stiller C, Lacour B, Kaastch P. International Classification of Childhood Cancer, Third Edition. Cancer, 2005; 103:1457-1467.</w:t>
      </w:r>
    </w:p>
    <w:p w:rsidR="00000000" w:rsidRDefault="0008038C">
      <w:pPr>
        <w:pStyle w:val="FormaLivre"/>
        <w:spacing w:after="240"/>
        <w:rPr>
          <w:rFonts w:ascii="Times New Roman" w:hAnsi="Times New Roman"/>
        </w:rPr>
      </w:pPr>
      <w:r>
        <w:rPr>
          <w:rFonts w:ascii="Times New Roman" w:hAnsi="Times New Roman"/>
        </w:rPr>
        <w:t xml:space="preserve">OCEBM Levels of Evidence Working Group*. "The Oxford 2011 Levels of Evidence". Oxford Centre for Evidence-Based Medicine. </w:t>
      </w:r>
      <w:hyperlink r:id="rId7" w:history="1">
        <w:r>
          <w:rPr>
            <w:rFonts w:ascii="Times New Roman" w:hAnsi="Times New Roman"/>
            <w:color w:val="000099"/>
            <w:u w:val="single"/>
          </w:rPr>
          <w:t>http://www.cebm.net/index.aspx?o=5653</w:t>
        </w:r>
      </w:hyperlink>
    </w:p>
    <w:p w:rsidR="00000000" w:rsidRDefault="0008038C">
      <w:pPr>
        <w:pStyle w:val="FormaLivre"/>
        <w:spacing w:line="480" w:lineRule="auto"/>
        <w:jc w:val="both"/>
        <w:rPr>
          <w:rFonts w:ascii="Times New Roman" w:hAnsi="Times New Roman"/>
        </w:rPr>
      </w:pPr>
      <w:r>
        <w:rPr>
          <w:rFonts w:ascii="Times New Roman" w:hAnsi="Times New Roman"/>
        </w:rPr>
        <w:t>Louis DN, Ohgaki H, Wiestler OD, Canenee WK. (Ed.) WHO classification of tumors of the central nervous system. IARC. Lyon, 2007.</w:t>
      </w:r>
    </w:p>
    <w:p w:rsidR="00000000" w:rsidRDefault="0008038C">
      <w:pPr>
        <w:pStyle w:val="FormaLivre"/>
        <w:spacing w:after="240"/>
        <w:rPr>
          <w:rFonts w:ascii="Times New Roman" w:hAnsi="Times New Roman"/>
        </w:rPr>
      </w:pPr>
      <w:r>
        <w:rPr>
          <w:rFonts w:ascii="Times New Roman" w:hAnsi="Times New Roman"/>
        </w:rPr>
        <w:lastRenderedPageBreak/>
        <w:t xml:space="preserve">Wisoff JH, Sanford RA, Heier LA, Sposto </w:t>
      </w:r>
      <w:r>
        <w:rPr>
          <w:rFonts w:ascii="Times New Roman" w:hAnsi="Times New Roman"/>
        </w:rPr>
        <w:t>R, Burger PC, Yates AJ, Holmes EJ, Kun LE. Primary neurosurgery for pediatric low-grade gliomas: a prospective multi-institutional study from the Children's Oncology Group. Neurosurgery. 2011; 68(6):1548-54</w:t>
      </w:r>
    </w:p>
    <w:p w:rsidR="00000000" w:rsidRDefault="0008038C">
      <w:pPr>
        <w:pStyle w:val="FormaLivre"/>
        <w:spacing w:after="240"/>
        <w:rPr>
          <w:rFonts w:ascii="Times New Roman" w:hAnsi="Times New Roman"/>
        </w:rPr>
      </w:pPr>
      <w:r>
        <w:rPr>
          <w:rFonts w:ascii="Times New Roman" w:hAnsi="Times New Roman"/>
        </w:rPr>
        <w:t>Merchant TE, Kun LE, Wu S, Xiong X, Sanford RA, B</w:t>
      </w:r>
      <w:r>
        <w:rPr>
          <w:rFonts w:ascii="Times New Roman" w:hAnsi="Times New Roman"/>
        </w:rPr>
        <w:t>oop FA. Phase II trial of conformal radiation therapy for pediatric low-grade glioma. J Clin Oncol. 2009a;27(22):3598-604.</w:t>
      </w:r>
    </w:p>
    <w:p w:rsidR="00000000" w:rsidRDefault="0008038C">
      <w:pPr>
        <w:pStyle w:val="FormaLivre"/>
        <w:spacing w:after="240"/>
        <w:rPr>
          <w:rFonts w:ascii="Times New Roman" w:hAnsi="Times New Roman"/>
        </w:rPr>
      </w:pPr>
      <w:r>
        <w:rPr>
          <w:rFonts w:ascii="Times New Roman" w:hAnsi="Times New Roman"/>
        </w:rPr>
        <w:t xml:space="preserve">Merchant TE, Conklin HM, Wu S, Lustig RH, Xiong X. Late effects of conformal radiation therapy for pediatric patients with low-grade </w:t>
      </w:r>
      <w:r>
        <w:rPr>
          <w:rFonts w:ascii="Times New Roman" w:hAnsi="Times New Roman"/>
        </w:rPr>
        <w:t>glioma: prospective evaluation of cognitive, endocrine, and hearing deficits. J Clin Oncol. 2009b;27(22):3691-7.</w:t>
      </w:r>
    </w:p>
    <w:p w:rsidR="00000000" w:rsidRDefault="0008038C">
      <w:pPr>
        <w:pStyle w:val="FormaLivre"/>
        <w:spacing w:after="240"/>
        <w:rPr>
          <w:rFonts w:ascii="Times New Roman" w:hAnsi="Times New Roman"/>
        </w:rPr>
      </w:pPr>
      <w:r>
        <w:rPr>
          <w:rFonts w:ascii="Times New Roman" w:hAnsi="Times New Roman"/>
        </w:rPr>
        <w:t>Packer RJ, Ater J, Allen J, Phillips P, Geyer R, Nicholson HS, Jakacki R, Kurczynski E, Needle M, Finlay J, Reaman G, Boyett JM. Carboplatin an</w:t>
      </w:r>
      <w:r>
        <w:rPr>
          <w:rFonts w:ascii="Times New Roman" w:hAnsi="Times New Roman"/>
        </w:rPr>
        <w:t>d vincristine chemotherapy for children with newly diagnosed progressive low-grade  gliomas. J Neurosurg. 1997; 86(5):747-54</w:t>
      </w:r>
    </w:p>
    <w:p w:rsidR="00000000" w:rsidRDefault="0008038C">
      <w:pPr>
        <w:pStyle w:val="FormaLivre"/>
        <w:spacing w:after="240"/>
        <w:rPr>
          <w:rFonts w:ascii="Times New Roman" w:hAnsi="Times New Roman"/>
        </w:rPr>
      </w:pPr>
      <w:r>
        <w:rPr>
          <w:rFonts w:ascii="Times New Roman" w:hAnsi="Times New Roman"/>
        </w:rPr>
        <w:t>Prados MD, Edwards MS, Rabbitt J, Lamborn K, Davis RL, Levin VA. Treatment of  pediatric low-grade gliomas with a nitrosourea-based</w:t>
      </w:r>
      <w:r>
        <w:rPr>
          <w:rFonts w:ascii="Times New Roman" w:hAnsi="Times New Roman"/>
        </w:rPr>
        <w:t xml:space="preserve"> multiagent chemotherapy regimen. J Neurooncol. 1997; 32(3):235-41.</w:t>
      </w:r>
    </w:p>
    <w:p w:rsidR="00000000" w:rsidRDefault="0008038C">
      <w:pPr>
        <w:pStyle w:val="FormaLivre"/>
        <w:spacing w:after="240"/>
        <w:rPr>
          <w:rFonts w:ascii="Times New Roman" w:hAnsi="Times New Roman"/>
        </w:rPr>
      </w:pPr>
      <w:r>
        <w:rPr>
          <w:rFonts w:ascii="Times New Roman" w:hAnsi="Times New Roman"/>
        </w:rPr>
        <w:t>Massimino M, Spreafico F, Cefalo G, Riccardi R, Tesoro-Tess JD, Gandola L, Riva D, Ruggiero A, Valentini L, Mazza E, Genitori L, Di Rocco C, Navarria P, Casanova M, Ferrari A, Luksch R, Te</w:t>
      </w:r>
      <w:r>
        <w:rPr>
          <w:rFonts w:ascii="Times New Roman" w:hAnsi="Times New Roman"/>
        </w:rPr>
        <w:t>renziani M, Balestrini MR, Colosimo C, Fossati-Bellani F. High response rate to cisplatin/etoposide regimen in childhood low-grade glioma. J Clin Oncol. 2002;20(20):4209-16</w:t>
      </w:r>
    </w:p>
    <w:p w:rsidR="00000000" w:rsidRDefault="0008038C">
      <w:pPr>
        <w:pStyle w:val="FormaLivre"/>
        <w:spacing w:after="240"/>
        <w:rPr>
          <w:rFonts w:ascii="Times New Roman" w:hAnsi="Times New Roman"/>
        </w:rPr>
      </w:pPr>
      <w:r>
        <w:rPr>
          <w:rFonts w:ascii="Times New Roman" w:hAnsi="Times New Roman"/>
        </w:rPr>
        <w:t>Gnekow AK, Kortmann RD, Pietsch T, Emser A. Low grade chiasmatic-hypothalamic gliom</w:t>
      </w:r>
      <w:r>
        <w:rPr>
          <w:rFonts w:ascii="Times New Roman" w:hAnsi="Times New Roman"/>
        </w:rPr>
        <w:t>a-carboplatin and vincristin chemotherapy effectively defers radiotherapy within a comprehensive treatment strategy -- report from the multicenter treatment study for children and adolescents with a low grade glioma -- HIT-LGG 1996 -- of the Society of Ped</w:t>
      </w:r>
      <w:r>
        <w:rPr>
          <w:rFonts w:ascii="Times New Roman" w:hAnsi="Times New Roman"/>
        </w:rPr>
        <w:t>iatric Oncology and Hematology (GPOH). Klin Padiatr. 2004;216(6):331-42</w:t>
      </w:r>
    </w:p>
    <w:p w:rsidR="00000000" w:rsidRDefault="0008038C">
      <w:pPr>
        <w:pStyle w:val="FormaLivre"/>
        <w:spacing w:after="240"/>
        <w:rPr>
          <w:rFonts w:ascii="Times New Roman" w:hAnsi="Times New Roman"/>
        </w:rPr>
      </w:pPr>
      <w:r>
        <w:rPr>
          <w:rFonts w:ascii="Times New Roman" w:hAnsi="Times New Roman"/>
        </w:rPr>
        <w:t>Friedman HS, Krischer JP, Burger P, Oakes WJ, Hockenberger B, Weiner MD, Falletta JM, Norris D, Ragab AH, Mahoney DH Jr, et al. Treatment of children with progressive or recurrent brai</w:t>
      </w:r>
      <w:r>
        <w:rPr>
          <w:rFonts w:ascii="Times New Roman" w:hAnsi="Times New Roman"/>
        </w:rPr>
        <w:t>n tumors with carboplatin or iproplatin: a Pediatric Oncology Group randomized phase II study. J Clin Oncol. 1992;10(2):249-56</w:t>
      </w:r>
    </w:p>
    <w:p w:rsidR="00000000" w:rsidRDefault="0008038C">
      <w:pPr>
        <w:pStyle w:val="FormaLivre"/>
        <w:spacing w:after="240"/>
        <w:rPr>
          <w:rFonts w:ascii="Times New Roman" w:hAnsi="Times New Roman"/>
        </w:rPr>
      </w:pPr>
      <w:r>
        <w:rPr>
          <w:rFonts w:ascii="Times New Roman" w:hAnsi="Times New Roman"/>
        </w:rPr>
        <w:t>Gnekow A, Scheiderbauer J, Pietsch T, et al. HIT-LGG 1996 – Success of a countrywide, comprehensive treament strategy for childre</w:t>
      </w:r>
      <w:r>
        <w:rPr>
          <w:rFonts w:ascii="Times New Roman" w:hAnsi="Times New Roman"/>
        </w:rPr>
        <w:t>n and adolescent with low grade gliom of all histologies and locations. Pediatr Blood Cancer 2005;45:465.</w:t>
      </w:r>
    </w:p>
    <w:p w:rsidR="00000000" w:rsidRDefault="0008038C">
      <w:pPr>
        <w:pStyle w:val="FormaLivre"/>
        <w:spacing w:after="240"/>
        <w:rPr>
          <w:rFonts w:ascii="Times New Roman" w:hAnsi="Times New Roman"/>
          <w:color w:val="1A1718"/>
          <w:sz w:val="26"/>
        </w:rPr>
      </w:pPr>
      <w:r>
        <w:rPr>
          <w:rFonts w:ascii="Times New Roman" w:hAnsi="Times New Roman"/>
        </w:rPr>
        <w:t xml:space="preserve">Gnekow AK, Falkenstein F, Walker D, Perilongo G, Picton S, Grill J, Kortmann RD, Stokland T, van Meeteren AS, Slavc I, Faldum A, de Salvo GL. </w:t>
      </w:r>
      <w:r>
        <w:rPr>
          <w:rFonts w:ascii="Times New Roman" w:hAnsi="Times New Roman"/>
          <w:color w:val="1A1718"/>
        </w:rPr>
        <w:t>SIOP-LGG</w:t>
      </w:r>
      <w:r>
        <w:rPr>
          <w:rFonts w:ascii="Times New Roman" w:hAnsi="Times New Roman"/>
          <w:color w:val="1A1718"/>
        </w:rPr>
        <w:t xml:space="preserve"> 2004 - Cohort description of a comprehensive treatment strategy for low grade glioma in children and adolescents including a randomised chemotherapy trial and a radiotherapy trial. </w:t>
      </w:r>
      <w:r>
        <w:rPr>
          <w:rFonts w:ascii="Times New Roman" w:hAnsi="Times New Roman"/>
          <w:color w:val="1A1718"/>
          <w:sz w:val="26"/>
        </w:rPr>
        <w:t>Neuro-Oncology 14:i74, 2012</w:t>
      </w:r>
    </w:p>
    <w:p w:rsidR="00000000" w:rsidRDefault="0008038C">
      <w:pPr>
        <w:pStyle w:val="FormaLivre"/>
        <w:spacing w:after="240"/>
        <w:rPr>
          <w:rStyle w:val="Unknown1"/>
          <w:rFonts w:ascii="Times New Roman" w:hAnsi="Times New Roman"/>
        </w:rPr>
      </w:pPr>
    </w:p>
    <w:p w:rsidR="00000000" w:rsidRDefault="0008038C">
      <w:pPr>
        <w:pStyle w:val="FormaLivre"/>
        <w:spacing w:after="240"/>
        <w:rPr>
          <w:rFonts w:ascii="Times New Roman" w:hAnsi="Times New Roman"/>
        </w:rPr>
      </w:pPr>
    </w:p>
    <w:p w:rsidR="00000000" w:rsidRDefault="0008038C">
      <w:pPr>
        <w:pStyle w:val="FormaLivre"/>
        <w:spacing w:after="240"/>
        <w:rPr>
          <w:rFonts w:ascii="Times New Roman" w:hAnsi="Times New Roman"/>
        </w:rPr>
      </w:pPr>
    </w:p>
    <w:p w:rsidR="00000000" w:rsidRDefault="0008038C">
      <w:pPr>
        <w:pStyle w:val="FormaLivre"/>
        <w:spacing w:after="240"/>
        <w:rPr>
          <w:rFonts w:ascii="Times New Roman" w:hAnsi="Times New Roman"/>
        </w:rPr>
      </w:pPr>
    </w:p>
    <w:p w:rsidR="00000000" w:rsidRDefault="0008038C">
      <w:pPr>
        <w:pStyle w:val="Corpo"/>
        <w:rPr>
          <w:rFonts w:ascii="Times New Roman" w:hAnsi="Times New Roman"/>
        </w:rPr>
      </w:pPr>
      <w:r>
        <w:br w:type="page"/>
      </w:r>
    </w:p>
    <w:tbl>
      <w:tblPr>
        <w:tblW w:w="0" w:type="auto"/>
        <w:tblInd w:w="100" w:type="dxa"/>
        <w:tblLayout w:type="fixed"/>
        <w:tblLook w:val="0000"/>
      </w:tblPr>
      <w:tblGrid>
        <w:gridCol w:w="1847"/>
        <w:gridCol w:w="1716"/>
        <w:gridCol w:w="2517"/>
        <w:gridCol w:w="896"/>
        <w:gridCol w:w="3322"/>
        <w:gridCol w:w="1511"/>
        <w:gridCol w:w="1027"/>
      </w:tblGrid>
      <w:tr w:rsidR="00000000">
        <w:trPr>
          <w:cantSplit/>
          <w:trHeight w:val="240"/>
          <w:tblHeader/>
        </w:trPr>
        <w:tc>
          <w:tcPr>
            <w:tcW w:w="1847"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00000" w:rsidRDefault="0008038C">
            <w:pPr>
              <w:pStyle w:val="FormaLivre"/>
              <w:keepNext/>
              <w:jc w:val="center"/>
              <w:rPr>
                <w:rStyle w:val="Unknown3"/>
                <w:sz w:val="20"/>
              </w:rPr>
            </w:pPr>
            <w:r>
              <w:rPr>
                <w:rStyle w:val="Unknown3"/>
                <w:sz w:val="20"/>
              </w:rPr>
              <w:lastRenderedPageBreak/>
              <w:t>Diagnóstico</w:t>
            </w:r>
          </w:p>
        </w:tc>
        <w:tc>
          <w:tcPr>
            <w:tcW w:w="1716"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00000" w:rsidRDefault="0008038C">
            <w:pPr>
              <w:pStyle w:val="FormaLivre"/>
              <w:keepNext/>
              <w:jc w:val="center"/>
              <w:rPr>
                <w:rStyle w:val="Unknown3"/>
                <w:sz w:val="20"/>
              </w:rPr>
            </w:pPr>
            <w:r>
              <w:rPr>
                <w:rStyle w:val="Unknown3"/>
                <w:sz w:val="20"/>
              </w:rPr>
              <w:t>Recomendação</w:t>
            </w:r>
          </w:p>
        </w:tc>
        <w:tc>
          <w:tcPr>
            <w:tcW w:w="2517"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00000" w:rsidRDefault="0008038C">
            <w:pPr>
              <w:pStyle w:val="FormaLivre"/>
              <w:keepNext/>
              <w:jc w:val="center"/>
              <w:rPr>
                <w:rStyle w:val="Unknown3"/>
                <w:sz w:val="20"/>
              </w:rPr>
            </w:pPr>
            <w:r>
              <w:rPr>
                <w:rStyle w:val="Unknown3"/>
                <w:sz w:val="20"/>
              </w:rPr>
              <w:t>Histopatológico</w:t>
            </w:r>
          </w:p>
        </w:tc>
        <w:tc>
          <w:tcPr>
            <w:tcW w:w="896"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00000" w:rsidRDefault="0008038C">
            <w:pPr>
              <w:pStyle w:val="FormaLivre"/>
              <w:keepNext/>
              <w:jc w:val="center"/>
              <w:rPr>
                <w:rStyle w:val="Unknown3"/>
                <w:sz w:val="20"/>
              </w:rPr>
            </w:pPr>
            <w:r>
              <w:rPr>
                <w:rStyle w:val="Unknown3"/>
                <w:sz w:val="20"/>
              </w:rPr>
              <w:t>OMS</w:t>
            </w:r>
          </w:p>
        </w:tc>
        <w:tc>
          <w:tcPr>
            <w:tcW w:w="3322"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00000" w:rsidRDefault="0008038C">
            <w:pPr>
              <w:pStyle w:val="FormaLivre"/>
              <w:keepNext/>
              <w:jc w:val="center"/>
              <w:rPr>
                <w:rStyle w:val="Unknown3"/>
                <w:sz w:val="20"/>
              </w:rPr>
            </w:pPr>
            <w:r>
              <w:rPr>
                <w:rStyle w:val="Unknown3"/>
                <w:sz w:val="20"/>
              </w:rPr>
              <w:t>Estadiamento</w:t>
            </w:r>
          </w:p>
        </w:tc>
        <w:tc>
          <w:tcPr>
            <w:tcW w:w="1511"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00000" w:rsidRDefault="0008038C">
            <w:pPr>
              <w:pStyle w:val="FormaLivre"/>
              <w:keepNext/>
              <w:jc w:val="center"/>
              <w:rPr>
                <w:rStyle w:val="Unknown3"/>
                <w:sz w:val="20"/>
              </w:rPr>
            </w:pPr>
            <w:r>
              <w:rPr>
                <w:rStyle w:val="Unknown3"/>
                <w:sz w:val="20"/>
              </w:rPr>
              <w:t>Ref</w:t>
            </w:r>
          </w:p>
        </w:tc>
        <w:tc>
          <w:tcPr>
            <w:tcW w:w="1027"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00000" w:rsidRDefault="0008038C">
            <w:pPr>
              <w:pStyle w:val="FormaLivre"/>
              <w:keepNext/>
              <w:jc w:val="center"/>
              <w:rPr>
                <w:rStyle w:val="Unknown3"/>
                <w:sz w:val="20"/>
              </w:rPr>
            </w:pPr>
            <w:r>
              <w:rPr>
                <w:rStyle w:val="Unknown3"/>
                <w:sz w:val="20"/>
              </w:rPr>
              <w:t>EFS/OS</w:t>
            </w:r>
          </w:p>
        </w:tc>
      </w:tr>
      <w:tr w:rsidR="00000000">
        <w:trPr>
          <w:cantSplit/>
          <w:trHeight w:val="72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Glioma de baixo grau, até 5 anos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Carboplatina e vincristina ou TPCV</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Astrocitoma, oligodendroglioma, ganglioglioma, outros.</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 e II</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Recorrente após ressecção prévia. Não ressecável ou biopsiado, progressivo.</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Ater, 2012 (COG-A9952</w:t>
            </w:r>
            <w:r>
              <w:rPr>
                <w:sz w:val="20"/>
              </w:rPr>
              <w:t>)</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39/86</w:t>
            </w:r>
          </w:p>
          <w:p w:rsidR="00000000" w:rsidRDefault="0008038C">
            <w:pPr>
              <w:pStyle w:val="FormaLivre"/>
              <w:rPr>
                <w:sz w:val="20"/>
              </w:rPr>
            </w:pPr>
            <w:r>
              <w:rPr>
                <w:sz w:val="20"/>
              </w:rPr>
              <w:t>52/87</w:t>
            </w:r>
          </w:p>
        </w:tc>
      </w:tr>
      <w:tr w:rsidR="00000000">
        <w:trPr>
          <w:cantSplit/>
          <w:trHeight w:val="72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Glioma de baixo grau, a partir de 10 anos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RT</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O mesmo acima.</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 e II</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O mesmo acima.</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Merchant, 2009</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87/98</w:t>
            </w:r>
          </w:p>
        </w:tc>
      </w:tr>
      <w:tr w:rsidR="00000000">
        <w:trPr>
          <w:cantSplit/>
          <w:trHeight w:val="144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Glioma de vias ópticas ou hipotálamo</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Carboplatina e vincristina ou TPCV</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Não biopsiado, imagem típica em RNM.</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Sem tratamento prévio, men</w:t>
            </w:r>
            <w:r>
              <w:rPr>
                <w:sz w:val="20"/>
              </w:rPr>
              <w:t>ores de 10 anos (maiores indicar RT), com progressão radiológica e/ou perda visual documentada (campimetria). NF1 contra-indica RT.</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Ater, 2012</w:t>
            </w:r>
          </w:p>
          <w:p w:rsidR="00000000" w:rsidRDefault="0008038C">
            <w:pPr>
              <w:pStyle w:val="FormaLivre"/>
              <w:rPr>
                <w:sz w:val="20"/>
              </w:rPr>
            </w:pPr>
            <w:r>
              <w:rPr>
                <w:sz w:val="20"/>
              </w:rPr>
              <w:t>(COG-A9952)</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69/98</w:t>
            </w:r>
          </w:p>
        </w:tc>
      </w:tr>
      <w:tr w:rsidR="00000000">
        <w:trPr>
          <w:cantSplit/>
          <w:trHeight w:val="96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Glioma de alto grau, totalmente ressecado, maior que 3 anos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HIT-GBM-C</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Astrocitoma, oligodendro</w:t>
            </w:r>
            <w:r>
              <w:rPr>
                <w:sz w:val="20"/>
              </w:rPr>
              <w:t>glioma, glioblastoma, gliosarcoma, outros.</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III e IV</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Ausência completa de tumor avaliado pela área captante de contraste em RNM até 72h após a cirurgia.</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Wolff, 2010</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48/63</w:t>
            </w:r>
          </w:p>
        </w:tc>
      </w:tr>
      <w:tr w:rsidR="00000000">
        <w:trPr>
          <w:cantSplit/>
          <w:trHeight w:val="96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Glioma de alto grau, ressecção incompleta, maior que 3 anos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CCG-945</w:t>
            </w:r>
          </w:p>
          <w:p w:rsidR="00000000" w:rsidRDefault="0008038C">
            <w:pPr>
              <w:pStyle w:val="FormaLivre"/>
              <w:rPr>
                <w:sz w:val="20"/>
              </w:rPr>
            </w:pPr>
            <w:r>
              <w:rPr>
                <w:sz w:val="20"/>
              </w:rPr>
              <w:t>ou</w:t>
            </w:r>
          </w:p>
          <w:p w:rsidR="00000000" w:rsidRDefault="0008038C">
            <w:pPr>
              <w:pStyle w:val="FormaLivre"/>
              <w:rPr>
                <w:sz w:val="20"/>
              </w:rPr>
            </w:pPr>
            <w:r>
              <w:rPr>
                <w:sz w:val="20"/>
              </w:rPr>
              <w:t>ACNS0126</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O mes</w:t>
            </w:r>
            <w:r>
              <w:rPr>
                <w:sz w:val="20"/>
              </w:rPr>
              <w:t>mo acima.</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III e IV</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Tumor residual avaliado pela área captante na RNM até 72h após a cirurgia.</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Corpo"/>
              <w:rPr>
                <w:sz w:val="20"/>
              </w:rPr>
            </w:pPr>
            <w:r>
              <w:rPr>
                <w:sz w:val="20"/>
              </w:rPr>
              <w:t>Finlay, 1995</w:t>
            </w:r>
          </w:p>
          <w:p w:rsidR="00000000" w:rsidRDefault="0008038C">
            <w:pPr>
              <w:pStyle w:val="Corpo"/>
              <w:rPr>
                <w:sz w:val="20"/>
              </w:rPr>
            </w:pPr>
            <w:r>
              <w:rPr>
                <w:sz w:val="20"/>
              </w:rPr>
              <w:t>Pollack, 2003</w:t>
            </w:r>
          </w:p>
          <w:p w:rsidR="00000000" w:rsidRDefault="0008038C">
            <w:pPr>
              <w:pStyle w:val="Corpo"/>
              <w:rPr>
                <w:sz w:val="20"/>
              </w:rPr>
            </w:pPr>
            <w:r>
              <w:rPr>
                <w:sz w:val="20"/>
              </w:rPr>
              <w:t>Cohen, 2011</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Corpo"/>
              <w:rPr>
                <w:sz w:val="20"/>
              </w:rPr>
            </w:pPr>
            <w:r>
              <w:rPr>
                <w:sz w:val="20"/>
              </w:rPr>
              <w:t>33/36</w:t>
            </w:r>
          </w:p>
          <w:p w:rsidR="00000000" w:rsidRDefault="0008038C">
            <w:pPr>
              <w:pStyle w:val="Corpo"/>
              <w:rPr>
                <w:sz w:val="20"/>
                <w:vertAlign w:val="superscript"/>
              </w:rPr>
            </w:pPr>
            <w:r>
              <w:rPr>
                <w:sz w:val="20"/>
              </w:rPr>
              <w:t>(-/11)</w:t>
            </w:r>
            <w:r>
              <w:rPr>
                <w:sz w:val="20"/>
                <w:vertAlign w:val="superscript"/>
              </w:rPr>
              <w:t>a</w:t>
            </w:r>
          </w:p>
          <w:p w:rsidR="00000000" w:rsidRDefault="0008038C">
            <w:pPr>
              <w:pStyle w:val="Corpo"/>
              <w:rPr>
                <w:sz w:val="20"/>
              </w:rPr>
            </w:pPr>
            <w:r>
              <w:rPr>
                <w:sz w:val="20"/>
              </w:rPr>
              <w:t>11/22</w:t>
            </w:r>
          </w:p>
        </w:tc>
      </w:tr>
      <w:tr w:rsidR="00000000">
        <w:trPr>
          <w:cantSplit/>
          <w:trHeight w:val="120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Meduloblastoma, risco standard, maior que 3 anos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CCG-9961</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Meduloblastoma</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IV</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 xml:space="preserve">Menos que 1,5 cm de tumor </w:t>
            </w:r>
            <w:r>
              <w:rPr>
                <w:sz w:val="20"/>
              </w:rPr>
              <w:t>medido pela área captante de contraste em RNM até 72h após a cirurgia. Sem disseminação (M0 de Chang).</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Packer, 2006</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81/86</w:t>
            </w:r>
          </w:p>
        </w:tc>
      </w:tr>
      <w:tr w:rsidR="00000000">
        <w:trPr>
          <w:cantSplit/>
          <w:trHeight w:val="96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Meduloblastoma, alto risco, maior que 3 anos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CCG-99071</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Meduloblastoma</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IV</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Tumor residual medido pela área captante na RNM até 72h após</w:t>
            </w:r>
            <w:r>
              <w:rPr>
                <w:sz w:val="20"/>
              </w:rPr>
              <w:t xml:space="preserve"> a cirurgia. Disseminação distante (M+ de Chang).</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Jakacki, 2007</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vertAlign w:val="superscript"/>
              </w:rPr>
            </w:pPr>
            <w:r>
              <w:rPr>
                <w:sz w:val="20"/>
              </w:rPr>
              <w:t>66/81</w:t>
            </w:r>
            <w:r>
              <w:rPr>
                <w:sz w:val="20"/>
                <w:vertAlign w:val="superscript"/>
              </w:rPr>
              <w:t>b</w:t>
            </w:r>
          </w:p>
        </w:tc>
      </w:tr>
      <w:tr w:rsidR="00000000">
        <w:trPr>
          <w:cantSplit/>
          <w:trHeight w:val="72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lastRenderedPageBreak/>
              <w:t>Tumores malignos até 3 anos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CCG-9921</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Meduloblastoma, PNET, Ependimoma, Glioma de alto grau, TCG.</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II,III e IV</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Independente de estadiamento.</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Geyer, 2005</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27/43</w:t>
            </w:r>
          </w:p>
        </w:tc>
      </w:tr>
      <w:tr w:rsidR="00000000">
        <w:trPr>
          <w:cantSplit/>
          <w:trHeight w:val="96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Tumores pontinos difusos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w:t>
            </w:r>
            <w:r>
              <w:rPr>
                <w:sz w:val="20"/>
              </w:rPr>
              <w:t>T</w:t>
            </w:r>
          </w:p>
          <w:p w:rsidR="00000000" w:rsidRDefault="0008038C">
            <w:pPr>
              <w:pStyle w:val="FormaLivre"/>
              <w:rPr>
                <w:sz w:val="20"/>
              </w:rPr>
            </w:pPr>
            <w:r>
              <w:rPr>
                <w:sz w:val="20"/>
              </w:rPr>
              <w:t>QT não validada</w:t>
            </w:r>
          </w:p>
          <w:p w:rsidR="00000000" w:rsidRDefault="0008038C">
            <w:pPr>
              <w:pStyle w:val="FormaLivre"/>
              <w:rPr>
                <w:sz w:val="20"/>
              </w:rPr>
            </w:pPr>
            <w:r>
              <w:rPr>
                <w:sz w:val="20"/>
              </w:rPr>
              <w:t>ACNS0126</w:t>
            </w:r>
          </w:p>
          <w:p w:rsidR="00000000" w:rsidRDefault="0008038C">
            <w:pPr>
              <w:pStyle w:val="FormaLivre"/>
              <w:rPr>
                <w:sz w:val="20"/>
              </w:rPr>
            </w:pPr>
            <w:r>
              <w:rPr>
                <w:sz w:val="20"/>
              </w:rPr>
              <w:t>HIT-GBM-C/D</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Sem histologia, T2/FLAIR com alargamento difuso em &gt;50% da ponte, sem captação de contraste.</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Independente de estadiamento.</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Hargrave, 2006</w:t>
            </w:r>
          </w:p>
          <w:p w:rsidR="00000000" w:rsidRDefault="0008038C">
            <w:pPr>
              <w:pStyle w:val="FormaLivre"/>
              <w:rPr>
                <w:sz w:val="20"/>
              </w:rPr>
            </w:pPr>
            <w:r>
              <w:rPr>
                <w:sz w:val="20"/>
              </w:rPr>
              <w:t>Wolff, 2010</w:t>
            </w:r>
          </w:p>
          <w:p w:rsidR="00000000" w:rsidRDefault="0008038C">
            <w:pPr>
              <w:pStyle w:val="Corpo"/>
              <w:rPr>
                <w:sz w:val="20"/>
              </w:rPr>
            </w:pPr>
            <w:r>
              <w:rPr>
                <w:sz w:val="20"/>
              </w:rPr>
              <w:t>Cohen, 2011</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Corpo"/>
              <w:rPr>
                <w:sz w:val="20"/>
              </w:rPr>
            </w:pPr>
            <w:r>
              <w:rPr>
                <w:sz w:val="20"/>
              </w:rPr>
              <w:t>-/5-23</w:t>
            </w:r>
          </w:p>
          <w:p w:rsidR="00000000" w:rsidRDefault="0008038C">
            <w:pPr>
              <w:pStyle w:val="Corpo"/>
              <w:rPr>
                <w:sz w:val="20"/>
                <w:vertAlign w:val="superscript"/>
              </w:rPr>
            </w:pPr>
            <w:r>
              <w:rPr>
                <w:sz w:val="20"/>
              </w:rPr>
              <w:t>Med: 5-8/8-11</w:t>
            </w:r>
            <w:r>
              <w:rPr>
                <w:sz w:val="20"/>
                <w:vertAlign w:val="superscript"/>
              </w:rPr>
              <w:t>c</w:t>
            </w:r>
          </w:p>
        </w:tc>
      </w:tr>
      <w:tr w:rsidR="00000000">
        <w:trPr>
          <w:cantSplit/>
          <w:trHeight w:val="72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Ependimoma localizado, maior q</w:t>
            </w:r>
            <w:r>
              <w:rPr>
                <w:sz w:val="20"/>
              </w:rPr>
              <w:t>ue 3 anos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RT local</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Ependimoma</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I,II e III</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Ressecção total, subtotal ou parcial. Sem disseminação (M0 de Chang).</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Merchant, 2009</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69/81</w:t>
            </w:r>
          </w:p>
        </w:tc>
      </w:tr>
      <w:tr w:rsidR="00000000">
        <w:trPr>
          <w:cantSplit/>
          <w:trHeight w:val="72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Ependimoma metastático, maior que 3 anos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RT cranio-espinhal</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Ependimoma</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I,II e III</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Ressecção total, subtotal ou parcial. Com</w:t>
            </w:r>
            <w:r>
              <w:rPr>
                <w:sz w:val="20"/>
              </w:rPr>
              <w:t xml:space="preserve"> disseminação (M+ de Chang).</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Zacharoulis, 2008</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29/43</w:t>
            </w:r>
          </w:p>
        </w:tc>
      </w:tr>
      <w:tr w:rsidR="00000000">
        <w:trPr>
          <w:cantSplit/>
          <w:trHeight w:val="96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Tumor de Células Germinativas (TCG), maior que 3 anos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CNS-GCT-92 SIOP</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TCG</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IV</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Germinoma puro ou secretor/ não germinomatoso, doença residual ou não, disseminado ou não.</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Bouffet, 1999</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Corpo"/>
              <w:rPr>
                <w:sz w:val="20"/>
              </w:rPr>
            </w:pPr>
            <w:r>
              <w:rPr>
                <w:sz w:val="20"/>
              </w:rPr>
              <w:t>96/98</w:t>
            </w:r>
          </w:p>
          <w:p w:rsidR="00000000" w:rsidRDefault="0008038C">
            <w:pPr>
              <w:pStyle w:val="Corpo"/>
              <w:rPr>
                <w:sz w:val="20"/>
                <w:vertAlign w:val="superscript"/>
              </w:rPr>
            </w:pPr>
            <w:r>
              <w:rPr>
                <w:sz w:val="20"/>
              </w:rPr>
              <w:t xml:space="preserve">-/75 </w:t>
            </w:r>
            <w:r>
              <w:rPr>
                <w:sz w:val="20"/>
                <w:vertAlign w:val="superscript"/>
              </w:rPr>
              <w:t>d</w:t>
            </w:r>
          </w:p>
        </w:tc>
      </w:tr>
      <w:tr w:rsidR="00000000">
        <w:trPr>
          <w:cantSplit/>
          <w:trHeight w:val="96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Glioma</w:t>
            </w:r>
            <w:r>
              <w:rPr>
                <w:sz w:val="20"/>
              </w:rPr>
              <w:t xml:space="preserve"> de baixo grau recorrente após QT</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Vimblastina semanal</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Astrocitoma, oligodendroglioma, oligoastrocitoma, ganglioglioma, outros.</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 e II</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Recorrente/ progressivo após tratamento anterior (QT e ou RT).</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Bouffet, 2007</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w:t>
            </w:r>
          </w:p>
        </w:tc>
      </w:tr>
      <w:tr w:rsidR="00000000">
        <w:trPr>
          <w:cantSplit/>
          <w:trHeight w:val="72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Tumores malignos recorrentes</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Temozolomid</w:t>
            </w:r>
            <w:r>
              <w:rPr>
                <w:sz w:val="20"/>
              </w:rPr>
              <w:t>a</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Meduloblastoma, PNET, Glioma de alto grau.</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II,III e IV</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Recorrente após tratamento prévio com QT e/ou RT.</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Nicholson, 2007</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w:t>
            </w:r>
          </w:p>
        </w:tc>
      </w:tr>
      <w:tr w:rsidR="00000000">
        <w:trPr>
          <w:cantSplit/>
          <w:trHeight w:val="48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Ependimoma recorrente</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RT cranio-espinhal</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Ependimoma</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I,II e III</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Recorrente após tratamento prévio com QT e/ou RT.</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Bouffet, 2012</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vertAlign w:val="superscript"/>
              </w:rPr>
            </w:pPr>
            <w:r>
              <w:rPr>
                <w:sz w:val="20"/>
              </w:rPr>
              <w:t>-</w:t>
            </w:r>
            <w:r>
              <w:rPr>
                <w:sz w:val="20"/>
              </w:rPr>
              <w:t xml:space="preserve">/81 </w:t>
            </w:r>
            <w:r>
              <w:rPr>
                <w:sz w:val="20"/>
                <w:vertAlign w:val="superscript"/>
              </w:rPr>
              <w:t>e</w:t>
            </w:r>
          </w:p>
        </w:tc>
      </w:tr>
      <w:tr w:rsidR="00000000">
        <w:trPr>
          <w:cantSplit/>
          <w:trHeight w:val="120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lastRenderedPageBreak/>
              <w:t>PNET</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RT seguida de HDCT/AHSCR</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sPNET, neuroblastoma, ganglioneuroblastoma, meduloepitelioma, ependimoblastoma, ETANTR</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IV</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Ressecção total, subtotal ou parcial. Disseminação ou não (Chang).</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Chimtagupala, 2009</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68/73</w:t>
            </w:r>
          </w:p>
        </w:tc>
      </w:tr>
      <w:tr w:rsidR="00000000">
        <w:trPr>
          <w:cantSplit/>
          <w:trHeight w:val="100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Pineoblastoma</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Corpo"/>
              <w:rPr>
                <w:sz w:val="20"/>
              </w:rPr>
            </w:pPr>
            <w:r>
              <w:rPr>
                <w:sz w:val="20"/>
              </w:rPr>
              <w:t>RT+QT (vários)</w:t>
            </w:r>
          </w:p>
          <w:p w:rsidR="00000000" w:rsidRDefault="0008038C">
            <w:pPr>
              <w:pStyle w:val="Corpo"/>
              <w:rPr>
                <w:sz w:val="20"/>
              </w:rPr>
            </w:pPr>
            <w:r>
              <w:rPr>
                <w:sz w:val="20"/>
              </w:rPr>
              <w:t>HIT-SKK</w:t>
            </w:r>
            <w:r>
              <w:rPr>
                <w:sz w:val="20"/>
              </w:rPr>
              <w:t>92</w:t>
            </w:r>
          </w:p>
          <w:p w:rsidR="00000000" w:rsidRDefault="0008038C">
            <w:pPr>
              <w:pStyle w:val="Corpo"/>
              <w:rPr>
                <w:sz w:val="20"/>
              </w:rPr>
            </w:pPr>
            <w:r>
              <w:rPr>
                <w:sz w:val="20"/>
              </w:rPr>
              <w:t>CCG-921</w:t>
            </w:r>
          </w:p>
          <w:p w:rsidR="00000000" w:rsidRDefault="0008038C">
            <w:pP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Pineoblastoma</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IV</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Ressecção total, subtotal ou parcial. Disseminação ou não (Chang).</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Corpo"/>
              <w:rPr>
                <w:sz w:val="20"/>
              </w:rPr>
            </w:pPr>
            <w:r>
              <w:rPr>
                <w:sz w:val="20"/>
              </w:rPr>
              <w:t>Tate, 2012</w:t>
            </w:r>
          </w:p>
          <w:p w:rsidR="00000000" w:rsidRDefault="0008038C">
            <w:pPr>
              <w:pStyle w:val="Corpo"/>
              <w:rPr>
                <w:sz w:val="20"/>
              </w:rPr>
            </w:pPr>
            <w:r>
              <w:rPr>
                <w:sz w:val="20"/>
              </w:rPr>
              <w:t>Hinkes, 2007</w:t>
            </w:r>
          </w:p>
          <w:p w:rsidR="00000000" w:rsidRDefault="0008038C">
            <w:pPr>
              <w:pStyle w:val="Corpo"/>
              <w:rPr>
                <w:sz w:val="20"/>
              </w:rPr>
            </w:pPr>
            <w:r>
              <w:rPr>
                <w:sz w:val="20"/>
              </w:rPr>
              <w:t>Jakacki, 1995</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Corpo"/>
              <w:rPr>
                <w:sz w:val="20"/>
              </w:rPr>
            </w:pPr>
            <w:r>
              <w:rPr>
                <w:sz w:val="20"/>
              </w:rPr>
              <w:t>-/54</w:t>
            </w:r>
          </w:p>
          <w:p w:rsidR="00000000" w:rsidRDefault="0008038C">
            <w:pPr>
              <w:pStyle w:val="Corpo"/>
              <w:rPr>
                <w:sz w:val="20"/>
              </w:rPr>
            </w:pPr>
            <w:r>
              <w:rPr>
                <w:sz w:val="20"/>
              </w:rPr>
              <w:t>GTR: 84</w:t>
            </w:r>
          </w:p>
          <w:p w:rsidR="00000000" w:rsidRDefault="0008038C">
            <w:pPr>
              <w:pStyle w:val="Corpo"/>
              <w:rPr>
                <w:sz w:val="20"/>
                <w:vertAlign w:val="superscript"/>
              </w:rPr>
            </w:pPr>
            <w:r>
              <w:rPr>
                <w:sz w:val="20"/>
              </w:rPr>
              <w:t xml:space="preserve">Outro: 29-54 </w:t>
            </w:r>
            <w:r>
              <w:rPr>
                <w:sz w:val="20"/>
                <w:vertAlign w:val="superscript"/>
              </w:rPr>
              <w:t>f</w:t>
            </w:r>
          </w:p>
        </w:tc>
      </w:tr>
      <w:tr w:rsidR="00000000">
        <w:trPr>
          <w:cantSplit/>
          <w:trHeight w:val="720"/>
        </w:trPr>
        <w:tc>
          <w:tcPr>
            <w:tcW w:w="18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ATRT</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DFCI 02-294</w:t>
            </w:r>
          </w:p>
        </w:tc>
        <w:tc>
          <w:tcPr>
            <w:tcW w:w="2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Tumor teratóide rabdóide atípico</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IV</w:t>
            </w:r>
          </w:p>
        </w:tc>
        <w:tc>
          <w:tcPr>
            <w:tcW w:w="332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Ressecção total, subtotal ou parcial. Di</w:t>
            </w:r>
            <w:r>
              <w:rPr>
                <w:sz w:val="20"/>
              </w:rPr>
              <w:t>sseminação ou não (Chang).</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Chi, 2009</w:t>
            </w:r>
          </w:p>
        </w:tc>
        <w:tc>
          <w:tcPr>
            <w:tcW w:w="10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vertAlign w:val="superscript"/>
              </w:rPr>
            </w:pPr>
            <w:r>
              <w:rPr>
                <w:sz w:val="20"/>
              </w:rPr>
              <w:t xml:space="preserve">53/70 </w:t>
            </w:r>
            <w:r>
              <w:rPr>
                <w:sz w:val="20"/>
                <w:vertAlign w:val="superscript"/>
              </w:rPr>
              <w:t>g</w:t>
            </w:r>
          </w:p>
        </w:tc>
      </w:tr>
    </w:tbl>
    <w:p w:rsidR="00000000" w:rsidRDefault="0008038C">
      <w:pPr>
        <w:pStyle w:val="Corpo"/>
        <w:rPr>
          <w:rFonts w:ascii="Times New Roman" w:hAnsi="Times New Roman"/>
        </w:rPr>
      </w:pPr>
    </w:p>
    <w:p w:rsidR="00000000" w:rsidRDefault="0008038C">
      <w:pPr>
        <w:pStyle w:val="Corpo"/>
        <w:rPr>
          <w:rFonts w:ascii="Times New Roman" w:hAnsi="Times New Roman"/>
        </w:rPr>
      </w:pPr>
    </w:p>
    <w:p w:rsidR="00000000" w:rsidRDefault="0008038C">
      <w:pPr>
        <w:pStyle w:val="Corpo"/>
        <w:rPr>
          <w:rFonts w:ascii="Times New Roman" w:hAnsi="Times New Roman"/>
        </w:rPr>
      </w:pPr>
    </w:p>
    <w:p w:rsidR="00000000" w:rsidRDefault="0008038C">
      <w:pPr>
        <w:pStyle w:val="Corpo"/>
        <w:rPr>
          <w:rFonts w:ascii="Times New Roman" w:hAnsi="Times New Roman"/>
        </w:rPr>
      </w:pPr>
    </w:p>
    <w:p w:rsidR="00000000" w:rsidRDefault="0008038C">
      <w:pPr>
        <w:pStyle w:val="Corpo"/>
        <w:rPr>
          <w:rFonts w:ascii="Times New Roman" w:hAnsi="Times New Roman"/>
        </w:rPr>
      </w:pPr>
      <w:r>
        <w:rPr>
          <w:rFonts w:ascii="Times New Roman" w:hAnsi="Times New Roman"/>
        </w:rPr>
        <w:t>Notas:</w:t>
      </w:r>
    </w:p>
    <w:p w:rsidR="00000000" w:rsidRDefault="0008038C">
      <w:pPr>
        <w:pStyle w:val="Corpo"/>
        <w:rPr>
          <w:rFonts w:ascii="Times New Roman" w:hAnsi="Times New Roman"/>
        </w:rPr>
      </w:pPr>
      <w:r>
        <w:rPr>
          <w:rFonts w:ascii="Times New Roman" w:hAnsi="Times New Roman"/>
          <w:vertAlign w:val="superscript"/>
        </w:rPr>
        <w:t>a</w:t>
      </w:r>
      <w:r>
        <w:rPr>
          <w:rFonts w:ascii="Times New Roman" w:hAnsi="Times New Roman"/>
        </w:rPr>
        <w:t xml:space="preserve"> Os resultados publicados em Finlay, 1995 foram revistos após revisão central de histologia, a qual identificou alguns pacientes com glioma de baixo grau. O resultado revisto foi publicado em Pollac</w:t>
      </w:r>
      <w:r>
        <w:rPr>
          <w:rFonts w:ascii="Times New Roman" w:hAnsi="Times New Roman"/>
        </w:rPr>
        <w:t>k, 2003.</w:t>
      </w:r>
    </w:p>
    <w:p w:rsidR="00000000" w:rsidRDefault="0008038C">
      <w:pPr>
        <w:pStyle w:val="Corpo"/>
        <w:rPr>
          <w:rFonts w:ascii="Times New Roman" w:hAnsi="Times New Roman"/>
        </w:rPr>
      </w:pPr>
      <w:r>
        <w:rPr>
          <w:rFonts w:ascii="Times New Roman" w:hAnsi="Times New Roman"/>
          <w:vertAlign w:val="superscript"/>
        </w:rPr>
        <w:t>b</w:t>
      </w:r>
      <w:r>
        <w:rPr>
          <w:rFonts w:ascii="Times New Roman" w:hAnsi="Times New Roman"/>
        </w:rPr>
        <w:t xml:space="preserve"> Os resultados para meduloblastoma de alto risco são de sobrevida em 4 anos.</w:t>
      </w:r>
    </w:p>
    <w:p w:rsidR="00000000" w:rsidRDefault="0008038C">
      <w:pPr>
        <w:pStyle w:val="Corpo"/>
        <w:rPr>
          <w:rFonts w:ascii="Times New Roman" w:hAnsi="Times New Roman"/>
        </w:rPr>
      </w:pPr>
      <w:r>
        <w:rPr>
          <w:rFonts w:ascii="Times New Roman" w:hAnsi="Times New Roman"/>
          <w:vertAlign w:val="superscript"/>
        </w:rPr>
        <w:t>c</w:t>
      </w:r>
      <w:r>
        <w:rPr>
          <w:rFonts w:ascii="Times New Roman" w:hAnsi="Times New Roman"/>
        </w:rPr>
        <w:t xml:space="preserve"> Os resultados para tumores pontinos difusos são de sobrevida em 2 anos e mediana de sobrevida livre de eventos e global (em meses). Os ensaios ACNS0126, HIT-GBM-C e HI</w:t>
      </w:r>
      <w:r>
        <w:rPr>
          <w:rFonts w:ascii="Times New Roman" w:hAnsi="Times New Roman"/>
        </w:rPr>
        <w:t>T-GBM-D incluíram pacientes com tumores pontinos difusos.</w:t>
      </w:r>
    </w:p>
    <w:p w:rsidR="00000000" w:rsidRDefault="0008038C">
      <w:pPr>
        <w:pStyle w:val="Corpo"/>
        <w:rPr>
          <w:rFonts w:ascii="Times New Roman" w:hAnsi="Times New Roman"/>
        </w:rPr>
      </w:pPr>
      <w:r>
        <w:rPr>
          <w:rFonts w:ascii="Times New Roman" w:hAnsi="Times New Roman"/>
          <w:vertAlign w:val="superscript"/>
        </w:rPr>
        <w:t xml:space="preserve">d </w:t>
      </w:r>
      <w:r>
        <w:rPr>
          <w:rFonts w:ascii="Times New Roman" w:hAnsi="Times New Roman"/>
        </w:rPr>
        <w:t>Os resultados para tumores de células germinativas são de sobrevida em 3 anos. O primeiro resultado refere-se aos germinomas puros não secretores. O segundo valor corresponde aos pacientes com tum</w:t>
      </w:r>
      <w:r>
        <w:rPr>
          <w:rFonts w:ascii="Times New Roman" w:hAnsi="Times New Roman"/>
        </w:rPr>
        <w:t>ores secretores.</w:t>
      </w:r>
    </w:p>
    <w:p w:rsidR="00000000" w:rsidRDefault="0008038C">
      <w:pPr>
        <w:pStyle w:val="Corpo"/>
        <w:rPr>
          <w:rFonts w:ascii="Times New Roman" w:hAnsi="Times New Roman"/>
        </w:rPr>
      </w:pPr>
      <w:r>
        <w:rPr>
          <w:rFonts w:ascii="Times New Roman" w:hAnsi="Times New Roman"/>
          <w:vertAlign w:val="superscript"/>
        </w:rPr>
        <w:t>e</w:t>
      </w:r>
      <w:r>
        <w:rPr>
          <w:rFonts w:ascii="Times New Roman" w:hAnsi="Times New Roman"/>
        </w:rPr>
        <w:t xml:space="preserve"> Os resultados para ependimoma recorrente são de sobrevida em 3 anos.</w:t>
      </w:r>
    </w:p>
    <w:p w:rsidR="00000000" w:rsidRDefault="0008038C">
      <w:pPr>
        <w:pStyle w:val="Corpo"/>
        <w:rPr>
          <w:rFonts w:ascii="Times New Roman" w:hAnsi="Times New Roman"/>
        </w:rPr>
      </w:pPr>
      <w:r>
        <w:rPr>
          <w:rFonts w:ascii="Times New Roman" w:hAnsi="Times New Roman"/>
          <w:vertAlign w:val="superscript"/>
        </w:rPr>
        <w:t>f</w:t>
      </w:r>
      <w:r>
        <w:rPr>
          <w:rFonts w:ascii="Times New Roman" w:hAnsi="Times New Roman"/>
        </w:rPr>
        <w:t xml:space="preserve"> Pineoblastoma: sobrevida global em 5 anos de toda a coorte, sobrevida dos pacientes que sofreram resecção total (GTR) e daqueles onde ocorreu ressecção parcial ou sub</w:t>
      </w:r>
      <w:r>
        <w:rPr>
          <w:rFonts w:ascii="Times New Roman" w:hAnsi="Times New Roman"/>
        </w:rPr>
        <w:t>total (outro).</w:t>
      </w:r>
    </w:p>
    <w:p w:rsidR="00000000" w:rsidRDefault="0008038C">
      <w:pPr>
        <w:pStyle w:val="Corpo"/>
        <w:rPr>
          <w:rFonts w:ascii="Times New Roman" w:hAnsi="Times New Roman"/>
        </w:rPr>
      </w:pPr>
      <w:r>
        <w:rPr>
          <w:rFonts w:ascii="Times New Roman" w:hAnsi="Times New Roman"/>
          <w:vertAlign w:val="superscript"/>
        </w:rPr>
        <w:t>g</w:t>
      </w:r>
      <w:r>
        <w:rPr>
          <w:rFonts w:ascii="Times New Roman" w:hAnsi="Times New Roman"/>
        </w:rPr>
        <w:t xml:space="preserve"> Os resultados para ATRT são de sobrevida em 2 anos.</w:t>
      </w:r>
    </w:p>
    <w:p w:rsidR="00000000" w:rsidRDefault="0008038C">
      <w:pPr>
        <w:pStyle w:val="Corpo"/>
        <w:rPr>
          <w:rFonts w:ascii="Times New Roman" w:hAnsi="Times New Roman"/>
        </w:rPr>
      </w:pPr>
    </w:p>
    <w:p w:rsidR="00000000" w:rsidRDefault="0008038C">
      <w:pPr>
        <w:pStyle w:val="Corpo"/>
        <w:rPr>
          <w:rFonts w:ascii="Times New Roman Bold" w:hAnsi="Times New Roman Bold"/>
        </w:rPr>
      </w:pPr>
      <w:r>
        <w:br w:type="page"/>
      </w:r>
      <w:r>
        <w:rPr>
          <w:rFonts w:ascii="Times New Roman Bold" w:hAnsi="Times New Roman Bold"/>
        </w:rPr>
        <w:lastRenderedPageBreak/>
        <w:t>Critérios de avaliação pela imagem: RANO (Lutz, 2011 e Van den Bent, 2011)</w:t>
      </w:r>
    </w:p>
    <w:p w:rsidR="00000000" w:rsidRDefault="0008038C">
      <w:pPr>
        <w:pStyle w:val="Corpo"/>
        <w:rPr>
          <w:rFonts w:ascii="Times New Roman" w:hAnsi="Times New Roman"/>
        </w:rPr>
      </w:pPr>
    </w:p>
    <w:tbl>
      <w:tblPr>
        <w:tblW w:w="0" w:type="auto"/>
        <w:tblInd w:w="100" w:type="dxa"/>
        <w:tblLayout w:type="fixed"/>
        <w:tblLook w:val="0000"/>
      </w:tblPr>
      <w:tblGrid>
        <w:gridCol w:w="2481"/>
        <w:gridCol w:w="12059"/>
      </w:tblGrid>
      <w:tr w:rsidR="00000000">
        <w:trPr>
          <w:cantSplit/>
          <w:trHeight w:val="240"/>
          <w:tblHeader/>
        </w:trPr>
        <w:tc>
          <w:tcPr>
            <w:tcW w:w="2481"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00000" w:rsidRDefault="0008038C">
            <w:pPr>
              <w:pStyle w:val="FormaLivre"/>
              <w:keepNext/>
              <w:jc w:val="center"/>
              <w:rPr>
                <w:rStyle w:val="Unknown3"/>
                <w:sz w:val="20"/>
              </w:rPr>
            </w:pPr>
            <w:r>
              <w:rPr>
                <w:rStyle w:val="Unknown3"/>
                <w:sz w:val="20"/>
              </w:rPr>
              <w:t>Resposta</w:t>
            </w:r>
          </w:p>
        </w:tc>
        <w:tc>
          <w:tcPr>
            <w:tcW w:w="12059"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00000" w:rsidRDefault="0008038C">
            <w:pPr>
              <w:pStyle w:val="FormaLivre"/>
              <w:keepNext/>
              <w:jc w:val="center"/>
              <w:rPr>
                <w:rStyle w:val="Unknown3"/>
                <w:sz w:val="20"/>
              </w:rPr>
            </w:pPr>
            <w:r>
              <w:rPr>
                <w:rStyle w:val="Unknown3"/>
                <w:sz w:val="20"/>
              </w:rPr>
              <w:t>Critérios</w:t>
            </w:r>
          </w:p>
        </w:tc>
      </w:tr>
      <w:tr w:rsidR="00000000">
        <w:trPr>
          <w:cantSplit/>
          <w:trHeight w:val="48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Resposta completa</w:t>
            </w: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Desaparecimento de qualquer lesão captante (T1), mensurável ou não, por</w:t>
            </w:r>
            <w:r>
              <w:rPr>
                <w:sz w:val="20"/>
              </w:rPr>
              <w:t xml:space="preserve"> no mínimo 4 semanas. Desaparecimento das lesões em T2/FLAIR para gliomas de baixo grau.</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color w:val="D90B00"/>
                <w:sz w:val="20"/>
              </w:rPr>
            </w:pPr>
            <w:r>
              <w:rPr>
                <w:color w:val="D90B00"/>
                <w:sz w:val="20"/>
              </w:rPr>
              <w:t>Área em T2/FLAIR estável ou menor (tumores de alto grau).</w:t>
            </w:r>
          </w:p>
        </w:tc>
      </w:tr>
      <w:tr w:rsidR="00000000">
        <w:trPr>
          <w:cantSplit/>
          <w:trHeight w:val="48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color w:val="003DCC"/>
                <w:sz w:val="20"/>
              </w:rPr>
            </w:pPr>
            <w:r>
              <w:rPr>
                <w:sz w:val="20"/>
              </w:rPr>
              <w:t xml:space="preserve">Sem novas lesões captantes. </w:t>
            </w:r>
            <w:r>
              <w:rPr>
                <w:color w:val="003DCC"/>
                <w:sz w:val="20"/>
              </w:rPr>
              <w:t>Sem novas lesões em T2/FLAIR, exceto pela RT. Sem captação nova ou aumento da</w:t>
            </w:r>
            <w:r>
              <w:rPr>
                <w:color w:val="003DCC"/>
                <w:sz w:val="20"/>
              </w:rPr>
              <w:t xml:space="preserve"> captação de contraste (baixo grau).</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Sem corticosteróides</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Clinicamente estável ou melhorado</w:t>
            </w:r>
          </w:p>
        </w:tc>
      </w:tr>
      <w:tr w:rsidR="00000000">
        <w:trPr>
          <w:cantSplit/>
          <w:trHeight w:val="48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Resposta parcial</w:t>
            </w: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color w:val="003DCC"/>
                <w:sz w:val="20"/>
              </w:rPr>
            </w:pPr>
            <w:r>
              <w:rPr>
                <w:sz w:val="20"/>
              </w:rPr>
              <w:t>Redução maior ou igual a 50% comparado à avaliação inicial (soma dos produtos dos diâmetros perpendiculares de todas as lesões captantes mensu</w:t>
            </w:r>
            <w:r>
              <w:rPr>
                <w:sz w:val="20"/>
              </w:rPr>
              <w:t xml:space="preserve">ráveis) por no mínimo 4 semanas. </w:t>
            </w:r>
            <w:r>
              <w:rPr>
                <w:color w:val="003DCC"/>
                <w:sz w:val="20"/>
              </w:rPr>
              <w:t>Redução maior ou igual a 50% nas lesões em T2/FLAIR (gliomas de baixo grau).</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color w:val="D90B00"/>
                <w:sz w:val="20"/>
              </w:rPr>
            </w:pPr>
            <w:r>
              <w:rPr>
                <w:color w:val="D90B00"/>
                <w:sz w:val="20"/>
              </w:rPr>
              <w:t>Área em T2/FLAIR estável ou menor (tumores de alto grau).</w:t>
            </w:r>
          </w:p>
        </w:tc>
      </w:tr>
      <w:tr w:rsidR="00000000">
        <w:trPr>
          <w:cantSplit/>
          <w:trHeight w:val="48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color w:val="003DCC"/>
                <w:sz w:val="20"/>
              </w:rPr>
            </w:pPr>
            <w:r>
              <w:rPr>
                <w:sz w:val="20"/>
              </w:rPr>
              <w:t xml:space="preserve">Sem novas lesões captantes. </w:t>
            </w:r>
            <w:r>
              <w:rPr>
                <w:color w:val="003DCC"/>
                <w:sz w:val="20"/>
              </w:rPr>
              <w:t>Sem novas lesões em T2/FLAIR, exceto pela RT. Sem captaç</w:t>
            </w:r>
            <w:r>
              <w:rPr>
                <w:color w:val="003DCC"/>
                <w:sz w:val="20"/>
              </w:rPr>
              <w:t>ão nova ou aumento da captação de contraste (baixo grau).</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Dose de corticóides estável ou reduzida</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Clinicamente estável ou melhorado</w:t>
            </w:r>
          </w:p>
        </w:tc>
      </w:tr>
      <w:tr w:rsidR="00000000">
        <w:trPr>
          <w:cantSplit/>
          <w:trHeight w:val="48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color w:val="003DCC"/>
                <w:sz w:val="20"/>
              </w:rPr>
            </w:pPr>
            <w:r>
              <w:rPr>
                <w:color w:val="003DCC"/>
                <w:sz w:val="20"/>
              </w:rPr>
              <w:t>Resposta menor (apenas gliomas de baixo grau)</w:t>
            </w: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color w:val="003DCC"/>
                <w:sz w:val="20"/>
              </w:rPr>
            </w:pPr>
            <w:r>
              <w:rPr>
                <w:color w:val="003DCC"/>
                <w:sz w:val="20"/>
              </w:rPr>
              <w:t>Redução maior que 25% e menor que 50% comparado à avaliação inicial (soma</w:t>
            </w:r>
            <w:r>
              <w:rPr>
                <w:color w:val="003DCC"/>
                <w:sz w:val="20"/>
              </w:rPr>
              <w:t xml:space="preserve"> dos produtos dos diâmetros perpendiculares de todas as lesões não captantes mensuráveis em T2/FLAIR) por no mínimo 4 semanas. </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color w:val="003DCC"/>
                <w:sz w:val="20"/>
              </w:rPr>
            </w:pPr>
            <w:r>
              <w:rPr>
                <w:color w:val="003DCC"/>
                <w:sz w:val="20"/>
              </w:rPr>
              <w:t>Sem novas lesões em T2/FLAIR, exceto pela RT. Sem captação nova ou aumento da captação de contraste (baixo grau).</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color w:val="003DCC"/>
                <w:sz w:val="20"/>
              </w:rPr>
            </w:pPr>
            <w:r>
              <w:rPr>
                <w:color w:val="003DCC"/>
                <w:sz w:val="20"/>
              </w:rPr>
              <w:t>Dose de co</w:t>
            </w:r>
            <w:r>
              <w:rPr>
                <w:color w:val="003DCC"/>
                <w:sz w:val="20"/>
              </w:rPr>
              <w:t>rticóides estável ou reduzida.</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Doença estável</w:t>
            </w: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Não se enquadra nas outras respostas</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Clinicamente estável</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lastRenderedPageBreak/>
              <w:t>Progressão</w:t>
            </w: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Aumento de 25% ou mais comparado à última avaliação (ou à melhor resposta)</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Área de T2/FLAIR maior.</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 xml:space="preserve">Qualquer lesão captante nova. </w:t>
            </w:r>
            <w:r>
              <w:rPr>
                <w:color w:val="003DCC"/>
                <w:sz w:val="20"/>
              </w:rPr>
              <w:t>Surg</w:t>
            </w:r>
            <w:r>
              <w:rPr>
                <w:color w:val="003DCC"/>
                <w:sz w:val="20"/>
              </w:rPr>
              <w:t>imento ou aumento de captação de contraste (baixo grau).</w:t>
            </w:r>
            <w:r>
              <w:rPr>
                <w:sz w:val="20"/>
              </w:rPr>
              <w:t xml:space="preserve"> </w:t>
            </w:r>
          </w:p>
        </w:tc>
      </w:tr>
      <w:tr w:rsidR="00000000">
        <w:trPr>
          <w:cantSplit/>
          <w:trHeight w:val="240"/>
        </w:trPr>
        <w:tc>
          <w:tcPr>
            <w:tcW w:w="248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pPr>
          </w:p>
        </w:tc>
        <w:tc>
          <w:tcPr>
            <w:tcW w:w="120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Piora clínica</w:t>
            </w:r>
          </w:p>
        </w:tc>
      </w:tr>
    </w:tbl>
    <w:p w:rsidR="00000000" w:rsidRDefault="0008038C">
      <w:pPr>
        <w:pStyle w:val="Corpo"/>
        <w:rPr>
          <w:rFonts w:ascii="Times New Roman" w:hAnsi="Times New Roman"/>
        </w:rPr>
      </w:pPr>
    </w:p>
    <w:p w:rsidR="00000000" w:rsidRDefault="0008038C">
      <w:pPr>
        <w:pStyle w:val="Corpo"/>
        <w:rPr>
          <w:rFonts w:ascii="Times New Roman" w:hAnsi="Times New Roman"/>
        </w:rPr>
      </w:pPr>
    </w:p>
    <w:p w:rsidR="00000000" w:rsidRDefault="0008038C">
      <w:pPr>
        <w:pStyle w:val="Corpo"/>
        <w:rPr>
          <w:rFonts w:ascii="Times New Roman" w:hAnsi="Times New Roman"/>
        </w:rPr>
      </w:pPr>
    </w:p>
    <w:p w:rsidR="00000000" w:rsidRDefault="0008038C">
      <w:pPr>
        <w:pStyle w:val="Corpo"/>
        <w:rPr>
          <w:rFonts w:ascii="Times New Roman" w:hAnsi="Times New Roman"/>
        </w:rPr>
      </w:pPr>
    </w:p>
    <w:p w:rsidR="00000000" w:rsidRDefault="0008038C">
      <w:pPr>
        <w:pStyle w:val="Corpo"/>
        <w:rPr>
          <w:rFonts w:ascii="Times New Roman" w:hAnsi="Times New Roman"/>
          <w:color w:val="D90B00"/>
        </w:rPr>
      </w:pPr>
      <w:r>
        <w:rPr>
          <w:rFonts w:ascii="Times New Roman" w:hAnsi="Times New Roman"/>
          <w:color w:val="D90B00"/>
        </w:rPr>
        <w:t>Vermelho: referente a tumores de alto grau.</w:t>
      </w:r>
    </w:p>
    <w:p w:rsidR="00000000" w:rsidRDefault="0008038C">
      <w:pPr>
        <w:pStyle w:val="Corpo"/>
        <w:rPr>
          <w:rFonts w:ascii="Times New Roman" w:hAnsi="Times New Roman"/>
          <w:color w:val="003DCC"/>
        </w:rPr>
      </w:pPr>
      <w:r>
        <w:rPr>
          <w:rFonts w:ascii="Times New Roman" w:hAnsi="Times New Roman"/>
          <w:color w:val="003DCC"/>
        </w:rPr>
        <w:t>Azul: referente a gliomas de baixo grau.</w:t>
      </w:r>
    </w:p>
    <w:p w:rsidR="00000000" w:rsidRDefault="0008038C">
      <w:pPr>
        <w:pStyle w:val="Corpo"/>
        <w:rPr>
          <w:rFonts w:ascii="Times New Roman" w:hAnsi="Times New Roman"/>
        </w:rPr>
      </w:pPr>
      <w:r>
        <w:rPr>
          <w:rFonts w:ascii="Times New Roman" w:hAnsi="Times New Roman"/>
        </w:rPr>
        <w:t xml:space="preserve">Modo de avaliação: em pediatria, é preferível a avaliação bidimensional clássica da OMS. No </w:t>
      </w:r>
      <w:r>
        <w:rPr>
          <w:rFonts w:ascii="Times New Roman" w:hAnsi="Times New Roman"/>
        </w:rPr>
        <w:t>corte onde o tumor aparenta ser maior, os dois maiores diâmetros perpendiculares são medidos.</w:t>
      </w:r>
    </w:p>
    <w:p w:rsidR="00000000" w:rsidRDefault="0008038C">
      <w:pPr>
        <w:pStyle w:val="Corpo"/>
        <w:rPr>
          <w:rFonts w:ascii="Times New Roman" w:hAnsi="Times New Roman"/>
        </w:rPr>
      </w:pPr>
    </w:p>
    <w:p w:rsidR="00000000" w:rsidRDefault="0008038C">
      <w:pPr>
        <w:pStyle w:val="Corpo"/>
        <w:rPr>
          <w:rFonts w:ascii="Times New Roman" w:hAnsi="Times New Roman"/>
        </w:rPr>
      </w:pPr>
    </w:p>
    <w:p w:rsidR="00000000" w:rsidRDefault="0008038C">
      <w:pPr>
        <w:pStyle w:val="Corpo"/>
        <w:rPr>
          <w:rFonts w:ascii="Times New Roman" w:hAnsi="Times New Roman"/>
        </w:rPr>
      </w:pPr>
      <w:r>
        <w:br w:type="page"/>
      </w:r>
      <w:r>
        <w:rPr>
          <w:rFonts w:ascii="Times New Roman Bold" w:hAnsi="Times New Roman Bold"/>
        </w:rPr>
        <w:lastRenderedPageBreak/>
        <w:t>Incidência dos tumores cerebrais na infância (Pinho, 2011; Rosemberg, 2007 e HIAS):</w:t>
      </w:r>
    </w:p>
    <w:p w:rsidR="00000000" w:rsidRDefault="0008038C">
      <w:pPr>
        <w:pStyle w:val="Corpo"/>
        <w:rPr>
          <w:rFonts w:ascii="Times New Roman Bold" w:hAnsi="Times New Roman Bold"/>
        </w:rPr>
      </w:pPr>
    </w:p>
    <w:tbl>
      <w:tblPr>
        <w:tblW w:w="0" w:type="auto"/>
        <w:tblInd w:w="100" w:type="dxa"/>
        <w:tblLayout w:type="fixed"/>
        <w:tblLook w:val="0000"/>
      </w:tblPr>
      <w:tblGrid>
        <w:gridCol w:w="1926"/>
        <w:gridCol w:w="1710"/>
        <w:gridCol w:w="2890"/>
        <w:gridCol w:w="3702"/>
        <w:gridCol w:w="1492"/>
        <w:gridCol w:w="1452"/>
        <w:gridCol w:w="1376"/>
      </w:tblGrid>
      <w:tr w:rsidR="00000000">
        <w:trPr>
          <w:cantSplit/>
          <w:trHeight w:val="240"/>
        </w:trPr>
        <w:tc>
          <w:tcPr>
            <w:tcW w:w="1926" w:type="dxa"/>
            <w:vMerge w:val="restart"/>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rPr>
                <w:b/>
                <w:sz w:val="20"/>
              </w:rPr>
            </w:pPr>
            <w:r>
              <w:rPr>
                <w:b/>
                <w:sz w:val="20"/>
              </w:rPr>
              <w:t>Neuroepiteliais</w:t>
            </w:r>
          </w:p>
        </w:tc>
        <w:tc>
          <w:tcPr>
            <w:tcW w:w="1710" w:type="dxa"/>
            <w:vMerge w:val="restart"/>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rPr>
                <w:sz w:val="20"/>
              </w:rPr>
            </w:pPr>
            <w:r>
              <w:rPr>
                <w:sz w:val="20"/>
              </w:rPr>
              <w:t>Gliomas</w:t>
            </w:r>
          </w:p>
        </w:tc>
        <w:tc>
          <w:tcPr>
            <w:tcW w:w="289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rPr>
                <w:sz w:val="20"/>
              </w:rPr>
            </w:pPr>
            <w:r>
              <w:rPr>
                <w:sz w:val="20"/>
              </w:rPr>
              <w:t>Astrocitomas</w:t>
            </w:r>
          </w:p>
        </w:tc>
        <w:tc>
          <w:tcPr>
            <w:tcW w:w="37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Pilocítico</w:t>
            </w:r>
          </w:p>
        </w:tc>
        <w:tc>
          <w:tcPr>
            <w:tcW w:w="1492"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37%</w:t>
            </w:r>
          </w:p>
        </w:tc>
        <w:tc>
          <w:tcPr>
            <w:tcW w:w="14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18.2%</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10,6%</w:t>
            </w:r>
          </w:p>
        </w:tc>
      </w:tr>
      <w:tr w:rsidR="00000000">
        <w:trPr>
          <w:cantSplit/>
          <w:trHeight w:val="24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2890"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37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Difuso</w:t>
            </w:r>
          </w:p>
        </w:tc>
        <w:tc>
          <w:tcPr>
            <w:tcW w:w="1492"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4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6,2%</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7%</w:t>
            </w:r>
          </w:p>
        </w:tc>
      </w:tr>
      <w:tr w:rsidR="00000000">
        <w:trPr>
          <w:cantSplit/>
          <w:trHeight w:val="24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2890" w:type="dxa"/>
            <w:vMerge/>
            <w:tcBorders>
              <w:top w:val="none" w:sz="8" w:space="0" w:color="000000"/>
              <w:left w:val="single" w:sz="8" w:space="0" w:color="000000"/>
              <w:bottom w:val="singl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37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Anaplásico</w:t>
            </w:r>
          </w:p>
        </w:tc>
        <w:tc>
          <w:tcPr>
            <w:tcW w:w="1492" w:type="dxa"/>
            <w:vMerge/>
            <w:tcBorders>
              <w:top w:val="none" w:sz="8" w:space="0" w:color="000000"/>
              <w:left w:val="single" w:sz="8" w:space="0" w:color="000000"/>
              <w:bottom w:val="singl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4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4,4%</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2,2%</w:t>
            </w:r>
          </w:p>
        </w:tc>
      </w:tr>
      <w:tr w:rsidR="00000000">
        <w:trPr>
          <w:cantSplit/>
          <w:trHeight w:val="24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6591"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Oligodendrogliomas</w:t>
            </w:r>
          </w:p>
        </w:tc>
        <w:tc>
          <w:tcPr>
            <w:tcW w:w="14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NI</w:t>
            </w:r>
          </w:p>
        </w:tc>
        <w:tc>
          <w:tcPr>
            <w:tcW w:w="14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0,9%</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0,9%</w:t>
            </w:r>
          </w:p>
        </w:tc>
      </w:tr>
      <w:tr w:rsidR="00000000">
        <w:trPr>
          <w:cantSplit/>
          <w:trHeight w:val="24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289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rPr>
                <w:sz w:val="20"/>
              </w:rPr>
            </w:pPr>
            <w:r>
              <w:rPr>
                <w:sz w:val="20"/>
              </w:rPr>
              <w:t>Ependimomas</w:t>
            </w:r>
          </w:p>
        </w:tc>
        <w:tc>
          <w:tcPr>
            <w:tcW w:w="37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Clássico</w:t>
            </w:r>
          </w:p>
        </w:tc>
        <w:tc>
          <w:tcPr>
            <w:tcW w:w="1492"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6,8%</w:t>
            </w:r>
          </w:p>
        </w:tc>
        <w:tc>
          <w:tcPr>
            <w:tcW w:w="1452"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7,4%</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7,9%</w:t>
            </w:r>
          </w:p>
        </w:tc>
      </w:tr>
      <w:tr w:rsidR="00000000">
        <w:trPr>
          <w:cantSplit/>
          <w:trHeight w:val="24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2890" w:type="dxa"/>
            <w:vMerge/>
            <w:tcBorders>
              <w:top w:val="none" w:sz="8" w:space="0" w:color="000000"/>
              <w:left w:val="single" w:sz="8" w:space="0" w:color="000000"/>
              <w:bottom w:val="singl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37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Anaplásico</w:t>
            </w:r>
          </w:p>
        </w:tc>
        <w:tc>
          <w:tcPr>
            <w:tcW w:w="1492" w:type="dxa"/>
            <w:vMerge/>
            <w:tcBorders>
              <w:top w:val="none" w:sz="8" w:space="0" w:color="000000"/>
              <w:left w:val="single" w:sz="8" w:space="0" w:color="000000"/>
              <w:bottom w:val="singl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452" w:type="dxa"/>
            <w:vMerge/>
            <w:tcBorders>
              <w:top w:val="none" w:sz="8" w:space="0" w:color="000000"/>
              <w:left w:val="single" w:sz="8" w:space="0" w:color="000000"/>
              <w:bottom w:val="singl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4%</w:t>
            </w:r>
          </w:p>
        </w:tc>
      </w:tr>
      <w:tr w:rsidR="00000000">
        <w:trPr>
          <w:cantSplit/>
          <w:trHeight w:val="25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single" w:sz="16"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6591" w:type="dxa"/>
            <w:gridSpan w:val="2"/>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Glioblastoma multiforme</w:t>
            </w:r>
          </w:p>
        </w:tc>
        <w:tc>
          <w:tcPr>
            <w:tcW w:w="1492" w:type="dxa"/>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NI</w:t>
            </w:r>
          </w:p>
        </w:tc>
        <w:tc>
          <w:tcPr>
            <w:tcW w:w="1452" w:type="dxa"/>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3,7%</w:t>
            </w:r>
          </w:p>
        </w:tc>
        <w:tc>
          <w:tcPr>
            <w:tcW w:w="1376" w:type="dxa"/>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3,5%</w:t>
            </w:r>
          </w:p>
        </w:tc>
      </w:tr>
      <w:tr w:rsidR="00000000">
        <w:trPr>
          <w:cantSplit/>
          <w:trHeight w:val="23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val="restart"/>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rPr>
                <w:sz w:val="20"/>
              </w:rPr>
            </w:pPr>
            <w:r>
              <w:rPr>
                <w:sz w:val="20"/>
              </w:rPr>
              <w:t>Embrionários</w:t>
            </w:r>
          </w:p>
        </w:tc>
        <w:tc>
          <w:tcPr>
            <w:tcW w:w="2890" w:type="dxa"/>
            <w:vMerge w:val="restart"/>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rPr>
                <w:sz w:val="20"/>
              </w:rPr>
            </w:pPr>
            <w:r>
              <w:rPr>
                <w:sz w:val="20"/>
              </w:rPr>
              <w:t>Meduloblastoma</w:t>
            </w:r>
          </w:p>
        </w:tc>
        <w:tc>
          <w:tcPr>
            <w:tcW w:w="3701" w:type="dxa"/>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Clássico</w:t>
            </w:r>
          </w:p>
        </w:tc>
        <w:tc>
          <w:tcPr>
            <w:tcW w:w="1492" w:type="dxa"/>
            <w:vMerge w:val="restart"/>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13,6%</w:t>
            </w:r>
          </w:p>
        </w:tc>
        <w:tc>
          <w:tcPr>
            <w:tcW w:w="1452" w:type="dxa"/>
            <w:vMerge w:val="restart"/>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11,2%</w:t>
            </w:r>
          </w:p>
        </w:tc>
        <w:tc>
          <w:tcPr>
            <w:tcW w:w="1376" w:type="dxa"/>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21%</w:t>
            </w:r>
          </w:p>
        </w:tc>
      </w:tr>
      <w:tr w:rsidR="00000000">
        <w:trPr>
          <w:cantSplit/>
          <w:trHeight w:val="24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2890"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37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Desmoplásico</w:t>
            </w:r>
          </w:p>
        </w:tc>
        <w:tc>
          <w:tcPr>
            <w:tcW w:w="1492"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452"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3,5%</w:t>
            </w:r>
          </w:p>
        </w:tc>
      </w:tr>
      <w:tr w:rsidR="00000000">
        <w:trPr>
          <w:cantSplit/>
          <w:trHeight w:val="24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2890" w:type="dxa"/>
            <w:vMerge/>
            <w:tcBorders>
              <w:top w:val="none" w:sz="8" w:space="0" w:color="000000"/>
              <w:left w:val="single" w:sz="8" w:space="0" w:color="000000"/>
              <w:bottom w:val="singl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37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Ana</w:t>
            </w:r>
            <w:r>
              <w:rPr>
                <w:sz w:val="20"/>
              </w:rPr>
              <w:t>plásico (Grandes Células)</w:t>
            </w:r>
          </w:p>
        </w:tc>
        <w:tc>
          <w:tcPr>
            <w:tcW w:w="1492" w:type="dxa"/>
            <w:vMerge/>
            <w:tcBorders>
              <w:top w:val="none" w:sz="8" w:space="0" w:color="000000"/>
              <w:left w:val="single" w:sz="8" w:space="0" w:color="000000"/>
              <w:bottom w:val="singl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452" w:type="dxa"/>
            <w:vMerge/>
            <w:tcBorders>
              <w:top w:val="none" w:sz="8" w:space="0" w:color="000000"/>
              <w:left w:val="single" w:sz="8" w:space="0" w:color="000000"/>
              <w:bottom w:val="singl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0,4%</w:t>
            </w:r>
          </w:p>
        </w:tc>
      </w:tr>
      <w:tr w:rsidR="00000000">
        <w:trPr>
          <w:cantSplit/>
          <w:trHeight w:val="24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6591"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Pineoblastoma</w:t>
            </w:r>
          </w:p>
        </w:tc>
        <w:tc>
          <w:tcPr>
            <w:tcW w:w="1492" w:type="dxa"/>
            <w:vMerge w:val="restart"/>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3,9%</w:t>
            </w:r>
          </w:p>
        </w:tc>
        <w:tc>
          <w:tcPr>
            <w:tcW w:w="14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NI</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0,4%</w:t>
            </w:r>
          </w:p>
        </w:tc>
      </w:tr>
      <w:tr w:rsidR="00000000">
        <w:trPr>
          <w:cantSplit/>
          <w:trHeight w:val="24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2890" w:type="dxa"/>
            <w:vMerge w:val="restart"/>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rPr>
                <w:sz w:val="20"/>
              </w:rPr>
            </w:pPr>
            <w:r>
              <w:rPr>
                <w:sz w:val="20"/>
              </w:rPr>
              <w:t>PNET</w:t>
            </w:r>
          </w:p>
        </w:tc>
        <w:tc>
          <w:tcPr>
            <w:tcW w:w="37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Supratentorial</w:t>
            </w:r>
          </w:p>
        </w:tc>
        <w:tc>
          <w:tcPr>
            <w:tcW w:w="1492"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452" w:type="dxa"/>
            <w:vMerge w:val="restart"/>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2,7%</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1,3%</w:t>
            </w:r>
          </w:p>
        </w:tc>
      </w:tr>
      <w:tr w:rsidR="00000000">
        <w:trPr>
          <w:cantSplit/>
          <w:trHeight w:val="25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single" w:sz="16"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2890" w:type="dxa"/>
            <w:vMerge/>
            <w:tcBorders>
              <w:top w:val="none" w:sz="8" w:space="0" w:color="000000"/>
              <w:left w:val="single" w:sz="8" w:space="0" w:color="000000"/>
              <w:bottom w:val="single" w:sz="16"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3701" w:type="dxa"/>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Outros</w:t>
            </w:r>
          </w:p>
        </w:tc>
        <w:tc>
          <w:tcPr>
            <w:tcW w:w="1492" w:type="dxa"/>
            <w:vMerge/>
            <w:tcBorders>
              <w:top w:val="none" w:sz="8" w:space="0" w:color="000000"/>
              <w:left w:val="single" w:sz="8" w:space="0" w:color="000000"/>
              <w:bottom w:val="single" w:sz="16"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452" w:type="dxa"/>
            <w:vMerge/>
            <w:tcBorders>
              <w:top w:val="none" w:sz="8" w:space="0" w:color="000000"/>
              <w:left w:val="single" w:sz="8" w:space="0" w:color="000000"/>
              <w:bottom w:val="single" w:sz="16"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376" w:type="dxa"/>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0,9%</w:t>
            </w:r>
          </w:p>
        </w:tc>
      </w:tr>
      <w:tr w:rsidR="00000000">
        <w:trPr>
          <w:cantSplit/>
          <w:trHeight w:val="230"/>
        </w:trPr>
        <w:tc>
          <w:tcPr>
            <w:tcW w:w="1926" w:type="dxa"/>
            <w:vMerge/>
            <w:tcBorders>
              <w:top w:val="none" w:sz="8" w:space="0" w:color="000000"/>
              <w:left w:val="single" w:sz="8" w:space="0" w:color="000000"/>
              <w:bottom w:val="none" w:sz="8"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val="restart"/>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rPr>
                <w:sz w:val="20"/>
              </w:rPr>
            </w:pPr>
            <w:r>
              <w:rPr>
                <w:sz w:val="20"/>
              </w:rPr>
              <w:t>Neural</w:t>
            </w:r>
          </w:p>
        </w:tc>
        <w:tc>
          <w:tcPr>
            <w:tcW w:w="6591" w:type="dxa"/>
            <w:gridSpan w:val="2"/>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Ganglioglioma</w:t>
            </w:r>
          </w:p>
        </w:tc>
        <w:tc>
          <w:tcPr>
            <w:tcW w:w="1492" w:type="dxa"/>
            <w:vMerge w:val="restart"/>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NI</w:t>
            </w:r>
          </w:p>
        </w:tc>
        <w:tc>
          <w:tcPr>
            <w:tcW w:w="1452" w:type="dxa"/>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4,6%</w:t>
            </w:r>
          </w:p>
        </w:tc>
        <w:tc>
          <w:tcPr>
            <w:tcW w:w="1376" w:type="dxa"/>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0,8%</w:t>
            </w:r>
          </w:p>
        </w:tc>
      </w:tr>
      <w:tr w:rsidR="00000000">
        <w:trPr>
          <w:cantSplit/>
          <w:trHeight w:val="250"/>
        </w:trPr>
        <w:tc>
          <w:tcPr>
            <w:tcW w:w="1926" w:type="dxa"/>
            <w:vMerge/>
            <w:tcBorders>
              <w:top w:val="none" w:sz="8" w:space="0" w:color="000000"/>
              <w:left w:val="single" w:sz="8" w:space="0" w:color="000000"/>
              <w:bottom w:val="single" w:sz="16"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1710" w:type="dxa"/>
            <w:vMerge/>
            <w:tcBorders>
              <w:top w:val="none" w:sz="8" w:space="0" w:color="000000"/>
              <w:left w:val="single" w:sz="8" w:space="0" w:color="000000"/>
              <w:bottom w:val="single" w:sz="16"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pPr>
          </w:p>
        </w:tc>
        <w:tc>
          <w:tcPr>
            <w:tcW w:w="2890" w:type="dxa"/>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Outros</w:t>
            </w:r>
          </w:p>
        </w:tc>
        <w:tc>
          <w:tcPr>
            <w:tcW w:w="3701" w:type="dxa"/>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rPr>
                <w:sz w:val="20"/>
              </w:rPr>
            </w:pPr>
            <w:r>
              <w:rPr>
                <w:sz w:val="20"/>
              </w:rPr>
              <w:t>Neurocitoma, DNET, ganglioneuroma</w:t>
            </w:r>
          </w:p>
        </w:tc>
        <w:tc>
          <w:tcPr>
            <w:tcW w:w="1492" w:type="dxa"/>
            <w:vMerge/>
            <w:tcBorders>
              <w:top w:val="none" w:sz="8" w:space="0" w:color="000000"/>
              <w:left w:val="single" w:sz="8" w:space="0" w:color="000000"/>
              <w:bottom w:val="single" w:sz="16" w:space="0" w:color="000000"/>
              <w:right w:val="single" w:sz="8" w:space="0" w:color="000000"/>
            </w:tcBorders>
            <w:shd w:val="clear" w:color="auto" w:fill="auto"/>
            <w:tcMar>
              <w:top w:w="100" w:type="dxa"/>
              <w:left w:w="0" w:type="dxa"/>
              <w:bottom w:w="100" w:type="dxa"/>
              <w:right w:w="0" w:type="dxa"/>
            </w:tcMar>
            <w:vAlign w:val="center"/>
          </w:tcPr>
          <w:p w:rsidR="00000000" w:rsidRDefault="0008038C">
            <w:pPr>
              <w:pStyle w:val="FormaLivre"/>
              <w:jc w:val="center"/>
            </w:pPr>
          </w:p>
        </w:tc>
        <w:tc>
          <w:tcPr>
            <w:tcW w:w="1452" w:type="dxa"/>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3,0%</w:t>
            </w:r>
          </w:p>
        </w:tc>
        <w:tc>
          <w:tcPr>
            <w:tcW w:w="1376" w:type="dxa"/>
            <w:tcBorders>
              <w:top w:val="single" w:sz="8"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0</w:t>
            </w:r>
          </w:p>
        </w:tc>
      </w:tr>
      <w:tr w:rsidR="00000000">
        <w:trPr>
          <w:cantSplit/>
          <w:trHeight w:val="240"/>
        </w:trPr>
        <w:tc>
          <w:tcPr>
            <w:tcW w:w="1926" w:type="dxa"/>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rPr>
                <w:b/>
                <w:sz w:val="20"/>
              </w:rPr>
            </w:pPr>
            <w:r>
              <w:rPr>
                <w:b/>
                <w:sz w:val="20"/>
              </w:rPr>
              <w:t>Meninges</w:t>
            </w:r>
          </w:p>
        </w:tc>
        <w:tc>
          <w:tcPr>
            <w:tcW w:w="8302" w:type="dxa"/>
            <w:gridSpan w:val="3"/>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Meningioma</w:t>
            </w:r>
          </w:p>
        </w:tc>
        <w:tc>
          <w:tcPr>
            <w:tcW w:w="1492" w:type="dxa"/>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NI</w:t>
            </w:r>
          </w:p>
        </w:tc>
        <w:tc>
          <w:tcPr>
            <w:tcW w:w="1452" w:type="dxa"/>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3,0%</w:t>
            </w:r>
          </w:p>
        </w:tc>
        <w:tc>
          <w:tcPr>
            <w:tcW w:w="1376" w:type="dxa"/>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w:t>
            </w:r>
          </w:p>
        </w:tc>
      </w:tr>
      <w:tr w:rsidR="00000000">
        <w:trPr>
          <w:cantSplit/>
          <w:trHeight w:val="240"/>
        </w:trPr>
        <w:tc>
          <w:tcPr>
            <w:tcW w:w="1926" w:type="dxa"/>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rPr>
                <w:b/>
                <w:sz w:val="20"/>
              </w:rPr>
            </w:pPr>
            <w:r>
              <w:rPr>
                <w:b/>
                <w:sz w:val="20"/>
              </w:rPr>
              <w:t>Endócrino</w:t>
            </w:r>
          </w:p>
        </w:tc>
        <w:tc>
          <w:tcPr>
            <w:tcW w:w="8302" w:type="dxa"/>
            <w:gridSpan w:val="3"/>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Craniofarin</w:t>
            </w:r>
            <w:r>
              <w:rPr>
                <w:sz w:val="20"/>
              </w:rPr>
              <w:t>gioma</w:t>
            </w:r>
          </w:p>
        </w:tc>
        <w:tc>
          <w:tcPr>
            <w:tcW w:w="1492" w:type="dxa"/>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10,5%</w:t>
            </w:r>
          </w:p>
        </w:tc>
        <w:tc>
          <w:tcPr>
            <w:tcW w:w="1452" w:type="dxa"/>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11%</w:t>
            </w:r>
          </w:p>
        </w:tc>
        <w:tc>
          <w:tcPr>
            <w:tcW w:w="1376" w:type="dxa"/>
            <w:tcBorders>
              <w:top w:val="single" w:sz="16" w:space="0" w:color="000000"/>
              <w:left w:val="single" w:sz="8" w:space="0" w:color="000000"/>
              <w:bottom w:val="single" w:sz="16"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w:t>
            </w:r>
          </w:p>
        </w:tc>
      </w:tr>
      <w:tr w:rsidR="00000000">
        <w:trPr>
          <w:cantSplit/>
          <w:trHeight w:val="230"/>
        </w:trPr>
        <w:tc>
          <w:tcPr>
            <w:tcW w:w="1926" w:type="dxa"/>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rPr>
                <w:b/>
                <w:sz w:val="20"/>
              </w:rPr>
            </w:pPr>
            <w:r>
              <w:rPr>
                <w:b/>
                <w:sz w:val="20"/>
              </w:rPr>
              <w:t>TCG</w:t>
            </w:r>
          </w:p>
        </w:tc>
        <w:tc>
          <w:tcPr>
            <w:tcW w:w="8302" w:type="dxa"/>
            <w:gridSpan w:val="3"/>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Tumores de Células Germinativas</w:t>
            </w:r>
          </w:p>
        </w:tc>
        <w:tc>
          <w:tcPr>
            <w:tcW w:w="1492" w:type="dxa"/>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000" w:rsidRDefault="0008038C">
            <w:pPr>
              <w:pStyle w:val="FormaLivre"/>
              <w:jc w:val="center"/>
              <w:rPr>
                <w:sz w:val="20"/>
              </w:rPr>
            </w:pPr>
            <w:r>
              <w:rPr>
                <w:sz w:val="20"/>
              </w:rPr>
              <w:t>6,1%</w:t>
            </w:r>
          </w:p>
        </w:tc>
        <w:tc>
          <w:tcPr>
            <w:tcW w:w="1452" w:type="dxa"/>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3,6%</w:t>
            </w:r>
          </w:p>
        </w:tc>
        <w:tc>
          <w:tcPr>
            <w:tcW w:w="1376" w:type="dxa"/>
            <w:tcBorders>
              <w:top w:val="single" w:sz="16"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00000" w:rsidRDefault="0008038C">
            <w:pPr>
              <w:pStyle w:val="FormaLivre"/>
              <w:jc w:val="center"/>
              <w:rPr>
                <w:sz w:val="20"/>
              </w:rPr>
            </w:pPr>
            <w:r>
              <w:rPr>
                <w:sz w:val="20"/>
              </w:rPr>
              <w:t>-</w:t>
            </w:r>
          </w:p>
        </w:tc>
      </w:tr>
    </w:tbl>
    <w:p w:rsidR="00000000" w:rsidRDefault="0008038C">
      <w:pPr>
        <w:pStyle w:val="Corpo"/>
        <w:rPr>
          <w:rFonts w:ascii="Times New Roman" w:hAnsi="Times New Roman"/>
        </w:rPr>
      </w:pPr>
    </w:p>
    <w:p w:rsidR="00000000" w:rsidRDefault="0008038C">
      <w:pPr>
        <w:pStyle w:val="Corpo"/>
        <w:rPr>
          <w:rFonts w:ascii="Times New Roman" w:hAnsi="Times New Roman"/>
        </w:rPr>
      </w:pPr>
    </w:p>
    <w:p w:rsidR="00000000" w:rsidRDefault="0008038C">
      <w:pPr>
        <w:pStyle w:val="Corpo"/>
        <w:rPr>
          <w:rFonts w:ascii="Times New Roman" w:hAnsi="Times New Roman"/>
        </w:rPr>
      </w:pPr>
    </w:p>
    <w:p w:rsidR="00000000" w:rsidRDefault="0008038C">
      <w:pPr>
        <w:pStyle w:val="Corpo"/>
        <w:rPr>
          <w:rFonts w:ascii="Times New Roman" w:hAnsi="Times New Roman"/>
        </w:rPr>
      </w:pPr>
    </w:p>
    <w:p w:rsidR="0008038C" w:rsidRDefault="0008038C">
      <w:pPr>
        <w:pStyle w:val="Corpo"/>
        <w:rPr>
          <w:rFonts w:ascii="Times New Roman" w:eastAsia="Times New Roman" w:hAnsi="Times New Roman"/>
          <w:color w:val="auto"/>
          <w:sz w:val="20"/>
          <w:lang w:val="pt-BR" w:eastAsia="pt-BR"/>
        </w:rPr>
      </w:pPr>
      <w:r>
        <w:rPr>
          <w:rFonts w:ascii="Times New Roman" w:hAnsi="Times New Roman"/>
        </w:rPr>
        <w:t>Tumores de vias ópticas e hipotálamo quase sempre não são biopsiados. Na maioria dos casos, são astrocitomas de baixo grau. Tumores intrínsecos difusos da ponte raramente são biopsiado</w:t>
      </w:r>
      <w:r>
        <w:rPr>
          <w:rFonts w:ascii="Times New Roman" w:hAnsi="Times New Roman"/>
        </w:rPr>
        <w:t>s. Quase que invariavelmente são gliomas de alto grau.</w:t>
      </w:r>
    </w:p>
    <w:sectPr w:rsidR="0008038C">
      <w:headerReference w:type="even" r:id="rId8"/>
      <w:headerReference w:type="default" r:id="rId9"/>
      <w:footerReference w:type="even" r:id="rId10"/>
      <w:footerReference w:type="default" r:id="rId11"/>
      <w:pgSz w:w="16838" w:h="11906"/>
      <w:pgMar w:top="1134" w:right="1134" w:bottom="1134" w:left="1134" w:header="850"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38C" w:rsidRDefault="0008038C">
      <w:r>
        <w:separator/>
      </w:r>
    </w:p>
  </w:endnote>
  <w:endnote w:type="continuationSeparator" w:id="0">
    <w:p w:rsidR="0008038C" w:rsidRDefault="000803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Times New Roman Italic">
    <w:altName w:val="Times New Roman"/>
    <w:charset w:val="00"/>
    <w:family w:val="roman"/>
    <w:pitch w:val="default"/>
    <w:sig w:usb0="00000000" w:usb1="00000000" w:usb2="00000000" w:usb3="00000000" w:csb0="00000000" w:csb1="00000000"/>
  </w:font>
  <w:font w:name="Times New Roman Bold">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8038C">
    <w:pPr>
      <w:pStyle w:val="CabealhoeRodap"/>
      <w:rPr>
        <w:rFonts w:ascii="Times New Roman" w:eastAsia="Times New Roman" w:hAnsi="Times New Roman"/>
        <w:color w:val="auto"/>
        <w:lang w:val="pt-BR" w:eastAsia="pt-B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8038C">
    <w:pPr>
      <w:pStyle w:val="CabealhoeRodap"/>
      <w:rPr>
        <w:rFonts w:ascii="Times New Roman" w:eastAsia="Times New Roman" w:hAnsi="Times New Roman"/>
        <w:color w:val="auto"/>
        <w:lang w:val="pt-BR" w:eastAsia="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38C" w:rsidRDefault="0008038C">
      <w:r>
        <w:separator/>
      </w:r>
    </w:p>
  </w:footnote>
  <w:footnote w:type="continuationSeparator" w:id="0">
    <w:p w:rsidR="0008038C" w:rsidRDefault="000803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8038C">
    <w:pPr>
      <w:pStyle w:val="CabealhoeRodap"/>
      <w:rPr>
        <w:rFonts w:ascii="Times New Roman" w:eastAsia="Times New Roman" w:hAnsi="Times New Roman"/>
        <w:color w:val="auto"/>
        <w:lang w:val="pt-BR" w:eastAsia="pt-B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8038C">
    <w:pPr>
      <w:pStyle w:val="CabealhoeRodap"/>
      <w:rPr>
        <w:rFonts w:ascii="Times New Roman" w:eastAsia="Times New Roman" w:hAnsi="Times New Roman"/>
        <w:color w:val="auto"/>
        <w:lang w:val="pt-BR" w:eastAsia="pt-B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A543A"/>
    <w:rsid w:val="0008038C"/>
    <w:rsid w:val="005A543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customStyle="1" w:styleId="Heading1">
    <w:name w:val="Heading 1"/>
    <w:qFormat/>
    <w:pPr>
      <w:keepNext/>
      <w:outlineLvl w:val="0"/>
    </w:pPr>
    <w:rPr>
      <w:rFonts w:ascii="Helvetica" w:eastAsia="ヒラギノ角ゴ Pro W3" w:hAnsi="Helvetica"/>
      <w:b/>
      <w:color w:val="000000"/>
      <w:sz w:val="36"/>
      <w:lang w:val="pt-PT"/>
    </w:rPr>
  </w:style>
  <w:style w:type="paragraph" w:customStyle="1" w:styleId="Heading2">
    <w:name w:val="Heading 2"/>
    <w:qFormat/>
    <w:pPr>
      <w:keepNext/>
      <w:outlineLvl w:val="1"/>
    </w:pPr>
    <w:rPr>
      <w:rFonts w:ascii="Helvetica" w:eastAsia="ヒラギノ角ゴ Pro W3" w:hAnsi="Helvetica"/>
      <w:b/>
      <w:color w:val="000000"/>
      <w:sz w:val="32"/>
      <w:lang w:val="pt-PT"/>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CabealhoeRodap">
    <w:name w:val="Cabeçalho e Rodapé"/>
    <w:pPr>
      <w:tabs>
        <w:tab w:val="right" w:pos="12960"/>
      </w:tabs>
    </w:pPr>
    <w:rPr>
      <w:rFonts w:ascii="Helvetica" w:eastAsia="ヒラギノ角ゴ Pro W3" w:hAnsi="Helvetica"/>
      <w:color w:val="000000"/>
      <w:lang w:val="pt-PT"/>
    </w:rPr>
  </w:style>
  <w:style w:type="paragraph" w:customStyle="1" w:styleId="Corpo">
    <w:name w:val="Corpo"/>
    <w:rPr>
      <w:rFonts w:ascii="Helvetica" w:eastAsia="ヒラギノ角ゴ Pro W3" w:hAnsi="Helvetica"/>
      <w:color w:val="000000"/>
      <w:sz w:val="24"/>
      <w:lang w:val="pt-PT"/>
    </w:rPr>
  </w:style>
  <w:style w:type="paragraph" w:customStyle="1" w:styleId="FormaLivre">
    <w:name w:val="Forma Livre"/>
    <w:rPr>
      <w:rFonts w:ascii="Helvetica" w:eastAsia="ヒラギノ角ゴ Pro W3" w:hAnsi="Helvetica"/>
      <w:color w:val="000000"/>
      <w:sz w:val="24"/>
      <w:lang w:val="pt-PT"/>
    </w:rPr>
  </w:style>
  <w:style w:type="character" w:customStyle="1" w:styleId="Unknown0">
    <w:name w:val="Unknown 0"/>
    <w:semiHidden/>
  </w:style>
  <w:style w:type="character" w:customStyle="1" w:styleId="Unknown1">
    <w:name w:val="Unknown 1"/>
    <w:semiHidden/>
  </w:style>
  <w:style w:type="character" w:customStyle="1" w:styleId="Unknown2">
    <w:name w:val="Unknown 2"/>
    <w:basedOn w:val="FormaLivre"/>
    <w:semiHidden/>
    <w:rPr>
      <w:rFonts w:ascii="Times New Roman" w:eastAsia="ヒラギノ角ゴ Pro W3" w:hAnsi="Times New Roman"/>
    </w:rPr>
  </w:style>
  <w:style w:type="character" w:customStyle="1" w:styleId="Unknown3">
    <w:name w:val="Unknown 3"/>
    <w:basedOn w:val="FormaLivre"/>
    <w:semiHidden/>
    <w:rPr>
      <w:b/>
      <w:caps w:val="0"/>
      <w:smallCaps w:val="0"/>
      <w:strike w:val="0"/>
      <w:dstrike w:val="0"/>
      <w:outline w:val="0"/>
      <w:vanish w:val="0"/>
      <w:color w:val="000000"/>
      <w:spacing w:val="0"/>
      <w:kern w:val="0"/>
      <w:position w:val="0"/>
      <w:sz w:val="30"/>
      <w:u w:val="none"/>
      <w:shd w:val="clear" w:color="auto" w:fill="auto"/>
      <w:vertAlign w:val="baseline"/>
      <w:lang w:val="pt-PT"/>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ebm.net/index.aspx?o=565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btrus.org"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5568</Words>
  <Characters>30071</Characters>
  <Application>Microsoft Office Word</Application>
  <DocSecurity>0</DocSecurity>
  <Lines>250</Lines>
  <Paragraphs>71</Paragraphs>
  <ScaleCrop>false</ScaleCrop>
  <Company/>
  <LinksUpToDate>false</LinksUpToDate>
  <CharactersWithSpaces>35568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suporte</dc:creator>
  <cp:lastModifiedBy>suporte</cp:lastModifiedBy>
  <cp:revision>2</cp:revision>
  <dcterms:created xsi:type="dcterms:W3CDTF">2016-03-20T15:09:00Z</dcterms:created>
  <dcterms:modified xsi:type="dcterms:W3CDTF">2016-03-20T15:09:00Z</dcterms:modified>
</cp:coreProperties>
</file>