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8F19" w14:textId="7A2E8FA0" w:rsidR="000D5B4A" w:rsidRDefault="003C438A">
      <w:r w:rsidRPr="003C438A">
        <w:t>Atividade aula 03 – Relacionamentos e restrições</w:t>
      </w:r>
      <w:r>
        <w:t xml:space="preserve">. </w:t>
      </w:r>
      <w:r>
        <w:br/>
      </w:r>
      <w:r>
        <w:br/>
      </w:r>
      <w:r>
        <w:rPr>
          <w:rStyle w:val="Forte"/>
        </w:rPr>
        <w:t>1. Qual é a diferença entre grau e cardinalidade?</w:t>
      </w:r>
      <w:r>
        <w:br/>
        <w:t>O grau mostra quantas entidades fazem parte de um relacionamento. Já a cardinalidade mostra quantas vezes elas podem se relacionar.</w:t>
      </w:r>
      <w:r>
        <w:br/>
      </w:r>
      <w:r>
        <w:br/>
      </w:r>
      <w:r>
        <w:rPr>
          <w:rStyle w:val="Forte"/>
        </w:rPr>
        <w:t>2. Quando um ternário não pode ser decomposto?</w:t>
      </w:r>
      <w:r>
        <w:br/>
        <w:t>Quando o relacionamento depende das três entidades juntas. Se separar, pode acabar perdendo o sentido da informação.</w:t>
      </w:r>
      <w:r>
        <w:br/>
      </w:r>
      <w:r>
        <w:br/>
      </w:r>
      <w:r>
        <w:rPr>
          <w:rStyle w:val="Forte"/>
        </w:rPr>
        <w:t>3. Como distinguir 1:N de participação obrigatória?</w:t>
      </w:r>
      <w:r>
        <w:br/>
        <w:t>O 1:N mostra que uma entidade pode se relacionar com várias outras. Já a participação obrigatória significa que a entidade precisa participar de pelo menos um relacionamento.</w:t>
      </w:r>
      <w:r>
        <w:br/>
      </w:r>
      <w:r>
        <w:br/>
      </w:r>
      <w:r>
        <w:rPr>
          <w:rStyle w:val="Forte"/>
        </w:rPr>
        <w:t>4. Quando criar uma entidade associativa?</w:t>
      </w:r>
      <w:r>
        <w:br/>
        <w:t>Quando o relacionamento precisa ter informações próprias. Por exemplo, uma matrícula pode ter nota, semestre e situação do aluno</w:t>
      </w:r>
      <w:r>
        <w:t>.</w:t>
      </w:r>
      <w:r>
        <w:br/>
      </w:r>
      <w:r>
        <w:br/>
      </w:r>
      <w:r>
        <w:rPr>
          <w:rStyle w:val="Forte"/>
        </w:rPr>
        <w:t>5. Como validar um DER com especialistas do domínio?</w:t>
      </w:r>
      <w:r>
        <w:br/>
        <w:t>Conversando com as pessoas que conhecem o sistema, fazendo perguntas e vendo se o DER representa realmente as regras do negócio. Também é importante testar situações diferentes para encontrar possíveis erros.</w:t>
      </w:r>
    </w:p>
    <w:sectPr w:rsidR="000D5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8A"/>
    <w:rsid w:val="000D5B4A"/>
    <w:rsid w:val="00195744"/>
    <w:rsid w:val="003C438A"/>
    <w:rsid w:val="008C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181B"/>
  <w15:chartTrackingRefBased/>
  <w15:docId w15:val="{D2009B1C-73ED-4045-8622-F7746D92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3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3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3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3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3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3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3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38A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C43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897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Miranda</dc:creator>
  <cp:keywords/>
  <dc:description/>
  <cp:lastModifiedBy>Camila Miranda</cp:lastModifiedBy>
  <cp:revision>1</cp:revision>
  <dcterms:created xsi:type="dcterms:W3CDTF">2026-08-26T02:08:00Z</dcterms:created>
  <dcterms:modified xsi:type="dcterms:W3CDTF">2026-08-26T02:13:00Z</dcterms:modified>
</cp:coreProperties>
</file>