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4D3EA7" w:rsidRDefault="00D97BB9" w:rsidP="002838DB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2"/>
          <w:szCs w:val="22"/>
        </w:rPr>
      </w:pPr>
      <w:bookmarkStart w:id="0" w:name="_Toc266033406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MACROPROCESO: </w:t>
      </w:r>
      <w:bookmarkEnd w:id="0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GESTIÓN </w:t>
      </w:r>
      <w:r w:rsidR="008D5AFA">
        <w:rPr>
          <w:rFonts w:asciiTheme="minorHAnsi" w:hAnsiTheme="minorHAnsi" w:cstheme="minorHAnsi"/>
          <w:b/>
          <w:i w:val="0"/>
          <w:sz w:val="22"/>
          <w:szCs w:val="22"/>
        </w:rPr>
        <w:t>DE CONTROL DE PAGOS</w:t>
      </w:r>
    </w:p>
    <w:p w:rsidR="00D97BB9" w:rsidRPr="004D3EA7" w:rsidRDefault="00D97BB9" w:rsidP="002838DB">
      <w:pPr>
        <w:jc w:val="both"/>
      </w:pPr>
      <w:r w:rsidRPr="004D3EA7">
        <w:rPr>
          <w:rFonts w:asciiTheme="minorHAnsi" w:hAnsiTheme="minorHAnsi" w:cstheme="minorHAnsi"/>
        </w:rPr>
        <w:t>El presente macroproceso describe las labores realizadas por el Departamento de Administración, los Programas Rurales e Instituciones Ed</w:t>
      </w:r>
      <w:r w:rsidR="008959AD" w:rsidRPr="004D3EA7">
        <w:rPr>
          <w:rFonts w:asciiTheme="minorHAnsi" w:hAnsiTheme="minorHAnsi" w:cstheme="minorHAnsi"/>
        </w:rPr>
        <w:t>ucativas, el Secretario General, el Director General de la Oficina Central de Fe y Alegría Perú, y la constructora para la construcción de nuevos colegios o remodelación de los existentes.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1"/>
        <w:gridCol w:w="2201"/>
        <w:gridCol w:w="2160"/>
        <w:gridCol w:w="2118"/>
      </w:tblGrid>
      <w:tr w:rsidR="00B10213" w:rsidRPr="004D3EA7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4D3EA7" w:rsidRDefault="00B10213" w:rsidP="008D5AF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s-PE"/>
              </w:rPr>
            </w:pPr>
            <w:r w:rsidRPr="004D3EA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MACRO PROCESO: Gestión de </w:t>
            </w:r>
            <w:r w:rsidR="008D5AF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Control de Pagos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PROPÓSITO</w:t>
            </w:r>
          </w:p>
        </w:tc>
        <w:tc>
          <w:tcPr>
            <w:tcW w:w="6479" w:type="dxa"/>
            <w:gridSpan w:val="3"/>
          </w:tcPr>
          <w:p w:rsidR="00B10213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El siguiente macro proceso tiene como propósito el cumplimiento del  siguiente objetivo:</w:t>
            </w:r>
          </w:p>
          <w:p w:rsidR="001676A1" w:rsidRPr="004D3EA7" w:rsidRDefault="001676A1" w:rsidP="001676A1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bookmarkStart w:id="1" w:name="_GoBack"/>
            <w:bookmarkEnd w:id="1"/>
          </w:p>
          <w:p w:rsidR="00C5669F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D382E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4D3EA7" w:rsidRDefault="00B10213" w:rsidP="002838DB">
            <w:pPr>
              <w:spacing w:after="0"/>
              <w:jc w:val="both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4D3EA7" w:rsidRPr="004D3EA7" w:rsidRDefault="004D3EA7" w:rsidP="002838DB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8D382E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4D3EA7" w:rsidRDefault="00B10213" w:rsidP="002838D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4D3EA7" w:rsidRDefault="008D382E" w:rsidP="001676A1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536DD9">
              <w:rPr>
                <w:rFonts w:asciiTheme="minorHAnsi" w:hAnsiTheme="minorHAnsi" w:cstheme="minorHAnsi"/>
              </w:rPr>
              <w:t xml:space="preserve">El alcance del presente macroproceso se encuentra en torno al esfuerzo </w:t>
            </w:r>
            <w:r w:rsidR="00536DD9" w:rsidRPr="00536DD9">
              <w:rPr>
                <w:rFonts w:asciiTheme="minorHAnsi" w:hAnsiTheme="minorHAnsi" w:cstheme="minorHAnsi"/>
              </w:rPr>
              <w:t xml:space="preserve">realizado para 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4D3EA7" w:rsidRDefault="00D97BB9" w:rsidP="002838D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80590E" w:rsidRPr="00C133D3" w:rsidRDefault="0080590E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C133D3" w:rsidRDefault="00C133D3" w:rsidP="002838DB">
      <w:pPr>
        <w:rPr>
          <w:rFonts w:asciiTheme="minorHAnsi" w:hAnsiTheme="minorHAnsi" w:cstheme="minorHAnsi"/>
        </w:rPr>
      </w:pPr>
    </w:p>
    <w:p w:rsidR="008D5AFA" w:rsidRDefault="008D5AFA" w:rsidP="002838DB">
      <w:pPr>
        <w:rPr>
          <w:rFonts w:asciiTheme="minorHAnsi" w:hAnsiTheme="minorHAnsi" w:cstheme="minorHAnsi"/>
        </w:rPr>
      </w:pPr>
    </w:p>
    <w:p w:rsidR="008D5AFA" w:rsidRDefault="001676A1" w:rsidP="002838DB">
      <w:pPr>
        <w:rPr>
          <w:rFonts w:asciiTheme="minorHAnsi" w:hAnsiTheme="minorHAnsi" w:cstheme="minorHAnsi"/>
        </w:rPr>
        <w:sectPr w:rsidR="008D5A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</w:rPr>
        <w:t xml:space="preserve"> </w:t>
      </w:r>
    </w:p>
    <w:p w:rsidR="00C133D3" w:rsidRPr="00987134" w:rsidRDefault="006200FD" w:rsidP="002838DB">
      <w:pPr>
        <w:jc w:val="center"/>
        <w:rPr>
          <w:rFonts w:asciiTheme="minorHAnsi" w:hAnsiTheme="minorHAnsi" w:cstheme="minorHAnsi"/>
        </w:rPr>
        <w:sectPr w:rsidR="00C133D3" w:rsidRPr="00987134" w:rsidSect="00C133D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lang w:val="es-PE" w:eastAsia="es-PE" w:bidi="ar-SA"/>
        </w:rPr>
        <w:lastRenderedPageBreak/>
        <w:drawing>
          <wp:inline distT="0" distB="0" distL="0" distR="0">
            <wp:extent cx="5744399" cy="5291015"/>
            <wp:effectExtent l="0" t="0" r="8890" b="5080"/>
            <wp:docPr id="2" name="Imagen 2" descr="D:\Documents and Settings\Jose\Escritorio\Proyecto Fe y Alegria\Control de Pagos v3.0\Gestión de Control de Pagos v3.0\Gestión de Control de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Control de Pagos v3.0\Gestión de Control de Pagos v3.0\Gestión de Control de Pag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11" cy="52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1"/>
        <w:gridCol w:w="1783"/>
        <w:gridCol w:w="1559"/>
        <w:gridCol w:w="1559"/>
        <w:gridCol w:w="2838"/>
        <w:gridCol w:w="1562"/>
        <w:gridCol w:w="1722"/>
        <w:gridCol w:w="950"/>
        <w:gridCol w:w="2144"/>
      </w:tblGrid>
      <w:tr w:rsidR="006200FD" w:rsidRPr="00423FED" w:rsidTr="007D74CC">
        <w:trPr>
          <w:trHeight w:val="495"/>
        </w:trPr>
        <w:tc>
          <w:tcPr>
            <w:tcW w:w="155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612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35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35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974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3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591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2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736" w:type="pct"/>
            <w:shd w:val="clear" w:color="auto" w:fill="000000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MACROPROCESO</w:t>
            </w:r>
          </w:p>
        </w:tc>
      </w:tr>
      <w:tr w:rsidR="006200FD" w:rsidRPr="001676A1" w:rsidTr="007D74CC">
        <w:trPr>
          <w:trHeight w:val="2029"/>
        </w:trPr>
        <w:tc>
          <w:tcPr>
            <w:tcW w:w="155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3779BD" w:rsidRPr="001676A1" w:rsidRDefault="005B2E8A" w:rsidP="00121CC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Pagos y Reposición de Caja Chica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5B2E8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codificado</w:t>
            </w:r>
          </w:p>
        </w:tc>
        <w:tc>
          <w:tcPr>
            <w:tcW w:w="974" w:type="pct"/>
            <w:shd w:val="clear" w:color="auto" w:fill="C0C0C0"/>
            <w:vAlign w:val="center"/>
          </w:tcPr>
          <w:p w:rsidR="003779BD" w:rsidRPr="001676A1" w:rsidRDefault="00121CC7" w:rsidP="00A703A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vez que ingresa un comprobante de pago con fondos de la Caja Chica, el Departamento de Administración evalúa si el gasto a realizar llega al 80% del monto trazado para Caja Chica, en caso sea así</w:t>
            </w:r>
            <w:r w:rsidR="00A703AB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realiza las actividades correspondientes para la reposición de efectivo en Caja Chica.</w:t>
            </w:r>
          </w:p>
        </w:tc>
        <w:tc>
          <w:tcPr>
            <w:tcW w:w="53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C0C0C0"/>
            <w:vAlign w:val="center"/>
          </w:tcPr>
          <w:p w:rsidR="003779BD" w:rsidRPr="001676A1" w:rsidRDefault="003779BD" w:rsidP="0092269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</w:t>
            </w:r>
            <w:r w:rsidR="0092269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Control de Pago</w:t>
            </w:r>
          </w:p>
        </w:tc>
      </w:tr>
      <w:tr w:rsidR="006200FD" w:rsidRPr="001676A1" w:rsidTr="007D74CC">
        <w:trPr>
          <w:trHeight w:val="548"/>
        </w:trPr>
        <w:tc>
          <w:tcPr>
            <w:tcW w:w="155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612" w:type="pct"/>
            <w:vAlign w:val="center"/>
          </w:tcPr>
          <w:p w:rsidR="003779BD" w:rsidRPr="001676A1" w:rsidRDefault="00D91D3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35" w:type="pct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35" w:type="pct"/>
            <w:vAlign w:val="center"/>
          </w:tcPr>
          <w:p w:rsidR="003779BD" w:rsidRPr="001676A1" w:rsidRDefault="00D91D3A" w:rsidP="00387E4E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974" w:type="pct"/>
            <w:vAlign w:val="center"/>
          </w:tcPr>
          <w:p w:rsidR="003779BD" w:rsidRPr="001676A1" w:rsidRDefault="00C9510E" w:rsidP="00A703A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realiza el Arqueo de Caja sorpresivo como medida de control, el cual consiste en </w:t>
            </w:r>
            <w:r w:rsidR="00A703AB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la posible existencia de diferencias entre el saldo disponible en efectivo (monedas y billetes) y valores (cheques y documentos); y el saldo en libro de caja.</w:t>
            </w:r>
          </w:p>
        </w:tc>
        <w:tc>
          <w:tcPr>
            <w:tcW w:w="53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3779BD" w:rsidRPr="001676A1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483"/>
        </w:trPr>
        <w:tc>
          <w:tcPr>
            <w:tcW w:w="155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3779BD" w:rsidRPr="001676A1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Contratar Personal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92269D" w:rsidP="006200F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Contratación </w:t>
            </w:r>
            <w:r w:rsidR="006200F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 Inducción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</w:t>
            </w:r>
          </w:p>
        </w:tc>
        <w:tc>
          <w:tcPr>
            <w:tcW w:w="974" w:type="pct"/>
            <w:shd w:val="clear" w:color="auto" w:fill="C0C0C0"/>
            <w:vAlign w:val="center"/>
          </w:tcPr>
          <w:p w:rsidR="003779BD" w:rsidRPr="001676A1" w:rsidRDefault="00154AAA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encarga de la contratación del  personal</w:t>
            </w:r>
            <w:r w:rsidR="006200F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de realizar la inducción correspondiente en el puesto</w:t>
            </w:r>
            <w:r w:rsidR="00F54497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3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C0C0C0"/>
            <w:vAlign w:val="center"/>
          </w:tcPr>
          <w:p w:rsidR="003779BD" w:rsidRPr="001676A1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402"/>
        </w:trPr>
        <w:tc>
          <w:tcPr>
            <w:tcW w:w="155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612" w:type="pct"/>
            <w:vAlign w:val="center"/>
          </w:tcPr>
          <w:p w:rsidR="00092721" w:rsidRPr="001676A1" w:rsidRDefault="000C4F66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</w:t>
            </w:r>
            <w:r w:rsidR="00C91A3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535" w:type="pct"/>
            <w:vAlign w:val="center"/>
          </w:tcPr>
          <w:p w:rsidR="003779BD" w:rsidRPr="001676A1" w:rsidRDefault="0092269D" w:rsidP="007C787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Planilla de Remuneraciones</w:t>
            </w:r>
          </w:p>
        </w:tc>
        <w:tc>
          <w:tcPr>
            <w:tcW w:w="535" w:type="pct"/>
            <w:vAlign w:val="center"/>
          </w:tcPr>
          <w:p w:rsidR="00092721" w:rsidRPr="001676A1" w:rsidRDefault="00C91A39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firmada</w:t>
            </w:r>
          </w:p>
        </w:tc>
        <w:tc>
          <w:tcPr>
            <w:tcW w:w="974" w:type="pct"/>
            <w:vAlign w:val="center"/>
          </w:tcPr>
          <w:p w:rsidR="003779BD" w:rsidRPr="001676A1" w:rsidRDefault="00F54497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Asimismo, el Departamento de Administración realiza el pago de Planilla a todos los empleados de la Oficina </w:t>
            </w:r>
            <w:r w:rsidR="00A2050E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Central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Fe y Alegría Perú.</w:t>
            </w:r>
          </w:p>
        </w:tc>
        <w:tc>
          <w:tcPr>
            <w:tcW w:w="53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3779BD" w:rsidRPr="001676A1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3779BD" w:rsidRPr="001676A1" w:rsidRDefault="00C91A3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de Bienes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57543D" w:rsidRPr="001676A1" w:rsidRDefault="00FD7D60" w:rsidP="005C696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Orden Compra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archivada</w:t>
            </w:r>
          </w:p>
        </w:tc>
        <w:tc>
          <w:tcPr>
            <w:tcW w:w="974" w:type="pct"/>
            <w:shd w:val="clear" w:color="auto" w:fill="C0C0C0"/>
            <w:vAlign w:val="center"/>
          </w:tcPr>
          <w:p w:rsidR="0057543D" w:rsidRPr="001676A1" w:rsidRDefault="00F54497" w:rsidP="0057543D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Departamento de Administración se </w:t>
            </w:r>
            <w:r w:rsidR="00F8795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</w:t>
            </w:r>
            <w:r w:rsidR="0057543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adquirir los Bienes </w:t>
            </w:r>
            <w:r w:rsidR="0057543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que han sido solicitados mediante una Cotización, previamente elaborada, por un empleado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57543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Oficina Central de Fe y Alegría Perú.</w:t>
            </w:r>
            <w:r w:rsidR="00154AAA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536" w:type="pct"/>
            <w:shd w:val="clear" w:color="auto" w:fill="C0C0C0"/>
            <w:vAlign w:val="center"/>
          </w:tcPr>
          <w:p w:rsidR="003779B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Departamento de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Administración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Manual</w:t>
            </w:r>
          </w:p>
        </w:tc>
        <w:tc>
          <w:tcPr>
            <w:tcW w:w="32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C0C0C0"/>
            <w:vAlign w:val="center"/>
          </w:tcPr>
          <w:p w:rsidR="003779BD" w:rsidRPr="001676A1" w:rsidRDefault="002F06D1" w:rsidP="00D81E5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Abastecimiento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612" w:type="pct"/>
            <w:vAlign w:val="center"/>
          </w:tcPr>
          <w:p w:rsidR="00B643D3" w:rsidRPr="001676A1" w:rsidRDefault="00B643D3" w:rsidP="00B643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  <w:p w:rsidR="003779BD" w:rsidRPr="001676A1" w:rsidRDefault="00B643D3" w:rsidP="00B643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35" w:type="pct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Recepción y pago de comprobantes de proveedores</w:t>
            </w:r>
          </w:p>
        </w:tc>
        <w:tc>
          <w:tcPr>
            <w:tcW w:w="535" w:type="pct"/>
            <w:vAlign w:val="center"/>
          </w:tcPr>
          <w:p w:rsidR="003779BD" w:rsidRPr="001676A1" w:rsidRDefault="00C91A3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974" w:type="pct"/>
            <w:vAlign w:val="center"/>
          </w:tcPr>
          <w:p w:rsidR="003779BD" w:rsidRPr="001676A1" w:rsidRDefault="00154AAA" w:rsidP="00B643D3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</w:t>
            </w:r>
            <w:r w:rsidR="00B643D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realiza el </w:t>
            </w:r>
            <w:r w:rsidR="00D601F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643D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los comprobantes entregados por los proveedores. En caso de recibir la Copia de Orden de Compra el flujo de actividades es el mismo de cuando recibe un Comprobante.</w:t>
            </w:r>
          </w:p>
        </w:tc>
        <w:tc>
          <w:tcPr>
            <w:tcW w:w="53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3779BD" w:rsidRPr="001676A1" w:rsidRDefault="003779B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3779B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612" w:type="pct"/>
            <w:shd w:val="clear" w:color="auto" w:fill="BFBFBF" w:themeFill="background1" w:themeFillShade="BF"/>
            <w:vAlign w:val="center"/>
          </w:tcPr>
          <w:p w:rsidR="0092269D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35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Recepción y depósito de efectivo a los bancos</w:t>
            </w:r>
          </w:p>
        </w:tc>
        <w:tc>
          <w:tcPr>
            <w:tcW w:w="535" w:type="pct"/>
            <w:shd w:val="clear" w:color="auto" w:fill="BFBFBF" w:themeFill="background1" w:themeFillShade="BF"/>
            <w:vAlign w:val="center"/>
          </w:tcPr>
          <w:p w:rsidR="0092269D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registrado</w:t>
            </w:r>
          </w:p>
        </w:tc>
        <w:tc>
          <w:tcPr>
            <w:tcW w:w="974" w:type="pct"/>
            <w:shd w:val="clear" w:color="auto" w:fill="BFBFBF" w:themeFill="background1" w:themeFillShade="BF"/>
            <w:vAlign w:val="center"/>
          </w:tcPr>
          <w:p w:rsidR="0092269D" w:rsidRPr="001676A1" w:rsidRDefault="00D601FC" w:rsidP="00D81E5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se encarga de hacer los depósitos a la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cuenta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 corrientes correspondientes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Institución.</w:t>
            </w:r>
          </w:p>
        </w:tc>
        <w:tc>
          <w:tcPr>
            <w:tcW w:w="536" w:type="pct"/>
            <w:shd w:val="clear" w:color="auto" w:fill="BFBFBF" w:themeFill="background1" w:themeFillShade="BF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shd w:val="clear" w:color="auto" w:fill="BFBFBF" w:themeFill="background1" w:themeFillShade="BF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612" w:type="pct"/>
            <w:vAlign w:val="center"/>
          </w:tcPr>
          <w:p w:rsidR="0092269D" w:rsidRPr="001676A1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3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Comprobantes de Obligaciones y Servicios</w:t>
            </w:r>
          </w:p>
        </w:tc>
        <w:tc>
          <w:tcPr>
            <w:tcW w:w="535" w:type="pct"/>
            <w:vAlign w:val="center"/>
          </w:tcPr>
          <w:p w:rsidR="0092269D" w:rsidRPr="001676A1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974" w:type="pct"/>
            <w:vAlign w:val="center"/>
          </w:tcPr>
          <w:p w:rsidR="0092269D" w:rsidRPr="001676A1" w:rsidRDefault="00D601FC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realiza el pago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los comprobantes de Obligaciones y Servicios. (Ejemplo: luz, agua, teléfono, impuestos).</w:t>
            </w:r>
          </w:p>
        </w:tc>
        <w:tc>
          <w:tcPr>
            <w:tcW w:w="536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612" w:type="pct"/>
            <w:shd w:val="clear" w:color="auto" w:fill="A6A6A6" w:themeFill="background1" w:themeFillShade="A6"/>
            <w:vAlign w:val="center"/>
          </w:tcPr>
          <w:p w:rsidR="0092269D" w:rsidRPr="001676A1" w:rsidRDefault="008C4FF1" w:rsidP="008C4FF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Especificaciones Técnicas de Obra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Selección de Constructora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:rsidR="0092269D" w:rsidRPr="001676A1" w:rsidRDefault="008C4FF1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974" w:type="pct"/>
            <w:shd w:val="clear" w:color="auto" w:fill="A6A6A6" w:themeFill="background1" w:themeFillShade="A6"/>
            <w:vAlign w:val="center"/>
          </w:tcPr>
          <w:p w:rsidR="0092269D" w:rsidRPr="001676A1" w:rsidRDefault="00F87953" w:rsidP="00D81E5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 la selección de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Constructora para la Obra a ejecutarse.</w:t>
            </w:r>
          </w:p>
        </w:tc>
        <w:tc>
          <w:tcPr>
            <w:tcW w:w="536" w:type="pct"/>
            <w:shd w:val="clear" w:color="auto" w:fill="A6A6A6" w:themeFill="background1" w:themeFillShade="A6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shd w:val="clear" w:color="auto" w:fill="A6A6A6" w:themeFill="background1" w:themeFillShade="A6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A6A6A6" w:themeFill="background1" w:themeFillShade="A6"/>
            <w:vAlign w:val="center"/>
          </w:tcPr>
          <w:p w:rsidR="0092269D" w:rsidRPr="001676A1" w:rsidRDefault="00D81E5C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612" w:type="pct"/>
            <w:vAlign w:val="center"/>
          </w:tcPr>
          <w:p w:rsidR="00C91A39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  <w:p w:rsidR="00C91A39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F84E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  <w:p w:rsidR="00323A97" w:rsidRPr="001676A1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Acta de Recepción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y Conformidad de Obra aprobada por el Administrador</w:t>
            </w:r>
          </w:p>
        </w:tc>
        <w:tc>
          <w:tcPr>
            <w:tcW w:w="53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Pago de</w:t>
            </w:r>
            <w:r w:rsidR="00C91A3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Presupuesto de Construcción</w:t>
            </w:r>
          </w:p>
        </w:tc>
        <w:tc>
          <w:tcPr>
            <w:tcW w:w="535" w:type="pct"/>
            <w:vAlign w:val="center"/>
          </w:tcPr>
          <w:p w:rsidR="00C91A39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VoBo del Administrador y del Director General</w:t>
            </w:r>
          </w:p>
          <w:p w:rsidR="00C91A39" w:rsidRPr="001676A1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Copia de la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C91A39" w:rsidRPr="001676A1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 la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Final de la Obra</w:t>
            </w:r>
          </w:p>
          <w:p w:rsidR="005E62D6" w:rsidRPr="001676A1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 la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974" w:type="pct"/>
            <w:vAlign w:val="center"/>
          </w:tcPr>
          <w:p w:rsidR="0092269D" w:rsidRPr="001676A1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Departamento de Administración realiza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los pagos correspondientes 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Constructora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la construcción de obras,</w:t>
            </w:r>
            <w:r w:rsidR="005B008C" w:rsidRPr="001676A1">
              <w:t xml:space="preserve">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ya sea en su etapa inicial, en proceso o en la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final.</w:t>
            </w:r>
          </w:p>
          <w:p w:rsidR="00230844" w:rsidRPr="001676A1" w:rsidRDefault="00230844" w:rsidP="001676A1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Copia de Planos y Presupuesto ingresa cuando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Obra recién comienza.</w:t>
            </w:r>
            <w:r w:rsidR="0063156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1676A1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Fotos del Avance de la Obra ingresan cuando la Obra está en proceso. El Acta de Recepción y Conformidad de Obra ingresa cuando la Obra se ha finalizado y se hacen los últimos trámites.</w:t>
            </w:r>
          </w:p>
        </w:tc>
        <w:tc>
          <w:tcPr>
            <w:tcW w:w="536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Departamento de Administración</w:t>
            </w:r>
          </w:p>
        </w:tc>
        <w:tc>
          <w:tcPr>
            <w:tcW w:w="591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11.</w:t>
            </w:r>
          </w:p>
        </w:tc>
        <w:tc>
          <w:tcPr>
            <w:tcW w:w="612" w:type="pct"/>
            <w:shd w:val="clear" w:color="auto" w:fill="A6A6A6" w:themeFill="background1" w:themeFillShade="A6"/>
            <w:vAlign w:val="center"/>
          </w:tcPr>
          <w:p w:rsidR="005B008C" w:rsidRPr="001676A1" w:rsidRDefault="005B008C" w:rsidP="005B00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92269D" w:rsidRPr="001676A1" w:rsidRDefault="005B008C" w:rsidP="005B00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Construir Obra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:rsidR="00323A97" w:rsidRPr="001676A1" w:rsidRDefault="00323A97" w:rsidP="00323A9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  <w:p w:rsidR="00323A97" w:rsidRPr="001676A1" w:rsidRDefault="00323A97" w:rsidP="00323A9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974" w:type="pct"/>
            <w:shd w:val="clear" w:color="auto" w:fill="A6A6A6" w:themeFill="background1" w:themeFillShade="A6"/>
            <w:vAlign w:val="center"/>
          </w:tcPr>
          <w:p w:rsidR="0092269D" w:rsidRPr="001676A1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Constructora </w:t>
            </w:r>
            <w:r w:rsidR="00FD7D60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construye la Obra.</w:t>
            </w:r>
          </w:p>
        </w:tc>
        <w:tc>
          <w:tcPr>
            <w:tcW w:w="536" w:type="pct"/>
            <w:shd w:val="clear" w:color="auto" w:fill="A6A6A6" w:themeFill="background1" w:themeFillShade="A6"/>
            <w:vAlign w:val="center"/>
          </w:tcPr>
          <w:p w:rsidR="0092269D" w:rsidRPr="001676A1" w:rsidRDefault="002F06D1" w:rsidP="00D81E5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ra</w:t>
            </w:r>
          </w:p>
        </w:tc>
        <w:tc>
          <w:tcPr>
            <w:tcW w:w="591" w:type="pct"/>
            <w:shd w:val="clear" w:color="auto" w:fill="A6A6A6" w:themeFill="background1" w:themeFillShade="A6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A6A6A6" w:themeFill="background1" w:themeFillShade="A6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423FED" w:rsidTr="007D74CC">
        <w:trPr>
          <w:trHeight w:val="537"/>
        </w:trPr>
        <w:tc>
          <w:tcPr>
            <w:tcW w:w="15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612" w:type="pct"/>
            <w:vAlign w:val="center"/>
          </w:tcPr>
          <w:p w:rsidR="002B28B9" w:rsidRPr="001676A1" w:rsidRDefault="002B28B9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  <w:p w:rsidR="0092269D" w:rsidRPr="001676A1" w:rsidRDefault="002B28B9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53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Seguimiento y Entrega de la Obra</w:t>
            </w:r>
          </w:p>
        </w:tc>
        <w:tc>
          <w:tcPr>
            <w:tcW w:w="535" w:type="pct"/>
            <w:vAlign w:val="center"/>
          </w:tcPr>
          <w:p w:rsidR="002B28B9" w:rsidRPr="001676A1" w:rsidRDefault="004C2CE8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  <w:p w:rsidR="002B28B9" w:rsidRPr="001676A1" w:rsidRDefault="000266DB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Administrador</w:t>
            </w:r>
          </w:p>
        </w:tc>
        <w:tc>
          <w:tcPr>
            <w:tcW w:w="974" w:type="pct"/>
            <w:vAlign w:val="center"/>
          </w:tcPr>
          <w:p w:rsidR="002B28B9" w:rsidRPr="001676A1" w:rsidRDefault="002B28B9" w:rsidP="002B28B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hace un seguimiento continuo a la obra en construcción hasta  darla por finalizada.</w:t>
            </w:r>
          </w:p>
        </w:tc>
        <w:tc>
          <w:tcPr>
            <w:tcW w:w="536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92269D" w:rsidRDefault="00D81E5C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sectPr w:rsidR="00B10213" w:rsidRPr="00C133D3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266DB"/>
    <w:rsid w:val="00092721"/>
    <w:rsid w:val="000C4F66"/>
    <w:rsid w:val="000F1068"/>
    <w:rsid w:val="00121CC7"/>
    <w:rsid w:val="00154AAA"/>
    <w:rsid w:val="001676A1"/>
    <w:rsid w:val="0017121F"/>
    <w:rsid w:val="00175528"/>
    <w:rsid w:val="00230844"/>
    <w:rsid w:val="00232CAA"/>
    <w:rsid w:val="002838DB"/>
    <w:rsid w:val="002A41ED"/>
    <w:rsid w:val="002B28B9"/>
    <w:rsid w:val="002F06D1"/>
    <w:rsid w:val="00304E61"/>
    <w:rsid w:val="00323A97"/>
    <w:rsid w:val="00334517"/>
    <w:rsid w:val="003538D2"/>
    <w:rsid w:val="003779BD"/>
    <w:rsid w:val="00387E4E"/>
    <w:rsid w:val="00392A7E"/>
    <w:rsid w:val="003B0CF1"/>
    <w:rsid w:val="003E6E64"/>
    <w:rsid w:val="004936FA"/>
    <w:rsid w:val="004B6F0B"/>
    <w:rsid w:val="004C2CE8"/>
    <w:rsid w:val="004D3EA7"/>
    <w:rsid w:val="00510745"/>
    <w:rsid w:val="00536DD9"/>
    <w:rsid w:val="00554A43"/>
    <w:rsid w:val="0057543D"/>
    <w:rsid w:val="005B008C"/>
    <w:rsid w:val="005B2E8A"/>
    <w:rsid w:val="005C6965"/>
    <w:rsid w:val="005E62D6"/>
    <w:rsid w:val="006200FD"/>
    <w:rsid w:val="00627087"/>
    <w:rsid w:val="00631560"/>
    <w:rsid w:val="006A5866"/>
    <w:rsid w:val="007560E1"/>
    <w:rsid w:val="0075639D"/>
    <w:rsid w:val="007B5141"/>
    <w:rsid w:val="007C787D"/>
    <w:rsid w:val="007D74CC"/>
    <w:rsid w:val="0080590E"/>
    <w:rsid w:val="00834709"/>
    <w:rsid w:val="008654F4"/>
    <w:rsid w:val="00874F63"/>
    <w:rsid w:val="008959AD"/>
    <w:rsid w:val="008C4FF1"/>
    <w:rsid w:val="008D382E"/>
    <w:rsid w:val="008D5AFA"/>
    <w:rsid w:val="008F4A36"/>
    <w:rsid w:val="0092269D"/>
    <w:rsid w:val="00987134"/>
    <w:rsid w:val="00997951"/>
    <w:rsid w:val="009A56B5"/>
    <w:rsid w:val="00A2050E"/>
    <w:rsid w:val="00A554E2"/>
    <w:rsid w:val="00A703AB"/>
    <w:rsid w:val="00A85769"/>
    <w:rsid w:val="00AA0BC5"/>
    <w:rsid w:val="00B10213"/>
    <w:rsid w:val="00B643D3"/>
    <w:rsid w:val="00B65EC1"/>
    <w:rsid w:val="00BB4FE4"/>
    <w:rsid w:val="00BD7D72"/>
    <w:rsid w:val="00BF7332"/>
    <w:rsid w:val="00C133D3"/>
    <w:rsid w:val="00C277D3"/>
    <w:rsid w:val="00C32874"/>
    <w:rsid w:val="00C5669F"/>
    <w:rsid w:val="00C91A39"/>
    <w:rsid w:val="00C9510E"/>
    <w:rsid w:val="00CB45B7"/>
    <w:rsid w:val="00CF4D6F"/>
    <w:rsid w:val="00D601FC"/>
    <w:rsid w:val="00D81E5C"/>
    <w:rsid w:val="00D91D3A"/>
    <w:rsid w:val="00D97BB9"/>
    <w:rsid w:val="00DF7A7E"/>
    <w:rsid w:val="00F0255D"/>
    <w:rsid w:val="00F54497"/>
    <w:rsid w:val="00F87953"/>
    <w:rsid w:val="00F9206D"/>
    <w:rsid w:val="00FD7D60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8</cp:revision>
  <dcterms:created xsi:type="dcterms:W3CDTF">2011-05-08T05:13:00Z</dcterms:created>
  <dcterms:modified xsi:type="dcterms:W3CDTF">2011-06-01T03:37:00Z</dcterms:modified>
</cp:coreProperties>
</file>