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4D3EA7" w:rsidRDefault="00D97BB9" w:rsidP="002838DB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2"/>
          <w:szCs w:val="22"/>
        </w:rPr>
      </w:pPr>
      <w:bookmarkStart w:id="0" w:name="_Toc266033406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MACROPROCESO: </w:t>
      </w:r>
      <w:bookmarkEnd w:id="0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GESTIÓN </w:t>
      </w:r>
      <w:r w:rsidR="008D5AFA">
        <w:rPr>
          <w:rFonts w:asciiTheme="minorHAnsi" w:hAnsiTheme="minorHAnsi" w:cstheme="minorHAnsi"/>
          <w:b/>
          <w:i w:val="0"/>
          <w:sz w:val="22"/>
          <w:szCs w:val="22"/>
        </w:rPr>
        <w:t>DE CONTROL DE PAGOS</w:t>
      </w:r>
    </w:p>
    <w:p w:rsidR="00D97BB9" w:rsidRPr="004D3EA7" w:rsidRDefault="00D97BB9" w:rsidP="002838DB">
      <w:pPr>
        <w:jc w:val="both"/>
      </w:pPr>
      <w:r w:rsidRPr="004D3EA7">
        <w:rPr>
          <w:rFonts w:asciiTheme="minorHAnsi" w:hAnsiTheme="minorHAnsi" w:cstheme="minorHAnsi"/>
        </w:rPr>
        <w:t>El presente macroproceso describe las labores realizadas por el Departamento de Administración</w:t>
      </w:r>
      <w:r w:rsidR="006C4D9E">
        <w:rPr>
          <w:rFonts w:asciiTheme="minorHAnsi" w:hAnsiTheme="minorHAnsi" w:cstheme="minorHAnsi"/>
        </w:rPr>
        <w:t xml:space="preserve"> para realizar una adecuada gestión de todos los pagos realizados a los diferentes proveedores. Asimismo, involucra el pago de la planilla de remuneraciones, el manejo de la Caja Chica, el depósito en el banco del efectivo recibido, y la realización de un arqueo de Caja.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14"/>
        <w:gridCol w:w="2201"/>
        <w:gridCol w:w="2160"/>
        <w:gridCol w:w="2118"/>
      </w:tblGrid>
      <w:tr w:rsidR="00B10213" w:rsidRPr="004D3EA7" w:rsidTr="00D97BB9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10213" w:rsidRPr="004D3EA7" w:rsidRDefault="00B10213" w:rsidP="008D5AF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s-PE"/>
              </w:rPr>
            </w:pPr>
            <w:r w:rsidRPr="004D3EA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MACRO PROCESO: Gestión de </w:t>
            </w:r>
            <w:r w:rsidR="008D5AF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Control de Pagos</w:t>
            </w:r>
          </w:p>
        </w:tc>
      </w:tr>
      <w:tr w:rsidR="00B10213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El siguiente macro proceso tiene como propósito el cumplimiento del  siguiente objetivo:</w:t>
            </w:r>
          </w:p>
          <w:p w:rsidR="00C5669F" w:rsidRPr="004D3EA7" w:rsidRDefault="006C4D9E" w:rsidP="006C4D9E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OSE 3: </w:t>
            </w:r>
            <w:r>
              <w:rPr>
                <w:rFonts w:asciiTheme="minorHAnsi" w:hAnsiTheme="minorHAnsi" w:cstheme="minorHAnsi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8D382E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4D3EA7" w:rsidRDefault="006C4D9E" w:rsidP="002838DB">
            <w:pPr>
              <w:spacing w:after="0"/>
              <w:jc w:val="both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4D3EA7" w:rsidRDefault="006C4D9E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Departamento de Administración</w:t>
            </w:r>
          </w:p>
          <w:p w:rsidR="006C4D9E" w:rsidRPr="004D3EA7" w:rsidRDefault="006C4D9E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Constructora</w:t>
            </w:r>
          </w:p>
        </w:tc>
      </w:tr>
      <w:tr w:rsidR="008D382E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4D3EA7" w:rsidRDefault="006C4D9E" w:rsidP="002838DB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705061" w:rsidRDefault="008D382E" w:rsidP="00705061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536DD9">
              <w:rPr>
                <w:rFonts w:asciiTheme="minorHAnsi" w:hAnsiTheme="minorHAnsi" w:cstheme="minorHAnsi"/>
              </w:rPr>
              <w:t xml:space="preserve">El alcance del presente macroproceso se encuentra en torno al esfuerzo </w:t>
            </w:r>
            <w:r w:rsidR="00536DD9" w:rsidRPr="00536DD9">
              <w:rPr>
                <w:rFonts w:asciiTheme="minorHAnsi" w:hAnsiTheme="minorHAnsi" w:cstheme="minorHAnsi"/>
              </w:rPr>
              <w:t>realizado p</w:t>
            </w:r>
            <w:r w:rsidR="00705061">
              <w:rPr>
                <w:rFonts w:asciiTheme="minorHAnsi" w:hAnsiTheme="minorHAnsi" w:cstheme="minorHAnsi"/>
              </w:rPr>
              <w:t xml:space="preserve">or el Departamento de Administración para realizar una adecuada gestión de los pagos a los proveedores, de la Caja Chica, de los depósitos en las cuentas bancarias y del pago de planillas. </w:t>
            </w:r>
            <w:r w:rsidR="00705061" w:rsidRPr="004D3EA7">
              <w:rPr>
                <w:rFonts w:asciiTheme="minorHAnsi" w:hAnsiTheme="minorHAnsi" w:cstheme="minorHAnsi"/>
              </w:rPr>
              <w:t xml:space="preserve">En este caso, los procesos que se encuentran de color </w:t>
            </w:r>
            <w:r w:rsidR="00705061">
              <w:rPr>
                <w:rFonts w:asciiTheme="minorHAnsi" w:hAnsiTheme="minorHAnsi" w:cstheme="minorHAnsi"/>
              </w:rPr>
              <w:t>azul</w:t>
            </w:r>
            <w:r w:rsidR="00705061" w:rsidRPr="004D3EA7">
              <w:rPr>
                <w:rFonts w:asciiTheme="minorHAnsi" w:hAnsiTheme="minorHAnsi" w:cstheme="minorHAnsi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4D3EA7" w:rsidTr="00D97BB9">
        <w:tc>
          <w:tcPr>
            <w:tcW w:w="2241" w:type="dxa"/>
            <w:gridSpan w:val="2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73425E" w:rsidRDefault="0073425E" w:rsidP="00705061">
            <w:pPr>
              <w:keepNext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</w:rPr>
            </w:pPr>
            <w:r w:rsidRPr="0073425E">
              <w:rPr>
                <w:rFonts w:asciiTheme="minorHAnsi" w:hAnsiTheme="minorHAnsi" w:cstheme="minorHAnsi"/>
                <w:bCs/>
              </w:rPr>
              <w:t>En este macroproceso, los procesos se desarrollan sin ningún orden específico (ad-hoc). Sólo en el caso de los procesos de “Pagos y Reposición de Caja Chica” y “Arqueo de Caja”, ellos se encuentran relacionados, puesto que durante el primer procesos, es necesario realizar un arqueo para conocer el saldo encontrado en la caja.</w:t>
            </w:r>
          </w:p>
          <w:p w:rsidR="0073425E" w:rsidRDefault="0073425E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Para realizar un pago con dinero de la Caja Chica, la Encargada de Caja evalúa si el pago alcanza el 80% del monto trazado para realizar el pago con fondos de Caja Chica. Al final del día realiza un Arqueo de Caja para establecer el saldo. Finalmente, emite un cheque y solicita los VoBo del Administrador y Director General</w:t>
            </w:r>
            <w:r w:rsidR="00C66BFC">
              <w:rPr>
                <w:rFonts w:asciiTheme="minorHAnsi" w:hAnsiTheme="minorHAnsi" w:cstheme="minorHAnsi"/>
                <w:bCs/>
                <w:sz w:val="22"/>
                <w:szCs w:val="22"/>
              </w:rPr>
              <w:t>; y acude al banco a cobrar el cheque.</w:t>
            </w:r>
          </w:p>
          <w:p w:rsidR="00C66BFC" w:rsidRDefault="00C66BFC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Para realizar el arqueo de Caja, el Contador realiza el corte documentario a la fecha del arqueo. Luego, realiza el conteo de billetes, monedas y valores (cheques, facturas, boletas,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etc.) y concilia con el saldo del libro caja. Finalmente, en caso de encontrarse diferencia, se le solicita a la Encargada de Caja explicaciones y, se deja el documento con las recomendaciones y resultado del Arqueo a la Encargada de Caja.</w:t>
            </w:r>
          </w:p>
          <w:p w:rsidR="00C66BFC" w:rsidRDefault="00B1063A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Después de un tiempo de haber contratado al personal e inducirlo en las labores a su cargo, se necesita realizar </w:t>
            </w:r>
            <w:r w:rsidR="00C66B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Pago de Planilla de Remuneraciones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 Para ello,</w:t>
            </w:r>
            <w:r w:rsidR="00C66B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Contador le entrega la planilla y las boletas de remuneración al Administrador para que las revise. Después, la Encargada de Caja ingresa la planilla en el Sistema de Telecrédito y el voucher obtenido se registra en el Sistema Contable. Finalmente, se elaboran las boletas de pago y los empleados se acercan a firmar la planilla.</w:t>
            </w:r>
          </w:p>
          <w:p w:rsidR="00C66BFC" w:rsidRDefault="00B1063A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Después de comprar bienes, el proveedor entrega los comprobantes a </w:t>
            </w:r>
            <w:r w:rsidR="00C66BFC"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y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los</w:t>
            </w:r>
            <w:r w:rsidR="00C66B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entrega a la Encargada de Caja para que los revise según criterios predeterminados. En caso sea necesario, solicita la modificación de los mismos. Después, elabora la Orden de Pago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gira el Cheque y solicita las aprobaciones del Director General y del Administrador. En la fecha y hora pactada, el proveedor se acerca a recoger el cheque y firma la Orden de Pago.</w:t>
            </w:r>
          </w:p>
          <w:p w:rsidR="000A2F61" w:rsidRDefault="00B1063A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Para depositar efectivo en las cuentas bancarias, </w:t>
            </w:r>
            <w:r w:rsidR="000A2F61"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dinero y elabora un Recibo de Caja. Luego, solicita la confirmación del Administrador y lo envía al Contador para que lo archive. Finalmente, tras recibir las indicaciones del Administrador, acude al banco para realizar el depósito y elabora el Voucher de Ingresos.</w:t>
            </w:r>
          </w:p>
          <w:p w:rsidR="000A2F61" w:rsidRDefault="000A2F61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Para realizar el pago de obligaciones y servicios (agua, luz, impuestos, etc.), la Secretaria recibe los recibos y se los envía al Administrador para que los revise. La Encargada de Caja recibe los recibe y elabora el Voucher u Orden de Pago. Luego, gira el cheque y solicita el VoBo del Administrador y del Director General. En caso sea pago de impuestos, el Contador elabora el Programa PDT y se lo entrega a la Encargada de Caja. Finalmente, acude al Banco, realiza el pago y archiva el voucher de la transacción realizada.</w:t>
            </w:r>
          </w:p>
          <w:p w:rsidR="000A2F61" w:rsidRDefault="000A2F61" w:rsidP="000A2F6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CB1BC8">
              <w:rPr>
                <w:rFonts w:asciiTheme="minorHAnsi" w:hAnsiTheme="minorHAnsi" w:cstheme="minorHAnsi"/>
                <w:bCs/>
                <w:sz w:val="22"/>
                <w:szCs w:val="22"/>
              </w:rPr>
              <w:t>El Pago del Presupuesto de Construcción se puede realizar dadas tres situaciones: que se desee realizar un pago de adelanto, un pago parcial o el pago final.</w:t>
            </w:r>
          </w:p>
          <w:p w:rsidR="00CB1BC8" w:rsidRDefault="00CB1BC8" w:rsidP="00CB1BC8">
            <w:pPr>
              <w:pStyle w:val="Prrafodelista"/>
              <w:keepNext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sea un pago inicial, el Administrador, según la Copia de Planos y Presupuesto, solicita a la Encargada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Caja emitir el cheque correspondiente para realizar el pago al Proveedor y la Factura por Pago de Adelanto.</w:t>
            </w:r>
          </w:p>
          <w:p w:rsidR="00CB1BC8" w:rsidRDefault="00CB1BC8" w:rsidP="00CB1BC8">
            <w:pPr>
              <w:pStyle w:val="Prrafodelista"/>
              <w:keepNext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un pago parcial, el Administrador evalúa la valorización realizada por la Constructora con las fotos enviadas por la misma. En caso no esté de acuerdo, solicita a la Constructora modificar la valorización. Después, calcula la retención del 4% a realizarse y la constructora la certifica. Finalmente, el Administrador solicita la emisión del cheque a la Encargada de Caja y la elaboración de la Factura de Pago Parcial.</w:t>
            </w:r>
          </w:p>
          <w:p w:rsidR="00CB1BC8" w:rsidRPr="0073425E" w:rsidRDefault="00CB1BC8" w:rsidP="00CB1BC8">
            <w:pPr>
              <w:pStyle w:val="Prrafodelista"/>
              <w:keepNext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el pago final, el Administrador junta todas las factura por los pagos parciales para calcular el total de las retenciones realizadas en cada pago parcial. El Administrador solicita a la Encargada de Caja emitir el cheque y la elaboración de la Factura por Pago Final de la Obra.</w:t>
            </w:r>
          </w:p>
        </w:tc>
      </w:tr>
      <w:tr w:rsidR="00CB1BC8" w:rsidRPr="00D870B8" w:rsidTr="00A126C4">
        <w:tc>
          <w:tcPr>
            <w:tcW w:w="2227" w:type="dxa"/>
            <w:shd w:val="clear" w:color="auto" w:fill="BFBFBF"/>
            <w:vAlign w:val="center"/>
          </w:tcPr>
          <w:p w:rsidR="00CB1BC8" w:rsidRPr="000E43E5" w:rsidRDefault="00CB1BC8" w:rsidP="00A126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E43E5">
              <w:rPr>
                <w:rFonts w:asciiTheme="minorHAnsi" w:hAnsiTheme="minorHAnsi" w:cstheme="minorHAnsi"/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4"/>
            <w:vAlign w:val="center"/>
          </w:tcPr>
          <w:p w:rsidR="00CB1BC8" w:rsidRDefault="00CB1BC8" w:rsidP="00CB1BC8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Contratación e Inducción</w:t>
            </w:r>
          </w:p>
          <w:p w:rsidR="00CB1BC8" w:rsidRDefault="00CB1BC8" w:rsidP="00CB1BC8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Compra de Bienes</w:t>
            </w:r>
          </w:p>
          <w:p w:rsidR="00CB1BC8" w:rsidRDefault="00CB1BC8" w:rsidP="00CB1BC8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Selección de Constructora</w:t>
            </w:r>
          </w:p>
          <w:p w:rsidR="00CB1BC8" w:rsidRPr="00CB1BC8" w:rsidRDefault="00CB1BC8" w:rsidP="00CB1BC8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Seguimiento y Entrega de la Obra</w:t>
            </w:r>
          </w:p>
        </w:tc>
      </w:tr>
    </w:tbl>
    <w:p w:rsidR="008D5AFA" w:rsidRDefault="008D5AFA" w:rsidP="002838DB">
      <w:pPr>
        <w:rPr>
          <w:rFonts w:asciiTheme="minorHAnsi" w:hAnsiTheme="minorHAnsi" w:cstheme="minorHAnsi"/>
        </w:rPr>
        <w:sectPr w:rsidR="008D5A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33D3" w:rsidRPr="00987134" w:rsidRDefault="006200FD" w:rsidP="002838DB">
      <w:pPr>
        <w:jc w:val="center"/>
        <w:rPr>
          <w:rFonts w:asciiTheme="minorHAnsi" w:hAnsiTheme="minorHAnsi" w:cstheme="minorHAnsi"/>
        </w:rPr>
        <w:sectPr w:rsidR="00C133D3" w:rsidRPr="00987134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bookmarkStart w:id="1" w:name="_GoBack"/>
      <w:r>
        <w:rPr>
          <w:rFonts w:asciiTheme="minorHAnsi" w:hAnsiTheme="minorHAnsi" w:cstheme="minorHAnsi"/>
          <w:noProof/>
          <w:lang w:val="es-PE" w:eastAsia="es-PE" w:bidi="ar-SA"/>
        </w:rPr>
        <w:lastRenderedPageBreak/>
        <w:drawing>
          <wp:inline distT="0" distB="0" distL="0" distR="0">
            <wp:extent cx="5744399" cy="5291015"/>
            <wp:effectExtent l="0" t="0" r="8890" b="5080"/>
            <wp:docPr id="2" name="Imagen 2" descr="D:\Documents and Settings\Jose\Escritorio\Proyecto Fe y Alegria\Control de Pagos v3.0\Gestión de Control de Pagos v3.0\Gestión de Control de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Gestión de Control de Pag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11" cy="52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1"/>
        <w:gridCol w:w="1783"/>
        <w:gridCol w:w="1559"/>
        <w:gridCol w:w="1559"/>
        <w:gridCol w:w="2838"/>
        <w:gridCol w:w="1562"/>
        <w:gridCol w:w="1722"/>
        <w:gridCol w:w="950"/>
        <w:gridCol w:w="2144"/>
      </w:tblGrid>
      <w:tr w:rsidR="006200FD" w:rsidRPr="00423FED" w:rsidTr="007D74CC">
        <w:trPr>
          <w:trHeight w:val="495"/>
        </w:trPr>
        <w:tc>
          <w:tcPr>
            <w:tcW w:w="15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612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3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35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974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3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91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2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736" w:type="pct"/>
            <w:shd w:val="clear" w:color="auto" w:fill="000000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MACROPROCESO</w:t>
            </w:r>
          </w:p>
        </w:tc>
      </w:tr>
      <w:tr w:rsidR="006200FD" w:rsidRPr="001676A1" w:rsidTr="007D74CC">
        <w:trPr>
          <w:trHeight w:val="2029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5B2E8A" w:rsidP="00121CC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Pagos y Reposición de Caja Chica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5B2E8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3779BD" w:rsidRPr="001676A1" w:rsidRDefault="00121CC7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vez que ingresa un comprobante de pago con fondos de la Caja Chica, el Departamento de Administración evalúa si el gasto a realizar llega al 80% del monto trazado para Caja Chica, en caso sea así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realiza las actividades correspondientes para la reposición de efectivo en Caja Chica.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3779BD" w:rsidP="0092269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</w:t>
            </w:r>
            <w:r w:rsidR="0092269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Control de Pago</w:t>
            </w:r>
          </w:p>
        </w:tc>
      </w:tr>
      <w:tr w:rsidR="006200FD" w:rsidRPr="001676A1" w:rsidTr="007D74CC">
        <w:trPr>
          <w:trHeight w:val="548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612" w:type="pct"/>
            <w:vAlign w:val="center"/>
          </w:tcPr>
          <w:p w:rsidR="003779BD" w:rsidRPr="001676A1" w:rsidRDefault="00D91D3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35" w:type="pct"/>
            <w:vAlign w:val="center"/>
          </w:tcPr>
          <w:p w:rsidR="003779BD" w:rsidRPr="001676A1" w:rsidRDefault="00D91D3A" w:rsidP="00387E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74" w:type="pct"/>
            <w:vAlign w:val="center"/>
          </w:tcPr>
          <w:p w:rsidR="003779BD" w:rsidRPr="001676A1" w:rsidRDefault="00C9510E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realiza el Arqueo de Caja sorpresivo como medida de control, el cual consiste en 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 posible existencia de diferencias entre el saldo disponible en efectivo (monedas y billetes) y valores (cheques y documentos); y el saldo en libro de caja.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483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Contratar Personal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6200F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Contratación </w:t>
            </w:r>
            <w:r w:rsidR="006200F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 Inducción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3779BD" w:rsidRPr="001676A1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encarga de la contratación del  personal</w:t>
            </w:r>
            <w:r w:rsidR="006200F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de realizar la inducción correspondiente en el puesto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CB1BC8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0FD" w:rsidRPr="001676A1" w:rsidTr="007D74CC">
        <w:trPr>
          <w:trHeight w:val="402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612" w:type="pct"/>
            <w:vAlign w:val="center"/>
          </w:tcPr>
          <w:p w:rsidR="00092721" w:rsidRPr="001676A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</w:t>
            </w:r>
            <w:r w:rsidR="00C91A3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7C78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Planilla de Remuneraciones</w:t>
            </w:r>
          </w:p>
        </w:tc>
        <w:tc>
          <w:tcPr>
            <w:tcW w:w="535" w:type="pct"/>
            <w:vAlign w:val="center"/>
          </w:tcPr>
          <w:p w:rsidR="00092721" w:rsidRPr="001676A1" w:rsidRDefault="00C91A39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firmada</w:t>
            </w:r>
          </w:p>
        </w:tc>
        <w:tc>
          <w:tcPr>
            <w:tcW w:w="974" w:type="pct"/>
            <w:vAlign w:val="center"/>
          </w:tcPr>
          <w:p w:rsidR="003779BD" w:rsidRPr="001676A1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Asimismo, el Departamento de Administración realiza el pago de Planilla a todos los empleados de la Oficina </w:t>
            </w:r>
            <w:r w:rsidR="00A2050E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Central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Fe y Alegría Perú.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3779BD" w:rsidRPr="001676A1" w:rsidRDefault="00C91A3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de Bienes</w:t>
            </w:r>
          </w:p>
        </w:tc>
        <w:tc>
          <w:tcPr>
            <w:tcW w:w="535" w:type="pct"/>
            <w:shd w:val="clear" w:color="auto" w:fill="C0C0C0"/>
            <w:vAlign w:val="center"/>
          </w:tcPr>
          <w:p w:rsidR="0057543D" w:rsidRPr="001676A1" w:rsidRDefault="00FD7D60" w:rsidP="005C696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archivada</w:t>
            </w:r>
          </w:p>
        </w:tc>
        <w:tc>
          <w:tcPr>
            <w:tcW w:w="974" w:type="pct"/>
            <w:shd w:val="clear" w:color="auto" w:fill="C0C0C0"/>
            <w:vAlign w:val="center"/>
          </w:tcPr>
          <w:p w:rsidR="0057543D" w:rsidRPr="001676A1" w:rsidRDefault="00F54497" w:rsidP="0057543D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Departamento de Administración se </w:t>
            </w:r>
            <w:r w:rsidR="00F8795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adquirir los Bienes 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que han sido solicitados mediante una Cotización, previamente elaborada, por un empleado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Oficina Central de Fe y Alegría Perú.</w:t>
            </w:r>
            <w:r w:rsidR="00154AAA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3779B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Departamento de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Administración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32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C0C0C0"/>
            <w:vAlign w:val="center"/>
          </w:tcPr>
          <w:p w:rsidR="003779BD" w:rsidRPr="001676A1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Abastecimiento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612" w:type="pct"/>
            <w:vAlign w:val="center"/>
          </w:tcPr>
          <w:p w:rsidR="00B643D3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3779BD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35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Recepción y pago de comprobantes de proveedores</w:t>
            </w:r>
          </w:p>
        </w:tc>
        <w:tc>
          <w:tcPr>
            <w:tcW w:w="535" w:type="pct"/>
            <w:vAlign w:val="center"/>
          </w:tcPr>
          <w:p w:rsidR="003779BD" w:rsidRPr="001676A1" w:rsidRDefault="00C91A3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974" w:type="pct"/>
            <w:vAlign w:val="center"/>
          </w:tcPr>
          <w:p w:rsidR="003779BD" w:rsidRPr="001676A1" w:rsidRDefault="00154AAA" w:rsidP="00B643D3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</w:t>
            </w:r>
            <w:r w:rsidR="00D601F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los comprobantes entregados por los proveedores. En caso de recibir la Copia de Orden de Compra el flujo de actividades es el mismo de cuando recibe un Comprobante.</w:t>
            </w:r>
          </w:p>
        </w:tc>
        <w:tc>
          <w:tcPr>
            <w:tcW w:w="53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3779BD" w:rsidRPr="001676A1" w:rsidRDefault="003779B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3779B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612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35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Recepción y depósito de efectivo a los bancos</w:t>
            </w:r>
          </w:p>
        </w:tc>
        <w:tc>
          <w:tcPr>
            <w:tcW w:w="535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974" w:type="pct"/>
            <w:shd w:val="clear" w:color="auto" w:fill="BFBFBF" w:themeFill="background1" w:themeFillShade="BF"/>
            <w:vAlign w:val="center"/>
          </w:tcPr>
          <w:p w:rsidR="0092269D" w:rsidRPr="001676A1" w:rsidRDefault="00D601FC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se encarga de hacer los depósitos a la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cuenta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corrientes correspondientes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Institución.</w:t>
            </w:r>
          </w:p>
        </w:tc>
        <w:tc>
          <w:tcPr>
            <w:tcW w:w="536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BFBFBF" w:themeFill="background1" w:themeFillShade="BF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612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3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Comprobantes de Obligaciones y Servicios</w:t>
            </w:r>
          </w:p>
        </w:tc>
        <w:tc>
          <w:tcPr>
            <w:tcW w:w="535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974" w:type="pct"/>
            <w:vAlign w:val="center"/>
          </w:tcPr>
          <w:p w:rsidR="0092269D" w:rsidRPr="001676A1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el pago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comprobantes de Obligaciones y Servicios. (Ejemplo: luz, agua, teléfono, impuestos).</w:t>
            </w:r>
          </w:p>
        </w:tc>
        <w:tc>
          <w:tcPr>
            <w:tcW w:w="536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612" w:type="pct"/>
            <w:shd w:val="clear" w:color="auto" w:fill="A6A6A6" w:themeFill="background1" w:themeFillShade="A6"/>
            <w:vAlign w:val="center"/>
          </w:tcPr>
          <w:p w:rsidR="0092269D" w:rsidRPr="001676A1" w:rsidRDefault="008C4FF1" w:rsidP="008C4FF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Especificaciones Técnicas de Obra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Selección de Constructora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92269D" w:rsidRPr="001676A1" w:rsidRDefault="008C4FF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974" w:type="pct"/>
            <w:shd w:val="clear" w:color="auto" w:fill="A6A6A6" w:themeFill="background1" w:themeFillShade="A6"/>
            <w:vAlign w:val="center"/>
          </w:tcPr>
          <w:p w:rsidR="0092269D" w:rsidRPr="001676A1" w:rsidRDefault="00F87953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la selección de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para la Obra a ejecutarse.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shd w:val="clear" w:color="auto" w:fill="A6A6A6" w:themeFill="background1" w:themeFillShade="A6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A6A6A6" w:themeFill="background1" w:themeFillShade="A6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A6A6A6" w:themeFill="background1" w:themeFillShade="A6"/>
            <w:vAlign w:val="center"/>
          </w:tcPr>
          <w:p w:rsidR="0092269D" w:rsidRPr="001676A1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6200FD" w:rsidRPr="001676A1" w:rsidTr="007D74CC">
        <w:trPr>
          <w:trHeight w:val="537"/>
        </w:trPr>
        <w:tc>
          <w:tcPr>
            <w:tcW w:w="15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612" w:type="pct"/>
            <w:vAlign w:val="center"/>
          </w:tcPr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F84E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323A97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y Conformidad de Obra aprobada por el Administrador</w:t>
            </w:r>
          </w:p>
        </w:tc>
        <w:tc>
          <w:tcPr>
            <w:tcW w:w="535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Pago de</w:t>
            </w:r>
            <w:r w:rsidR="00C91A3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Presupuesto de Construcción</w:t>
            </w:r>
          </w:p>
        </w:tc>
        <w:tc>
          <w:tcPr>
            <w:tcW w:w="535" w:type="pct"/>
            <w:vAlign w:val="center"/>
          </w:tcPr>
          <w:p w:rsidR="00C91A39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VoBo del Administrador y del Director General</w:t>
            </w:r>
          </w:p>
          <w:p w:rsidR="00C91A39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Copia de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C91A39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Final de la Obra</w:t>
            </w:r>
          </w:p>
          <w:p w:rsidR="005E62D6" w:rsidRPr="001676A1" w:rsidRDefault="00C91A39" w:rsidP="00C91A3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 la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974" w:type="pct"/>
            <w:vAlign w:val="center"/>
          </w:tcPr>
          <w:p w:rsidR="0092269D" w:rsidRPr="001676A1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Departamento de Administración realiza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pagos correspondientes 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la construcción de obras,</w:t>
            </w:r>
            <w:r w:rsidR="005B008C" w:rsidRPr="001676A1">
              <w:t xml:space="preserve">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ya sea en su etapa inicial, en proceso o en la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final.</w:t>
            </w:r>
          </w:p>
          <w:p w:rsidR="00230844" w:rsidRPr="001676A1" w:rsidRDefault="00230844" w:rsidP="001676A1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Copia de Planos y Presupuesto ingresa cuando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Obra recién comienza.</w:t>
            </w:r>
            <w:r w:rsidR="0063156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Fotos del Avance de la Obra ingresan cuando la Obra está en proceso. El Acta de Recepción y Conformidad de Obra ingresa cuando la Obra se ha finalizado y se hacen los últimos trámites.</w:t>
            </w:r>
          </w:p>
        </w:tc>
        <w:tc>
          <w:tcPr>
            <w:tcW w:w="536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Departamento de Administración</w:t>
            </w:r>
          </w:p>
        </w:tc>
        <w:tc>
          <w:tcPr>
            <w:tcW w:w="591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CB1BC8" w:rsidRPr="001676A1" w:rsidTr="007D74CC">
        <w:trPr>
          <w:trHeight w:val="537"/>
        </w:trPr>
        <w:tc>
          <w:tcPr>
            <w:tcW w:w="155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11.</w:t>
            </w:r>
          </w:p>
        </w:tc>
        <w:tc>
          <w:tcPr>
            <w:tcW w:w="612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CB1BC8" w:rsidRPr="001676A1" w:rsidRDefault="00CB1BC8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35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CB1BC8" w:rsidRPr="001676A1" w:rsidRDefault="00CB1BC8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974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construye la Obra.</w:t>
            </w:r>
          </w:p>
        </w:tc>
        <w:tc>
          <w:tcPr>
            <w:tcW w:w="536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591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shd w:val="clear" w:color="auto" w:fill="A6A6A6" w:themeFill="background1" w:themeFillShade="A6"/>
            <w:vAlign w:val="center"/>
          </w:tcPr>
          <w:p w:rsidR="00CB1BC8" w:rsidRPr="001676A1" w:rsidRDefault="00CB1BC8" w:rsidP="00A126C4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CB1BC8" w:rsidRPr="00423FED" w:rsidTr="007D74CC">
        <w:trPr>
          <w:trHeight w:val="537"/>
        </w:trPr>
        <w:tc>
          <w:tcPr>
            <w:tcW w:w="155" w:type="pct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612" w:type="pct"/>
            <w:vAlign w:val="center"/>
          </w:tcPr>
          <w:p w:rsidR="00CB1BC8" w:rsidRPr="001676A1" w:rsidRDefault="00CB1BC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CB1BC8" w:rsidRPr="001676A1" w:rsidRDefault="00CB1BC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535" w:type="pct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 y Entrega de la Obra</w:t>
            </w:r>
          </w:p>
        </w:tc>
        <w:tc>
          <w:tcPr>
            <w:tcW w:w="535" w:type="pct"/>
            <w:vAlign w:val="center"/>
          </w:tcPr>
          <w:p w:rsidR="00CB1BC8" w:rsidRPr="001676A1" w:rsidRDefault="00CB1BC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CB1BC8" w:rsidRPr="001676A1" w:rsidRDefault="00CB1BC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974" w:type="pct"/>
            <w:vAlign w:val="center"/>
          </w:tcPr>
          <w:p w:rsidR="00CB1BC8" w:rsidRPr="001676A1" w:rsidRDefault="00CB1BC8" w:rsidP="002B28B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hace un seguimiento continuo a la obra en construcción hasta  darla por finalizada.</w:t>
            </w:r>
          </w:p>
        </w:tc>
        <w:tc>
          <w:tcPr>
            <w:tcW w:w="536" w:type="pct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591" w:type="pct"/>
            <w:vAlign w:val="center"/>
          </w:tcPr>
          <w:p w:rsidR="00CB1BC8" w:rsidRPr="001676A1" w:rsidRDefault="00CB1BC8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26" w:type="pct"/>
            <w:vAlign w:val="center"/>
          </w:tcPr>
          <w:p w:rsidR="00CB1BC8" w:rsidRPr="001676A1" w:rsidRDefault="00CB1BC8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736" w:type="pct"/>
            <w:vAlign w:val="center"/>
          </w:tcPr>
          <w:p w:rsidR="00CB1BC8" w:rsidRDefault="00CB1BC8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sectPr w:rsidR="00B10213" w:rsidRPr="00C133D3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D634686"/>
    <w:multiLevelType w:val="hybridMultilevel"/>
    <w:tmpl w:val="65946978"/>
    <w:lvl w:ilvl="0" w:tplc="6A280F3E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C1A2FFF8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280B"/>
    <w:multiLevelType w:val="hybridMultilevel"/>
    <w:tmpl w:val="B0DEC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F03DE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7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266DB"/>
    <w:rsid w:val="00092721"/>
    <w:rsid w:val="000A2F61"/>
    <w:rsid w:val="000C4F66"/>
    <w:rsid w:val="000F1068"/>
    <w:rsid w:val="00121CC7"/>
    <w:rsid w:val="00154AAA"/>
    <w:rsid w:val="001676A1"/>
    <w:rsid w:val="0017121F"/>
    <w:rsid w:val="00175528"/>
    <w:rsid w:val="00223DCE"/>
    <w:rsid w:val="00230844"/>
    <w:rsid w:val="00232CAA"/>
    <w:rsid w:val="002838DB"/>
    <w:rsid w:val="002A41ED"/>
    <w:rsid w:val="002B28B9"/>
    <w:rsid w:val="002F06D1"/>
    <w:rsid w:val="00304E61"/>
    <w:rsid w:val="00323A97"/>
    <w:rsid w:val="00334517"/>
    <w:rsid w:val="003538D2"/>
    <w:rsid w:val="003779BD"/>
    <w:rsid w:val="00387E4E"/>
    <w:rsid w:val="00392A7E"/>
    <w:rsid w:val="003B0CF1"/>
    <w:rsid w:val="003E6E64"/>
    <w:rsid w:val="004936FA"/>
    <w:rsid w:val="004B6F0B"/>
    <w:rsid w:val="004C2CE8"/>
    <w:rsid w:val="004D3EA7"/>
    <w:rsid w:val="00510745"/>
    <w:rsid w:val="00536DD9"/>
    <w:rsid w:val="00554A43"/>
    <w:rsid w:val="0057543D"/>
    <w:rsid w:val="005B008C"/>
    <w:rsid w:val="005B2E8A"/>
    <w:rsid w:val="005C6965"/>
    <w:rsid w:val="005E62D6"/>
    <w:rsid w:val="006200FD"/>
    <w:rsid w:val="00627087"/>
    <w:rsid w:val="00631560"/>
    <w:rsid w:val="006A5866"/>
    <w:rsid w:val="006C4D9E"/>
    <w:rsid w:val="00705061"/>
    <w:rsid w:val="0073425E"/>
    <w:rsid w:val="007560E1"/>
    <w:rsid w:val="0075639D"/>
    <w:rsid w:val="007B5141"/>
    <w:rsid w:val="007C787D"/>
    <w:rsid w:val="007D74CC"/>
    <w:rsid w:val="0080590E"/>
    <w:rsid w:val="00834709"/>
    <w:rsid w:val="008654F4"/>
    <w:rsid w:val="00874F63"/>
    <w:rsid w:val="008959AD"/>
    <w:rsid w:val="008C4FF1"/>
    <w:rsid w:val="008D382E"/>
    <w:rsid w:val="008D5AFA"/>
    <w:rsid w:val="008F4A36"/>
    <w:rsid w:val="0092269D"/>
    <w:rsid w:val="00987134"/>
    <w:rsid w:val="00997951"/>
    <w:rsid w:val="009A56B5"/>
    <w:rsid w:val="00A2050E"/>
    <w:rsid w:val="00A554E2"/>
    <w:rsid w:val="00A703AB"/>
    <w:rsid w:val="00A85769"/>
    <w:rsid w:val="00AA0BC5"/>
    <w:rsid w:val="00B10213"/>
    <w:rsid w:val="00B1063A"/>
    <w:rsid w:val="00B643D3"/>
    <w:rsid w:val="00B65EC1"/>
    <w:rsid w:val="00BB4FE4"/>
    <w:rsid w:val="00BD7D72"/>
    <w:rsid w:val="00BF7332"/>
    <w:rsid w:val="00C133D3"/>
    <w:rsid w:val="00C277D3"/>
    <w:rsid w:val="00C32874"/>
    <w:rsid w:val="00C5669F"/>
    <w:rsid w:val="00C66BFC"/>
    <w:rsid w:val="00C91A39"/>
    <w:rsid w:val="00C9510E"/>
    <w:rsid w:val="00CB1BC8"/>
    <w:rsid w:val="00CB45B7"/>
    <w:rsid w:val="00CF4D6F"/>
    <w:rsid w:val="00D601FC"/>
    <w:rsid w:val="00D81E5C"/>
    <w:rsid w:val="00D91D3A"/>
    <w:rsid w:val="00D97BB9"/>
    <w:rsid w:val="00DF7A7E"/>
    <w:rsid w:val="00F0255D"/>
    <w:rsid w:val="00F54497"/>
    <w:rsid w:val="00F87953"/>
    <w:rsid w:val="00F9206D"/>
    <w:rsid w:val="00FD7D60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1567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10</cp:revision>
  <dcterms:created xsi:type="dcterms:W3CDTF">2011-05-08T05:13:00Z</dcterms:created>
  <dcterms:modified xsi:type="dcterms:W3CDTF">2011-06-01T06:51:00Z</dcterms:modified>
</cp:coreProperties>
</file>