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lastRenderedPageBreak/>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r w:rsidRPr="00195D0A">
              <w:rPr>
                <w:rFonts w:ascii="Times New Roman" w:hAnsi="Times New Roman"/>
                <w:sz w:val="18"/>
                <w:szCs w:val="18"/>
                <w:lang w:val="es-PE" w:eastAsia="es-PE"/>
              </w:rPr>
              <w:t xml:space="preserve">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r w:rsidRPr="00195D0A">
              <w:rPr>
                <w:rFonts w:ascii="Times New Roman" w:hAnsi="Times New Roman"/>
                <w:sz w:val="18"/>
                <w:szCs w:val="18"/>
                <w:lang w:val="es-PE" w:eastAsia="es-PE"/>
              </w:rPr>
              <w:t xml:space="preserve">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r w:rsidRPr="00195D0A">
              <w:rPr>
                <w:rFonts w:ascii="Times New Roman" w:hAnsi="Times New Roman"/>
                <w:sz w:val="18"/>
                <w:szCs w:val="18"/>
                <w:lang w:val="es-PE" w:eastAsia="es-PE"/>
              </w:rPr>
              <w:t xml:space="preserve">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Pr="00B2743D"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Informes entregados a </w:t>
            </w:r>
            <w:r w:rsidRPr="00195D0A">
              <w:rPr>
                <w:sz w:val="18"/>
                <w:szCs w:val="18"/>
                <w:lang w:val="es-PE" w:eastAsia="es-PE"/>
              </w:rPr>
              <w:lastRenderedPageBreak/>
              <w:t>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w:t>
            </w:r>
            <w:r w:rsidRPr="00195D0A">
              <w:rPr>
                <w:rFonts w:ascii="Times New Roman" w:hAnsi="Times New Roman"/>
                <w:sz w:val="18"/>
                <w:szCs w:val="18"/>
                <w:lang w:val="es-PE" w:eastAsia="es-PE"/>
              </w:rPr>
              <w:lastRenderedPageBreak/>
              <w:t>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Operativo Anual del Departamento de Planificación se procederá a realizar la entrega del mismo al Departamento de </w:t>
            </w:r>
            <w:r w:rsidRPr="00195D0A">
              <w:rPr>
                <w:rFonts w:ascii="Times New Roman" w:hAnsi="Times New Roman"/>
                <w:sz w:val="18"/>
                <w:szCs w:val="18"/>
                <w:lang w:val="es-PE" w:eastAsia="es-PE"/>
              </w:rPr>
              <w:lastRenderedPageBreak/>
              <w:t>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w:t>
            </w:r>
            <w:r w:rsidRPr="00195D0A">
              <w:rPr>
                <w:rFonts w:ascii="Times New Roman" w:hAnsi="Times New Roman"/>
                <w:sz w:val="18"/>
                <w:szCs w:val="18"/>
                <w:lang w:val="es-PE" w:eastAsia="es-PE"/>
              </w:rPr>
              <w:lastRenderedPageBreak/>
              <w:t>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r w:rsidR="00CB17E8">
              <w:rPr>
                <w:rFonts w:ascii="Times New Roman" w:hAnsi="Times New Roman"/>
                <w:sz w:val="18"/>
                <w:szCs w:val="18"/>
                <w:lang w:val="es-PE" w:eastAsia="es-PE"/>
              </w:rPr>
              <w:t xml:space="preserve"> Información de </w:t>
            </w:r>
            <w:r w:rsidR="00CB17E8">
              <w:rPr>
                <w:rFonts w:ascii="Times New Roman" w:hAnsi="Times New Roman"/>
                <w:sz w:val="18"/>
                <w:szCs w:val="18"/>
                <w:lang w:val="es-PE" w:eastAsia="es-PE"/>
              </w:rPr>
              <w:lastRenderedPageBreak/>
              <w:t>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w:t>
            </w:r>
            <w:r w:rsidRPr="00195D0A">
              <w:rPr>
                <w:rFonts w:ascii="Times New Roman" w:hAnsi="Times New Roman"/>
                <w:sz w:val="18"/>
                <w:szCs w:val="18"/>
                <w:lang w:val="es-PE" w:eastAsia="es-PE"/>
              </w:rPr>
              <w:lastRenderedPageBreak/>
              <w:t>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bookmarkStart w:id="1" w:name="_GoBack"/>
            <w:r w:rsidRPr="00195D0A">
              <w:rPr>
                <w:rFonts w:ascii="Times New Roman" w:hAnsi="Times New Roman"/>
                <w:sz w:val="18"/>
                <w:szCs w:val="18"/>
                <w:lang w:val="es-PE" w:eastAsia="es-PE"/>
              </w:rPr>
              <w:t>Donación entregada</w:t>
            </w:r>
            <w:bookmarkEnd w:id="1"/>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w:t>
            </w:r>
            <w:r w:rsidRPr="00195D0A">
              <w:rPr>
                <w:rFonts w:ascii="Times New Roman" w:hAnsi="Times New Roman"/>
                <w:sz w:val="18"/>
                <w:szCs w:val="18"/>
                <w:lang w:eastAsia="es-PE"/>
              </w:rPr>
              <w:lastRenderedPageBreak/>
              <w:t xml:space="preserve">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w:t>
            </w:r>
            <w:r w:rsidRPr="00195D0A">
              <w:rPr>
                <w:rFonts w:ascii="Times New Roman" w:hAnsi="Times New Roman"/>
                <w:sz w:val="18"/>
                <w:szCs w:val="18"/>
                <w:lang w:val="es-PE" w:eastAsia="es-PE"/>
              </w:rPr>
              <w:lastRenderedPageBreak/>
              <w:t>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w:t>
            </w:r>
            <w:r w:rsidRPr="00195D0A">
              <w:rPr>
                <w:rFonts w:ascii="Times New Roman" w:hAnsi="Times New Roman"/>
                <w:sz w:val="18"/>
                <w:szCs w:val="18"/>
                <w:lang w:val="es-PE" w:eastAsia="es-PE"/>
              </w:rPr>
              <w:lastRenderedPageBreak/>
              <w:t>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ejecución de la misma está a cargo del área ejecutora involucrada. Mientras el departamento de Proyectos se encarga de desarrollar un rol </w:t>
            </w:r>
            <w:r w:rsidRPr="00195D0A">
              <w:rPr>
                <w:rFonts w:ascii="Times New Roman" w:hAnsi="Times New Roman"/>
                <w:sz w:val="18"/>
                <w:szCs w:val="18"/>
                <w:lang w:val="es-PE" w:eastAsia="es-PE"/>
              </w:rPr>
              <w:lastRenderedPageBreak/>
              <w:t>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13990"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w:t>
            </w:r>
            <w:r w:rsidRPr="00195D0A">
              <w:rPr>
                <w:rFonts w:ascii="Times New Roman" w:hAnsi="Times New Roman"/>
                <w:sz w:val="18"/>
                <w:szCs w:val="18"/>
                <w:lang w:val="es-PE" w:eastAsia="es-PE"/>
              </w:rPr>
              <w:lastRenderedPageBreak/>
              <w:t>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repartir en paralelo el desarrollo de los procesos: Realizar Acompañamiento de Educación Técnica y 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Formato de Monitoreo e </w:t>
            </w:r>
            <w:r w:rsidRPr="00195D0A">
              <w:rPr>
                <w:rFonts w:ascii="Times New Roman" w:hAnsi="Times New Roman"/>
                <w:sz w:val="18"/>
                <w:szCs w:val="18"/>
                <w:lang w:val="es-PE" w:eastAsia="es-PE"/>
              </w:rPr>
              <w:lastRenderedPageBreak/>
              <w:t>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Surgida la necesidad de asegurar la calidad de enseñanza técnica, se procede a realizar un seguimiento a los centros educativos con respecto al uso de los talleres. Para ello, el proceso de Gestión Pedagógica del PIAE </w:t>
            </w:r>
            <w:r w:rsidRPr="00195D0A">
              <w:rPr>
                <w:rFonts w:ascii="Times New Roman" w:hAnsi="Times New Roman"/>
                <w:sz w:val="18"/>
                <w:szCs w:val="18"/>
                <w:lang w:val="es-PE" w:eastAsia="es-PE"/>
              </w:rPr>
              <w:lastRenderedPageBreak/>
              <w:t>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w:t>
            </w:r>
            <w:r w:rsidRPr="00195D0A">
              <w:rPr>
                <w:rFonts w:ascii="Times New Roman" w:hAnsi="Times New Roman"/>
                <w:sz w:val="18"/>
                <w:szCs w:val="18"/>
                <w:lang w:val="es-PE" w:eastAsia="es-PE"/>
              </w:rPr>
              <w:lastRenderedPageBreak/>
              <w:t>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w:t>
            </w: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 se procede a realizar la actualización de las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w:t>
            </w:r>
            <w:r w:rsidRPr="00195D0A">
              <w:rPr>
                <w:rFonts w:ascii="Times New Roman" w:hAnsi="Times New Roman"/>
                <w:sz w:val="18"/>
                <w:szCs w:val="18"/>
                <w:lang w:val="es-PE" w:eastAsia="es-PE"/>
              </w:rPr>
              <w:lastRenderedPageBreak/>
              <w:t>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w:t>
            </w:r>
            <w:r w:rsidRPr="00195D0A">
              <w:rPr>
                <w:rFonts w:ascii="Times New Roman" w:hAnsi="Times New Roman"/>
                <w:sz w:val="18"/>
                <w:szCs w:val="18"/>
                <w:lang w:val="es-PE" w:eastAsia="es-PE"/>
              </w:rPr>
              <w:lastRenderedPageBreak/>
              <w:t xml:space="preserve">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w:t>
            </w:r>
            <w:r w:rsidRPr="00195D0A">
              <w:rPr>
                <w:rFonts w:ascii="Times New Roman" w:hAnsi="Times New Roman"/>
                <w:sz w:val="18"/>
                <w:szCs w:val="18"/>
                <w:lang w:val="es-PE" w:eastAsia="es-PE"/>
              </w:rPr>
              <w:lastRenderedPageBreak/>
              <w:t>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w:t>
            </w:r>
            <w:r w:rsidRPr="00195D0A">
              <w:rPr>
                <w:rFonts w:ascii="Times New Roman" w:hAnsi="Times New Roman"/>
                <w:sz w:val="18"/>
                <w:szCs w:val="18"/>
                <w:lang w:val="es-PE" w:eastAsia="es-PE"/>
              </w:rPr>
              <w:lastRenderedPageBreak/>
              <w:t xml:space="preserve">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w:t>
            </w:r>
            <w:r w:rsidRPr="00195D0A">
              <w:rPr>
                <w:rFonts w:ascii="Times New Roman" w:hAnsi="Times New Roman"/>
                <w:sz w:val="18"/>
                <w:szCs w:val="18"/>
                <w:lang w:val="es-PE" w:eastAsia="es-PE"/>
              </w:rPr>
              <w:lastRenderedPageBreak/>
              <w:t>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w:t>
            </w:r>
            <w:r w:rsidRPr="00195D0A">
              <w:rPr>
                <w:rFonts w:ascii="Times New Roman" w:hAnsi="Times New Roman"/>
                <w:sz w:val="18"/>
                <w:szCs w:val="18"/>
                <w:lang w:val="es-PE" w:eastAsia="es-PE"/>
              </w:rPr>
              <w:lastRenderedPageBreak/>
              <w:t xml:space="preserve">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Necesidades de </w:t>
            </w:r>
            <w:r w:rsidRPr="00195D0A">
              <w:rPr>
                <w:rFonts w:ascii="Times New Roman" w:hAnsi="Times New Roman"/>
                <w:sz w:val="18"/>
                <w:szCs w:val="18"/>
                <w:lang w:val="es-PE" w:eastAsia="es-PE"/>
              </w:rPr>
              <w:lastRenderedPageBreak/>
              <w:t>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evaluar el requerimiento a atender. Dependiendo del requerimiento a atender, se </w:t>
            </w:r>
            <w:r w:rsidRPr="00195D0A">
              <w:rPr>
                <w:rFonts w:ascii="Times New Roman" w:hAnsi="Times New Roman"/>
                <w:sz w:val="18"/>
                <w:szCs w:val="18"/>
                <w:lang w:val="es-PE" w:eastAsia="es-PE"/>
              </w:rPr>
              <w:lastRenderedPageBreak/>
              <w:t xml:space="preserve">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B2743D"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195D0A"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Acta de Recepción y Conformidad de </w:t>
            </w:r>
            <w:r w:rsidRPr="00195D0A">
              <w:rPr>
                <w:rFonts w:ascii="Times New Roman" w:hAnsi="Times New Roman"/>
                <w:sz w:val="18"/>
                <w:szCs w:val="18"/>
                <w:lang w:val="es-PE" w:eastAsia="es-PE"/>
              </w:rPr>
              <w:lastRenderedPageBreak/>
              <w:t>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y el Secretario General realizan la supervisión de la obra. En caso sólo se haya completado </w:t>
            </w:r>
            <w:r w:rsidRPr="00195D0A">
              <w:rPr>
                <w:rFonts w:ascii="Times New Roman" w:hAnsi="Times New Roman"/>
                <w:sz w:val="18"/>
                <w:szCs w:val="18"/>
                <w:lang w:val="es-PE" w:eastAsia="es-PE"/>
              </w:rPr>
              <w:lastRenderedPageBreak/>
              <w:t>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w:t>
            </w:r>
            <w:r w:rsidRPr="00195D0A">
              <w:rPr>
                <w:rFonts w:ascii="Times New Roman" w:hAnsi="Times New Roman"/>
                <w:sz w:val="18"/>
                <w:szCs w:val="18"/>
                <w:lang w:val="es-PE" w:eastAsia="es-PE"/>
              </w:rPr>
              <w:lastRenderedPageBreak/>
              <w:t xml:space="preserve">Cuadro Comparativo de Cotizaciones para realizar la evaluación correspondiente. En caso sea necesaria la evaluación del Comité de Adquisiciones, este evaluará el Cuadro y realizará la elección. Finalmente se solicitará el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comprados y puestos en uso los bienes, se evalúa su forma de pago: en efectivo mediante el proceso Pagar y Reponer Caja Chica o en cheque  mediante el proceso Recibir y Pagar </w:t>
            </w:r>
            <w:r w:rsidRPr="00195D0A">
              <w:rPr>
                <w:rFonts w:ascii="Times New Roman" w:hAnsi="Times New Roman"/>
                <w:sz w:val="18"/>
                <w:szCs w:val="18"/>
                <w:lang w:val="es-PE" w:eastAsia="es-PE"/>
              </w:rPr>
              <w:lastRenderedPageBreak/>
              <w:t>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91132A" w:rsidRDefault="00195D0A" w:rsidP="0091132A">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codificado</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registrado</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A18</w:t>
            </w:r>
          </w:p>
        </w:tc>
        <w:tc>
          <w:tcPr>
            <w:tcW w:w="1701" w:type="dxa"/>
            <w:shd w:val="clear" w:color="auto" w:fill="BFBFBF"/>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 xml:space="preserve">un conjunto de </w:t>
            </w:r>
            <w:proofErr w:type="spellStart"/>
            <w:r w:rsidRPr="00195D0A">
              <w:rPr>
                <w:rFonts w:ascii="Times New Roman" w:hAnsi="Times New Roman"/>
                <w:sz w:val="18"/>
                <w:szCs w:val="18"/>
                <w:lang w:val="es-PE" w:eastAsia="es-PE"/>
              </w:rPr>
              <w:t>C</w:t>
            </w:r>
            <w:r>
              <w:rPr>
                <w:rFonts w:ascii="Times New Roman" w:hAnsi="Times New Roman"/>
                <w:sz w:val="18"/>
                <w:szCs w:val="18"/>
                <w:lang w:val="es-PE" w:eastAsia="es-PE"/>
              </w:rPr>
              <w:t>V’s</w:t>
            </w:r>
            <w:proofErr w:type="spellEnd"/>
            <w:r>
              <w:rPr>
                <w:rFonts w:ascii="Times New Roman" w:hAnsi="Times New Roman"/>
                <w:sz w:val="18"/>
                <w:szCs w:val="18"/>
                <w:lang w:val="es-PE" w:eastAsia="es-PE"/>
              </w:rPr>
              <w:t>.</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evalúa los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Mientras el empleado se encuentra laborando en la Oficina Central, pueden surgir distintas necesidades como: la necesidad de hacerle un seguimiento al empleado, necesidad del empleado de viajar como parte de sus actividades asignadas o la </w:t>
            </w:r>
            <w:r w:rsidRPr="00195D0A">
              <w:rPr>
                <w:rFonts w:ascii="Times New Roman" w:hAnsi="Times New Roman"/>
                <w:sz w:val="18"/>
                <w:szCs w:val="18"/>
                <w:lang w:val="es-PE" w:eastAsia="es-PE"/>
              </w:rPr>
              <w:lastRenderedPageBreak/>
              <w:t>necesidad de remunerarlo.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A23</w:t>
            </w:r>
          </w:p>
        </w:tc>
        <w:tc>
          <w:tcPr>
            <w:tcW w:w="1701" w:type="dxa"/>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DF65CE">
            <w:pPr>
              <w:spacing w:after="0" w:line="240" w:lineRule="auto"/>
              <w:rPr>
                <w:rFonts w:ascii="Times New Roman" w:hAnsi="Times New Roman"/>
                <w:sz w:val="18"/>
                <w:szCs w:val="18"/>
                <w:lang w:val="es-PE" w:eastAsia="es-PE"/>
              </w:rPr>
            </w:pPr>
          </w:p>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gestionar el despido, en caso se requiera. En caso de renuncia, el empleado gestiona la formalización del mismo. Para ambos caso, se </w:t>
            </w:r>
            <w:r w:rsidRPr="00195D0A">
              <w:rPr>
                <w:rFonts w:ascii="Times New Roman" w:hAnsi="Times New Roman"/>
                <w:sz w:val="18"/>
                <w:szCs w:val="18"/>
                <w:lang w:val="es-PE" w:eastAsia="es-PE"/>
              </w:rPr>
              <w:lastRenderedPageBreak/>
              <w:t>necesita la aprobación del Director General.</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A27</w:t>
            </w:r>
          </w:p>
        </w:tc>
        <w:tc>
          <w:tcPr>
            <w:tcW w:w="1701" w:type="dxa"/>
            <w:vAlign w:val="center"/>
          </w:tcPr>
          <w:p w:rsidR="0091132A" w:rsidRPr="00195D0A" w:rsidRDefault="0091132A" w:rsidP="00DF65CE">
            <w:pPr>
              <w:spacing w:after="0" w:line="240" w:lineRule="auto"/>
              <w:rPr>
                <w:rFonts w:ascii="Times New Roman" w:hAnsi="Times New Roman"/>
                <w:sz w:val="18"/>
                <w:szCs w:val="18"/>
                <w:lang w:val="es-PE" w:eastAsia="es-PE"/>
              </w:rPr>
            </w:pPr>
          </w:p>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DF65CE">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transacción realizada</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Pr="00195D0A" w:rsidRDefault="0091132A" w:rsidP="00DF65CE">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Cuando la fecha pactada en el convenio firmado con la Empresa Financiadora llega, el Jefe del Departamento de Proyectos le notifica al Contador que debe elaborar el Informe Financiero. El </w:t>
            </w:r>
            <w:r w:rsidRPr="00195D0A">
              <w:rPr>
                <w:rFonts w:ascii="Times New Roman" w:hAnsi="Times New Roman"/>
                <w:sz w:val="18"/>
                <w:szCs w:val="18"/>
                <w:lang w:val="es-PE" w:eastAsia="es-PE"/>
              </w:rPr>
              <w:lastRenderedPageBreak/>
              <w:t>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DF65CE">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76735B">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76735B">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w:t>
            </w:r>
            <w:r w:rsidRPr="00195D0A">
              <w:rPr>
                <w:rFonts w:ascii="Times New Roman" w:hAnsi="Times New Roman"/>
                <w:sz w:val="18"/>
                <w:szCs w:val="18"/>
                <w:lang w:val="es-PE" w:eastAsia="es-PE"/>
              </w:rPr>
              <w:lastRenderedPageBreak/>
              <w:t xml:space="preserve">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76735B">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76735B">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DF65C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76735B">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Dentro del proceso externo  “Realizar Voluntariado”, la Empresa Voluntaria realiza una evaluación de requerimientos, en conjunto con el Departamento de Imagen Institucional; y se </w:t>
            </w:r>
            <w:r w:rsidRPr="00195D0A">
              <w:rPr>
                <w:rFonts w:ascii="Times New Roman" w:hAnsi="Times New Roman"/>
                <w:sz w:val="18"/>
                <w:szCs w:val="18"/>
                <w:lang w:val="es-PE" w:eastAsia="es-PE"/>
              </w:rPr>
              <w:lastRenderedPageBreak/>
              <w:t>realizan los ajustes necesarios a la campaña.</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Empresa Voluntaria</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Dudas sobre pedagogía </w:t>
            </w:r>
            <w:r w:rsidRPr="00195D0A">
              <w:rPr>
                <w:rFonts w:ascii="Times New Roman" w:hAnsi="Times New Roman"/>
                <w:sz w:val="18"/>
                <w:szCs w:val="18"/>
                <w:lang w:val="es-PE" w:eastAsia="es-PE"/>
              </w:rPr>
              <w:lastRenderedPageBreak/>
              <w:t>resueltas</w:t>
            </w:r>
          </w:p>
        </w:tc>
        <w:tc>
          <w:tcPr>
            <w:tcW w:w="2410" w:type="dxa"/>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Área Pedagógica del centro educativo le comunica algunas dudas sobre pedagogía.</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X8</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91132A" w:rsidP="00DF65CE">
            <w:pPr>
              <w:spacing w:after="0" w:line="240" w:lineRule="auto"/>
              <w:rPr>
                <w:rFonts w:ascii="Times New Roman" w:hAnsi="Times New Roman"/>
                <w:sz w:val="18"/>
                <w:szCs w:val="18"/>
                <w:lang w:val="es-PE" w:eastAsia="es-PE"/>
              </w:rPr>
            </w:pP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DF65CE">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Para la realización del retiro, </w:t>
            </w:r>
            <w:r>
              <w:rPr>
                <w:rFonts w:ascii="Times New Roman" w:hAnsi="Times New Roman"/>
                <w:sz w:val="18"/>
                <w:szCs w:val="18"/>
                <w:lang w:val="es-PE" w:eastAsia="es-PE"/>
              </w:rPr>
              <w:t xml:space="preserve"> el Área de </w:t>
            </w:r>
            <w:r w:rsidRPr="00195D0A">
              <w:rPr>
                <w:rFonts w:ascii="Times New Roman" w:hAnsi="Times New Roman"/>
                <w:sz w:val="18"/>
                <w:szCs w:val="18"/>
                <w:lang w:val="es-PE" w:eastAsia="es-PE"/>
              </w:rPr>
              <w:t>Pastoral y Educación en Valores se encuentra en constante comunicación con la Casa de Retiro, para coordinar los recursos que van a ser necesarios para realizar el retiro.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X15</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General</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Universidad </w:t>
            </w:r>
            <w:proofErr w:type="spellStart"/>
            <w:r w:rsidRPr="00195D0A">
              <w:rPr>
                <w:rFonts w:ascii="Times New Roman" w:hAnsi="Times New Roman"/>
                <w:sz w:val="18"/>
                <w:szCs w:val="18"/>
                <w:lang w:val="es-PE" w:eastAsia="es-PE"/>
              </w:rPr>
              <w:t>publica</w:t>
            </w:r>
            <w:proofErr w:type="spellEnd"/>
            <w:r w:rsidRPr="00195D0A">
              <w:rPr>
                <w:rFonts w:ascii="Times New Roman" w:hAnsi="Times New Roman"/>
                <w:sz w:val="18"/>
                <w:szCs w:val="18"/>
                <w:lang w:val="es-PE" w:eastAsia="es-PE"/>
              </w:rPr>
              <w:t xml:space="preserve"> el anuncio enviado por la Oficina Central de Fe y Alegría Perú.</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Postulante decide enviar su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a la Oficina Central de Fe y Alegría Perú.</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DF65CE">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DF65CE">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X23</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tc>
        <w:tc>
          <w:tcPr>
            <w:tcW w:w="1418" w:type="dxa"/>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 xml:space="preserve">Enviar </w:t>
            </w:r>
            <w:proofErr w:type="spellStart"/>
            <w:r w:rsidRPr="00195D0A">
              <w:rPr>
                <w:rFonts w:ascii="Times New Roman" w:hAnsi="Times New Roman"/>
                <w:sz w:val="18"/>
                <w:szCs w:val="18"/>
              </w:rPr>
              <w:t>Voucher</w:t>
            </w:r>
            <w:proofErr w:type="spellEnd"/>
            <w:r w:rsidRPr="00195D0A">
              <w:rPr>
                <w:rFonts w:ascii="Times New Roman" w:hAnsi="Times New Roman"/>
                <w:sz w:val="18"/>
                <w:szCs w:val="18"/>
              </w:rPr>
              <w:t xml:space="preserve"> de Transferencia</w:t>
            </w:r>
          </w:p>
        </w:tc>
        <w:tc>
          <w:tcPr>
            <w:tcW w:w="1701" w:type="dxa"/>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tc>
        <w:tc>
          <w:tcPr>
            <w:tcW w:w="2410" w:type="dxa"/>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Donante envía el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escaneado al correo de la Encargada de Donaciones.</w:t>
            </w:r>
          </w:p>
        </w:tc>
        <w:tc>
          <w:tcPr>
            <w:tcW w:w="1842"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BFBFBF"/>
            <w:vAlign w:val="center"/>
          </w:tcPr>
          <w:p w:rsidR="0091132A" w:rsidRPr="00195D0A" w:rsidRDefault="0091132A" w:rsidP="00DF65CE">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76735B">
        <w:trPr>
          <w:trHeight w:val="513"/>
        </w:trPr>
        <w:tc>
          <w:tcPr>
            <w:tcW w:w="675" w:type="dxa"/>
            <w:shd w:val="clear" w:color="auto" w:fill="auto"/>
            <w:vAlign w:val="center"/>
          </w:tcPr>
          <w:p w:rsidR="0091132A" w:rsidRPr="00195D0A" w:rsidRDefault="0091132A" w:rsidP="00DF65CE">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DF65CE">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DF65C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DF65CE">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119" w:rsidRDefault="00FC5119" w:rsidP="003A2325">
      <w:pPr>
        <w:spacing w:after="0" w:line="240" w:lineRule="auto"/>
      </w:pPr>
      <w:r>
        <w:separator/>
      </w:r>
    </w:p>
  </w:endnote>
  <w:endnote w:type="continuationSeparator" w:id="0">
    <w:p w:rsidR="00FC5119" w:rsidRDefault="00FC5119"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E8" w:rsidRPr="003A2325" w:rsidRDefault="00CB17E8"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119" w:rsidRDefault="00FC5119" w:rsidP="003A2325">
      <w:pPr>
        <w:spacing w:after="0" w:line="240" w:lineRule="auto"/>
      </w:pPr>
      <w:r>
        <w:separator/>
      </w:r>
    </w:p>
  </w:footnote>
  <w:footnote w:type="continuationSeparator" w:id="0">
    <w:p w:rsidR="00FC5119" w:rsidRDefault="00FC5119"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E8" w:rsidRPr="004B1E60" w:rsidRDefault="00CB17E8"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9"/>
  </w:num>
  <w:num w:numId="8">
    <w:abstractNumId w:val="5"/>
  </w:num>
  <w:num w:numId="9">
    <w:abstractNumId w:val="1"/>
  </w:num>
  <w:num w:numId="10">
    <w:abstractNumId w:val="3"/>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4659"/>
    <w:rsid w:val="001124F0"/>
    <w:rsid w:val="00113990"/>
    <w:rsid w:val="00132857"/>
    <w:rsid w:val="00177E5F"/>
    <w:rsid w:val="001831E9"/>
    <w:rsid w:val="00190F66"/>
    <w:rsid w:val="00193B9A"/>
    <w:rsid w:val="00195D0A"/>
    <w:rsid w:val="001A787E"/>
    <w:rsid w:val="001F5909"/>
    <w:rsid w:val="00217F30"/>
    <w:rsid w:val="002808B0"/>
    <w:rsid w:val="002D1974"/>
    <w:rsid w:val="003431C0"/>
    <w:rsid w:val="003473FC"/>
    <w:rsid w:val="00382FB0"/>
    <w:rsid w:val="00387CCF"/>
    <w:rsid w:val="003A2325"/>
    <w:rsid w:val="003D0416"/>
    <w:rsid w:val="003F4447"/>
    <w:rsid w:val="00400C7C"/>
    <w:rsid w:val="00424EFE"/>
    <w:rsid w:val="00485AEE"/>
    <w:rsid w:val="004B1E60"/>
    <w:rsid w:val="004C3228"/>
    <w:rsid w:val="004E55CE"/>
    <w:rsid w:val="00555F7A"/>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36854"/>
    <w:rsid w:val="0096777B"/>
    <w:rsid w:val="00983F42"/>
    <w:rsid w:val="009C1FE8"/>
    <w:rsid w:val="009C6F6A"/>
    <w:rsid w:val="009D6C48"/>
    <w:rsid w:val="009E5604"/>
    <w:rsid w:val="00A0347D"/>
    <w:rsid w:val="00A2126E"/>
    <w:rsid w:val="00AF1B4A"/>
    <w:rsid w:val="00AF54DE"/>
    <w:rsid w:val="00AF7265"/>
    <w:rsid w:val="00B2743D"/>
    <w:rsid w:val="00B342B5"/>
    <w:rsid w:val="00B45392"/>
    <w:rsid w:val="00B610C9"/>
    <w:rsid w:val="00B776F5"/>
    <w:rsid w:val="00B9070D"/>
    <w:rsid w:val="00BB273E"/>
    <w:rsid w:val="00BC4BF8"/>
    <w:rsid w:val="00BD64A7"/>
    <w:rsid w:val="00BE53B7"/>
    <w:rsid w:val="00C26467"/>
    <w:rsid w:val="00C2710D"/>
    <w:rsid w:val="00C64B6B"/>
    <w:rsid w:val="00CB17E8"/>
    <w:rsid w:val="00CB706B"/>
    <w:rsid w:val="00D14EF0"/>
    <w:rsid w:val="00D219CD"/>
    <w:rsid w:val="00D35E90"/>
    <w:rsid w:val="00D37540"/>
    <w:rsid w:val="00D42D8A"/>
    <w:rsid w:val="00D5595A"/>
    <w:rsid w:val="00D83767"/>
    <w:rsid w:val="00D9774A"/>
    <w:rsid w:val="00DB5AAE"/>
    <w:rsid w:val="00DB7093"/>
    <w:rsid w:val="00DC310F"/>
    <w:rsid w:val="00DE0DD1"/>
    <w:rsid w:val="00E02C07"/>
    <w:rsid w:val="00E27C8A"/>
    <w:rsid w:val="00E41974"/>
    <w:rsid w:val="00E53352"/>
    <w:rsid w:val="00E60F34"/>
    <w:rsid w:val="00E75E1B"/>
    <w:rsid w:val="00E96383"/>
    <w:rsid w:val="00EA397F"/>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43</Pages>
  <Words>9577</Words>
  <Characters>52679</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7</cp:revision>
  <dcterms:created xsi:type="dcterms:W3CDTF">2011-11-06T16:14:00Z</dcterms:created>
  <dcterms:modified xsi:type="dcterms:W3CDTF">2011-11-06T18:23:00Z</dcterms:modified>
</cp:coreProperties>
</file>