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FB346E" w:rsidRDefault="00FB346E"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596746" cy="5365630"/>
            <wp:effectExtent l="0" t="0" r="0" b="6985"/>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247" cy="5369291"/>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p w:rsidR="00644148" w:rsidRPr="000C4A8C" w:rsidRDefault="00644148"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987979"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Transcurrir mínimo 1 mes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000C4A8C"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C41E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Decidir sobre </w:t>
            </w:r>
            <w:r w:rsidR="000C4A8C" w:rsidRPr="000C4A8C">
              <w:rPr>
                <w:rFonts w:ascii="Times New Roman" w:hAnsi="Times New Roman" w:cs="Times New Roman"/>
                <w:sz w:val="18"/>
                <w:szCs w:val="18"/>
                <w:lang w:val="es-PE" w:eastAsia="es-PE"/>
              </w:rPr>
              <w:t>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 xml:space="preserve">Decisión de seguir </w:t>
            </w:r>
            <w:r w:rsidRPr="000C4A8C">
              <w:rPr>
                <w:sz w:val="18"/>
                <w:szCs w:val="18"/>
                <w:lang w:val="es-PE" w:eastAsia="es-PE"/>
              </w:rPr>
              <w:lastRenderedPageBreak/>
              <w:t>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 xml:space="preserve">El Jefe del Departamento se encarga gestionar las capacitaciones </w:t>
            </w:r>
            <w:r w:rsidRPr="000C4A8C">
              <w:rPr>
                <w:rFonts w:ascii="Times New Roman" w:hAnsi="Times New Roman" w:cs="Times New Roman"/>
                <w:sz w:val="18"/>
                <w:szCs w:val="18"/>
                <w:lang w:val="es-PE" w:eastAsia="es-PE"/>
              </w:rPr>
              <w:lastRenderedPageBreak/>
              <w:t xml:space="preserve">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7E92"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-Documentos 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 Información de Recursos Humanos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-Documentos 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0C4A8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Las salidas de los procesos “Capacitar al Personal”, “Rendir Gastos de Viaje” y “Despedir o Ejecutar Retiro de Personal” se consolidan para dar fin al macroproceso.</w:t>
            </w:r>
            <w:bookmarkStart w:id="1" w:name="_GoBack"/>
            <w:bookmarkEnd w:id="1"/>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7E92" w:rsidRPr="000C4A8C" w:rsidRDefault="000C7E92" w:rsidP="00AA086D">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7E92" w:rsidRPr="000C4A8C" w:rsidTr="000C7E92">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0C4A8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 de Capacitación</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Certificados de depósito y de Trabajo emitidos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xml:space="preserve">-Documentos </w:t>
            </w:r>
            <w:r w:rsidRPr="000C4A8C">
              <w:rPr>
                <w:sz w:val="18"/>
                <w:szCs w:val="18"/>
                <w:lang w:val="es-PE" w:eastAsia="es-PE"/>
              </w:rPr>
              <w:lastRenderedPageBreak/>
              <w:t>registrados y contabilizados</w:t>
            </w:r>
          </w:p>
          <w:p w:rsidR="000C7E92" w:rsidRPr="000C4A8C" w:rsidRDefault="000C7E92" w:rsidP="00AA086D">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Este macroproceso concluye con la obtención de un Certificado de Capacitación, Certificados de depósito y de Trabajo, Documentos 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7E92" w:rsidRPr="000C4A8C" w:rsidRDefault="000C7E92" w:rsidP="00AA086D">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9F7369">
      <w:pgSz w:w="16838" w:h="11906" w:orient="landscape"/>
      <w:pgMar w:top="170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C7E92"/>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44148"/>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87979"/>
    <w:rsid w:val="009A56B5"/>
    <w:rsid w:val="009C2FEB"/>
    <w:rsid w:val="009F7369"/>
    <w:rsid w:val="00B10213"/>
    <w:rsid w:val="00B56A79"/>
    <w:rsid w:val="00BB4FE4"/>
    <w:rsid w:val="00BF7332"/>
    <w:rsid w:val="00C133D3"/>
    <w:rsid w:val="00C277D3"/>
    <w:rsid w:val="00C348C0"/>
    <w:rsid w:val="00C41E70"/>
    <w:rsid w:val="00C47CE4"/>
    <w:rsid w:val="00C5504A"/>
    <w:rsid w:val="00C5669F"/>
    <w:rsid w:val="00C9510E"/>
    <w:rsid w:val="00CB45B7"/>
    <w:rsid w:val="00D204C3"/>
    <w:rsid w:val="00D56691"/>
    <w:rsid w:val="00D97BB9"/>
    <w:rsid w:val="00DF7A7E"/>
    <w:rsid w:val="00E4396B"/>
    <w:rsid w:val="00E91F78"/>
    <w:rsid w:val="00EC7F35"/>
    <w:rsid w:val="00F30961"/>
    <w:rsid w:val="00F961ED"/>
    <w:rsid w:val="00FB3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7</Pages>
  <Words>1667</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25</cp:revision>
  <dcterms:created xsi:type="dcterms:W3CDTF">2011-08-27T20:03:00Z</dcterms:created>
  <dcterms:modified xsi:type="dcterms:W3CDTF">2011-11-13T22:50:00Z</dcterms:modified>
</cp:coreProperties>
</file>