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</w:t>
      </w:r>
      <w:r w:rsidR="00181B74"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ROCESO: </w:t>
      </w:r>
      <w:bookmarkEnd w:id="0"/>
      <w:r w:rsidR="00181B74" w:rsidRPr="00181B74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PAGOS Y REPOSICIÓN DE CAJA CHICA</w:t>
      </w:r>
    </w:p>
    <w:p w:rsid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181B74">
        <w:rPr>
          <w:rFonts w:asciiTheme="minorHAnsi" w:hAnsiTheme="minorHAnsi" w:cstheme="minorHAnsi"/>
        </w:rPr>
        <w:t>por la Encargada de Caja para realizar un pago con fondos de la Caja Chica y reponer dicho pago con la autorización correspondiente.</w:t>
      </w:r>
    </w:p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181B74" w:rsidRPr="00181B74">
              <w:rPr>
                <w:rFonts w:asciiTheme="minorHAnsi" w:hAnsiTheme="minorHAnsi" w:cstheme="minorHAnsi"/>
                <w:b/>
                <w:color w:val="FFFFFF"/>
              </w:rPr>
              <w:t>Pagos y Reposición de Caja Chica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109D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065093" w:rsidRPr="005103CB" w:rsidRDefault="00065093" w:rsidP="00065093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  <w:bookmarkStart w:id="1" w:name="_GoBack"/>
            <w:bookmarkEnd w:id="1"/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C3C7A" w:rsidP="005965C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181B74">
              <w:rPr>
                <w:rFonts w:asciiTheme="minorHAnsi" w:hAnsiTheme="minorHAnsi" w:cstheme="minorHAnsi"/>
                <w:sz w:val="22"/>
                <w:szCs w:val="22"/>
              </w:rPr>
              <w:t xml:space="preserve">por la Encargada de Caja para realizar la cancelación de un comprobante de pago con fondos de la Caja Chica y reponer dicho gasto con las autorizaciones correspondientes. </w:t>
            </w:r>
            <w:r w:rsidR="00181B74">
              <w:rPr>
                <w:rFonts w:asciiTheme="minorHAnsi" w:hAnsiTheme="minorHAnsi" w:cstheme="minorHAnsi"/>
                <w:sz w:val="22"/>
                <w:szCs w:val="22"/>
              </w:rPr>
              <w:t>En este caso, los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109DB" w:rsidRDefault="00B37119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comprobante, la Encargada de Caja evalúa si el gasto a realizar alcanza el 80% del monto trazado para realizar el pago con fondos de Caja Chica.</w:t>
            </w:r>
          </w:p>
          <w:p w:rsidR="00B37119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cancela el comprobante y lo procesa en el Sistema de Cómputo.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Al final del día, se efectúa un arqueo de caja y se establece el saldo.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prepara la liquidación del fondo y lo entrega al Administrador para que dé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pasar la verificación del Administrador, la Encargada de Caja modifica la liquidación.</w:t>
            </w:r>
          </w:p>
          <w:p w:rsidR="00E5209B" w:rsidRPr="00E5209B" w:rsidRDefault="00E5209B" w:rsidP="00E5209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5209B"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VoBo del Administrador en la liquidación, la Encargada de Caja elabora el Voucher y gira el Cheque, los cuales son entregados al Administrador para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encontrarse correctos, según el Administrador, la Encargada modifica el Cheque, el Voucher o ambos.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contrario, el Administrador firma el cheque.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6509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Tras recibir el VoBo del Administrador en el Voucher y Cheque, </w:t>
            </w:r>
            <w:r w:rsidR="0006509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Encargada de Caja los entrega al Director General </w:t>
            </w:r>
            <w:r w:rsidR="00065093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para que los verifique y de su VoBo.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de no encontrarse correctos, según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, la Encargada modifica el Cheque, el Voucher o ambos.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contrario,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firma el cheque.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firmas correspondientes, la Encargada de Caja se acerca al Banco a cobrar el cheque.</w:t>
            </w:r>
          </w:p>
          <w:p w:rsidR="00065093" w:rsidRP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luego de realizar la cobranza del cheque, entrega el voucher y la liquidación al Contador, quien le da su VoBo,  codifica el voucher y lo procesa en el sistema.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65093" w:rsidRDefault="00065093" w:rsidP="00065093">
            <w:pPr>
              <w:pStyle w:val="Prrafodelista"/>
              <w:keepNext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Arqueo de Caja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F03B9" w:rsidRDefault="006F03B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6F03B9" w:rsidRDefault="006F03B9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6F03B9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D30E9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6F03B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3155315"/>
            <wp:effectExtent l="0" t="0" r="5080" b="6985"/>
            <wp:docPr id="3" name="Imagen 3" descr="D:\Documents and Settings\Jose\Escritorio\Proyecto Fe y Alegria\Gestión de Control de Pagos\PROCESO 20 - Pagos y Reposición de Caja Ch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20 - Pagos y Reposición de Caja Ch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6A13C4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A13C4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74AB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gasto del Fondo de Caja-Chica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a pagar con Caja-Chica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74ABD" w:rsidP="00074AB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comprobante de pago, nace la necesidad de cancelar el comprobante con fondos de la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pagado con Caja-Chica</w:t>
            </w:r>
          </w:p>
        </w:tc>
        <w:tc>
          <w:tcPr>
            <w:tcW w:w="598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Poner sello de cancelado</w:t>
            </w:r>
          </w:p>
        </w:tc>
        <w:tc>
          <w:tcPr>
            <w:tcW w:w="597" w:type="pct"/>
            <w:vAlign w:val="center"/>
          </w:tcPr>
          <w:p w:rsidR="00423FED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probante de Pago con sello de cancelado</w:t>
            </w:r>
          </w:p>
        </w:tc>
        <w:tc>
          <w:tcPr>
            <w:tcW w:w="1046" w:type="pct"/>
            <w:vAlign w:val="center"/>
          </w:tcPr>
          <w:p w:rsidR="003831EF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pone el sello de cancelado al Comprobante de Pago.</w:t>
            </w:r>
          </w:p>
        </w:tc>
        <w:tc>
          <w:tcPr>
            <w:tcW w:w="563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con sello de cancelado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80% del gasto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  <w:p w:rsidR="00074ABD" w:rsidRPr="00074ABD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Gasto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alcanza el 80% trazado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si el gasto llega al 80% del monto trazado para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no alcanza el 80% trazado</w:t>
            </w:r>
          </w:p>
        </w:tc>
        <w:tc>
          <w:tcPr>
            <w:tcW w:w="598" w:type="pct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pago por Caja-Chica</w:t>
            </w:r>
          </w:p>
        </w:tc>
        <w:tc>
          <w:tcPr>
            <w:tcW w:w="597" w:type="pct"/>
            <w:vAlign w:val="center"/>
          </w:tcPr>
          <w:p w:rsidR="00C73A0D" w:rsidRPr="00742FD4" w:rsidRDefault="00C73A0D" w:rsidP="00074ABD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vAlign w:val="center"/>
          </w:tcPr>
          <w:p w:rsidR="000876FC" w:rsidRPr="000341A1" w:rsidRDefault="00074AB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cancela el proceso por no alcanzar el 80% del monto trazado para Caja-Chica.</w:t>
            </w:r>
          </w:p>
        </w:tc>
        <w:tc>
          <w:tcPr>
            <w:tcW w:w="563" w:type="pct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3519C6" w:rsidRDefault="00074ABD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Procesar comprobante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procesado</w:t>
            </w:r>
          </w:p>
          <w:p w:rsidR="003519C6" w:rsidRPr="00742FD4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procesa el Comprobante de Pago en el sistema de cómputo. Al final del día, nace la necesidad de realizar un Arqueo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3519C6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8" w:type="pct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97" w:type="pct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  <w:p w:rsidR="003519C6" w:rsidRPr="003519C6" w:rsidRDefault="003519C6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prepara la liquidación del fondo en original y copia. En caso el Administrador, luego de verificar la liquidación indique que necesita modificar, la Encargada de Caja la modificará.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liquidación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entregada 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Encargada de Caja entrega la liquidación firmada por ella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061E15" w:rsidRDefault="003519C6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 entregada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 a modificar</w:t>
            </w:r>
          </w:p>
          <w:p w:rsidR="003519C6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 la liquidación por el reembolso.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3519C6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Liquidación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consigna su VoBo en la liquidación por el monto a reembolsar.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el VoBo del Administrador en la liquidación, la Encargada de Caja elabora el voucher por el monto del reembolso y lo firma. En caso haya sido revisado el voucher por el Administrador o Director General y consideren que necesita modificación, la Encargada de Caja realizará las modificaciones 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836CB3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755" w:rsidRPr="00742FD4" w:rsidRDefault="00C64755" w:rsidP="00C6475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y gira el cheque por el importe del reembolso a su nombre.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caso haya sido revisado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 o Director General y consideren que necesita modificación, la Encargada de Caja realizará las modificaciones 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Cheque entregados al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Liquidación con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Encargada de Caja entrega la documentación (Voucher y Cheque)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entregados al Administrador</w:t>
            </w:r>
          </w:p>
          <w:p w:rsidR="00C64755" w:rsidRPr="0023640A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Monto con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correctos</w:t>
            </w:r>
          </w:p>
          <w:p w:rsidR="00C64755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C64755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verificar el cheque y voucher con el monto de la liquidación. En caso alguno de ellos se encuentre erróneamente, los devuelve a la Encargada de Caja para que los modifique.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F03B9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firma el cheque y se lo entrega a la Encargada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02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Director General</w:t>
            </w:r>
          </w:p>
        </w:tc>
        <w:tc>
          <w:tcPr>
            <w:tcW w:w="597" w:type="pct"/>
            <w:vAlign w:val="center"/>
          </w:tcPr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entregados al Director General</w:t>
            </w:r>
          </w:p>
        </w:tc>
        <w:tc>
          <w:tcPr>
            <w:tcW w:w="1046" w:type="pct"/>
            <w:vAlign w:val="center"/>
          </w:tcPr>
          <w:p w:rsidR="006F03B9" w:rsidRPr="000341A1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el voucher y el cheque firmado por el Administrador, al Director General para que lo firme.</w:t>
            </w:r>
          </w:p>
        </w:tc>
        <w:tc>
          <w:tcPr>
            <w:tcW w:w="56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firmado por el Administrador, entregados al Director General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documentación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6F03B9" w:rsidRPr="00742FD4" w:rsidRDefault="006A13C4" w:rsidP="006A13C4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6A13C4" w:rsidP="006A13C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verificar el cheque y voucher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.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caso alguno de ellos se encuentre erróneamente, los devuelve a la Encargada de Caja para que los modifique.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firmado por el Director General</w:t>
            </w:r>
          </w:p>
        </w:tc>
        <w:tc>
          <w:tcPr>
            <w:tcW w:w="1046" w:type="pct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Cobrar cheque en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cobrar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se acerca al Banco y procede a cobrar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20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cobrar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cobrado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y entrega el dinero a la Encargada de Caja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cobrado</w:t>
            </w:r>
          </w:p>
          <w:p w:rsidR="006A13C4" w:rsidRPr="00061E15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Depositar en Caja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deposita el dinero en la Caja-Chica.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22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área Contable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23640A" w:rsidRDefault="006A13C4" w:rsidP="006F03B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el voucher y la liquidación al área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23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Liquidación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VoBo del Contador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da su VoBo a la documentación entregada por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24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836CB3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Liquidación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Codificar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codificado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codifica el voucher y lo procesa en el sistema.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6F03B9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6DB" w:rsidRDefault="005776DB" w:rsidP="007E018E">
      <w:r>
        <w:separator/>
      </w:r>
    </w:p>
  </w:endnote>
  <w:endnote w:type="continuationSeparator" w:id="0">
    <w:p w:rsidR="005776DB" w:rsidRDefault="005776DB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6DB" w:rsidRDefault="005776DB" w:rsidP="007E018E">
      <w:r>
        <w:separator/>
      </w:r>
    </w:p>
  </w:footnote>
  <w:footnote w:type="continuationSeparator" w:id="0">
    <w:p w:rsidR="005776DB" w:rsidRDefault="005776DB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B20C6"/>
    <w:multiLevelType w:val="hybridMultilevel"/>
    <w:tmpl w:val="58787A90"/>
    <w:lvl w:ilvl="0" w:tplc="E83E522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F2AAB"/>
    <w:multiLevelType w:val="hybridMultilevel"/>
    <w:tmpl w:val="D72400FE"/>
    <w:lvl w:ilvl="0" w:tplc="177A1B9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03AC3"/>
    <w:multiLevelType w:val="hybridMultilevel"/>
    <w:tmpl w:val="187CC418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410AA7"/>
    <w:multiLevelType w:val="hybridMultilevel"/>
    <w:tmpl w:val="43FC99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C182C"/>
    <w:multiLevelType w:val="hybridMultilevel"/>
    <w:tmpl w:val="0AA84A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E54E1"/>
    <w:multiLevelType w:val="hybridMultilevel"/>
    <w:tmpl w:val="7F2897F2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9213D"/>
    <w:multiLevelType w:val="hybridMultilevel"/>
    <w:tmpl w:val="B4C80506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"/>
  </w:num>
  <w:num w:numId="5">
    <w:abstractNumId w:val="16"/>
  </w:num>
  <w:num w:numId="6">
    <w:abstractNumId w:val="18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0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15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65093"/>
    <w:rsid w:val="00074ABD"/>
    <w:rsid w:val="000876FC"/>
    <w:rsid w:val="00091828"/>
    <w:rsid w:val="000D3D1C"/>
    <w:rsid w:val="000E7FFE"/>
    <w:rsid w:val="00144206"/>
    <w:rsid w:val="00181B74"/>
    <w:rsid w:val="001B46E9"/>
    <w:rsid w:val="001B7FAC"/>
    <w:rsid w:val="001C0B89"/>
    <w:rsid w:val="0023640A"/>
    <w:rsid w:val="0027113E"/>
    <w:rsid w:val="002D30A1"/>
    <w:rsid w:val="002D7488"/>
    <w:rsid w:val="00311180"/>
    <w:rsid w:val="00314066"/>
    <w:rsid w:val="00335B00"/>
    <w:rsid w:val="003519C6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776DB"/>
    <w:rsid w:val="005965C4"/>
    <w:rsid w:val="005C71F8"/>
    <w:rsid w:val="00601AF5"/>
    <w:rsid w:val="006109DB"/>
    <w:rsid w:val="00643560"/>
    <w:rsid w:val="00662DA3"/>
    <w:rsid w:val="0069290E"/>
    <w:rsid w:val="006A13C4"/>
    <w:rsid w:val="006A5866"/>
    <w:rsid w:val="006C04E3"/>
    <w:rsid w:val="006E0116"/>
    <w:rsid w:val="006F03B9"/>
    <w:rsid w:val="00707ADF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17A4E"/>
    <w:rsid w:val="00B37119"/>
    <w:rsid w:val="00B40AAE"/>
    <w:rsid w:val="00BF49C9"/>
    <w:rsid w:val="00C05EED"/>
    <w:rsid w:val="00C330ED"/>
    <w:rsid w:val="00C64755"/>
    <w:rsid w:val="00C73A0D"/>
    <w:rsid w:val="00CA34D4"/>
    <w:rsid w:val="00CB45B7"/>
    <w:rsid w:val="00CC304A"/>
    <w:rsid w:val="00D26864"/>
    <w:rsid w:val="00D3706B"/>
    <w:rsid w:val="00D7655D"/>
    <w:rsid w:val="00DA01E9"/>
    <w:rsid w:val="00DF7A7E"/>
    <w:rsid w:val="00E142BE"/>
    <w:rsid w:val="00E5209B"/>
    <w:rsid w:val="00E86F6F"/>
    <w:rsid w:val="00EB523A"/>
    <w:rsid w:val="00EC47D9"/>
    <w:rsid w:val="00ED30E9"/>
    <w:rsid w:val="00ED3EAF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1398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2011-05-08T04:42:00Z</dcterms:created>
  <dcterms:modified xsi:type="dcterms:W3CDTF">2011-05-08T06:33:00Z</dcterms:modified>
</cp:coreProperties>
</file>