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</w:t>
      </w:r>
      <w:bookmarkStart w:id="1" w:name="_GoBack"/>
      <w:bookmarkEnd w:id="1"/>
      <w:r w:rsidR="003A222D">
        <w:rPr>
          <w:rFonts w:asciiTheme="minorHAnsi" w:hAnsiTheme="minorHAnsi" w:cstheme="minorHAnsi"/>
        </w:rPr>
        <w:t>aluar las solicitudes de adquisiciones de bienes o servicios que los empleados de los departamentos realizan.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del bien o servicio, y dependiendo de ello, se necesitará otra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EA43D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 necesario que el requerimiento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Comité de Adquisiciones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  <w:p w:rsidR="000F6B07" w:rsidRPr="00A72605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Director General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7B" w:rsidRDefault="006C797B" w:rsidP="007E018E">
      <w:r>
        <w:separator/>
      </w:r>
    </w:p>
  </w:endnote>
  <w:endnote w:type="continuationSeparator" w:id="0">
    <w:p w:rsidR="006C797B" w:rsidRDefault="006C797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7B" w:rsidRDefault="006C797B" w:rsidP="007E018E">
      <w:r>
        <w:separator/>
      </w:r>
    </w:p>
  </w:footnote>
  <w:footnote w:type="continuationSeparator" w:id="0">
    <w:p w:rsidR="006C797B" w:rsidRDefault="006C797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6C0DDD"/>
    <w:rsid w:val="006C797B"/>
    <w:rsid w:val="007B28DD"/>
    <w:rsid w:val="007E018E"/>
    <w:rsid w:val="007E5ECF"/>
    <w:rsid w:val="0080590E"/>
    <w:rsid w:val="0081082F"/>
    <w:rsid w:val="008217BA"/>
    <w:rsid w:val="00834709"/>
    <w:rsid w:val="008654F4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2011-05-01T23:29:00Z</dcterms:created>
  <dcterms:modified xsi:type="dcterms:W3CDTF">2011-05-02T02:43:00Z</dcterms:modified>
</cp:coreProperties>
</file>