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0" w:name="_Toc296956980"/>
      <w:r w:rsidRPr="00860602">
        <w:rPr>
          <w:rFonts w:ascii="Times New Roman" w:eastAsia="Times New Roman" w:hAnsi="Times New Roman" w:cs="Times New Roman"/>
          <w:bCs w:val="0"/>
          <w:color w:val="auto"/>
        </w:rPr>
        <w:t>CODIFICACIÓN DE PROYECTO</w:t>
      </w:r>
      <w:bookmarkEnd w:id="0"/>
    </w:p>
    <w:p w:rsidR="00B44C2D" w:rsidRPr="00552E0E" w:rsidRDefault="00B44C2D" w:rsidP="00B44C2D">
      <w:pPr>
        <w:spacing w:after="240"/>
        <w:jc w:val="both"/>
      </w:pPr>
      <w:r w:rsidRPr="00552E0E">
        <w:t xml:space="preserve">El presente proceso describe las labores realizadas por el Departamento de </w:t>
      </w:r>
      <w:r>
        <w:t>Administración</w:t>
      </w:r>
      <w:r w:rsidRPr="00552E0E">
        <w:t xml:space="preserve"> para la codificación de un nuevo proyecto dentro del Sistema Contable, y de igual manera, servir para el control del mismo por parte del Departamento de Planificación.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Pr>
                <w:b/>
                <w:color w:val="FFFFFF"/>
              </w:rPr>
              <w:t>MACRO</w:t>
            </w:r>
            <w:r w:rsidRPr="00552E0E">
              <w:rPr>
                <w:b/>
                <w:color w:val="FFFFFF"/>
              </w:rPr>
              <w:t>PROCESO: CONTABILIDAD Y PRESUPUESTOS</w:t>
            </w:r>
          </w:p>
          <w:p w:rsidR="00B44C2D" w:rsidRPr="00552E0E" w:rsidRDefault="00B44C2D" w:rsidP="00B44C2D">
            <w:pPr>
              <w:autoSpaceDE w:val="0"/>
              <w:autoSpaceDN w:val="0"/>
              <w:adjustRightInd w:val="0"/>
              <w:jc w:val="center"/>
              <w:rPr>
                <w:b/>
                <w:bCs/>
                <w:color w:val="FFFFFF"/>
              </w:rPr>
            </w:pPr>
            <w:r w:rsidRPr="00552E0E">
              <w:rPr>
                <w:b/>
                <w:color w:val="FFFFFF"/>
              </w:rPr>
              <w:t>Proceso “Codificación de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El presente 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0" w:type="dxa"/>
          </w:tcPr>
          <w:p w:rsidR="00B44C2D" w:rsidRPr="001615E0" w:rsidRDefault="00B44C2D" w:rsidP="001615E0">
            <w:pPr>
              <w:jc w:val="both"/>
              <w:rPr>
                <w:lang w:val="es-PE"/>
              </w:rPr>
            </w:pPr>
            <w:r w:rsidRPr="00552E0E">
              <w:t xml:space="preserve">Departamento de </w:t>
            </w:r>
            <w:r w:rsidR="001615E0">
              <w:t>Administración</w:t>
            </w:r>
          </w:p>
        </w:tc>
        <w:tc>
          <w:tcPr>
            <w:tcW w:w="2132" w:type="dxa"/>
            <w:shd w:val="clear" w:color="auto" w:fill="D9D9D9"/>
            <w:vAlign w:val="center"/>
          </w:tcPr>
          <w:p w:rsidR="00B44C2D" w:rsidRPr="00552E0E" w:rsidRDefault="00B44C2D" w:rsidP="00B44C2D">
            <w:pPr>
              <w:jc w:val="both"/>
              <w:rPr>
                <w:b/>
              </w:rPr>
            </w:pPr>
            <w:r w:rsidRPr="00552E0E">
              <w:rPr>
                <w:b/>
              </w:rPr>
              <w:t>BASE LEGAL</w:t>
            </w:r>
          </w:p>
        </w:tc>
        <w:tc>
          <w:tcPr>
            <w:tcW w:w="2095"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Pr="005E14F9" w:rsidRDefault="00B44C2D" w:rsidP="00B44C2D">
            <w:pPr>
              <w:jc w:val="both"/>
              <w:rPr>
                <w:lang w:val="es-PE"/>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0" w:type="dxa"/>
          </w:tcPr>
          <w:p w:rsidR="00B44C2D" w:rsidRPr="00552E0E" w:rsidRDefault="00B44C2D" w:rsidP="00B44C2D">
            <w:pPr>
              <w:jc w:val="both"/>
              <w:rPr>
                <w:bCs/>
                <w:lang w:val="es-PE"/>
              </w:rPr>
            </w:pPr>
            <w:r w:rsidRPr="00552E0E">
              <w:rPr>
                <w:bCs/>
                <w:lang w:val="es-PE"/>
              </w:rPr>
              <w:t>Contador</w:t>
            </w:r>
          </w:p>
        </w:tc>
        <w:tc>
          <w:tcPr>
            <w:tcW w:w="2132" w:type="dxa"/>
            <w:shd w:val="clear" w:color="auto" w:fill="D9D9D9"/>
            <w:vAlign w:val="center"/>
          </w:tcPr>
          <w:p w:rsidR="00B44C2D" w:rsidRPr="00552E0E" w:rsidRDefault="00B44C2D" w:rsidP="00B44C2D">
            <w:pPr>
              <w:jc w:val="both"/>
              <w:rPr>
                <w:b/>
                <w:bCs/>
              </w:rPr>
            </w:pPr>
            <w:r w:rsidRPr="00552E0E">
              <w:rPr>
                <w:b/>
                <w:bCs/>
              </w:rPr>
              <w:t>CLIENTE EXTERNO</w:t>
            </w:r>
          </w:p>
        </w:tc>
        <w:tc>
          <w:tcPr>
            <w:tcW w:w="2095" w:type="dxa"/>
          </w:tcPr>
          <w:p w:rsidR="00B44C2D" w:rsidRPr="00552E0E" w:rsidRDefault="00B44C2D" w:rsidP="00B44C2D">
            <w:pPr>
              <w:jc w:val="both"/>
              <w:rPr>
                <w:bCs/>
              </w:rPr>
            </w:pPr>
            <w:r w:rsidRPr="00552E0E">
              <w:rPr>
                <w:bCs/>
              </w:rPr>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1615E0">
            <w:pPr>
              <w:jc w:val="both"/>
            </w:pPr>
            <w:r w:rsidRPr="00552E0E">
              <w:t xml:space="preserve">El alcance del presente proceso se encuentra en torno al esfuerzo realizado por el Departamento de </w:t>
            </w:r>
            <w:r w:rsidR="001615E0">
              <w:t>Administración</w:t>
            </w:r>
            <w:r w:rsidRPr="00552E0E">
              <w:t xml:space="preserve"> para realizar la codificación de un proyecto recién aprobado.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Default="00B44C2D" w:rsidP="00D078CC">
            <w:pPr>
              <w:pStyle w:val="Prrafodelista"/>
              <w:keepNext/>
              <w:numPr>
                <w:ilvl w:val="0"/>
                <w:numId w:val="6"/>
              </w:numPr>
              <w:autoSpaceDE w:val="0"/>
              <w:autoSpaceDN w:val="0"/>
              <w:adjustRightInd w:val="0"/>
              <w:jc w:val="both"/>
              <w:rPr>
                <w:bCs/>
              </w:rPr>
            </w:pPr>
            <w:r w:rsidRPr="00552E0E">
              <w:rPr>
                <w:bCs/>
              </w:rPr>
              <w:t xml:space="preserve">Luego de realizarse la aprobación del proyecto, el Jefe del Departamento de Proyectos envía el </w:t>
            </w:r>
            <w:r>
              <w:rPr>
                <w:bCs/>
              </w:rPr>
              <w:t>Convenio</w:t>
            </w:r>
            <w:r w:rsidRPr="00552E0E">
              <w:rPr>
                <w:bCs/>
              </w:rPr>
              <w:t xml:space="preserve"> al </w:t>
            </w:r>
            <w:r w:rsidR="00194225">
              <w:rPr>
                <w:bCs/>
              </w:rPr>
              <w:t>Administrador</w:t>
            </w:r>
            <w:r w:rsidRPr="00552E0E">
              <w:rPr>
                <w:bCs/>
              </w:rPr>
              <w:t xml:space="preserve"> para que se realice la codificación del mismo dentro del Sistema Contable.</w:t>
            </w:r>
          </w:p>
          <w:p w:rsidR="00194225" w:rsidRPr="00552E0E" w:rsidRDefault="00194225" w:rsidP="00D078CC">
            <w:pPr>
              <w:pStyle w:val="Prrafodelista"/>
              <w:keepNext/>
              <w:numPr>
                <w:ilvl w:val="0"/>
                <w:numId w:val="6"/>
              </w:numPr>
              <w:autoSpaceDE w:val="0"/>
              <w:autoSpaceDN w:val="0"/>
              <w:adjustRightInd w:val="0"/>
              <w:jc w:val="both"/>
              <w:rPr>
                <w:bCs/>
              </w:rPr>
            </w:pPr>
            <w:r>
              <w:rPr>
                <w:bCs/>
              </w:rPr>
              <w:t>El Administrador le notifica al Contador para que realice la codificación del Proyecto en el Sistema Contable.</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Dependiendo del tipo de proyecto que es, el Contador codifica el proyecto con un código de 7 dígitos.</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Tras ingresarla en el Sistema Contable, el Contador verifica su correcto registro. En caso hubieran errores, </w:t>
            </w:r>
            <w:r>
              <w:rPr>
                <w:bCs/>
              </w:rPr>
              <w:lastRenderedPageBreak/>
              <w:t>realiza las</w:t>
            </w:r>
            <w:r w:rsidRPr="00552E0E">
              <w:rPr>
                <w:bCs/>
              </w:rPr>
              <w:t xml:space="preserve"> modificaciones correspondientes</w:t>
            </w:r>
            <w:r>
              <w:rPr>
                <w:bCs/>
              </w:rPr>
              <w:t>.</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Finalmente, cuando el registro esté debidamente ingresado, el Contador le informa al Departamento de Planificación sobre la nueva codificación del proyecto para que se realice el control sobre el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No Aplica</w:t>
            </w:r>
          </w:p>
        </w:tc>
      </w:tr>
    </w:tbl>
    <w:p w:rsidR="00B44C2D" w:rsidRPr="00950CBF" w:rsidRDefault="00B44C2D" w:rsidP="00B44C2D">
      <w:pPr>
        <w:pStyle w:val="Epgrafe"/>
        <w:jc w:val="center"/>
        <w:rPr>
          <w:sz w:val="24"/>
          <w:szCs w:val="24"/>
        </w:rPr>
      </w:pPr>
      <w:bookmarkStart w:id="1" w:name="_Toc296548058"/>
      <w:r w:rsidRPr="00950CBF">
        <w:rPr>
          <w:b w:val="0"/>
          <w:sz w:val="24"/>
          <w:szCs w:val="24"/>
        </w:rPr>
        <w:t>Definición del Proceso “Codificación de Proyecto”</w:t>
      </w:r>
      <w:bookmarkEnd w:id="1"/>
    </w:p>
    <w:p w:rsidR="00B44C2D" w:rsidRDefault="00B44C2D" w:rsidP="00B44C2D">
      <w:pPr>
        <w:jc w:val="center"/>
      </w:pPr>
      <w:r w:rsidRPr="00950CBF">
        <w:rPr>
          <w:b/>
        </w:rPr>
        <w:t xml:space="preserve">Fuente: </w:t>
      </w:r>
      <w:r w:rsidRPr="00950CBF">
        <w:t>Elaboración Propia</w:t>
      </w: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194225" w:rsidP="00B44C2D">
      <w:pPr>
        <w:keepNext/>
        <w:jc w:val="center"/>
      </w:pPr>
      <w:r>
        <w:rPr>
          <w:noProof/>
          <w:lang w:val="es-PE" w:eastAsia="es-PE"/>
        </w:rPr>
        <w:lastRenderedPageBreak/>
        <w:drawing>
          <wp:inline distT="0" distB="0" distL="0" distR="0" wp14:anchorId="6377AE25" wp14:editId="0160A8D9">
            <wp:extent cx="8891270" cy="4572562"/>
            <wp:effectExtent l="0" t="0" r="5080" b="0"/>
            <wp:docPr id="1" name="Imagen 1" descr="D:\Documents and Settings\Jose\Escritorio\Proyecto Fe y Alegria\Contabilidad y Presupuestos\Observaciones Víctor Quijaite\Codificacio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Contabilidad y Presupuestos\Observaciones Víctor Quijaite\Codificacion de Proyec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4572562"/>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2" w:name="_Toc296466289"/>
      <w:bookmarkStart w:id="3" w:name="_Toc296636137"/>
      <w:r w:rsidRPr="00FA18EF">
        <w:rPr>
          <w:b w:val="0"/>
          <w:sz w:val="24"/>
          <w:szCs w:val="24"/>
        </w:rPr>
        <w:t>Diagrama de Procesos: Proceso "Codificación de Proyecto"</w:t>
      </w:r>
      <w:bookmarkEnd w:id="2"/>
      <w:bookmarkEnd w:id="3"/>
    </w:p>
    <w:p w:rsidR="00B44C2D" w:rsidRDefault="00B44C2D" w:rsidP="00B44C2D">
      <w:pPr>
        <w:jc w:val="center"/>
      </w:pPr>
      <w:r w:rsidRPr="00FA18EF">
        <w:rPr>
          <w:b/>
        </w:rPr>
        <w:t xml:space="preserve">Fuente: </w:t>
      </w:r>
      <w:r w:rsidRPr="00FA18EF">
        <w:t>Elaboración Propia</w:t>
      </w:r>
    </w:p>
    <w:p w:rsidR="00A57DEB" w:rsidRDefault="00A57DEB" w:rsidP="00B44C2D">
      <w:pPr>
        <w:jc w:val="center"/>
      </w:pPr>
    </w:p>
    <w:p w:rsidR="00A57DEB" w:rsidRDefault="00A57DEB"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445"/>
        <w:gridCol w:w="1561"/>
        <w:gridCol w:w="1277"/>
        <w:gridCol w:w="3685"/>
        <w:gridCol w:w="1843"/>
        <w:gridCol w:w="1592"/>
        <w:gridCol w:w="2312"/>
      </w:tblGrid>
      <w:tr w:rsidR="00194225" w:rsidRPr="00552E0E" w:rsidTr="00194225">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bookmarkStart w:id="4" w:name="_GoBack"/>
            <w:bookmarkEnd w:id="4"/>
            <w:r w:rsidRPr="00860602">
              <w:rPr>
                <w:b/>
                <w:color w:val="FFFFFF"/>
                <w:sz w:val="22"/>
                <w:szCs w:val="22"/>
                <w:lang w:val="es-PE" w:eastAsia="es-PE"/>
              </w:rPr>
              <w:lastRenderedPageBreak/>
              <w:t>N°</w:t>
            </w:r>
          </w:p>
        </w:tc>
        <w:tc>
          <w:tcPr>
            <w:tcW w:w="50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4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2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4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3"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194225" w:rsidRPr="00552E0E" w:rsidTr="00194225">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508" w:type="pct"/>
            <w:shd w:val="clear" w:color="auto" w:fill="C0C0C0"/>
            <w:vAlign w:val="center"/>
          </w:tcPr>
          <w:p w:rsidR="00B44C2D" w:rsidRPr="00552E0E" w:rsidRDefault="00B44C2D" w:rsidP="00B44C2D">
            <w:pPr>
              <w:pStyle w:val="Prrafodelista"/>
              <w:ind w:left="187"/>
              <w:jc w:val="both"/>
              <w:rPr>
                <w:sz w:val="18"/>
                <w:szCs w:val="18"/>
                <w:lang w:val="es-PE" w:eastAsia="es-PE"/>
              </w:rPr>
            </w:pP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Enviar </w:t>
            </w:r>
            <w:r>
              <w:rPr>
                <w:sz w:val="18"/>
                <w:szCs w:val="18"/>
                <w:lang w:val="es-PE" w:eastAsia="es-PE"/>
              </w:rPr>
              <w:t>Convenio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1296" w:type="pct"/>
            <w:shd w:val="clear" w:color="auto" w:fill="C0C0C0"/>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Luego de haberse aprobado el proyecto, el Jefe del Departamento de Proyectos envía el </w:t>
            </w:r>
            <w:r>
              <w:rPr>
                <w:sz w:val="18"/>
                <w:szCs w:val="18"/>
                <w:lang w:val="es-PE" w:eastAsia="es-PE"/>
              </w:rPr>
              <w:t>Convenio</w:t>
            </w:r>
            <w:r w:rsidR="00194225">
              <w:rPr>
                <w:sz w:val="18"/>
                <w:szCs w:val="18"/>
                <w:lang w:val="es-PE" w:eastAsia="es-PE"/>
              </w:rPr>
              <w:t xml:space="preserve"> al Administrador.</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Jefe de Departamento de Proyectos</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Recibir </w:t>
            </w:r>
            <w:r>
              <w:rPr>
                <w:sz w:val="18"/>
                <w:szCs w:val="18"/>
                <w:lang w:val="es-PE" w:eastAsia="es-PE"/>
              </w:rPr>
              <w:t>Convenio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1296" w:type="pct"/>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El </w:t>
            </w:r>
            <w:r w:rsidR="00194225">
              <w:rPr>
                <w:sz w:val="18"/>
                <w:szCs w:val="18"/>
                <w:lang w:val="es-PE" w:eastAsia="es-PE"/>
              </w:rPr>
              <w:t>Administrador</w:t>
            </w:r>
            <w:r w:rsidRPr="00552E0E">
              <w:rPr>
                <w:sz w:val="18"/>
                <w:szCs w:val="18"/>
                <w:lang w:val="es-PE" w:eastAsia="es-PE"/>
              </w:rPr>
              <w:t xml:space="preserve"> recibe el </w:t>
            </w:r>
            <w:r>
              <w:rPr>
                <w:sz w:val="18"/>
                <w:szCs w:val="18"/>
                <w:lang w:val="es-PE" w:eastAsia="es-PE"/>
              </w:rPr>
              <w:t>Convenio</w:t>
            </w:r>
            <w:r w:rsidRPr="00552E0E">
              <w:rPr>
                <w:sz w:val="18"/>
                <w:szCs w:val="18"/>
                <w:lang w:val="es-PE" w:eastAsia="es-PE"/>
              </w:rPr>
              <w:t xml:space="preserve"> </w:t>
            </w:r>
            <w:r w:rsidR="00194225">
              <w:rPr>
                <w:sz w:val="18"/>
                <w:szCs w:val="18"/>
                <w:lang w:val="es-PE" w:eastAsia="es-PE"/>
              </w:rPr>
              <w:t>y le notifica al Contador para que realice la codificación correspondiente</w:t>
            </w:r>
            <w:r w:rsidRPr="00552E0E">
              <w:rPr>
                <w:sz w:val="18"/>
                <w:szCs w:val="18"/>
                <w:lang w:val="es-PE" w:eastAsia="es-PE"/>
              </w:rPr>
              <w:t>.</w:t>
            </w:r>
          </w:p>
        </w:tc>
        <w:tc>
          <w:tcPr>
            <w:tcW w:w="648" w:type="pct"/>
            <w:vAlign w:val="center"/>
          </w:tcPr>
          <w:p w:rsidR="00B44C2D" w:rsidRPr="00552E0E" w:rsidRDefault="00194225" w:rsidP="00B44C2D">
            <w:pPr>
              <w:jc w:val="center"/>
              <w:rPr>
                <w:sz w:val="18"/>
                <w:szCs w:val="18"/>
                <w:lang w:val="es-PE" w:eastAsia="es-PE"/>
              </w:rPr>
            </w:pPr>
            <w:r>
              <w:rPr>
                <w:sz w:val="18"/>
                <w:szCs w:val="18"/>
                <w:lang w:val="es-PE" w:eastAsia="es-PE"/>
              </w:rPr>
              <w:t>Administrador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841"/>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Evaluar Tipo de Proyecto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1296"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según la información recibida, evalúa qué tipo de proyecto es para luego proceder a codificarlo.</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Codificar Proyecto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codifica el proyecto con un código de 7 dígitos:</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1 y 2: correlativo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3 y 4: financiadora</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5: rubro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6 y 7: la ubicación</w:t>
            </w:r>
          </w:p>
        </w:tc>
        <w:tc>
          <w:tcPr>
            <w:tcW w:w="64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5.</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Codificación del Proyecto con indicaciones</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Ingresar codificación al Sistema Contable</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tc>
        <w:tc>
          <w:tcPr>
            <w:tcW w:w="1296" w:type="pct"/>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w:t>
            </w:r>
            <w:r w:rsidRPr="00552E0E">
              <w:rPr>
                <w:sz w:val="18"/>
                <w:szCs w:val="18"/>
                <w:lang w:val="es-PE" w:eastAsia="es-PE"/>
              </w:rPr>
              <w:t xml:space="preserve"> ingresa la codificación del Proyecto al Sistema Contable.</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549" w:type="pct"/>
            <w:vAlign w:val="center"/>
          </w:tcPr>
          <w:p w:rsidR="00B44C2D" w:rsidRPr="00552E0E" w:rsidRDefault="00B44C2D" w:rsidP="00B44C2D">
            <w:pPr>
              <w:jc w:val="center"/>
              <w:rPr>
                <w:sz w:val="18"/>
                <w:szCs w:val="18"/>
                <w:lang w:val="es-PE" w:eastAsia="es-PE"/>
              </w:rPr>
            </w:pPr>
            <w:r>
              <w:rPr>
                <w:sz w:val="18"/>
                <w:szCs w:val="18"/>
                <w:lang w:val="es-PE" w:eastAsia="es-PE"/>
              </w:rPr>
              <w:t>Revisar Registro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verifica que el registro ingresado  o modificado se encuentre correctamente. En caso no se encuentre debidamente ingresado, </w:t>
            </w:r>
            <w:r>
              <w:rPr>
                <w:sz w:val="18"/>
                <w:szCs w:val="18"/>
                <w:lang w:val="es-PE" w:eastAsia="es-PE"/>
              </w:rPr>
              <w:t>procede a modificarlo.</w:t>
            </w:r>
          </w:p>
        </w:tc>
        <w:tc>
          <w:tcPr>
            <w:tcW w:w="648" w:type="pct"/>
            <w:vAlign w:val="center"/>
          </w:tcPr>
          <w:p w:rsidR="00B44C2D" w:rsidRPr="00552E0E" w:rsidRDefault="00B44C2D" w:rsidP="00B44C2D">
            <w:pPr>
              <w:jc w:val="center"/>
              <w:rPr>
                <w:sz w:val="18"/>
                <w:szCs w:val="18"/>
                <w:lang w:val="es-PE" w:eastAsia="es-PE"/>
              </w:rPr>
            </w:pPr>
            <w:r>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7.</w:t>
            </w:r>
          </w:p>
        </w:tc>
        <w:tc>
          <w:tcPr>
            <w:tcW w:w="50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5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Pr>
                <w:sz w:val="18"/>
                <w:szCs w:val="18"/>
                <w:lang w:val="es-PE" w:eastAsia="es-PE"/>
              </w:rPr>
              <w:t>Modificar Registro</w:t>
            </w:r>
          </w:p>
        </w:tc>
        <w:tc>
          <w:tcPr>
            <w:tcW w:w="4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1296"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 procede a modificar el registro erróneamente ingresado.</w:t>
            </w: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8.</w:t>
            </w:r>
          </w:p>
        </w:tc>
        <w:tc>
          <w:tcPr>
            <w:tcW w:w="50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B44C2D">
            <w:pPr>
              <w:jc w:val="both"/>
              <w:rPr>
                <w:sz w:val="18"/>
                <w:szCs w:val="18"/>
                <w:lang w:val="es-PE" w:eastAsia="es-PE"/>
              </w:rPr>
            </w:pPr>
          </w:p>
        </w:tc>
        <w:tc>
          <w:tcPr>
            <w:tcW w:w="5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Informar de la nueva codificación</w:t>
            </w:r>
          </w:p>
        </w:tc>
        <w:tc>
          <w:tcPr>
            <w:tcW w:w="4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2"/>
              </w:numPr>
              <w:ind w:left="215" w:hanging="215"/>
              <w:jc w:val="both"/>
              <w:rPr>
                <w:sz w:val="18"/>
                <w:szCs w:val="18"/>
                <w:lang w:val="es-PE" w:eastAsia="es-PE"/>
              </w:rPr>
            </w:pPr>
            <w:r w:rsidRPr="00552E0E">
              <w:rPr>
                <w:sz w:val="18"/>
                <w:szCs w:val="18"/>
                <w:lang w:val="es-PE" w:eastAsia="es-PE"/>
              </w:rPr>
              <w:t>Notificación realizada</w:t>
            </w:r>
          </w:p>
        </w:tc>
        <w:tc>
          <w:tcPr>
            <w:tcW w:w="1296"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both"/>
              <w:rPr>
                <w:sz w:val="18"/>
                <w:szCs w:val="18"/>
                <w:lang w:val="es-PE" w:eastAsia="es-PE"/>
              </w:rPr>
            </w:pPr>
            <w:r w:rsidRPr="00552E0E">
              <w:rPr>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64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5" w:name="_Toc296548059"/>
      <w:r w:rsidRPr="00950CBF">
        <w:rPr>
          <w:b w:val="0"/>
          <w:sz w:val="24"/>
          <w:szCs w:val="24"/>
        </w:rPr>
        <w:t>Caracterización del Proceso “Codificación de Proyecto”</w:t>
      </w:r>
      <w:bookmarkEnd w:id="5"/>
    </w:p>
    <w:p w:rsidR="00FE3E9B" w:rsidRDefault="00B44C2D" w:rsidP="00A57DEB">
      <w:pPr>
        <w:jc w:val="center"/>
      </w:pPr>
      <w:r w:rsidRPr="00950CBF">
        <w:rPr>
          <w:b/>
        </w:rPr>
        <w:t xml:space="preserve">Fuente: </w:t>
      </w:r>
      <w:r w:rsidRPr="00950CBF">
        <w:t>Elaboración Propia</w:t>
      </w:r>
    </w:p>
    <w:sectPr w:rsidR="00FE3E9B" w:rsidSect="00A57DEB">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150"/>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F8D2A5B"/>
    <w:multiLevelType w:val="hybridMultilevel"/>
    <w:tmpl w:val="238649FE"/>
    <w:lvl w:ilvl="0" w:tplc="6A280F3E">
      <w:start w:val="1"/>
      <w:numFmt w:val="decimal"/>
      <w:lvlText w:val="7.%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AEC56B0"/>
    <w:multiLevelType w:val="hybridMultilevel"/>
    <w:tmpl w:val="685278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7">
    <w:nsid w:val="67557266"/>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D"/>
    <w:rsid w:val="001615E0"/>
    <w:rsid w:val="00194225"/>
    <w:rsid w:val="0045390A"/>
    <w:rsid w:val="004E7503"/>
    <w:rsid w:val="00833DBB"/>
    <w:rsid w:val="008B0CDC"/>
    <w:rsid w:val="00A57DEB"/>
    <w:rsid w:val="00AC5B2F"/>
    <w:rsid w:val="00B44C2D"/>
    <w:rsid w:val="00D078CC"/>
    <w:rsid w:val="00D94BFC"/>
    <w:rsid w:val="00EF137C"/>
    <w:rsid w:val="00FE3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3</cp:revision>
  <cp:lastPrinted>2011-07-11T04:48:00Z</cp:lastPrinted>
  <dcterms:created xsi:type="dcterms:W3CDTF">2011-11-03T18:51:00Z</dcterms:created>
  <dcterms:modified xsi:type="dcterms:W3CDTF">2011-11-03T18:54:00Z</dcterms:modified>
</cp:coreProperties>
</file>