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EC" w:rsidRPr="00B85AEC" w:rsidRDefault="00B85AEC" w:rsidP="00B85AEC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5"/>
      <w:r w:rsidRPr="00B85AEC">
        <w:rPr>
          <w:rFonts w:ascii="Times New Roman" w:hAnsi="Times New Roman"/>
          <w:b/>
          <w:i w:val="0"/>
          <w:smallCaps w:val="0"/>
          <w:sz w:val="24"/>
          <w:szCs w:val="24"/>
        </w:rPr>
        <w:t>PROCESO: ELABORACIÓN DE CAMPAÑA PUBLICITARIA DEL DEPARTAMENTO DE DONACIONES E IMAGEN INSTITUCIONAL</w:t>
      </w:r>
      <w:bookmarkEnd w:id="0"/>
    </w:p>
    <w:p w:rsidR="00B85AEC" w:rsidRPr="00B85AEC" w:rsidRDefault="00B85AEC" w:rsidP="00B85A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AEC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Coordinador de Imagen Institucional para la preparación y supervisión de la campaña publicitaria, junto con la labor realizada por el Asistente de Imagen Institucional para la coordinación y revisión de la publicidad que requiere la campaña.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B85AEC" w:rsidRPr="00B85AEC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“Elaboración de campaña publicitaria del Departamento de Donaciones e Imagen Institucional”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realizar la comunicación interna y externa de la Oficina central y la elaboración del Plan operativo anual del Departamento de Donaciones e Imagen.</w:t>
            </w: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las actividades realizadas por el Departamento de Donaciones e Imagen para la realización de las cuatro campañas que ocurren en el año, tales como: Escolar, Rifa, Alcancías y Navideña.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se entrará en detalle sobre la comunicación empleada entre el Departamento de Donaciones e Imagen Institucional y la agencia publicitaria.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dar inicio a la preparación de la campaña publicitaria respectiva de acuerdo al Cronograma de éstas, estipulado en el Plan Operativo Anual.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procede a elaborar el Cronograma de trabajo de la campaña a realizar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dimensiona el material que se requerirá a lo largo de la ejecución de la campaña.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dimensiona la publicidad que se requerirá para publicitar la campaña.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De acuerdo al dimensionamiento publicitario establecido por el Coordinador de Imagen Institucional, el Asistente de Donaciones e Imagen Institucional procede a coordinar con la empresa de publicidad la realización de la publicidad para la campaña, determinando los requerimientos de la misma.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revisa la publicidad a elaborar por la agencia publicitaria y en caso requiera mejoras es retornada a la agencia publicitaria para su corrección.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Cuando el Asistente de Imagen Institucional determina que la publicidad es la adecuada, procede a realizar la publicación de la misma. 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Se procede a dar inicio a la ejecución de la campaña 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realiza la ejecución de una tarea de acuerdo al Cronograma de trabajo, y en caso requiera la distribución de materiales se comunica con el Departamento de administración para que éste la realice</w:t>
            </w:r>
          </w:p>
          <w:p w:rsidR="00B85AEC" w:rsidRPr="00B85AEC" w:rsidRDefault="00B85AEC" w:rsidP="00B85AEC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realiza un seguimiento a la campaña y toma acciones correctivas en caso sea pertinente.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  <w:sectPr w:rsidR="00B85AEC" w:rsidRPr="00B85AEC" w:rsidSect="00A474B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B85AEC" w:rsidRPr="00B85AEC" w:rsidRDefault="00A45561" w:rsidP="00B85AEC">
      <w:pPr>
        <w:pStyle w:val="Epgrafe"/>
        <w:keepNext/>
        <w:ind w:left="-14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527415" cy="4476337"/>
            <wp:effectExtent l="0" t="0" r="6985" b="635"/>
            <wp:docPr id="1" name="Imagen 1" descr="C:\Users\Susan\Desktop\upc\PROYECTO Fe y Alegria\Procesos Ultimo 2011-2\Gestión de Imagen Institucional y Donaciones\(M) P1 - Elaboración de campaña publicitaria del Departamento de 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Imagen Institucional y Donaciones\(M) P1 - Elaboración de campaña publicitaria del Departamento de 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447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1736"/>
        <w:gridCol w:w="2043"/>
        <w:gridCol w:w="1736"/>
        <w:gridCol w:w="2070"/>
        <w:gridCol w:w="1897"/>
        <w:gridCol w:w="1550"/>
        <w:gridCol w:w="2177"/>
      </w:tblGrid>
      <w:tr w:rsidR="00B85AEC" w:rsidRPr="00B85AEC" w:rsidTr="00B85AEC">
        <w:trPr>
          <w:trHeight w:val="495"/>
          <w:tblHeader/>
        </w:trPr>
        <w:tc>
          <w:tcPr>
            <w:tcW w:w="51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2043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550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77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B85AEC" w:rsidRPr="00B85AEC" w:rsidTr="00B85AEC">
        <w:trPr>
          <w:trHeight w:val="450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inicio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Fecha de inicio de campaña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</w:t>
            </w:r>
            <w:bookmarkStart w:id="1" w:name="_GoBack"/>
            <w:bookmarkEnd w:id="1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identifica de acuerdo al Cronograma de campañas, desarrollado en el Plan operativo anual, el tipo de campaña que será ejecutada.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B85AEC" w:rsidRPr="00B85AEC" w:rsidTr="00B85AEC">
        <w:trPr>
          <w:trHeight w:val="511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Preparación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realizar la preparación de la campaña, el cual contendrá el Cronograma de la campaña, el dimensionamiento de la publicidad y material a requerir durante el desarrollo de la misma.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Elaboración de Cronograma 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elaborar el Cronograma de trabajo que tendrá la campaña en función al tipo de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material a requerir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 estimado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procede a estimar el número de materiales a requerir, de acuerdo al Cronograma de trabajo realizado anteriormente.  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2.3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Publicidad a necesitar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Una vez que el material ha sido estimado, el Coordinador de Imagen Institucional procede a dimensionar la publicidad a necesitar en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función al Cronograma de trabajo.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3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Coordinación para campaña publicitaria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realizar las coordinaciones pertinentes con la agencia publicitaria a fin de que ésta proceda con la elaboración de la 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requerimientos de publicidad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comunicar a la agencia publicitaria los requerimientos de publicidad pertinentes, a fin de que ésta se alinee a las necesidades de la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11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revisar la publicidad proveniente de la agencia publicitaria en el proceso de elaboración de publicidad de acuerdo a los requerimientos de ésta.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 caso el Asistente de Imagen Institucional encuentre algún error en la publicidad elaborada, procede a dar inicio a la actividad de compensación Corrección de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 publicidad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coordinar con la agencia publicitaria la solución a los errores encontrados durante la revisión de la publicidad.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autorizar la publicación de la publicad, a fin de dar inicio a la ejecución de la campaña publicitaria.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Publicada la publicidad se procede a repartir las necesidades de ejecución y seguimiento de campaña entre las actividades de: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 y Seguimiento de campaña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 a supervisar el desarrollo de las tareas en la campaña.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tuviera que tomar acciones correctivas se procede a dar inicio a la actividad Toma de acciones correctivas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8.1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Toma de acciones correctivas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tabs>
                <w:tab w:val="left" w:pos="8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Si el Coordinador de Imagen Institucional encontró algún error en el seguimiento de la campaña, toma las medidas necesarias para asegurarse el cumplimiento del Cronograma de trabajo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</w:t>
            </w:r>
          </w:p>
        </w:tc>
        <w:tc>
          <w:tcPr>
            <w:tcW w:w="1736" w:type="dxa"/>
          </w:tcPr>
          <w:p w:rsidR="00B85AEC" w:rsidRPr="00B85AEC" w:rsidRDefault="00B85AEC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</w:p>
        </w:tc>
        <w:tc>
          <w:tcPr>
            <w:tcW w:w="2070" w:type="dxa"/>
          </w:tcPr>
          <w:p w:rsidR="00B85AEC" w:rsidRPr="00B85AEC" w:rsidRDefault="00B85AEC" w:rsidP="005140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de acuerdo al Cronograma de trabajo recibido del subproceso Preparación de Campaña, procede a realizar las tareas pertinentes del Crono</w:t>
            </w:r>
            <w:r w:rsidR="005140F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grama de trabajo y el Cuestionario de necesidades, en donde se contempla los recursos a necesitar. Este Cuestionario de Necesidades es enviado al Departamento de Administración.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736" w:type="dxa"/>
            <w:shd w:val="clear" w:color="auto" w:fill="BFBFBF"/>
          </w:tcPr>
          <w:p w:rsidR="003D6E29" w:rsidRDefault="003D6E29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736" w:type="dxa"/>
            <w:shd w:val="clear" w:color="auto" w:fill="BFBFBF"/>
          </w:tcPr>
          <w:p w:rsidR="003D6E29" w:rsidRDefault="003D6E29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C60F47" w:rsidP="00C60F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Se consolida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la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siguiente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información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:  </w:t>
            </w:r>
            <w:proofErr w:type="spellStart"/>
            <w:r w:rsidR="005140F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el</w:t>
            </w:r>
            <w:proofErr w:type="spellEnd"/>
            <w:r w:rsidR="005140F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, </w:t>
            </w:r>
            <w:r w:rsidR="005140F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Campaña supervisada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las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Observaciones de desarrollo de la campaña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60F47" w:rsidRPr="00B85AEC" w:rsidTr="003D6E29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C60F47" w:rsidRPr="00B85AEC" w:rsidRDefault="00C60F47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736" w:type="dxa"/>
            <w:shd w:val="clear" w:color="auto" w:fill="auto"/>
          </w:tcPr>
          <w:p w:rsidR="00C60F47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C60F47" w:rsidRPr="00B85AEC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C60F47" w:rsidRPr="00B85AEC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auto"/>
          </w:tcPr>
          <w:p w:rsidR="00C60F47" w:rsidRPr="00B85AEC" w:rsidRDefault="00C60F47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736" w:type="dxa"/>
            <w:shd w:val="clear" w:color="auto" w:fill="auto"/>
          </w:tcPr>
          <w:p w:rsidR="00C60F47" w:rsidRPr="00B85AEC" w:rsidRDefault="00C60F47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</w:p>
        </w:tc>
        <w:tc>
          <w:tcPr>
            <w:tcW w:w="2070" w:type="dxa"/>
            <w:shd w:val="clear" w:color="auto" w:fill="auto"/>
          </w:tcPr>
          <w:p w:rsidR="00C60F47" w:rsidRPr="00B85AEC" w:rsidRDefault="00C60F47" w:rsidP="00C60F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cuando el coordinador de Imagen Institucional tiene elaborado el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Campaña supervisada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las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Observaciones de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desarrollo de la campaña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  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C60F47" w:rsidRPr="00B85AEC" w:rsidRDefault="00C60F47" w:rsidP="00B377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C60F47" w:rsidRPr="00B85AEC" w:rsidRDefault="00C60F47" w:rsidP="00B377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C60F47" w:rsidRPr="00B85AEC" w:rsidRDefault="00C60F47" w:rsidP="00B37768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2049D9" w:rsidRPr="00B85AEC" w:rsidRDefault="002049D9">
      <w:pPr>
        <w:rPr>
          <w:rFonts w:ascii="Times New Roman" w:hAnsi="Times New Roman" w:cs="Times New Roman"/>
          <w:sz w:val="24"/>
          <w:szCs w:val="24"/>
        </w:rPr>
      </w:pPr>
    </w:p>
    <w:sectPr w:rsidR="002049D9" w:rsidRPr="00B85AEC" w:rsidSect="00B85AEC">
      <w:pgSz w:w="15840" w:h="12240" w:orient="landscape"/>
      <w:pgMar w:top="1701" w:right="1418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0A7" w:rsidRDefault="00BD70A7" w:rsidP="00B85AEC">
      <w:pPr>
        <w:spacing w:after="0" w:line="240" w:lineRule="auto"/>
      </w:pPr>
      <w:r>
        <w:separator/>
      </w:r>
    </w:p>
  </w:endnote>
  <w:endnote w:type="continuationSeparator" w:id="0">
    <w:p w:rsidR="00BD70A7" w:rsidRDefault="00BD70A7" w:rsidP="00B8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0A7" w:rsidRDefault="00BD70A7" w:rsidP="00B85AEC">
      <w:pPr>
        <w:spacing w:after="0" w:line="240" w:lineRule="auto"/>
      </w:pPr>
      <w:r>
        <w:separator/>
      </w:r>
    </w:p>
  </w:footnote>
  <w:footnote w:type="continuationSeparator" w:id="0">
    <w:p w:rsidR="00BD70A7" w:rsidRDefault="00BD70A7" w:rsidP="00B8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EC"/>
    <w:rsid w:val="002049D9"/>
    <w:rsid w:val="003D6E29"/>
    <w:rsid w:val="005140F9"/>
    <w:rsid w:val="00766186"/>
    <w:rsid w:val="00A45561"/>
    <w:rsid w:val="00B85AEC"/>
    <w:rsid w:val="00BD70A7"/>
    <w:rsid w:val="00C60F47"/>
    <w:rsid w:val="00C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1501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Susan</cp:lastModifiedBy>
  <cp:revision>5</cp:revision>
  <dcterms:created xsi:type="dcterms:W3CDTF">2011-08-31T22:35:00Z</dcterms:created>
  <dcterms:modified xsi:type="dcterms:W3CDTF">2011-09-11T12:26:00Z</dcterms:modified>
</cp:coreProperties>
</file>