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00" w:lineRule="auto"/>
      </w:pPr>
      <w:r>
        <w:rPr>
          <w:rFonts w:ascii="PingFang SC" w:hAnsi="PingFang SC" w:eastAsia="PingFang SC"/>
          <w:b/>
          <w:color w:val="1F4D78"/>
          <w:sz w:val="52"/>
        </w:rPr>
        <w:t>技术开发设计说明书</w:t>
      </w:r>
    </w:p>
    <w:p>
      <w:pPr>
        <w:spacing w:after="360" w:line="300" w:lineRule="auto"/>
      </w:pPr>
      <w:r>
        <w:rPr>
          <w:rFonts w:ascii="PingFang SC" w:hAnsi="PingFang SC" w:eastAsia="PingFang SC"/>
          <w:b/>
          <w:color w:val="2E74B5"/>
          <w:sz w:val="30"/>
        </w:rPr>
        <w:t>制造业采购AI智能体（PEBS Copilot Purchase）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20"/>
              </w:rPr>
              <w:t>文档版本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20"/>
              </w:rPr>
              <w:t>V0.1 - 开发基线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20"/>
              </w:rPr>
              <w:t>编制日期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20"/>
              </w:rPr>
              <w:t>2026年9月3日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20"/>
              </w:rPr>
              <w:t>前端约束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20"/>
              </w:rPr>
              <w:t>Vue 2.7.16；依赖锁定并保留Vue 3迁移路径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20"/>
              </w:rPr>
              <w:t>后端框架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20"/>
              </w:rPr>
              <w:t>Python FastAPI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20"/>
              </w:rPr>
              <w:t>建设范围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20"/>
              </w:rPr>
              <w:t>采购分析、执行、自动化、预测、寻源与多工厂优化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20"/>
              </w:rPr>
              <w:t>当前里程碑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20"/>
              </w:rPr>
              <w:t>M0.1：工程骨架与采购订单纵向切片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PingFang SC" w:hAnsi="PingFang SC" w:eastAsia="PingFang SC"/>
                <w:b/>
                <w:color w:val="1F4D78"/>
                <w:sz w:val="21"/>
              </w:rPr>
              <w:t xml:space="preserve">开发原则  </w:t>
            </w:r>
            <w:r>
              <w:rPr>
                <w:rFonts w:ascii="PingFang SC" w:hAnsi="PingFang SC" w:eastAsia="PingFang SC"/>
                <w:b w:val="0"/>
                <w:color w:val="101828"/>
                <w:sz w:val="21"/>
              </w:rPr>
              <w:t>大模型负责理解、编排和解释；价格、TCO、回归、预测和路径优化由可验证的程序或算法执行。定标、签署、订单发送等影响性动作必须经过权限校验和人工确认。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文档目的与开发范围</w:t>
      </w:r>
    </w:p>
    <w:p>
      <w:pPr>
        <w:spacing w:after="120" w:line="300" w:lineRule="auto"/>
      </w:pPr>
      <w:r>
        <w:rPr>
          <w:rFonts w:ascii="PingFang SC" w:hAnsi="PingFang SC" w:eastAsia="PingFang SC"/>
          <w:b w:val="0"/>
          <w:color w:val="101828"/>
          <w:sz w:val="22"/>
        </w:rPr>
        <w:t>本文将已确认的系统需求转换为可实施的技术架构、领域模块、数据实体、接口边界、开发里程碑和质量标准，作为代码设计、接口联调、测试验收和变更控制的开发基线。</w:t>
      </w:r>
    </w:p>
    <w:p>
      <w:pPr>
        <w:pStyle w:val="Heading2"/>
        <w:keepNext/>
      </w:pPr>
      <w:r>
        <w:t>1.1 完整模块范围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62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6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开发边界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M01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AI采购助手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查数、分析、模型修正、任务优化、报告和受控执行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M02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数据与API接入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文件导入、系统连接器、映射、全量/增量同步和审计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M03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报价与比价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OCR、标准化、自动比价、TCO和招标评价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M04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采购订单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创建、审批、发送、确认、变更、交付、收货和关闭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M05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模板中心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订单、报价单和合同模板、变量映射、版本和生成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M06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自动化工作流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报价、订单、合同签署、邮件、审批和异常恢复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M07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需求预测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多模型预测、采购建议、预警和情景模拟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M08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智能寻源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外部候选发现、能力匹配、风险初筛和准入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M09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供应商管理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360档案、绩效、风险、关系和价值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M10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多工厂路径优化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供货分配、路线批次、约束和中断重算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M11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合同管理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生成、审查、审批、电子签署和履约提醒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M12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报告通知与审计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驾驶舱、报告、邮件、站内消息和全链路留痕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总体技术架构</w:t>
      </w:r>
    </w:p>
    <w:p>
      <w:pPr>
        <w:spacing w:after="120" w:line="300" w:lineRule="auto"/>
      </w:pPr>
      <w:r>
        <w:rPr>
          <w:rFonts w:ascii="PingFang SC" w:hAnsi="PingFang SC" w:eastAsia="PingFang SC"/>
          <w:b w:val="0"/>
          <w:color w:val="101828"/>
          <w:sz w:val="22"/>
        </w:rPr>
        <w:t>系统采用前后端分离、模块化单体起步、算法服务解耦的架构。业务量和团队规模增长后，可按数据接入、文档处理、AI编排、预测和优化服务逐步拆分。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PingFang SC" w:hAnsi="PingFang SC" w:eastAsia="PingFang SC"/>
                <w:b/>
                <w:color w:val="1F4D78"/>
                <w:sz w:val="21"/>
              </w:rPr>
              <w:t xml:space="preserve">运行链路  </w:t>
            </w:r>
            <w:r>
              <w:rPr>
                <w:rFonts w:ascii="PingFang SC" w:hAnsi="PingFang SC" w:eastAsia="PingFang SC"/>
                <w:b w:val="0"/>
                <w:color w:val="101828"/>
                <w:sz w:val="21"/>
              </w:rPr>
              <w:t>Vue管理端 → FastAPI API层 → 领域服务/AI编排/工作流 → PostgreSQL、Redis、对象存储 → 大模型、OCR、ERP/SRM/MES/WMS/QMS/OA及电子签署平台。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100"/>
        <w:gridCol w:w="40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层级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技术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作用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前端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Vue 2.7.16、Vue Router、Vuex、Axios、Element UI、ECharts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采购工作台、流程交互和可视化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后端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FastAPI、Pydantic、SQLAlchemy、Alembic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API、校验、领域服务和数据库迁移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数据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PostgreSQL、pgvector、Redis、MinIO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业务、知识、缓存、会话和文件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任务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Celery + Redis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OCR、同步、报告和模型训练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流程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Camunda 8 + BPMN/DMN；前端bpmn-js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用户自定义采购自动化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AI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模型适配层 + LangGraph（仅复杂长流程）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模型可替换、工具调用、人工中断和恢复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算法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Pandas、statsmodels、scikit-learn、OR-Tools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回归、预测、分配和路线优化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部署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Docker Compose；生产按需Kubernetes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环境一致性、扩容和运维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工程结构与模块边界</w:t>
      </w:r>
    </w:p>
    <w:p>
      <w:pPr>
        <w:spacing w:after="120" w:line="300" w:lineRule="auto"/>
      </w:pPr>
      <w:r>
        <w:rPr>
          <w:rFonts w:ascii="PingFang SC" w:hAnsi="PingFang SC" w:eastAsia="PingFang SC"/>
          <w:b w:val="0"/>
          <w:color w:val="101828"/>
          <w:sz w:val="22"/>
        </w:rPr>
        <w:t>仓库采用apps/api与apps/web双应用结构。后端按api、core、domain、services和后续repositories分层；前端按views、components、router、store和api组织。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目录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职责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apps/api/app/api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HTTP接口、请求响应模型和权限依赖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apps/api/app/domain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订单、报价、合同、供应商等领域模型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apps/api/app/services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业务规则、任务编排和第三方适配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apps/api/app/repositories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数据库持久化接口；M0.2引入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apps/web/src/views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业务页面和工作台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apps/web/src/api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统一API客户端、错误和认证处理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docs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架构决策、接口约定和开发记录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核心领域数据设计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数据域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核心实体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组织权限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organization、factory、department、user、role、permission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主数据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material、category、unit、currency、warehouse、supplier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询报价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rfq、rfq_supplier、quotation、quotation_line、comparison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合同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contract、contract_version、clause、review、signature_event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订单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purchase_order、order_line、order_change、delivery、receipt、inspection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模板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document_template、template_version、template_field、generation_record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工作流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workflow_definition、workflow_version、workflow_instance、task、event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预测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forecast_dataset、forecast_run、forecast_result、purchase_suggestion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寻源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sourcing_task、candidate_supplier、evidence、qualification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优化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network_node、route、capacity、optimization_run、allocation_result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AI审计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conversation、message、tool_call、model_run、evidence、feedback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所有业务数据必须包含组织范围、创建人、创建时间、更新时间和版本字段。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报价、合同、订单、模型结果及工作流实例采用逻辑删除或不可变版本，不直接物理覆盖。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外部数据保存源系统、源记录键、同步批次和映射版本，保证幂等和血缘追踪。</w:t>
      </w:r>
    </w:p>
    <w:p>
      <w:pPr>
        <w:pStyle w:val="Heading1"/>
        <w:keepNext/>
      </w:pPr>
      <w:r>
        <w:t>5. 采购订单纵向切片</w:t>
      </w:r>
    </w:p>
    <w:p>
      <w:pPr>
        <w:pStyle w:val="Heading2"/>
        <w:keepNext/>
      </w:pPr>
      <w:r>
        <w:t>5.1 订单状态机</w:t>
      </w:r>
    </w:p>
    <w:p>
      <w:pPr>
        <w:spacing w:after="120" w:line="300" w:lineRule="auto"/>
      </w:pPr>
      <w:r>
        <w:rPr>
          <w:rFonts w:ascii="PingFang SC" w:hAnsi="PingFang SC" w:eastAsia="PingFang SC"/>
          <w:b w:val="0"/>
          <w:color w:val="101828"/>
          <w:sz w:val="22"/>
        </w:rPr>
        <w:t>草稿 → 待审批 → 已审批 → 待发送 → 已发送 → 供应商确认 → 部分交货 → 已交货 → 已收货/质检 → 已完成。驳回、暂停、取消和异常为受控分支。</w:t>
      </w:r>
    </w:p>
    <w:p>
      <w:pPr>
        <w:pStyle w:val="Heading2"/>
        <w:keepNext/>
      </w:pPr>
      <w:r>
        <w:t>5.2 首批接口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300"/>
        <w:gridCol w:w="50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方法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/api/v1/health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服务健康检查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/api/v1/modules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返回完整模块目录及状态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GET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/api/v1/orders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查询采购订单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/api/v1/orders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创建订单并计算含税金额</w:t>
            </w:r>
          </w:p>
        </w:tc>
      </w:tr>
      <w:t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POST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/api/v1/assistant/chat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提交AI采购助手请求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80"/>
            </w:pPr>
            <w:r>
              <w:rPr>
                <w:rFonts w:ascii="PingFang SC" w:hAnsi="PingFang SC" w:eastAsia="PingFang SC"/>
                <w:b/>
                <w:color w:val="1F4D78"/>
                <w:sz w:val="21"/>
              </w:rPr>
              <w:t xml:space="preserve">当前实现边界  </w:t>
            </w:r>
            <w:r>
              <w:rPr>
                <w:rFonts w:ascii="PingFang SC" w:hAnsi="PingFang SC" w:eastAsia="PingFang SC"/>
                <w:b w:val="0"/>
                <w:color w:val="101828"/>
                <w:sz w:val="21"/>
              </w:rPr>
              <w:t>M0.1订单数据使用进程内仓储验证接口和页面闭环；M0.2替换为SQLAlchemy/PostgreSQL持久化，并增加认证、权限、审批和状态迁移。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模板与文档生成服务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支持Word、Excel和可填写PDF模板；扫描PDF仅作为识别与参考材料。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模板变量、明细循环、条件片段、金额大小写、签章位置和多语言格式可配置。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AI辅助识别字段，用户确认映射；模板发布需版本、生效范围和审批。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每次生成保存模板版本、数据快照、生成文件、操作者和业务对象关联。</w:t>
      </w:r>
    </w:p>
    <w:p>
      <w:pPr>
        <w:pStyle w:val="Heading1"/>
        <w:keepNext/>
      </w:pPr>
      <w:r>
        <w:t>7. 自动化工作流设计</w:t>
      </w:r>
    </w:p>
    <w:p>
      <w:pPr>
        <w:spacing w:after="120" w:line="300" w:lineRule="auto"/>
      </w:pPr>
      <w:r>
        <w:rPr>
          <w:rFonts w:ascii="PingFang SC" w:hAnsi="PingFang SC" w:eastAsia="PingFang SC"/>
          <w:b w:val="0"/>
          <w:color w:val="101828"/>
          <w:sz w:val="22"/>
        </w:rPr>
        <w:t>业务用户通过BPMN设计器配置触发器、审批、条件、并行、AI任务、系统API、文档生成、邮件、电子签署、等待、重试和人工接管节点。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流程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标准链路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报价自动化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需求确认→生成询价→审批→邮件发送→报价接收→识别→比价→定标确认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订单自动化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中标/合同→生成订单→价格校验→审批→发送→供应商确认→履约跟踪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合同签署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生成合同→AI审查→业务/法务审批→电子签署→回调校验→归档提醒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流程定义按版本发布，运行中的实例继续使用启动时版本。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外部发送和签署必须支持白名单、预览确认、幂等键、失败重试和人工补偿。</w:t>
      </w:r>
    </w:p>
    <w:p>
      <w:pPr>
        <w:pStyle w:val="Heading1"/>
        <w:keepNext/>
      </w:pPr>
      <w:r>
        <w:t>8. AI助手与模型治理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建立模型供应商适配层，业务代码不得直接绑定单一模型SDK。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工具调用采用白名单和结构化参数，先做权限检查再执行。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知识问答返回证据来源、数据时间和业务范围；无证据时明确提示。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模型修正进入反馈、评测、审批、发布和回滚闭环。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未配置模型时系统返回配置状态，不生成伪造的业务结论。</w:t>
      </w:r>
    </w:p>
    <w:p>
      <w:pPr>
        <w:pStyle w:val="Heading1"/>
        <w:keepNext/>
      </w:pPr>
      <w:r>
        <w:t>9. 预测、寻源与路径优化</w:t>
      </w:r>
    </w:p>
    <w:p>
      <w:pPr>
        <w:pStyle w:val="Heading2"/>
        <w:keepNext/>
      </w:pPr>
      <w:r>
        <w:t>9.1 需求预测</w:t>
      </w:r>
    </w:p>
    <w:p>
      <w:pPr>
        <w:spacing w:after="120" w:line="300" w:lineRule="auto"/>
      </w:pPr>
      <w:r>
        <w:rPr>
          <w:rFonts w:ascii="PingFang SC" w:hAnsi="PingFang SC" w:eastAsia="PingFang SC"/>
          <w:b w:val="0"/>
          <w:color w:val="101828"/>
          <w:sz w:val="22"/>
        </w:rPr>
        <w:t>统一历史领用、订单、生产计划、库存、在途和供应提前期，比较移动平均、指数平滑、季节性及回归模型，通过误差和回测选择方案，并输出采购建议与情景模拟。</w:t>
      </w:r>
    </w:p>
    <w:p>
      <w:pPr>
        <w:pStyle w:val="Heading2"/>
        <w:keepNext/>
      </w:pPr>
      <w:r>
        <w:t>9.2 外部智能寻源</w:t>
      </w:r>
    </w:p>
    <w:p>
      <w:pPr>
        <w:spacing w:after="120" w:line="300" w:lineRule="auto"/>
      </w:pPr>
      <w:r>
        <w:rPr>
          <w:rFonts w:ascii="PingFang SC" w:hAnsi="PingFang SC" w:eastAsia="PingFang SC"/>
          <w:b w:val="0"/>
          <w:color w:val="101828"/>
          <w:sz w:val="22"/>
        </w:rPr>
        <w:t>寻源服务将自然语言条件结构化，从企业库和经批准外部数据源获取候选供应商，完成实体去重、证据归档、能力匹配、风险初筛、长短名单和准入自动化。</w:t>
      </w:r>
    </w:p>
    <w:p>
      <w:pPr>
        <w:pStyle w:val="Heading2"/>
        <w:keepNext/>
      </w:pPr>
      <w:r>
        <w:t>9.3 多工厂优化</w:t>
      </w:r>
    </w:p>
    <w:p>
      <w:pPr>
        <w:spacing w:after="120" w:line="300" w:lineRule="auto"/>
      </w:pPr>
      <w:r>
        <w:rPr>
          <w:rFonts w:ascii="PingFang SC" w:hAnsi="PingFang SC" w:eastAsia="PingFang SC"/>
          <w:b w:val="0"/>
          <w:color w:val="101828"/>
          <w:sz w:val="22"/>
        </w:rPr>
        <w:t>OR-Tools模型同时处理供应商产能、工厂需求、MOQ、交期、仓储、路线和供应占比约束，以采购、运输、延期、风险和碳排的加权成本为目标，输出供货量、路线、批次及备选方案。</w:t>
      </w:r>
    </w:p>
    <w:p>
      <w:pPr>
        <w:pStyle w:val="Heading1"/>
        <w:keepNext/>
      </w:pPr>
      <w:r>
        <w:t>10. 安全、权限与审计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控制域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身份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企业SSO/OIDC；开发环境可使用本地认证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授权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集团、公司、工厂、采购组织、品类和字段级权限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密钥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API、模型、邮件和签署凭据进入密钥管理，不写入代码或日志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数据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TLS传输、敏感字段加密、导出水印、保留与删除策略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AI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提示注入防护、工具白名单、数据脱敏和模型路由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审计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查询、导入、修改、生成、审批、发送、签署和模型调用全记录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开发里程碑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5560"/>
        <w:gridCol w:w="120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主题</w:t>
            </w:r>
          </w:p>
        </w:tc>
        <w:tc>
          <w:tcPr>
            <w:tcW w:type="dxa" w:w="5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交付内容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7"/>
              </w:rPr>
              <w:t>状态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M0.1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工程启动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前后端骨架、模块目录、订单创建查询、AI安全占位、基础设施定义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已启动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M0.2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平台底座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PostgreSQL、迁移、认证权限、对象存储、任务队列、审计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下一步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M1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采购执行闭环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数据接入、报价比价、TCO回归、模板、合同、订单、邮件和工作流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计划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M2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预测与供应商智能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需求预测、采购建议、外部寻源、准入、风险和绩效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计划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M3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多工厂优化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供货分配、路径批次、情景模拟、动态订单调整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7"/>
              </w:rPr>
              <w:t>计划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测试与验收基线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后端：单元测试、API集成测试、权限测试、幂等与失败恢复测试。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前端：构建检查、核心页面组件测试和关键流程端到端测试。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算法：固定数据集、回测指标、模型版本、基线对比和可复现结果。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文档/OCR：字段准确率、来源定位、人工校正和异常样本集。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安全：依赖扫描、密钥检查、越权、上传文件和提示注入测试。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PingFang SC" w:hAnsi="PingFang SC" w:eastAsia="PingFang SC"/>
          <w:b w:val="0"/>
          <w:color w:val="101828"/>
          <w:sz w:val="21"/>
        </w:rPr>
        <w:t>性能：普通API、AI首段响应、批量同步和长任务容量分别验收。</w:t>
      </w:r>
    </w:p>
    <w:p>
      <w:r>
        <w:br w:type="page"/>
      </w:r>
    </w:p>
    <w:p>
      <w:pPr>
        <w:pStyle w:val="Heading1"/>
        <w:keepNext/>
      </w:pPr>
      <w:r>
        <w:t>13. 待联调确认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主题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需要客户提供或确认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首个业务系统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ERP/SRM名称、接口文档、测试环境、鉴权和增量规则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模板样本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订单、报价单、合同各3至5份典型可编辑模板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邮件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SMTP、Microsoft 365或企业邮件网关及测试账户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电子签署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e签宝、法大大、上上签或客户指定平台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模型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公有云、私有化或混合路由，及敏感数据策略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成本口径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TCO项目、实际采购成本定义和回归训练样本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优化数据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color w:val="101828"/>
                <w:sz w:val="18"/>
              </w:rPr>
              <w:t>供应商产能、工厂需求、路线、运费、时效和约束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PingFang SC" w:hAnsi="PingFang SC" w:eastAsia="PingFang SC"/>
        <w:b w:val="0"/>
        <w:color w:val="667085"/>
        <w:sz w:val="18"/>
      </w:rPr>
      <w:t>PEBS COPILOT PURCHASE  |  技术开发设计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制造业采购AI智能体技术开发设计说明书</dc:title>
  <dc:subject>PEBS Copilot Purchase开发基线</dc:subject>
  <dc:creator>PEBS项目组</dc:creator>
  <cp:keywords>采购AI, FastAPI, Vue2, 工作流, 订单, 需求预测, 智能寻源, 路径优化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