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10/18: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10/20/19: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Powering the </w:t>
      </w:r>
      <w:r>
        <w:rPr>
          <w:b/>
          <w:bCs/>
        </w:rPr>
        <w:t>Jetson</w:t>
      </w:r>
      <w:r>
        <w:rPr>
          <w:b/>
          <w:bCs/>
        </w:rPr>
        <w:t>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Visited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>
          <w:b/>
          <w:b/>
          <w:bCs/>
        </w:rPr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2</Pages>
  <Words>385</Words>
  <Characters>3217</Characters>
  <CharactersWithSpaces>3532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2019-10-20T12:09:35Z</dcterms:modified>
  <cp:revision>14</cp:revision>
  <dc:subject/>
  <dc:title/>
</cp:coreProperties>
</file>