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NFR ID  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Requirement Statement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Verification Method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NFR-PER-001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The system homepage shall load completely in under 2 seconds for 95% of user visits.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 - Medium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Load testing with simulated concurrent users.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NFR-PER-002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support up to 200 concurrent users during peak activity periods (e.g., election voting).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M- Medium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Stress/load testing.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NFR-PER-003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Generating a financial report for a semester shall take no longer than 60 seconds.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 - Low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Test with a large dataset.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NFR-AVA-001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The system must be available during core campus hours (8 AM - 6 PM) on weekdays.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 - Medium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Monitor uptime with a tracking service.</w:t>
            </w:r>
          </w:p>
        </w:tc>
      </w:tr>
      <w:tr>
        <w:trPr>
          <w:cantSplit w:val="0"/>
          <w:trHeight w:val="1725.84960937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NFR-REL-001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experience no more than 2 hours of unplanned downtime per week.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 - Medium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Review system logs.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NFR-SEC-001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User passwords shall be hashed using a strong, industry-standard algorithm (e.g., bcrypt).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 - Medium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Code review and security audit.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NFR-SEC-002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Users shall only see data and perform actions explicitly permitted for their role (Student, Councillor, Executive).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 - Medium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Penetration testing and role-based access testing.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NFR-SEC-003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All user logins and form submissions (e.g., event registration, voting) must be secured using HTTPS.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 - Medium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Check for the lock icon in the browser's address bar on all major pages during deployment.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NFR-USA-001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 new user shall be able to perform core functions (find an event, log in) without training, based on intuition alone.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 - Low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User acceptance testing (UAT) with a group of new students.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NFR-ACC-001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Accessibility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be usable with a keyboard (tab navigation) and all images shall have descriptive alternative text.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 - Low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1. Manual Test: Navigate the entire site using only the Tab, Enter, and Space keys.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2. Code/Dev Tool Check: Use browser developer tools to verify that all &lt;img&gt; tags have an alt attribute.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NFR-USA-002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provide a consistent and intuitive experience across mobile and desktop interfaces.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 - Medium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design testing on various screen sizes.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NFR-SCA-001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The database design shall not break if the number of students or events doubles by the end of the academic year.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 - Lowest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Load the database with double the initial expected data and verify that all core functions (login, view events, submit a vote) still perform acceptably.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NFR-COM-001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Compatibility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be fully functional on the latest two versions of major browsers (Chrome, Firefox, Safari, Edge).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 - Low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Cross-browser testing suite.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56C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56C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56C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56C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56C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56C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56C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56C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56C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56C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56C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56C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56C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56C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56C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56C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56C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56C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56C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56C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56CB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8156C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MKEW3j/CuJWiTwR2UmZx4fzW+Q==">CgMxLjA4AHIhMXVKTEtMY1h0czBhX0xoTTVXT21fYkFwbDJvRGhfcDVs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2025-10-01T10:01:00Z</dcterms:created>
  <dc:creator>Andrew Fajardo</dc:creator>
</cp:coreProperties>
</file>