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673" w:rsidRDefault="00824C32" w:rsidP="0045304B">
      <w:pPr>
        <w:pStyle w:val="Heading1"/>
        <w:spacing w:before="240"/>
      </w:pPr>
      <w:r>
        <w:t xml:space="preserve">Project </w:t>
      </w:r>
      <w:r w:rsidR="00AB4D05">
        <w:t>Final Report</w:t>
      </w:r>
      <w:r>
        <w:t>: Pipeline Mechanics</w:t>
      </w:r>
    </w:p>
    <w:p w:rsidR="00F17AD4" w:rsidRPr="00F17AD4" w:rsidRDefault="00F17AD4" w:rsidP="00F17AD4">
      <w:pPr>
        <w:pStyle w:val="Heading2"/>
      </w:pPr>
      <w:r>
        <w:t>Abstract</w:t>
      </w:r>
    </w:p>
    <w:p w:rsidR="00824C32" w:rsidRDefault="00AC62D6" w:rsidP="00824C32">
      <w:r>
        <w:tab/>
      </w:r>
    </w:p>
    <w:p w:rsidR="00F17AD4" w:rsidRDefault="00C75A8E" w:rsidP="0062176E">
      <w:pPr>
        <w:pStyle w:val="Heading2"/>
        <w:tabs>
          <w:tab w:val="left" w:pos="8505"/>
        </w:tabs>
      </w:pPr>
      <w:r>
        <w:t>Pipelining and Forwarding</w:t>
      </w:r>
      <w:r w:rsidR="0062176E">
        <w:tab/>
      </w:r>
    </w:p>
    <w:p w:rsidR="0062176E" w:rsidRDefault="0062176E" w:rsidP="00211D6F">
      <w:pPr>
        <w:spacing w:line="240" w:lineRule="auto"/>
      </w:pPr>
      <w:r>
        <w:tab/>
        <w:t xml:space="preserve">In order to improve the performance of a modern processor, designers attempt to leverage instruction level parallelism to increase the number of instructions executed in a given clock cycle or reduce the amount of time between each instruction. Pipelining is a possible solution to this problem, where instructions are broken down into multiple stages. A basic MIPS64 pipeline is shown below, where registers are added to </w:t>
      </w:r>
      <w:r w:rsidR="00A82C8F">
        <w:t>create</w:t>
      </w:r>
      <w:r>
        <w:t xml:space="preserve"> the various pipeline stages. </w:t>
      </w:r>
    </w:p>
    <w:p w:rsidR="00A54105" w:rsidRDefault="00A54105" w:rsidP="00A54105">
      <w:pPr>
        <w:keepNext/>
        <w:jc w:val="center"/>
      </w:pPr>
      <w:r>
        <w:rPr>
          <w:noProof/>
          <w:lang w:val="en-US"/>
        </w:rPr>
        <w:drawing>
          <wp:inline distT="0" distB="0" distL="0" distR="0" wp14:anchorId="3DC659DA" wp14:editId="7D71DFBA">
            <wp:extent cx="4371975" cy="2349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3000" contrast="-24000"/>
                      <a:extLst>
                        <a:ext uri="{28A0092B-C50C-407E-A947-70E740481C1C}">
                          <a14:useLocalDpi xmlns:a14="http://schemas.microsoft.com/office/drawing/2010/main" val="0"/>
                        </a:ext>
                      </a:extLst>
                    </a:blip>
                    <a:srcRect/>
                    <a:stretch>
                      <a:fillRect/>
                    </a:stretch>
                  </pic:blipFill>
                  <pic:spPr bwMode="auto">
                    <a:xfrm>
                      <a:off x="0" y="0"/>
                      <a:ext cx="4380706" cy="2354175"/>
                    </a:xfrm>
                    <a:prstGeom prst="rect">
                      <a:avLst/>
                    </a:prstGeom>
                    <a:noFill/>
                    <a:ln>
                      <a:noFill/>
                    </a:ln>
                  </pic:spPr>
                </pic:pic>
              </a:graphicData>
            </a:graphic>
          </wp:inline>
        </w:drawing>
      </w:r>
    </w:p>
    <w:p w:rsidR="0062176E" w:rsidRDefault="00A54105" w:rsidP="00A54105">
      <w:pPr>
        <w:pStyle w:val="Caption"/>
        <w:jc w:val="center"/>
      </w:pPr>
      <w:r>
        <w:t xml:space="preserve">Figure </w:t>
      </w:r>
      <w:fldSimple w:instr=" SEQ Figure \* ARABIC ">
        <w:r w:rsidR="00F52D5B">
          <w:rPr>
            <w:noProof/>
          </w:rPr>
          <w:t>1</w:t>
        </w:r>
      </w:fldSimple>
      <w:r>
        <w:t>: Basic MIPS RISC Pipeline</w:t>
      </w:r>
      <w:sdt>
        <w:sdtPr>
          <w:id w:val="753317850"/>
          <w:citation/>
        </w:sdtPr>
        <w:sdtContent>
          <w:r>
            <w:fldChar w:fldCharType="begin"/>
          </w:r>
          <w:r>
            <w:rPr>
              <w:lang w:val="en-US"/>
            </w:rPr>
            <w:instrText xml:space="preserve"> CITATION Joh12 \l 1033 </w:instrText>
          </w:r>
          <w:r>
            <w:fldChar w:fldCharType="separate"/>
          </w:r>
          <w:r>
            <w:rPr>
              <w:noProof/>
              <w:lang w:val="en-US"/>
            </w:rPr>
            <w:t xml:space="preserve"> </w:t>
          </w:r>
          <w:r w:rsidRPr="00A54105">
            <w:rPr>
              <w:noProof/>
              <w:lang w:val="en-US"/>
            </w:rPr>
            <w:t>[1]</w:t>
          </w:r>
          <w:r>
            <w:fldChar w:fldCharType="end"/>
          </w:r>
        </w:sdtContent>
      </w:sdt>
    </w:p>
    <w:p w:rsidR="00C06256" w:rsidRDefault="00A54105" w:rsidP="00211D6F">
      <w:pPr>
        <w:spacing w:line="240" w:lineRule="auto"/>
      </w:pPr>
      <w:r>
        <w:tab/>
      </w:r>
      <w:r w:rsidR="008718A6">
        <w:t xml:space="preserve">Using pipelining, more than one instruction can be fed into the pipeline allowing at most one instruction to be completed at the end of each clock cycle once the pipeline is filled. </w:t>
      </w:r>
      <w:r w:rsidR="00870EB3">
        <w:t xml:space="preserve">However, various structural and data hazards keep this maximum performance from being reached. For instance, consider a set of instructions that suffer from a read after write dependency, where the following instruction depends on an output generated by the previous instruction. </w:t>
      </w:r>
    </w:p>
    <w:p w:rsidR="002F44B0" w:rsidRDefault="002F44B0" w:rsidP="00211D6F">
      <w:pPr>
        <w:spacing w:line="240" w:lineRule="auto"/>
      </w:pPr>
      <w:r>
        <w:t xml:space="preserve">The following code snippet illustrates </w:t>
      </w:r>
      <w:r w:rsidR="00C06256">
        <w:t>the problem of a true ALU data dependency.</w:t>
      </w:r>
    </w:p>
    <w:p w:rsidR="002F44B0" w:rsidRPr="002F44B0" w:rsidRDefault="002F44B0" w:rsidP="00AF0787">
      <w:pPr>
        <w:pStyle w:val="NoSpacing"/>
        <w:rPr>
          <w:rFonts w:ascii="Courier New" w:hAnsi="Courier New" w:cs="Courier New"/>
        </w:rPr>
      </w:pPr>
      <w:r w:rsidRPr="002F44B0">
        <w:rPr>
          <w:rFonts w:ascii="Courier New" w:hAnsi="Courier New" w:cs="Courier New"/>
        </w:rPr>
        <w:t>DADD R1, R2, R3 ;Put something in R1</w:t>
      </w:r>
    </w:p>
    <w:p w:rsidR="002F44B0" w:rsidRDefault="002F44B0" w:rsidP="00AF0787">
      <w:pPr>
        <w:pStyle w:val="NoSpacing"/>
        <w:rPr>
          <w:rFonts w:ascii="Courier New" w:hAnsi="Courier New" w:cs="Courier New"/>
        </w:rPr>
      </w:pPr>
      <w:r w:rsidRPr="002F44B0">
        <w:rPr>
          <w:rFonts w:ascii="Courier New" w:hAnsi="Courier New" w:cs="Courier New"/>
        </w:rPr>
        <w:t>DADD R4, R1, R5 ;Dependency on R1</w:t>
      </w:r>
    </w:p>
    <w:p w:rsidR="002F44B0" w:rsidRPr="00AF0787" w:rsidRDefault="00AF0787" w:rsidP="00AF0787">
      <w:pPr>
        <w:pStyle w:val="Caption"/>
        <w:spacing w:before="40"/>
        <w:rPr>
          <w:rFonts w:ascii="Courier New" w:hAnsi="Courier New" w:cs="Courier New"/>
        </w:rPr>
      </w:pPr>
      <w:r>
        <w:t xml:space="preserve">Figure </w:t>
      </w:r>
      <w:fldSimple w:instr=" SEQ Figure \* ARABIC ">
        <w:r w:rsidR="00F52D5B">
          <w:rPr>
            <w:noProof/>
          </w:rPr>
          <w:t>2</w:t>
        </w:r>
      </w:fldSimple>
      <w:r>
        <w:t>: R</w:t>
      </w:r>
      <w:r w:rsidR="00B0351F">
        <w:t>.</w:t>
      </w:r>
      <w:r>
        <w:t>A</w:t>
      </w:r>
      <w:r w:rsidR="00B0351F">
        <w:t>.</w:t>
      </w:r>
      <w:r>
        <w:t>W</w:t>
      </w:r>
      <w:r w:rsidR="00B0351F">
        <w:t>.</w:t>
      </w:r>
      <w:r>
        <w:t xml:space="preserve"> ALU dependency</w:t>
      </w:r>
    </w:p>
    <w:p w:rsidR="00C75A8E" w:rsidRDefault="00870EB3" w:rsidP="00211D6F">
      <w:pPr>
        <w:spacing w:line="240" w:lineRule="auto"/>
        <w:ind w:firstLine="720"/>
      </w:pPr>
      <w:r>
        <w:t xml:space="preserve">In the standard </w:t>
      </w:r>
      <w:r w:rsidR="00C75A8E">
        <w:t>non-</w:t>
      </w:r>
      <w:r>
        <w:t xml:space="preserve">optimized </w:t>
      </w:r>
      <w:r w:rsidR="002F44B0">
        <w:t xml:space="preserve">MIPS pipeline, a stall would be needed such that the first instruction can complete before the second can be resumed. To improve the </w:t>
      </w:r>
      <w:r w:rsidR="002B38A2">
        <w:t>efficiency</w:t>
      </w:r>
      <w:r w:rsidR="002F44B0">
        <w:t xml:space="preserve"> of the pipeline, a technique known as forwarding was developed. By passing the result of the first instruction </w:t>
      </w:r>
      <w:r w:rsidR="001F7E53">
        <w:t>back into the EX stage of the pipeline, the second instruction can execute right away, and no stall is required.</w:t>
      </w:r>
      <w:r w:rsidR="002F44B0">
        <w:t xml:space="preserve"> </w:t>
      </w:r>
    </w:p>
    <w:p w:rsidR="00F52D5B" w:rsidRDefault="00F52D5B" w:rsidP="00F52D5B">
      <w:pPr>
        <w:spacing w:line="240" w:lineRule="auto"/>
      </w:pPr>
      <w:r>
        <w:lastRenderedPageBreak/>
        <w:t>The following image shows the standard forwarding layout of a MIPS machine</w:t>
      </w:r>
      <w:sdt>
        <w:sdtPr>
          <w:id w:val="-278032888"/>
          <w:citation/>
        </w:sdtPr>
        <w:sdtContent>
          <w:r>
            <w:fldChar w:fldCharType="begin"/>
          </w:r>
          <w:r>
            <w:rPr>
              <w:lang w:val="en-US"/>
            </w:rPr>
            <w:instrText xml:space="preserve"> CITATION Joh12 \l 1033 </w:instrText>
          </w:r>
          <w:r>
            <w:fldChar w:fldCharType="separate"/>
          </w:r>
          <w:r>
            <w:rPr>
              <w:noProof/>
              <w:lang w:val="en-US"/>
            </w:rPr>
            <w:t xml:space="preserve"> </w:t>
          </w:r>
          <w:r w:rsidRPr="00F52D5B">
            <w:rPr>
              <w:noProof/>
              <w:lang w:val="en-US"/>
            </w:rPr>
            <w:t>[1]</w:t>
          </w:r>
          <w:r>
            <w:fldChar w:fldCharType="end"/>
          </w:r>
        </w:sdtContent>
      </w:sdt>
      <w:r>
        <w:t>.</w:t>
      </w:r>
    </w:p>
    <w:p w:rsidR="00F52D5B" w:rsidRDefault="00F52D5B" w:rsidP="00F52D5B">
      <w:pPr>
        <w:keepNext/>
        <w:spacing w:line="240" w:lineRule="auto"/>
        <w:jc w:val="center"/>
      </w:pPr>
      <w:r>
        <w:rPr>
          <w:noProof/>
          <w:lang w:val="en-US"/>
        </w:rPr>
        <w:drawing>
          <wp:inline distT="0" distB="0" distL="0" distR="0" wp14:anchorId="770D6900" wp14:editId="58822919">
            <wp:extent cx="2479986"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40000" contrast="40000"/>
                      <a:extLst>
                        <a:ext uri="{28A0092B-C50C-407E-A947-70E740481C1C}">
                          <a14:useLocalDpi xmlns:a14="http://schemas.microsoft.com/office/drawing/2010/main" val="0"/>
                        </a:ext>
                      </a:extLst>
                    </a:blip>
                    <a:srcRect/>
                    <a:stretch>
                      <a:fillRect/>
                    </a:stretch>
                  </pic:blipFill>
                  <pic:spPr bwMode="auto">
                    <a:xfrm>
                      <a:off x="0" y="0"/>
                      <a:ext cx="2483925" cy="2156070"/>
                    </a:xfrm>
                    <a:prstGeom prst="rect">
                      <a:avLst/>
                    </a:prstGeom>
                    <a:noFill/>
                    <a:ln>
                      <a:noFill/>
                    </a:ln>
                  </pic:spPr>
                </pic:pic>
              </a:graphicData>
            </a:graphic>
          </wp:inline>
        </w:drawing>
      </w:r>
    </w:p>
    <w:p w:rsidR="00F52D5B" w:rsidRDefault="00F52D5B" w:rsidP="00F52D5B">
      <w:pPr>
        <w:pStyle w:val="Caption"/>
        <w:jc w:val="center"/>
      </w:pPr>
      <w:r>
        <w:t xml:space="preserve">Figure </w:t>
      </w:r>
      <w:fldSimple w:instr=" SEQ Figure \* ARABIC ">
        <w:r>
          <w:rPr>
            <w:noProof/>
          </w:rPr>
          <w:t>3</w:t>
        </w:r>
      </w:fldSimple>
      <w:r>
        <w:t>: Forwarding in the MIPS pipeline</w:t>
      </w:r>
    </w:p>
    <w:p w:rsidR="00490E96" w:rsidRDefault="00490E96" w:rsidP="00490E96">
      <w:pPr>
        <w:pStyle w:val="Heading3"/>
      </w:pPr>
      <w:r w:rsidRPr="00B000FF">
        <w:t>The MIPS64 EDU environment</w:t>
      </w:r>
    </w:p>
    <w:p w:rsidR="00490E96" w:rsidRDefault="00490E96" w:rsidP="00211D6F">
      <w:pPr>
        <w:spacing w:line="240" w:lineRule="auto"/>
      </w:pPr>
      <w:r>
        <w:tab/>
        <w:t xml:space="preserve">The MIPS64 EDU environment </w:t>
      </w:r>
      <w:r w:rsidR="00887C16">
        <w:t>was</w:t>
      </w:r>
      <w:r>
        <w:t xml:space="preserve"> </w:t>
      </w:r>
      <w:r w:rsidR="00887C16">
        <w:t>the</w:t>
      </w:r>
      <w:r>
        <w:t xml:space="preserve"> platform of choice to examine the various functional differences of the MIPS64 pipeline</w:t>
      </w:r>
      <w:sdt>
        <w:sdtPr>
          <w:id w:val="-1410157497"/>
          <w:citation/>
        </w:sdtPr>
        <w:sdtContent>
          <w:r w:rsidR="00133ECF">
            <w:fldChar w:fldCharType="begin"/>
          </w:r>
          <w:r w:rsidR="00133ECF">
            <w:rPr>
              <w:lang w:val="en-US"/>
            </w:rPr>
            <w:instrText xml:space="preserve"> CITATION And07 \l 1033 </w:instrText>
          </w:r>
          <w:r w:rsidR="00133ECF">
            <w:fldChar w:fldCharType="separate"/>
          </w:r>
          <w:r w:rsidR="00133ECF">
            <w:rPr>
              <w:noProof/>
              <w:lang w:val="en-US"/>
            </w:rPr>
            <w:t xml:space="preserve"> </w:t>
          </w:r>
          <w:r w:rsidR="00133ECF" w:rsidRPr="00133ECF">
            <w:rPr>
              <w:noProof/>
              <w:lang w:val="en-US"/>
            </w:rPr>
            <w:t>[2]</w:t>
          </w:r>
          <w:r w:rsidR="00133ECF">
            <w:fldChar w:fldCharType="end"/>
          </w:r>
        </w:sdtContent>
      </w:sdt>
      <w:r>
        <w:t>. This java base</w:t>
      </w:r>
      <w:r w:rsidR="003A490F">
        <w:t>d</w:t>
      </w:r>
      <w:r>
        <w:t xml:space="preserve"> simulator </w:t>
      </w:r>
      <w:r w:rsidR="00887C16">
        <w:t>provided</w:t>
      </w:r>
      <w:r>
        <w:t xml:space="preserve"> a set of tools to examine the pipeline,</w:t>
      </w:r>
      <w:r w:rsidR="00887C16">
        <w:t xml:space="preserve"> including</w:t>
      </w:r>
      <w:r>
        <w:t xml:space="preserve"> where instructions are stalled, the contents of the registers, and the overall structure of memory. Using all of these tools the performance of </w:t>
      </w:r>
      <w:r w:rsidR="003A490F">
        <w:t>the</w:t>
      </w:r>
      <w:r>
        <w:t xml:space="preserve"> pipeline</w:t>
      </w:r>
      <w:r w:rsidR="003A490F">
        <w:t xml:space="preserve"> </w:t>
      </w:r>
      <w:r w:rsidR="00887C16">
        <w:t xml:space="preserve">was </w:t>
      </w:r>
      <w:r w:rsidR="003A490F">
        <w:t>evaluated</w:t>
      </w:r>
      <w:r>
        <w:t xml:space="preserve"> as </w:t>
      </w:r>
      <w:r w:rsidR="003A490F">
        <w:t xml:space="preserve">changes were made to its structure. </w:t>
      </w:r>
    </w:p>
    <w:p w:rsidR="00DC6FE1" w:rsidRDefault="00DC6FE1" w:rsidP="00DC6FE1">
      <w:pPr>
        <w:pStyle w:val="Heading2"/>
      </w:pPr>
      <w:r>
        <w:t>Methodology</w:t>
      </w:r>
    </w:p>
    <w:p w:rsidR="006374E8" w:rsidRDefault="006374E8" w:rsidP="00211D6F">
      <w:pPr>
        <w:spacing w:line="240" w:lineRule="auto"/>
      </w:pPr>
      <w:r>
        <w:tab/>
        <w:t xml:space="preserve">Since forwarding improves the performance of pipelining by solving problems read after write problems, </w:t>
      </w:r>
      <w:r w:rsidR="00AF2333">
        <w:t xml:space="preserve">where is the best place in the pipeline to implement forwarding and for what cases will this improve performance? </w:t>
      </w:r>
    </w:p>
    <w:p w:rsidR="000066CA" w:rsidRPr="006374E8" w:rsidRDefault="00AF0787" w:rsidP="00211D6F">
      <w:pPr>
        <w:spacing w:line="240" w:lineRule="auto"/>
      </w:pPr>
      <w:r>
        <w:tab/>
        <w:t xml:space="preserve">When a true data dependency occurs on an </w:t>
      </w:r>
      <w:r w:rsidR="00B0351F">
        <w:t xml:space="preserve">ALU instruction, such as the case in figure 2, a forwarding path from the output of the EX stage back into the EX will resolve the problem of needing to stall. Similarly, when a true data dependency occurs on a Load or Store instruction, forwarding from the MEM stage back into the EX or MEM stage will resolve the problem of needing to stall. </w:t>
      </w:r>
    </w:p>
    <w:p w:rsidR="00D83C76" w:rsidRDefault="00D83C76" w:rsidP="00D83C76">
      <w:pPr>
        <w:pStyle w:val="Heading3"/>
      </w:pPr>
      <w:r>
        <w:t>Modifications</w:t>
      </w:r>
    </w:p>
    <w:p w:rsidR="00676559" w:rsidRDefault="00676559" w:rsidP="00211D6F">
      <w:pPr>
        <w:spacing w:line="240" w:lineRule="auto"/>
      </w:pPr>
      <w:r>
        <w:tab/>
        <w:t xml:space="preserve">In order to determine the impact on performance of each of these forwarding paths, the MIPS64 EDU simulator was modified. These modifications allowed the user to </w:t>
      </w:r>
      <w:r w:rsidR="0047233E">
        <w:t xml:space="preserve">select whether ALU instructions, Load and Store instructions, or both are forwarded through to the next stage. This allowed each paths impact on the pipeline to evaluated. </w:t>
      </w:r>
    </w:p>
    <w:p w:rsidR="0047233E" w:rsidRDefault="0047233E" w:rsidP="00211D6F">
      <w:pPr>
        <w:spacing w:line="240" w:lineRule="auto"/>
      </w:pPr>
      <w:r>
        <w:t>The following image shows the additional options made available to the user after modifying the simulator.</w:t>
      </w:r>
    </w:p>
    <w:p w:rsidR="0047233E" w:rsidRDefault="009F67B6" w:rsidP="009F67B6">
      <w:pPr>
        <w:pStyle w:val="Caption"/>
        <w:jc w:val="center"/>
      </w:pPr>
      <w:r>
        <w:rPr>
          <w:noProof/>
          <w:lang w:val="en-US"/>
        </w:rPr>
        <w:lastRenderedPageBreak/>
        <w:drawing>
          <wp:inline distT="0" distB="0" distL="0" distR="0" wp14:anchorId="2C56B5E8" wp14:editId="158D5E99">
            <wp:extent cx="2771775" cy="19514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23345"/>
                    <a:stretch/>
                  </pic:blipFill>
                  <pic:spPr bwMode="auto">
                    <a:xfrm>
                      <a:off x="0" y="0"/>
                      <a:ext cx="2784378" cy="1960315"/>
                    </a:xfrm>
                    <a:prstGeom prst="rect">
                      <a:avLst/>
                    </a:prstGeom>
                    <a:noFill/>
                    <a:ln>
                      <a:noFill/>
                    </a:ln>
                    <a:extLst>
                      <a:ext uri="{53640926-AAD7-44D8-BBD7-CCE9431645EC}">
                        <a14:shadowObscured xmlns:a14="http://schemas.microsoft.com/office/drawing/2010/main"/>
                      </a:ext>
                    </a:extLst>
                  </pic:spPr>
                </pic:pic>
              </a:graphicData>
            </a:graphic>
          </wp:inline>
        </w:drawing>
      </w:r>
      <w:r w:rsidR="00404245">
        <w:rPr>
          <w:noProof/>
          <w:lang w:val="en-US"/>
        </w:rPr>
        <w:t xml:space="preserve">           </w:t>
      </w:r>
      <w:r w:rsidR="0047233E">
        <w:rPr>
          <w:noProof/>
          <w:lang w:val="en-US"/>
        </w:rPr>
        <w:drawing>
          <wp:inline distT="0" distB="0" distL="0" distR="0" wp14:anchorId="6B72DAD6" wp14:editId="304239FB">
            <wp:extent cx="2750622"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22838"/>
                    <a:stretch/>
                  </pic:blipFill>
                  <pic:spPr bwMode="auto">
                    <a:xfrm>
                      <a:off x="0" y="0"/>
                      <a:ext cx="2763283" cy="1952044"/>
                    </a:xfrm>
                    <a:prstGeom prst="rect">
                      <a:avLst/>
                    </a:prstGeom>
                    <a:noFill/>
                    <a:ln>
                      <a:noFill/>
                    </a:ln>
                    <a:extLst>
                      <a:ext uri="{53640926-AAD7-44D8-BBD7-CCE9431645EC}">
                        <a14:shadowObscured xmlns:a14="http://schemas.microsoft.com/office/drawing/2010/main"/>
                      </a:ext>
                    </a:extLst>
                  </pic:spPr>
                </pic:pic>
              </a:graphicData>
            </a:graphic>
          </wp:inline>
        </w:drawing>
      </w:r>
    </w:p>
    <w:p w:rsidR="0047233E" w:rsidRPr="00676559" w:rsidRDefault="0047233E" w:rsidP="0047233E">
      <w:pPr>
        <w:pStyle w:val="Caption"/>
        <w:jc w:val="center"/>
      </w:pPr>
      <w:r>
        <w:t xml:space="preserve">Figure </w:t>
      </w:r>
      <w:fldSimple w:instr=" SEQ Figure \* ARABIC ">
        <w:r w:rsidR="00F52D5B">
          <w:rPr>
            <w:noProof/>
          </w:rPr>
          <w:t>4</w:t>
        </w:r>
      </w:fldSimple>
      <w:r w:rsidR="009F67B6">
        <w:t>: Original versus updated</w:t>
      </w:r>
      <w:r>
        <w:t xml:space="preserve"> eduMIPS64 settings dialogue</w:t>
      </w:r>
    </w:p>
    <w:p w:rsidR="001014FF" w:rsidRDefault="00AF2333" w:rsidP="00AF2333">
      <w:pPr>
        <w:pStyle w:val="Heading4"/>
      </w:pPr>
      <w:r>
        <w:t>The EX to EX path</w:t>
      </w:r>
    </w:p>
    <w:p w:rsidR="00D42D08" w:rsidRPr="00D42D08" w:rsidRDefault="00D42D08" w:rsidP="00D42D08">
      <w:r>
        <w:tab/>
        <w:t>EXPLANATION OF HOW THE CHANGES WERE MADE</w:t>
      </w:r>
    </w:p>
    <w:p w:rsidR="00AF2333" w:rsidRDefault="00AF2333" w:rsidP="00AF2333">
      <w:pPr>
        <w:pStyle w:val="Heading4"/>
      </w:pPr>
      <w:r>
        <w:t>The MEM to MEM path</w:t>
      </w:r>
    </w:p>
    <w:p w:rsidR="00D42D08" w:rsidRPr="00D42D08" w:rsidRDefault="00D42D08" w:rsidP="00D42D08">
      <w:r>
        <w:tab/>
        <w:t>EXPLANATAION OF HOW THE CHANGES WERE MADE</w:t>
      </w:r>
    </w:p>
    <w:p w:rsidR="00D83C76" w:rsidRDefault="00D83C76" w:rsidP="00D83C76">
      <w:pPr>
        <w:pStyle w:val="Heading3"/>
      </w:pPr>
      <w:r>
        <w:t>Test Cases</w:t>
      </w:r>
    </w:p>
    <w:p w:rsidR="004D0B54" w:rsidRDefault="004D0B54" w:rsidP="00211D6F">
      <w:pPr>
        <w:spacing w:line="240" w:lineRule="auto"/>
        <w:ind w:firstLine="720"/>
      </w:pPr>
      <w:r>
        <w:t xml:space="preserve">In order to test if the pipeline will stall on a read after write (RAW), the test bench should be able to generate this type of error. After implementing forwarding, these test cases can be run again, and the number of stall cycles compared for each type of pipeline. </w:t>
      </w:r>
    </w:p>
    <w:p w:rsidR="00133ECF" w:rsidRPr="00A63272" w:rsidRDefault="004D0B54" w:rsidP="00A63272">
      <w:pPr>
        <w:spacing w:line="240" w:lineRule="auto"/>
      </w:pPr>
      <w:r>
        <w:tab/>
        <w:t>Two RAW data hazard test benches were written. The first creates a true data dependency between two registers that can be solved by forwarding to the EX stage. The second creates a dependency between two registers needed for a load and store operation, which can be solved by forwarding from the EX stage to the MEM stage and from the MEM stage to the EX stage. For the second test case, since memory is being used, there will still be at best one RAW stall.</w:t>
      </w:r>
      <w:r w:rsidR="00133ECF">
        <w:rPr>
          <w:rFonts w:ascii="Courier New" w:hAnsi="Courier New" w:cs="Courier New"/>
        </w:rPr>
        <w:tab/>
      </w:r>
    </w:p>
    <w:p w:rsidR="00133ECF" w:rsidRPr="00246BE7" w:rsidRDefault="00133ECF" w:rsidP="00211D6F">
      <w:pPr>
        <w:spacing w:line="240" w:lineRule="auto"/>
      </w:pPr>
      <w:r>
        <w:tab/>
      </w:r>
      <w:r w:rsidR="00404E25">
        <w:t>Also</w:t>
      </w:r>
      <w:r>
        <w:t xml:space="preserve">, to test how the </w:t>
      </w:r>
      <w:r w:rsidR="008E503B">
        <w:t>pipeline performs using a large mix of instructions, a MIPS64 compiler tool chain was used to created assembly language benchmarks from C programs. The Sourcery Code Bench tool chain provides an ANSI compliant C compiler that provides MIPS64 assembly code</w:t>
      </w:r>
      <w:sdt>
        <w:sdtPr>
          <w:id w:val="47513692"/>
          <w:citation/>
        </w:sdtPr>
        <w:sdtContent>
          <w:r w:rsidR="008E503B">
            <w:fldChar w:fldCharType="begin"/>
          </w:r>
          <w:r w:rsidR="008E503B">
            <w:rPr>
              <w:lang w:val="en-US"/>
            </w:rPr>
            <w:instrText xml:space="preserve"> CITATION Men13 \l 1033 </w:instrText>
          </w:r>
          <w:r w:rsidR="008E503B">
            <w:fldChar w:fldCharType="separate"/>
          </w:r>
          <w:r w:rsidR="008E503B">
            <w:rPr>
              <w:noProof/>
              <w:lang w:val="en-US"/>
            </w:rPr>
            <w:t xml:space="preserve"> </w:t>
          </w:r>
          <w:r w:rsidR="008E503B" w:rsidRPr="008E503B">
            <w:rPr>
              <w:noProof/>
              <w:lang w:val="en-US"/>
            </w:rPr>
            <w:t>[3]</w:t>
          </w:r>
          <w:r w:rsidR="008E503B">
            <w:fldChar w:fldCharType="end"/>
          </w:r>
        </w:sdtContent>
      </w:sdt>
      <w:r w:rsidR="008E503B">
        <w:t xml:space="preserve">.  </w:t>
      </w:r>
      <w:r w:rsidR="00437455">
        <w:t xml:space="preserve">These programs are made up of a variety of instructions that simulate the operation of a real program. </w:t>
      </w:r>
    </w:p>
    <w:p w:rsidR="00537231" w:rsidRDefault="00C50C3C" w:rsidP="00C50C3C">
      <w:pPr>
        <w:pStyle w:val="Heading3"/>
      </w:pPr>
      <w:r>
        <w:t>Evaluation</w:t>
      </w:r>
    </w:p>
    <w:p w:rsidR="00B55D91" w:rsidRDefault="00AB4D05" w:rsidP="00211D6F">
      <w:pPr>
        <w:spacing w:line="240" w:lineRule="auto"/>
      </w:pPr>
      <w:r>
        <w:tab/>
      </w:r>
      <w:r w:rsidR="00A90C7C">
        <w:t xml:space="preserve">Each benchmark was evaluated for all three possible cases of forwarding, where either no forwarding was used, ALU forwarding was used, Memory forwarding was used, or full forwarding was used. </w:t>
      </w:r>
      <w:r w:rsidR="002948B8">
        <w:t xml:space="preserve">The number of read after write (RAW) stalls, structural stalls, cycles, </w:t>
      </w:r>
      <w:r w:rsidR="002610C2">
        <w:t>instruction count, and clock cycles per instruction (CPI)</w:t>
      </w:r>
      <w:r w:rsidR="002948B8">
        <w:t xml:space="preserve"> was noted. </w:t>
      </w:r>
      <w:r w:rsidR="00FC36E3">
        <w:t xml:space="preserve">The code for each test bench is provided for the </w:t>
      </w:r>
      <w:r w:rsidR="00C00A6E">
        <w:t>reader’s</w:t>
      </w:r>
      <w:r w:rsidR="00FC36E3">
        <w:t xml:space="preserve"> convenience in Appendix A. </w:t>
      </w:r>
    </w:p>
    <w:p w:rsidR="0010148B" w:rsidRDefault="00B55D91" w:rsidP="00B55D91">
      <w:pPr>
        <w:spacing w:line="240" w:lineRule="auto"/>
      </w:pPr>
      <w:r>
        <w:t>The following graph shows the read after write stalls and clock cycles per instruction for the first data hazard test bench</w:t>
      </w:r>
      <w:r w:rsidR="00F22817">
        <w:t>, see Appendix A</w:t>
      </w:r>
      <w:r w:rsidR="0010148B">
        <w:t xml:space="preserve"> item 1 </w:t>
      </w:r>
      <w:r>
        <w:t>for test bench code.</w:t>
      </w:r>
    </w:p>
    <w:p w:rsidR="00CE256B" w:rsidRDefault="00CE256B" w:rsidP="00B55D91">
      <w:pPr>
        <w:spacing w:line="240" w:lineRule="auto"/>
      </w:pPr>
      <w:r>
        <w:rPr>
          <w:noProof/>
          <w:lang w:val="en-US"/>
        </w:rPr>
        <w:lastRenderedPageBreak/>
        <w:drawing>
          <wp:inline distT="0" distB="0" distL="0" distR="0" wp14:anchorId="28819508" wp14:editId="77DCB1A5">
            <wp:extent cx="5943600" cy="4315460"/>
            <wp:effectExtent l="0" t="0" r="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0148B" w:rsidRDefault="00416176" w:rsidP="00416176">
      <w:pPr>
        <w:spacing w:line="240" w:lineRule="auto"/>
        <w:ind w:firstLine="720"/>
      </w:pPr>
      <w:r>
        <w:t xml:space="preserve">Based on the graph, </w:t>
      </w:r>
      <w:bookmarkStart w:id="0" w:name="_GoBack"/>
      <w:bookmarkEnd w:id="0"/>
    </w:p>
    <w:p w:rsidR="0010148B" w:rsidRDefault="0010148B" w:rsidP="0010148B">
      <w:pPr>
        <w:spacing w:line="240" w:lineRule="auto"/>
      </w:pPr>
      <w:r>
        <w:t xml:space="preserve">The following graph shows the read after write stalls and clock cycles per instruction for the </w:t>
      </w:r>
      <w:r>
        <w:t>second</w:t>
      </w:r>
      <w:r>
        <w:t xml:space="preserve"> data hazard test bench, see Appendix A item </w:t>
      </w:r>
      <w:r>
        <w:t>2</w:t>
      </w:r>
      <w:r>
        <w:t xml:space="preserve"> for test bench code.</w:t>
      </w:r>
    </w:p>
    <w:p w:rsidR="0010148B" w:rsidRDefault="0010148B" w:rsidP="0010148B">
      <w:pPr>
        <w:spacing w:line="240" w:lineRule="auto"/>
      </w:pPr>
      <w:r>
        <w:rPr>
          <w:noProof/>
          <w:lang w:val="en-US"/>
        </w:rPr>
        <w:lastRenderedPageBreak/>
        <w:drawing>
          <wp:inline distT="0" distB="0" distL="0" distR="0" wp14:anchorId="07D37C46" wp14:editId="6681C9E1">
            <wp:extent cx="5943600" cy="4315460"/>
            <wp:effectExtent l="0" t="0" r="0"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417D7" w:rsidRDefault="001417D7" w:rsidP="0010148B">
      <w:pPr>
        <w:spacing w:line="240" w:lineRule="auto"/>
      </w:pPr>
      <w:r>
        <w:t>ANALYSIS OF GRAPH</w:t>
      </w:r>
    </w:p>
    <w:p w:rsidR="00F22817" w:rsidRDefault="00F22817" w:rsidP="001417D7">
      <w:pPr>
        <w:rPr>
          <w:rFonts w:eastAsiaTheme="majorEastAsia"/>
        </w:rPr>
      </w:pPr>
      <w:r>
        <w:br w:type="page"/>
      </w:r>
    </w:p>
    <w:p w:rsidR="00F22817" w:rsidRDefault="00F22817" w:rsidP="00F22817">
      <w:pPr>
        <w:pStyle w:val="Heading1"/>
      </w:pPr>
      <w:r>
        <w:lastRenderedPageBreak/>
        <w:t>Appendix A: Test Benches</w:t>
      </w:r>
    </w:p>
    <w:p w:rsidR="00F22817" w:rsidRDefault="00F22817" w:rsidP="00C22425">
      <w:pPr>
        <w:pStyle w:val="Heading2"/>
        <w:numPr>
          <w:ilvl w:val="0"/>
          <w:numId w:val="3"/>
        </w:numPr>
      </w:pPr>
      <w:r>
        <w:t>ALU Data Hazard Test Bench:</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;Authors: Dirk Dubois, Chris Morin</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;Date: March 28th, 2013</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;File: dataHazzardTestBench1</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;Data Hazzard Test Bench that shows a true RAW dependencie in the EX stage</w:t>
      </w:r>
    </w:p>
    <w:p w:rsidR="00C22425" w:rsidRPr="00C22425" w:rsidRDefault="00C22425" w:rsidP="00C22425">
      <w:pPr>
        <w:pStyle w:val="NoSpacing"/>
        <w:ind w:left="360"/>
        <w:rPr>
          <w:rFonts w:ascii="Courier New" w:hAnsi="Courier New" w:cs="Courier New"/>
          <w:sz w:val="20"/>
        </w:rPr>
      </w:pP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.data</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;Empty not playing with memory</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.code</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;Prepare registers</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DADDI R2, R2, 5</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DADDI R3, R3, 5</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DADDI R5, R5, 5</w:t>
      </w:r>
      <w:r w:rsidRPr="00C22425">
        <w:rPr>
          <w:rFonts w:ascii="Courier New" w:hAnsi="Courier New" w:cs="Courier New"/>
          <w:sz w:val="20"/>
        </w:rPr>
        <w:tab/>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;Do Useful work</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;Without forwarding 2 RAW stalls expected due to R1 dependency</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;Adding forwarding from EX to back to EX will solve this stall</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 R1, R2, R3 ;Put something in R1</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 R4, R1, R5 ;Dependency on R1</w:t>
      </w:r>
    </w:p>
    <w:p w:rsidR="00C22425" w:rsidRPr="00C22425" w:rsidRDefault="00C22425" w:rsidP="00C22425">
      <w:pPr>
        <w:pStyle w:val="NoSpacing"/>
        <w:ind w:left="360"/>
        <w:rPr>
          <w:rFonts w:ascii="Courier New" w:hAnsi="Courier New" w:cs="Courier New"/>
          <w:sz w:val="20"/>
        </w:rPr>
      </w:pPr>
    </w:p>
    <w:p w:rsid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SYSCALL 0 ;Exit program</w:t>
      </w:r>
    </w:p>
    <w:p w:rsidR="00710BCA" w:rsidRDefault="00710BCA" w:rsidP="00710BCA">
      <w:pPr>
        <w:pStyle w:val="Heading2"/>
        <w:numPr>
          <w:ilvl w:val="0"/>
          <w:numId w:val="3"/>
        </w:numPr>
      </w:pPr>
      <w:r>
        <w:t>Load Store Data Hazard Test Bench:</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;Authors: Dirk Dubois, Chris Morin</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;Date: March 28th, 2013</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;File: dataHazzardTestBench2</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;Data Hazzard Test Bench that shows a true RAW dependencie in the mem stage</w:t>
      </w:r>
    </w:p>
    <w:p w:rsidR="00710BCA" w:rsidRPr="00710BCA" w:rsidRDefault="00710BCA" w:rsidP="00710BCA">
      <w:pPr>
        <w:pStyle w:val="NoSpacing"/>
        <w:ind w:left="360"/>
        <w:rPr>
          <w:rFonts w:ascii="Courier New" w:hAnsi="Courier New" w:cs="Courier New"/>
          <w:sz w:val="20"/>
        </w:rPr>
      </w:pP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.data</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.code</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;Prepare registers</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DADDI R1, R0, 0 ;Put a location in R1</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 ;Remove stalls for RAW when setting up the store</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SD R0, 0(R1) ;Store a value of 0 at R1 location</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 xml:space="preserve">DADDI R2, R2, 3 </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DADDI R3, R3, 3</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;Let the init instructions complete so the pipe is empty</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lastRenderedPageBreak/>
        <w:tab/>
        <w:t>;Do Useful work</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;Without forwarding 4 RAW stalls expected due to R1 dependency</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;2 RAW for the LD and 2 RAW for the SD</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;Adding forwarding from EX to back to EX will solve this stall</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DSUB R1, R2, R3 ;Put something in R1</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LD R4, 0(R1) ;Dependence on R1 needs forwarding from EX to MEM</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SD R4, 0(R1) ;Dependence on R1 needs forwarding from MEM to EX</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pPr>
      <w:r w:rsidRPr="00710BCA">
        <w:rPr>
          <w:rFonts w:ascii="Courier New" w:hAnsi="Courier New" w:cs="Courier New"/>
          <w:sz w:val="20"/>
        </w:rPr>
        <w:tab/>
        <w:t>SYSCALL 0 ;Exit program</w:t>
      </w:r>
    </w:p>
    <w:p w:rsidR="00C00A6E" w:rsidRDefault="00C00A6E" w:rsidP="00F22817"/>
    <w:p w:rsidR="00C00A6E" w:rsidRDefault="00C00A6E" w:rsidP="00C00A6E">
      <w:pPr>
        <w:pStyle w:val="Heading2"/>
        <w:numPr>
          <w:ilvl w:val="0"/>
          <w:numId w:val="3"/>
        </w:numPr>
      </w:pPr>
      <w:r>
        <w:t>Mixed Instruction Test</w:t>
      </w:r>
    </w:p>
    <w:p w:rsidR="00C00A6E" w:rsidRDefault="00C00A6E" w:rsidP="00C00A6E"/>
    <w:p w:rsidR="00AD4A50" w:rsidRDefault="00AD4A50">
      <w:r>
        <w:br w:type="page"/>
      </w:r>
    </w:p>
    <w:sdt>
      <w:sdtPr>
        <w:id w:val="-807170512"/>
        <w:docPartObj>
          <w:docPartGallery w:val="Bibliographies"/>
          <w:docPartUnique/>
        </w:docPartObj>
      </w:sdtPr>
      <w:sdtEndPr>
        <w:rPr>
          <w:rFonts w:asciiTheme="minorHAnsi" w:eastAsiaTheme="minorHAnsi" w:hAnsiTheme="minorHAnsi" w:cstheme="minorBidi"/>
          <w:color w:val="auto"/>
          <w:sz w:val="24"/>
          <w:szCs w:val="22"/>
        </w:rPr>
      </w:sdtEndPr>
      <w:sdtContent>
        <w:p w:rsidR="00AD4A50" w:rsidRDefault="00AD4A50">
          <w:pPr>
            <w:pStyle w:val="Heading1"/>
          </w:pPr>
          <w:r>
            <w:t>Works Cited</w:t>
          </w:r>
        </w:p>
        <w:p w:rsidR="00AD4A50" w:rsidRDefault="00AD4A50">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AD4A50">
            <w:trPr>
              <w:divId w:val="33897142"/>
              <w:tblCellSpacing w:w="15" w:type="dxa"/>
            </w:trPr>
            <w:tc>
              <w:tcPr>
                <w:tcW w:w="50" w:type="pct"/>
                <w:hideMark/>
              </w:tcPr>
              <w:p w:rsidR="00AD4A50" w:rsidRDefault="00AD4A50">
                <w:pPr>
                  <w:pStyle w:val="Bibliography"/>
                  <w:rPr>
                    <w:rFonts w:eastAsiaTheme="minorEastAsia"/>
                    <w:noProof/>
                  </w:rPr>
                </w:pPr>
                <w:r>
                  <w:rPr>
                    <w:noProof/>
                  </w:rPr>
                  <w:t xml:space="preserve">[1] </w:t>
                </w:r>
              </w:p>
            </w:tc>
            <w:tc>
              <w:tcPr>
                <w:tcW w:w="0" w:type="auto"/>
                <w:hideMark/>
              </w:tcPr>
              <w:p w:rsidR="00AD4A50" w:rsidRDefault="00AD4A50">
                <w:pPr>
                  <w:pStyle w:val="Bibliography"/>
                  <w:rPr>
                    <w:rFonts w:eastAsiaTheme="minorEastAsia"/>
                    <w:noProof/>
                  </w:rPr>
                </w:pPr>
                <w:r>
                  <w:rPr>
                    <w:noProof/>
                  </w:rPr>
                  <w:t xml:space="preserve">D. A. P. John L. Hennessy, Computer Architecture A Quantitative approach, Waltham: Elsevier, 2012. </w:t>
                </w:r>
              </w:p>
            </w:tc>
          </w:tr>
          <w:tr w:rsidR="00AD4A50">
            <w:trPr>
              <w:divId w:val="33897142"/>
              <w:tblCellSpacing w:w="15" w:type="dxa"/>
            </w:trPr>
            <w:tc>
              <w:tcPr>
                <w:tcW w:w="50" w:type="pct"/>
                <w:hideMark/>
              </w:tcPr>
              <w:p w:rsidR="00AD4A50" w:rsidRDefault="00AD4A50">
                <w:pPr>
                  <w:pStyle w:val="Bibliography"/>
                  <w:rPr>
                    <w:rFonts w:eastAsiaTheme="minorEastAsia"/>
                    <w:noProof/>
                  </w:rPr>
                </w:pPr>
                <w:r>
                  <w:rPr>
                    <w:noProof/>
                  </w:rPr>
                  <w:t xml:space="preserve">[2] </w:t>
                </w:r>
              </w:p>
            </w:tc>
            <w:tc>
              <w:tcPr>
                <w:tcW w:w="0" w:type="auto"/>
                <w:hideMark/>
              </w:tcPr>
              <w:p w:rsidR="00AD4A50" w:rsidRDefault="00AD4A50">
                <w:pPr>
                  <w:pStyle w:val="Bibliography"/>
                  <w:rPr>
                    <w:rFonts w:eastAsiaTheme="minorEastAsia"/>
                    <w:noProof/>
                  </w:rPr>
                </w:pPr>
                <w:r>
                  <w:rPr>
                    <w:noProof/>
                  </w:rPr>
                  <w:t>A. Spadaccini, "EDUMIPS64," 2007. [Online]. Available: http://www.edumips.org/wiki/About. [Accessed April 2013].</w:t>
                </w:r>
              </w:p>
            </w:tc>
          </w:tr>
          <w:tr w:rsidR="00AD4A50">
            <w:trPr>
              <w:divId w:val="33897142"/>
              <w:tblCellSpacing w:w="15" w:type="dxa"/>
            </w:trPr>
            <w:tc>
              <w:tcPr>
                <w:tcW w:w="50" w:type="pct"/>
                <w:hideMark/>
              </w:tcPr>
              <w:p w:rsidR="00AD4A50" w:rsidRDefault="00AD4A50">
                <w:pPr>
                  <w:pStyle w:val="Bibliography"/>
                  <w:rPr>
                    <w:rFonts w:eastAsiaTheme="minorEastAsia"/>
                    <w:noProof/>
                  </w:rPr>
                </w:pPr>
                <w:r>
                  <w:rPr>
                    <w:noProof/>
                  </w:rPr>
                  <w:t xml:space="preserve">[3] </w:t>
                </w:r>
              </w:p>
            </w:tc>
            <w:tc>
              <w:tcPr>
                <w:tcW w:w="0" w:type="auto"/>
                <w:hideMark/>
              </w:tcPr>
              <w:p w:rsidR="00AD4A50" w:rsidRDefault="00AD4A50">
                <w:pPr>
                  <w:pStyle w:val="Bibliography"/>
                  <w:rPr>
                    <w:rFonts w:eastAsiaTheme="minorEastAsia"/>
                    <w:noProof/>
                  </w:rPr>
                </w:pPr>
                <w:r>
                  <w:rPr>
                    <w:noProof/>
                  </w:rPr>
                  <w:t>Mentor Graphics, "Sourcery CodeBench Lite Edition," 2013. [Online]. Available: http://www.mentor.com/embedded-software/sourcery-tools/sourcery-codebench/editions/lite-edition/. [Accessed April 2013].</w:t>
                </w:r>
              </w:p>
            </w:tc>
          </w:tr>
        </w:tbl>
        <w:p w:rsidR="00AD4A50" w:rsidRDefault="00AD4A50">
          <w:pPr>
            <w:divId w:val="33897142"/>
            <w:rPr>
              <w:rFonts w:eastAsia="Times New Roman"/>
              <w:noProof/>
            </w:rPr>
          </w:pPr>
        </w:p>
        <w:p w:rsidR="00AD4A50" w:rsidRDefault="00AD4A50">
          <w:r>
            <w:rPr>
              <w:b/>
              <w:bCs/>
            </w:rPr>
            <w:fldChar w:fldCharType="end"/>
          </w:r>
        </w:p>
      </w:sdtContent>
    </w:sdt>
    <w:p w:rsidR="00C00A6E" w:rsidRPr="00C00A6E" w:rsidRDefault="00C00A6E" w:rsidP="00C00A6E"/>
    <w:sectPr w:rsidR="00C00A6E" w:rsidRPr="00C00A6E" w:rsidSect="002203BA">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931" w:rsidRDefault="00673931" w:rsidP="00824C32">
      <w:pPr>
        <w:spacing w:after="0" w:line="240" w:lineRule="auto"/>
      </w:pPr>
      <w:r>
        <w:separator/>
      </w:r>
    </w:p>
  </w:endnote>
  <w:endnote w:type="continuationSeparator" w:id="0">
    <w:p w:rsidR="00673931" w:rsidRDefault="00673931" w:rsidP="0082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319418"/>
      <w:docPartObj>
        <w:docPartGallery w:val="Page Numbers (Bottom of Page)"/>
        <w:docPartUnique/>
      </w:docPartObj>
    </w:sdtPr>
    <w:sdtEndPr>
      <w:rPr>
        <w:noProof/>
      </w:rPr>
    </w:sdtEndPr>
    <w:sdtContent>
      <w:p w:rsidR="00A441E1" w:rsidRDefault="002203BA">
        <w:pPr>
          <w:pStyle w:val="Footer"/>
          <w:jc w:val="right"/>
        </w:pPr>
        <w:r>
          <w:fldChar w:fldCharType="begin"/>
        </w:r>
        <w:r w:rsidR="00A441E1">
          <w:instrText xml:space="preserve"> PAGE   \* MERGEFORMAT </w:instrText>
        </w:r>
        <w:r>
          <w:fldChar w:fldCharType="separate"/>
        </w:r>
        <w:r w:rsidR="00416176">
          <w:rPr>
            <w:noProof/>
          </w:rPr>
          <w:t>4</w:t>
        </w:r>
        <w:r>
          <w:rPr>
            <w:noProof/>
          </w:rPr>
          <w:fldChar w:fldCharType="end"/>
        </w:r>
        <w:r w:rsidR="00A441E1">
          <w:rPr>
            <w:noProof/>
          </w:rPr>
          <w:t>/</w:t>
        </w:r>
        <w:fldSimple w:instr=" NUMPAGES   \* MERGEFORMAT ">
          <w:r w:rsidR="00416176">
            <w:rPr>
              <w:noProof/>
            </w:rPr>
            <w:t>8</w:t>
          </w:r>
        </w:fldSimple>
      </w:p>
    </w:sdtContent>
  </w:sdt>
  <w:p w:rsidR="00A441E1" w:rsidRDefault="00A44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931" w:rsidRDefault="00673931" w:rsidP="00824C32">
      <w:pPr>
        <w:spacing w:after="0" w:line="240" w:lineRule="auto"/>
      </w:pPr>
      <w:r>
        <w:separator/>
      </w:r>
    </w:p>
  </w:footnote>
  <w:footnote w:type="continuationSeparator" w:id="0">
    <w:p w:rsidR="00673931" w:rsidRDefault="00673931" w:rsidP="00824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C32" w:rsidRDefault="00824C32" w:rsidP="00CC2F16">
    <w:pPr>
      <w:pStyle w:val="Header"/>
      <w:tabs>
        <w:tab w:val="clear" w:pos="4680"/>
        <w:tab w:val="center" w:pos="4320"/>
      </w:tabs>
    </w:pPr>
    <w:r>
      <w:t>March 15, 2013</w:t>
    </w:r>
    <w:r>
      <w:tab/>
      <w:t>ECSE 425: Computer Organization and Architecture</w:t>
    </w:r>
    <w:r>
      <w:tab/>
      <w:t>Dirk Dubois 260371224</w:t>
    </w:r>
  </w:p>
  <w:p w:rsidR="00824C32" w:rsidRDefault="008132B0" w:rsidP="00824C32">
    <w:pPr>
      <w:pStyle w:val="Header"/>
    </w:pPr>
    <w:r>
      <w:t>Group 11</w:t>
    </w:r>
    <w:r w:rsidR="00824C32">
      <w:tab/>
    </w:r>
    <w:r w:rsidR="00824C32">
      <w:tab/>
      <w:t xml:space="preserve">Christopher Morin </w:t>
    </w:r>
    <w:r>
      <w:t>260344722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E124C"/>
    <w:multiLevelType w:val="hybridMultilevel"/>
    <w:tmpl w:val="649E9C9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404635F"/>
    <w:multiLevelType w:val="hybridMultilevel"/>
    <w:tmpl w:val="E61685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5CF455EE"/>
    <w:multiLevelType w:val="hybridMultilevel"/>
    <w:tmpl w:val="D5F6E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32"/>
    <w:rsid w:val="000066CA"/>
    <w:rsid w:val="00057C3B"/>
    <w:rsid w:val="000868DC"/>
    <w:rsid w:val="000C64A1"/>
    <w:rsid w:val="0010148B"/>
    <w:rsid w:val="001014FF"/>
    <w:rsid w:val="00133ECF"/>
    <w:rsid w:val="001417D7"/>
    <w:rsid w:val="001F0DC3"/>
    <w:rsid w:val="001F7E53"/>
    <w:rsid w:val="00211D6F"/>
    <w:rsid w:val="002203BA"/>
    <w:rsid w:val="00246BE7"/>
    <w:rsid w:val="002610C2"/>
    <w:rsid w:val="002948B8"/>
    <w:rsid w:val="002B38A2"/>
    <w:rsid w:val="002F44B0"/>
    <w:rsid w:val="003805EE"/>
    <w:rsid w:val="003A490F"/>
    <w:rsid w:val="00404245"/>
    <w:rsid w:val="00404E25"/>
    <w:rsid w:val="00407764"/>
    <w:rsid w:val="00416176"/>
    <w:rsid w:val="00437455"/>
    <w:rsid w:val="0045304B"/>
    <w:rsid w:val="0047233E"/>
    <w:rsid w:val="004903A6"/>
    <w:rsid w:val="00490E96"/>
    <w:rsid w:val="004D0B54"/>
    <w:rsid w:val="00500D31"/>
    <w:rsid w:val="00537231"/>
    <w:rsid w:val="0062176E"/>
    <w:rsid w:val="006374E8"/>
    <w:rsid w:val="00645F1C"/>
    <w:rsid w:val="00673931"/>
    <w:rsid w:val="00676559"/>
    <w:rsid w:val="00680EF8"/>
    <w:rsid w:val="006F4C28"/>
    <w:rsid w:val="00710BCA"/>
    <w:rsid w:val="007C4D5B"/>
    <w:rsid w:val="008132B0"/>
    <w:rsid w:val="00824C32"/>
    <w:rsid w:val="00870EB3"/>
    <w:rsid w:val="008718A6"/>
    <w:rsid w:val="00887C16"/>
    <w:rsid w:val="008B3F9C"/>
    <w:rsid w:val="008E503B"/>
    <w:rsid w:val="00914FBC"/>
    <w:rsid w:val="009247E1"/>
    <w:rsid w:val="009E6518"/>
    <w:rsid w:val="009F67B6"/>
    <w:rsid w:val="00A441E1"/>
    <w:rsid w:val="00A54105"/>
    <w:rsid w:val="00A63272"/>
    <w:rsid w:val="00A82C8F"/>
    <w:rsid w:val="00A86FFF"/>
    <w:rsid w:val="00A90C7C"/>
    <w:rsid w:val="00AB4D05"/>
    <w:rsid w:val="00AC62D6"/>
    <w:rsid w:val="00AD4A50"/>
    <w:rsid w:val="00AF0787"/>
    <w:rsid w:val="00AF2333"/>
    <w:rsid w:val="00B0351F"/>
    <w:rsid w:val="00B33D3B"/>
    <w:rsid w:val="00B46AC9"/>
    <w:rsid w:val="00B55D91"/>
    <w:rsid w:val="00C00A6E"/>
    <w:rsid w:val="00C04F1A"/>
    <w:rsid w:val="00C06256"/>
    <w:rsid w:val="00C22425"/>
    <w:rsid w:val="00C50C3C"/>
    <w:rsid w:val="00C749A0"/>
    <w:rsid w:val="00C75A8E"/>
    <w:rsid w:val="00C8609F"/>
    <w:rsid w:val="00CA00CA"/>
    <w:rsid w:val="00CC2F16"/>
    <w:rsid w:val="00CE256B"/>
    <w:rsid w:val="00D00296"/>
    <w:rsid w:val="00D42D08"/>
    <w:rsid w:val="00D83C76"/>
    <w:rsid w:val="00D90E63"/>
    <w:rsid w:val="00DC27DC"/>
    <w:rsid w:val="00DC6FE1"/>
    <w:rsid w:val="00DE013F"/>
    <w:rsid w:val="00E7591A"/>
    <w:rsid w:val="00F10C81"/>
    <w:rsid w:val="00F17AD4"/>
    <w:rsid w:val="00F22817"/>
    <w:rsid w:val="00F52D5B"/>
    <w:rsid w:val="00FC36E3"/>
    <w:rsid w:val="00FE22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B0"/>
    <w:rPr>
      <w:sz w:val="24"/>
    </w:rPr>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AF2333"/>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BalloonText">
    <w:name w:val="Balloon Text"/>
    <w:basedOn w:val="Normal"/>
    <w:link w:val="BalloonTextChar"/>
    <w:uiPriority w:val="99"/>
    <w:semiHidden/>
    <w:unhideWhenUsed/>
    <w:rsid w:val="00A54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5"/>
    <w:rPr>
      <w:rFonts w:ascii="Tahoma" w:hAnsi="Tahoma" w:cs="Tahoma"/>
      <w:sz w:val="16"/>
      <w:szCs w:val="16"/>
    </w:rPr>
  </w:style>
  <w:style w:type="paragraph" w:styleId="Caption">
    <w:name w:val="caption"/>
    <w:basedOn w:val="Normal"/>
    <w:next w:val="Normal"/>
    <w:uiPriority w:val="35"/>
    <w:unhideWhenUsed/>
    <w:qFormat/>
    <w:rsid w:val="00A54105"/>
    <w:pPr>
      <w:spacing w:line="240" w:lineRule="auto"/>
    </w:pPr>
    <w:rPr>
      <w:b/>
      <w:bCs/>
      <w:color w:val="000000" w:themeColor="accent1"/>
      <w:sz w:val="18"/>
      <w:szCs w:val="18"/>
    </w:rPr>
  </w:style>
  <w:style w:type="paragraph" w:styleId="NoSpacing">
    <w:name w:val="No Spacing"/>
    <w:uiPriority w:val="1"/>
    <w:qFormat/>
    <w:rsid w:val="002F44B0"/>
    <w:pPr>
      <w:spacing w:after="0" w:line="240" w:lineRule="auto"/>
    </w:pPr>
    <w:rPr>
      <w:sz w:val="24"/>
    </w:rPr>
  </w:style>
  <w:style w:type="character" w:customStyle="1" w:styleId="Heading4Char">
    <w:name w:val="Heading 4 Char"/>
    <w:basedOn w:val="DefaultParagraphFont"/>
    <w:link w:val="Heading4"/>
    <w:uiPriority w:val="9"/>
    <w:rsid w:val="00AF2333"/>
    <w:rPr>
      <w:rFonts w:asciiTheme="majorHAnsi" w:eastAsiaTheme="majorEastAsia" w:hAnsiTheme="majorHAnsi" w:cstheme="majorBidi"/>
      <w:b/>
      <w:bCs/>
      <w:i/>
      <w:iCs/>
      <w:color w:val="000000" w:themeColor="accent1"/>
      <w:sz w:val="24"/>
    </w:rPr>
  </w:style>
  <w:style w:type="paragraph" w:styleId="Bibliography">
    <w:name w:val="Bibliography"/>
    <w:basedOn w:val="Normal"/>
    <w:next w:val="Normal"/>
    <w:uiPriority w:val="37"/>
    <w:unhideWhenUsed/>
    <w:rsid w:val="00AD4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B0"/>
    <w:rPr>
      <w:sz w:val="24"/>
    </w:rPr>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AF2333"/>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BalloonText">
    <w:name w:val="Balloon Text"/>
    <w:basedOn w:val="Normal"/>
    <w:link w:val="BalloonTextChar"/>
    <w:uiPriority w:val="99"/>
    <w:semiHidden/>
    <w:unhideWhenUsed/>
    <w:rsid w:val="00A54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5"/>
    <w:rPr>
      <w:rFonts w:ascii="Tahoma" w:hAnsi="Tahoma" w:cs="Tahoma"/>
      <w:sz w:val="16"/>
      <w:szCs w:val="16"/>
    </w:rPr>
  </w:style>
  <w:style w:type="paragraph" w:styleId="Caption">
    <w:name w:val="caption"/>
    <w:basedOn w:val="Normal"/>
    <w:next w:val="Normal"/>
    <w:uiPriority w:val="35"/>
    <w:unhideWhenUsed/>
    <w:qFormat/>
    <w:rsid w:val="00A54105"/>
    <w:pPr>
      <w:spacing w:line="240" w:lineRule="auto"/>
    </w:pPr>
    <w:rPr>
      <w:b/>
      <w:bCs/>
      <w:color w:val="000000" w:themeColor="accent1"/>
      <w:sz w:val="18"/>
      <w:szCs w:val="18"/>
    </w:rPr>
  </w:style>
  <w:style w:type="paragraph" w:styleId="NoSpacing">
    <w:name w:val="No Spacing"/>
    <w:uiPriority w:val="1"/>
    <w:qFormat/>
    <w:rsid w:val="002F44B0"/>
    <w:pPr>
      <w:spacing w:after="0" w:line="240" w:lineRule="auto"/>
    </w:pPr>
    <w:rPr>
      <w:sz w:val="24"/>
    </w:rPr>
  </w:style>
  <w:style w:type="character" w:customStyle="1" w:styleId="Heading4Char">
    <w:name w:val="Heading 4 Char"/>
    <w:basedOn w:val="DefaultParagraphFont"/>
    <w:link w:val="Heading4"/>
    <w:uiPriority w:val="9"/>
    <w:rsid w:val="00AF2333"/>
    <w:rPr>
      <w:rFonts w:asciiTheme="majorHAnsi" w:eastAsiaTheme="majorEastAsia" w:hAnsiTheme="majorHAnsi" w:cstheme="majorBidi"/>
      <w:b/>
      <w:bCs/>
      <w:i/>
      <w:iCs/>
      <w:color w:val="000000" w:themeColor="accent1"/>
      <w:sz w:val="24"/>
    </w:rPr>
  </w:style>
  <w:style w:type="paragraph" w:styleId="Bibliography">
    <w:name w:val="Bibliography"/>
    <w:basedOn w:val="Normal"/>
    <w:next w:val="Normal"/>
    <w:uiPriority w:val="37"/>
    <w:unhideWhenUsed/>
    <w:rsid w:val="00AD4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Karen\compArchMod\ourDocuments\dataCollection.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Karen\compArchMod\ourDocuments\dataColle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600"/>
            </a:pPr>
            <a:r>
              <a:rPr lang="en-US" sz="1600"/>
              <a:t>Data Hazard Test Bench 1, ALU Data Dependency</a:t>
            </a:r>
          </a:p>
        </c:rich>
      </c:tx>
      <c:overlay val="0"/>
    </c:title>
    <c:autoTitleDeleted val="0"/>
    <c:plotArea>
      <c:layout/>
      <c:barChart>
        <c:barDir val="col"/>
        <c:grouping val="clustered"/>
        <c:varyColors val="0"/>
        <c:ser>
          <c:idx val="0"/>
          <c:order val="0"/>
          <c:tx>
            <c:strRef>
              <c:f>Sheet1!$B$1</c:f>
              <c:strCache>
                <c:ptCount val="1"/>
                <c:pt idx="0">
                  <c:v>RAW Stalls</c:v>
                </c:pt>
              </c:strCache>
            </c:strRef>
          </c:tx>
          <c:invertIfNegative val="0"/>
          <c:cat>
            <c:strRef>
              <c:f>Sheet1!$A$2:$A$5</c:f>
              <c:strCache>
                <c:ptCount val="4"/>
                <c:pt idx="0">
                  <c:v>No Forwarding</c:v>
                </c:pt>
                <c:pt idx="1">
                  <c:v>ALU Forwarding</c:v>
                </c:pt>
                <c:pt idx="2">
                  <c:v>Memory Forwarding</c:v>
                </c:pt>
                <c:pt idx="3">
                  <c:v>ALU and Memory Forwarding</c:v>
                </c:pt>
              </c:strCache>
            </c:strRef>
          </c:cat>
          <c:val>
            <c:numRef>
              <c:f>Sheet1!$B$2:$B$5</c:f>
              <c:numCache>
                <c:formatCode>General</c:formatCode>
                <c:ptCount val="4"/>
                <c:pt idx="0">
                  <c:v>2</c:v>
                </c:pt>
                <c:pt idx="1">
                  <c:v>0</c:v>
                </c:pt>
                <c:pt idx="2">
                  <c:v>2</c:v>
                </c:pt>
                <c:pt idx="3">
                  <c:v>0</c:v>
                </c:pt>
              </c:numCache>
            </c:numRef>
          </c:val>
        </c:ser>
        <c:ser>
          <c:idx val="1"/>
          <c:order val="1"/>
          <c:tx>
            <c:strRef>
              <c:f>Sheet1!$F$1</c:f>
              <c:strCache>
                <c:ptCount val="1"/>
                <c:pt idx="0">
                  <c:v>CPI</c:v>
                </c:pt>
              </c:strCache>
            </c:strRef>
          </c:tx>
          <c:invertIfNegative val="0"/>
          <c:cat>
            <c:strRef>
              <c:f>Sheet1!$A$2:$A$5</c:f>
              <c:strCache>
                <c:ptCount val="4"/>
                <c:pt idx="0">
                  <c:v>No Forwarding</c:v>
                </c:pt>
                <c:pt idx="1">
                  <c:v>ALU Forwarding</c:v>
                </c:pt>
                <c:pt idx="2">
                  <c:v>Memory Forwarding</c:v>
                </c:pt>
                <c:pt idx="3">
                  <c:v>ALU and Memory Forwarding</c:v>
                </c:pt>
              </c:strCache>
            </c:strRef>
          </c:cat>
          <c:val>
            <c:numRef>
              <c:f>Sheet1!$F$2:$F$5</c:f>
              <c:numCache>
                <c:formatCode>General</c:formatCode>
                <c:ptCount val="4"/>
                <c:pt idx="0">
                  <c:v>1.7270000000000001</c:v>
                </c:pt>
                <c:pt idx="1">
                  <c:v>1.5449999999999999</c:v>
                </c:pt>
                <c:pt idx="2">
                  <c:v>1.7270000000000001</c:v>
                </c:pt>
                <c:pt idx="3">
                  <c:v>1.5449999999999999</c:v>
                </c:pt>
              </c:numCache>
            </c:numRef>
          </c:val>
        </c:ser>
        <c:dLbls>
          <c:dLblPos val="inEnd"/>
          <c:showLegendKey val="0"/>
          <c:showVal val="1"/>
          <c:showCatName val="0"/>
          <c:showSerName val="0"/>
          <c:showPercent val="0"/>
          <c:showBubbleSize val="0"/>
        </c:dLbls>
        <c:gapWidth val="150"/>
        <c:axId val="278015488"/>
        <c:axId val="264919808"/>
      </c:barChart>
      <c:catAx>
        <c:axId val="278015488"/>
        <c:scaling>
          <c:orientation val="minMax"/>
        </c:scaling>
        <c:delete val="0"/>
        <c:axPos val="b"/>
        <c:title>
          <c:tx>
            <c:rich>
              <a:bodyPr/>
              <a:lstStyle/>
              <a:p>
                <a:pPr>
                  <a:defRPr/>
                </a:pPr>
                <a:r>
                  <a:rPr lang="en-US"/>
                  <a:t>Enabled forwarding paths</a:t>
                </a:r>
              </a:p>
            </c:rich>
          </c:tx>
          <c:overlay val="0"/>
        </c:title>
        <c:majorTickMark val="out"/>
        <c:minorTickMark val="none"/>
        <c:tickLblPos val="nextTo"/>
        <c:crossAx val="264919808"/>
        <c:crosses val="autoZero"/>
        <c:auto val="1"/>
        <c:lblAlgn val="ctr"/>
        <c:lblOffset val="100"/>
        <c:noMultiLvlLbl val="0"/>
      </c:catAx>
      <c:valAx>
        <c:axId val="264919808"/>
        <c:scaling>
          <c:orientation val="minMax"/>
        </c:scaling>
        <c:delete val="0"/>
        <c:axPos val="l"/>
        <c:minorGridlines/>
        <c:title>
          <c:tx>
            <c:rich>
              <a:bodyPr rot="-5400000" vert="horz"/>
              <a:lstStyle/>
              <a:p>
                <a:pPr>
                  <a:defRPr/>
                </a:pPr>
                <a:r>
                  <a:rPr lang="en-US"/>
                  <a:t>Number of RAW Stalls</a:t>
                </a:r>
              </a:p>
            </c:rich>
          </c:tx>
          <c:overlay val="0"/>
        </c:title>
        <c:numFmt formatCode="General" sourceLinked="1"/>
        <c:majorTickMark val="out"/>
        <c:minorTickMark val="none"/>
        <c:tickLblPos val="nextTo"/>
        <c:crossAx val="278015488"/>
        <c:crosses val="autoZero"/>
        <c:crossBetween val="between"/>
      </c:valAx>
    </c:plotArea>
    <c:legend>
      <c:legendPos val="r"/>
      <c:layout>
        <c:manualLayout>
          <c:xMode val="edge"/>
          <c:yMode val="edge"/>
          <c:x val="0.86318914462615248"/>
          <c:y val="0.41534969620851542"/>
          <c:w val="0.13681085537384749"/>
          <c:h val="0.22052505026275693"/>
        </c:manualLayout>
      </c:layout>
      <c:overlay val="0"/>
      <c:txPr>
        <a:bodyPr/>
        <a:lstStyle/>
        <a:p>
          <a:pPr>
            <a:defRPr sz="1100"/>
          </a:pPr>
          <a:endParaRPr lang="en-US"/>
        </a:p>
      </c:txPr>
    </c:legend>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Data Hazard Test Bench 2, Load, Store Data Dependency </a:t>
            </a:r>
          </a:p>
        </c:rich>
      </c:tx>
      <c:overlay val="0"/>
    </c:title>
    <c:autoTitleDeleted val="0"/>
    <c:plotArea>
      <c:layout/>
      <c:barChart>
        <c:barDir val="col"/>
        <c:grouping val="clustered"/>
        <c:varyColors val="0"/>
        <c:ser>
          <c:idx val="0"/>
          <c:order val="0"/>
          <c:tx>
            <c:strRef>
              <c:f>Sheet1!$B$6</c:f>
              <c:strCache>
                <c:ptCount val="1"/>
                <c:pt idx="0">
                  <c:v>RAW Stalls</c:v>
                </c:pt>
              </c:strCache>
            </c:strRef>
          </c:tx>
          <c:invertIfNegative val="0"/>
          <c:cat>
            <c:strRef>
              <c:f>Sheet1!$A$7:$A$10</c:f>
              <c:strCache>
                <c:ptCount val="4"/>
                <c:pt idx="0">
                  <c:v>No Forwarding</c:v>
                </c:pt>
                <c:pt idx="1">
                  <c:v>ALU Forwarding</c:v>
                </c:pt>
                <c:pt idx="2">
                  <c:v>Memory Forwarding</c:v>
                </c:pt>
                <c:pt idx="3">
                  <c:v>ALU and Memory Forwarding</c:v>
                </c:pt>
              </c:strCache>
            </c:strRef>
          </c:cat>
          <c:val>
            <c:numRef>
              <c:f>Sheet1!$B$7:$B$10</c:f>
              <c:numCache>
                <c:formatCode>General</c:formatCode>
                <c:ptCount val="4"/>
                <c:pt idx="0">
                  <c:v>4</c:v>
                </c:pt>
                <c:pt idx="1">
                  <c:v>2</c:v>
                </c:pt>
                <c:pt idx="2">
                  <c:v>3</c:v>
                </c:pt>
                <c:pt idx="3">
                  <c:v>0</c:v>
                </c:pt>
              </c:numCache>
            </c:numRef>
          </c:val>
        </c:ser>
        <c:ser>
          <c:idx val="1"/>
          <c:order val="1"/>
          <c:tx>
            <c:strRef>
              <c:f>Sheet1!$F$6</c:f>
              <c:strCache>
                <c:ptCount val="1"/>
                <c:pt idx="0">
                  <c:v>CPI</c:v>
                </c:pt>
              </c:strCache>
            </c:strRef>
          </c:tx>
          <c:invertIfNegative val="0"/>
          <c:cat>
            <c:strRef>
              <c:f>Sheet1!$A$7:$A$10</c:f>
              <c:strCache>
                <c:ptCount val="4"/>
                <c:pt idx="0">
                  <c:v>No Forwarding</c:v>
                </c:pt>
                <c:pt idx="1">
                  <c:v>ALU Forwarding</c:v>
                </c:pt>
                <c:pt idx="2">
                  <c:v>Memory Forwarding</c:v>
                </c:pt>
                <c:pt idx="3">
                  <c:v>ALU and Memory Forwarding</c:v>
                </c:pt>
              </c:strCache>
            </c:strRef>
          </c:cat>
          <c:val>
            <c:numRef>
              <c:f>Sheet1!$F$7:$F$10</c:f>
              <c:numCache>
                <c:formatCode>General</c:formatCode>
                <c:ptCount val="4"/>
                <c:pt idx="0">
                  <c:v>1.7689999999999999</c:v>
                </c:pt>
                <c:pt idx="1">
                  <c:v>1.651</c:v>
                </c:pt>
                <c:pt idx="2">
                  <c:v>1.6919999999999999</c:v>
                </c:pt>
                <c:pt idx="3">
                  <c:v>1.4610000000000001</c:v>
                </c:pt>
              </c:numCache>
            </c:numRef>
          </c:val>
        </c:ser>
        <c:dLbls>
          <c:dLblPos val="inEnd"/>
          <c:showLegendKey val="0"/>
          <c:showVal val="1"/>
          <c:showCatName val="0"/>
          <c:showSerName val="0"/>
          <c:showPercent val="0"/>
          <c:showBubbleSize val="0"/>
        </c:dLbls>
        <c:gapWidth val="150"/>
        <c:axId val="278012928"/>
        <c:axId val="268059200"/>
      </c:barChart>
      <c:catAx>
        <c:axId val="278012928"/>
        <c:scaling>
          <c:orientation val="minMax"/>
        </c:scaling>
        <c:delete val="0"/>
        <c:axPos val="b"/>
        <c:title>
          <c:tx>
            <c:rich>
              <a:bodyPr/>
              <a:lstStyle/>
              <a:p>
                <a:pPr>
                  <a:defRPr/>
                </a:pPr>
                <a:r>
                  <a:rPr lang="en-US"/>
                  <a:t>Enabled forwarding paths</a:t>
                </a:r>
              </a:p>
            </c:rich>
          </c:tx>
          <c:overlay val="0"/>
        </c:title>
        <c:majorTickMark val="out"/>
        <c:minorTickMark val="none"/>
        <c:tickLblPos val="nextTo"/>
        <c:crossAx val="268059200"/>
        <c:crosses val="autoZero"/>
        <c:auto val="1"/>
        <c:lblAlgn val="ctr"/>
        <c:lblOffset val="100"/>
        <c:noMultiLvlLbl val="0"/>
      </c:catAx>
      <c:valAx>
        <c:axId val="268059200"/>
        <c:scaling>
          <c:orientation val="minMax"/>
          <c:max val="4"/>
        </c:scaling>
        <c:delete val="0"/>
        <c:axPos val="l"/>
        <c:minorGridlines/>
        <c:title>
          <c:tx>
            <c:rich>
              <a:bodyPr rot="-5400000" vert="horz"/>
              <a:lstStyle/>
              <a:p>
                <a:pPr>
                  <a:defRPr/>
                </a:pPr>
                <a:r>
                  <a:rPr lang="en-US"/>
                  <a:t>Number of RAW Stalls</a:t>
                </a:r>
              </a:p>
            </c:rich>
          </c:tx>
          <c:overlay val="0"/>
        </c:title>
        <c:numFmt formatCode="General" sourceLinked="1"/>
        <c:majorTickMark val="out"/>
        <c:minorTickMark val="none"/>
        <c:tickLblPos val="nextTo"/>
        <c:crossAx val="278012928"/>
        <c:crosses val="autoZero"/>
        <c:crossBetween val="between"/>
      </c:valAx>
    </c:plotArea>
    <c:legend>
      <c:legendPos val="r"/>
      <c:layout>
        <c:manualLayout>
          <c:xMode val="edge"/>
          <c:yMode val="edge"/>
          <c:x val="0.83839457567804021"/>
          <c:y val="0.30287779286565047"/>
          <c:w val="0.16160542432195976"/>
          <c:h val="0.11277166513126256"/>
        </c:manualLayout>
      </c:layout>
      <c:overlay val="0"/>
      <c:txPr>
        <a:bodyPr/>
        <a:lstStyle/>
        <a:p>
          <a:pPr>
            <a:defRPr sz="1200"/>
          </a:pPr>
          <a:endParaRPr lang="en-US"/>
        </a:p>
      </c:txPr>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0.83096</cdr:x>
      <cdr:y>0.28674</cdr:y>
    </cdr:from>
    <cdr:to>
      <cdr:x>0.86859</cdr:x>
      <cdr:y>0.77251</cdr:y>
    </cdr:to>
    <cdr:sp macro="" textlink="">
      <cdr:nvSpPr>
        <cdr:cNvPr id="2" name="TextBox 1"/>
        <cdr:cNvSpPr txBox="1"/>
      </cdr:nvSpPr>
      <cdr:spPr>
        <a:xfrm xmlns:a="http://schemas.openxmlformats.org/drawingml/2006/main" rot="5400000">
          <a:off x="4002554" y="2173757"/>
          <a:ext cx="2096345" cy="2236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t>Clock Cycles per Instruction</a:t>
          </a:r>
        </a:p>
      </cdr:txBody>
    </cdr:sp>
  </cdr:relSizeAnchor>
</c:userShapes>
</file>

<file path=word/drawings/drawing2.xml><?xml version="1.0" encoding="utf-8"?>
<c:userShapes xmlns:c="http://schemas.openxmlformats.org/drawingml/2006/chart">
  <cdr:relSizeAnchor xmlns:cdr="http://schemas.openxmlformats.org/drawingml/2006/chartDrawing">
    <cdr:from>
      <cdr:x>0.80593</cdr:x>
      <cdr:y>0.32968</cdr:y>
    </cdr:from>
    <cdr:to>
      <cdr:x>0.84295</cdr:x>
      <cdr:y>0.77914</cdr:y>
    </cdr:to>
    <cdr:sp macro="" textlink="">
      <cdr:nvSpPr>
        <cdr:cNvPr id="2" name="TextBox 1"/>
        <cdr:cNvSpPr txBox="1"/>
      </cdr:nvSpPr>
      <cdr:spPr>
        <a:xfrm xmlns:a="http://schemas.openxmlformats.org/drawingml/2006/main" rot="5400000">
          <a:off x="3930329" y="2282505"/>
          <a:ext cx="1939594" cy="22004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t>Clock</a:t>
          </a:r>
          <a:r>
            <a:rPr lang="en-US" sz="1100" b="1" baseline="0"/>
            <a:t> Cycles per Instruction</a:t>
          </a:r>
          <a:endParaRPr lang="en-US" sz="1100" b="1"/>
        </a:p>
      </cdr:txBody>
    </cdr:sp>
  </cdr:relSizeAnchor>
</c:userShapes>
</file>

<file path=word/theme/theme1.xml><?xml version="1.0" encoding="utf-8"?>
<a:theme xmlns:a="http://schemas.openxmlformats.org/drawingml/2006/main" name="Office Theme">
  <a:themeElements>
    <a:clrScheme name="Black &amp; White">
      <a:dk1>
        <a:sysClr val="windowText" lastClr="000000"/>
      </a:dk1>
      <a:lt1>
        <a:sysClr val="window" lastClr="FFFFFF"/>
      </a:lt1>
      <a:dk2>
        <a:srgbClr val="1F497D"/>
      </a:dk2>
      <a:lt2>
        <a:srgbClr val="EEECE1"/>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Joh12</b:Tag>
    <b:SourceType>Book</b:SourceType>
    <b:Guid>{844EFEFE-C206-44C5-93E0-660E98C65E94}</b:Guid>
    <b:Title>Computer Architecture A Quantitative approach</b:Title>
    <b:Year>2012</b:Year>
    <b:Author>
      <b:Author>
        <b:NameList>
          <b:Person>
            <b:Last>John L. Hennessy</b:Last>
            <b:First>David</b:First>
            <b:Middle>A. Patterson</b:Middle>
          </b:Person>
        </b:NameList>
      </b:Author>
    </b:Author>
    <b:City>Waltham</b:City>
    <b:Publisher>Elsevier</b:Publisher>
    <b:RefOrder>1</b:RefOrder>
  </b:Source>
  <b:Source>
    <b:Tag>And07</b:Tag>
    <b:SourceType>InternetSite</b:SourceType>
    <b:Guid>{105A3104-571B-4677-8346-8031076080F2}</b:Guid>
    <b:Title>EDUMIPS64</b:Title>
    <b:Year>2007</b:Year>
    <b:Author>
      <b:Author>
        <b:NameList>
          <b:Person>
            <b:Last>Spadaccini</b:Last>
            <b:First>Andrea</b:First>
          </b:Person>
        </b:NameList>
      </b:Author>
    </b:Author>
    <b:YearAccessed>2013</b:YearAccessed>
    <b:MonthAccessed>April</b:MonthAccessed>
    <b:URL>http://www.edumips.org/wiki/About</b:URL>
    <b:RefOrder>2</b:RefOrder>
  </b:Source>
  <b:Source>
    <b:Tag>Men13</b:Tag>
    <b:SourceType>InternetSite</b:SourceType>
    <b:Guid>{F26DB49B-5083-40D6-96A7-9D783D70989B}</b:Guid>
    <b:Author>
      <b:Author>
        <b:Corporate>Mentor Graphics</b:Corporate>
      </b:Author>
    </b:Author>
    <b:Title>Sourcery CodeBench Lite Edition</b:Title>
    <b:Year>2013</b:Year>
    <b:YearAccessed>2013</b:YearAccessed>
    <b:MonthAccessed>April</b:MonthAccessed>
    <b:URL>http://www.mentor.com/embedded-software/sourcery-tools/sourcery-codebench/editions/lite-edition/</b:URL>
    <b:RefOrder>3</b:RefOrder>
  </b:Source>
</b:Sources>
</file>

<file path=customXml/itemProps1.xml><?xml version="1.0" encoding="utf-8"?>
<ds:datastoreItem xmlns:ds="http://schemas.openxmlformats.org/officeDocument/2006/customXml" ds:itemID="{211B0503-7FD6-4616-994F-0BB911A7E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8</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ECSESS</dc:creator>
  <cp:lastModifiedBy>Dirk Dubois</cp:lastModifiedBy>
  <cp:revision>61</cp:revision>
  <cp:lastPrinted>2013-03-15T14:51:00Z</cp:lastPrinted>
  <dcterms:created xsi:type="dcterms:W3CDTF">2013-04-14T20:35:00Z</dcterms:created>
  <dcterms:modified xsi:type="dcterms:W3CDTF">2013-04-15T04:20:00Z</dcterms:modified>
</cp:coreProperties>
</file>