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jc w:val="center"/>
      </w:pPr>
      <w:r>
        <w:rPr>
          <w:b/>
          <w:i w:val="0"/>
          <w:sz w:val="26"/>
        </w:rPr>
        <w:t>BÁO CÁO TIẾN ĐỘ HÀNG TUẦN — 15/09/2026</w:t>
      </w:r>
    </w:p>
    <w:p>
      <w:pPr>
        <w:spacing w:after="0" w:before="0"/>
        <w:jc w:val="center"/>
      </w:pPr>
      <w:r>
        <w:rPr>
          <w:i/>
        </w:rPr>
        <w:t>Đề tài: Truy xuất tăng cường dựa trên đồ thị tri thức có nhận biết thời gian cho hỏi đáp pháp luật Việt Nam theo mốc hiệu lực</w:t>
      </w:r>
    </w:p>
    <w:p>
      <w:pPr>
        <w:spacing w:after="80" w:before="0"/>
        <w:jc w:val="center"/>
      </w:pPr>
      <w:r>
        <w:rPr>
          <w:i w:val="0"/>
          <w:sz w:val="19"/>
        </w:rPr>
        <w:t>SV: Cao Minh Trí – 23521635 · Nguyễn Minh Trí – 23521643   |   GVHD: ThS. Đỗ Thị Minh Phụng · ThS. Cáp Phạm Đình Thăng</w:t>
      </w:r>
    </w:p>
    <w:p>
      <w:pPr>
        <w:keepNext/>
        <w:spacing w:before="120" w:after="40"/>
      </w:pPr>
      <w:r>
        <w:rPr>
          <w:b/>
          <w:color w:val="1F2A44"/>
          <w:sz w:val="24"/>
        </w:rPr>
        <w:t>1. Bộ dữ liệu đã thu thập</w:t>
      </w:r>
    </w:p>
    <w:p>
      <w:pPr>
        <w:keepNext/>
        <w:spacing w:before="60" w:after="40"/>
      </w:pPr>
      <w:r>
        <w:rPr>
          <w:b/>
          <w:color w:val="1F2A44"/>
          <w:sz w:val="21"/>
        </w:rPr>
        <w:t>1.1. Nguồn và cách thu thập</w:t>
      </w:r>
    </w:p>
    <w:p>
      <w:pPr>
        <w:spacing w:after="40" w:before="0"/>
        <w:jc w:val="both"/>
      </w:pPr>
      <w:r>
        <w:rPr>
          <w:i w:val="0"/>
        </w:rPr>
        <w:t>Nguồn duy nhất là Cơ sở dữ liệu quốc gia về văn bản pháp luật (vbpl.vn), đọc qua cổng JSON công khai của cổng. Vì cổng không có API liệt kê, tập văn bản được xác định theo ba bước: (i) lọc sitemap theo từ khóa của 4 miền (giao thông; thuế–phí–hải quan–hóa đơn; doanh nghiệp–đầu tư; đất đai), thu 9.806 văn bản hạt giống; (ii) duyệt BFS xuôi theo các cạnh phả hệ (sửa đổi, thay thế, bãi bỏ, hợp nhất, hướng dẫn); (iii) duyệt ngược qua sơ đồ quan hệ để lấy các văn bản đã tác động lên corpus (+2.335 văn bản, vì cạnh "B sửa A" chỉ nằm trong B). Cạnh dẫn chiếu/căn cứ được ghi nhận nhưng không dùng để mở rộng, tránh lan sang miền khác. Mỗi văn bản lưu 4 bản gốc: metadata + HTML toàn văn, cây cấu trúc, lịch sử hiệu lực và sơ đồ quan hệ. Bản chụp ngày 12/09/2026 được lưu kèm checksum trên Hugging Face và đã kiểm tra tải về dựng lại được.</w:t>
      </w:r>
    </w:p>
    <w:p>
      <w:pPr>
        <w:keepNext/>
        <w:spacing w:before="60" w:after="40"/>
      </w:pPr>
      <w:r>
        <w:rPr>
          <w:b/>
          <w:color w:val="1F2A44"/>
          <w:sz w:val="21"/>
        </w:rPr>
        <w:t>1.2. Quy mô (bản chụp 12/09/2026)</w:t>
      </w:r>
    </w:p>
    <w:tbl>
      <w:tblPr>
        <w:tblStyle w:val="TableGrid"/>
        <w:tblW w:type="auto" w:w="0"/>
        <w:jc w:val="center"/>
        <w:tblLayout w:type="fixed"/>
        <w:tblLook w:firstColumn="1" w:firstRow="1" w:lastColumn="0" w:lastRow="0" w:noHBand="0" w:noVBand="1" w:val="04A0"/>
        <w:tblLayout w:type="fixed"/>
      </w:tblPr>
      <w:tblGrid>
        <w:gridCol w:w="2948"/>
        <w:gridCol w:w="1474"/>
        <w:gridCol w:w="2948"/>
        <w:gridCol w:w="1474"/>
      </w:tblGrid>
      <w:tr>
        <w:tc>
          <w:tcPr>
            <w:tcW w:type="dxa" w:w="2948"/>
            <w:shd w:val="clear" w:color="auto" w:fill="DCE3EF"/>
          </w:tcPr>
          <w:p>
            <w:pPr>
              <w:spacing w:after="0"/>
            </w:pPr>
            <w:r/>
            <w:r>
              <w:rPr>
                <w:b/>
                <w:sz w:val="18"/>
              </w:rPr>
              <w:t>Đại lượng</w:t>
            </w:r>
          </w:p>
        </w:tc>
        <w:tc>
          <w:tcPr>
            <w:tcW w:type="dxa" w:w="1474"/>
            <w:shd w:val="clear" w:color="auto" w:fill="DCE3EF"/>
          </w:tcPr>
          <w:p>
            <w:pPr>
              <w:spacing w:after="0"/>
            </w:pPr>
            <w:r/>
            <w:r>
              <w:rPr>
                <w:b/>
                <w:sz w:val="18"/>
              </w:rPr>
              <w:t>Giá trị</w:t>
            </w:r>
          </w:p>
        </w:tc>
        <w:tc>
          <w:tcPr>
            <w:tcW w:type="dxa" w:w="2948"/>
            <w:shd w:val="clear" w:color="auto" w:fill="DCE3EF"/>
          </w:tcPr>
          <w:p>
            <w:pPr>
              <w:spacing w:after="0"/>
            </w:pPr>
            <w:r/>
            <w:r>
              <w:rPr>
                <w:b/>
                <w:sz w:val="18"/>
              </w:rPr>
              <w:t>Đại lượng</w:t>
            </w:r>
          </w:p>
        </w:tc>
        <w:tc>
          <w:tcPr>
            <w:tcW w:type="dxa" w:w="1474"/>
            <w:shd w:val="clear" w:color="auto" w:fill="DCE3EF"/>
          </w:tcPr>
          <w:p>
            <w:pPr>
              <w:spacing w:after="0"/>
            </w:pPr>
            <w:r/>
            <w:r>
              <w:rPr>
                <w:b/>
                <w:sz w:val="18"/>
              </w:rPr>
              <w:t>Giá trị</w:t>
            </w:r>
          </w:p>
        </w:tc>
      </w:tr>
      <w:tr>
        <w:tc>
          <w:tcPr>
            <w:tcW w:type="dxa" w:w="2948"/>
          </w:tcPr>
          <w:p>
            <w:pPr>
              <w:spacing w:after="0"/>
            </w:pPr>
            <w:r/>
            <w:r>
              <w:rPr>
                <w:sz w:val="18"/>
              </w:rPr>
              <w:t>Văn bản</w:t>
            </w:r>
          </w:p>
        </w:tc>
        <w:tc>
          <w:tcPr>
            <w:tcW w:type="dxa" w:w="1474"/>
          </w:tcPr>
          <w:p>
            <w:pPr>
              <w:spacing w:after="0"/>
            </w:pPr>
            <w:r/>
            <w:r>
              <w:rPr>
                <w:sz w:val="18"/>
              </w:rPr>
              <w:t>22.550</w:t>
            </w:r>
          </w:p>
        </w:tc>
        <w:tc>
          <w:tcPr>
            <w:tcW w:type="dxa" w:w="2948"/>
          </w:tcPr>
          <w:p>
            <w:pPr>
              <w:spacing w:after="0"/>
            </w:pPr>
            <w:r/>
            <w:r>
              <w:rPr>
                <w:sz w:val="18"/>
              </w:rPr>
              <w:t>Nút cấu trúc (Phần → Điểm)</w:t>
            </w:r>
          </w:p>
        </w:tc>
        <w:tc>
          <w:tcPr>
            <w:tcW w:type="dxa" w:w="1474"/>
          </w:tcPr>
          <w:p>
            <w:pPr>
              <w:spacing w:after="0"/>
            </w:pPr>
            <w:r/>
            <w:r>
              <w:rPr>
                <w:sz w:val="18"/>
              </w:rPr>
              <w:t>1.262.115</w:t>
            </w:r>
          </w:p>
        </w:tc>
      </w:tr>
      <w:tr>
        <w:tc>
          <w:tcPr>
            <w:tcW w:type="dxa" w:w="2948"/>
          </w:tcPr>
          <w:p>
            <w:pPr>
              <w:spacing w:after="0"/>
            </w:pPr>
            <w:r/>
            <w:r>
              <w:rPr>
                <w:sz w:val="18"/>
              </w:rPr>
              <w:t>Quan hệ giữa văn bản (13 loại)</w:t>
            </w:r>
          </w:p>
        </w:tc>
        <w:tc>
          <w:tcPr>
            <w:tcW w:type="dxa" w:w="1474"/>
          </w:tcPr>
          <w:p>
            <w:pPr>
              <w:spacing w:after="0"/>
            </w:pPr>
            <w:r/>
            <w:r>
              <w:rPr>
                <w:sz w:val="18"/>
              </w:rPr>
              <w:t>128.548</w:t>
            </w:r>
          </w:p>
        </w:tc>
        <w:tc>
          <w:tcPr>
            <w:tcW w:type="dxa" w:w="2948"/>
          </w:tcPr>
          <w:p>
            <w:pPr>
              <w:spacing w:after="0"/>
            </w:pPr>
            <w:r/>
            <w:r>
              <w:rPr>
                <w:sz w:val="18"/>
              </w:rPr>
              <w:t>Nút có nội dung chữ</w:t>
            </w:r>
          </w:p>
        </w:tc>
        <w:tc>
          <w:tcPr>
            <w:tcW w:type="dxa" w:w="1474"/>
          </w:tcPr>
          <w:p>
            <w:pPr>
              <w:spacing w:after="0"/>
            </w:pPr>
            <w:r/>
            <w:r>
              <w:rPr>
                <w:sz w:val="18"/>
              </w:rPr>
              <w:t>1.140.682</w:t>
            </w:r>
          </w:p>
        </w:tc>
      </w:tr>
      <w:tr>
        <w:tc>
          <w:tcPr>
            <w:tcW w:type="dxa" w:w="2948"/>
          </w:tcPr>
          <w:p>
            <w:pPr>
              <w:spacing w:after="0"/>
            </w:pPr>
            <w:r/>
            <w:r>
              <w:rPr>
                <w:sz w:val="18"/>
              </w:rPr>
              <w:t>Hết hiệu lực toàn bộ / một phần</w:t>
            </w:r>
          </w:p>
        </w:tc>
        <w:tc>
          <w:tcPr>
            <w:tcW w:type="dxa" w:w="1474"/>
          </w:tcPr>
          <w:p>
            <w:pPr>
              <w:spacing w:after="0"/>
            </w:pPr>
            <w:r/>
            <w:r>
              <w:rPr>
                <w:sz w:val="18"/>
              </w:rPr>
              <w:t>12.206 / 2.051</w:t>
            </w:r>
          </w:p>
        </w:tc>
        <w:tc>
          <w:tcPr>
            <w:tcW w:type="dxa" w:w="2948"/>
          </w:tcPr>
          <w:p>
            <w:pPr>
              <w:spacing w:after="0"/>
            </w:pPr>
            <w:r/>
            <w:r>
              <w:rPr>
                <w:sz w:val="18"/>
              </w:rPr>
              <w:t>Còn hiệu lực</w:t>
            </w:r>
          </w:p>
        </w:tc>
        <w:tc>
          <w:tcPr>
            <w:tcW w:type="dxa" w:w="1474"/>
          </w:tcPr>
          <w:p>
            <w:pPr>
              <w:spacing w:after="0"/>
            </w:pPr>
            <w:r/>
            <w:r>
              <w:rPr>
                <w:sz w:val="18"/>
              </w:rPr>
              <w:t>7.745</w:t>
            </w:r>
          </w:p>
        </w:tc>
      </w:tr>
      <w:tr>
        <w:tc>
          <w:tcPr>
            <w:tcW w:type="dxa" w:w="2948"/>
          </w:tcPr>
          <w:p>
            <w:pPr>
              <w:spacing w:after="0"/>
            </w:pPr>
            <w:r/>
            <w:r>
              <w:rPr>
                <w:sz w:val="18"/>
              </w:rPr>
              <w:t>QPPL trung ương (phạm vi đề tài)</w:t>
            </w:r>
          </w:p>
        </w:tc>
        <w:tc>
          <w:tcPr>
            <w:tcW w:type="dxa" w:w="1474"/>
          </w:tcPr>
          <w:p>
            <w:pPr>
              <w:spacing w:after="0"/>
            </w:pPr>
            <w:r/>
            <w:r>
              <w:rPr>
                <w:sz w:val="18"/>
              </w:rPr>
              <w:t>20.318</w:t>
            </w:r>
          </w:p>
        </w:tc>
        <w:tc>
          <w:tcPr>
            <w:tcW w:type="dxa" w:w="2948"/>
          </w:tcPr>
          <w:p>
            <w:pPr>
              <w:spacing w:after="0"/>
            </w:pPr>
            <w:r/>
            <w:r>
              <w:rPr>
                <w:sz w:val="18"/>
              </w:rPr>
              <w:t>Đủ điều kiện làm benchmark</w:t>
            </w:r>
          </w:p>
        </w:tc>
        <w:tc>
          <w:tcPr>
            <w:tcW w:type="dxa" w:w="1474"/>
          </w:tcPr>
          <w:p>
            <w:pPr>
              <w:spacing w:after="0"/>
            </w:pPr>
            <w:r/>
            <w:r>
              <w:rPr>
                <w:sz w:val="18"/>
              </w:rPr>
              <w:t>16.993</w:t>
            </w:r>
          </w:p>
        </w:tc>
      </w:tr>
    </w:tbl>
    <w:p>
      <w:pPr>
        <w:spacing w:after="0"/>
      </w:pPr>
    </w:p>
    <w:p>
      <w:pPr>
        <w:keepNext/>
        <w:spacing w:before="60" w:after="40"/>
      </w:pPr>
      <w:r>
        <w:rPr>
          <w:b/>
          <w:color w:val="1F2A44"/>
          <w:sz w:val="21"/>
        </w:rPr>
        <w:t>1.3. Tính chính xác và kiểm soát chất lượng</w:t>
      </w:r>
    </w:p>
    <w:p>
      <w:pPr>
        <w:pStyle w:val="ListBullet"/>
        <w:spacing w:after="20"/>
        <w:ind w:left="340"/>
        <w:jc w:val="both"/>
      </w:pPr>
      <w:r>
        <w:rPr>
          <w:b/>
        </w:rPr>
        <w:t>Không suy đoán:</w:t>
      </w:r>
      <w:r>
        <w:t xml:space="preserve"> mã loại quan hệ và mã trạng thái hiệu lực (13 mã mỗi loại) được đối chiếu tay với giao diện; gặp mã chưa kiểm chứng thì pipeline dừng chứ không gán nhãn mặc định.</w:t>
      </w:r>
    </w:p>
    <w:p>
      <w:pPr>
        <w:pStyle w:val="ListBullet"/>
        <w:spacing w:after="20"/>
        <w:ind w:left="340"/>
        <w:jc w:val="both"/>
      </w:pPr>
      <w:r>
        <w:rPr>
          <w:b/>
        </w:rPr>
        <w:t>Ghép nội dung:</w:t>
      </w:r>
      <w:r>
        <w:t xml:space="preserve"> với HTML mới, nội dung được nối vào cây bằng chính UUID của nút (phép nối chính xác); HTML cũ dùng khớp marker tuần tự có neo. 98,94% nút khớp được có nội dung; 752 văn bản có cây không đánh số được đưa vào hàng đợi rà soát thay vì ghép gần đúng.</w:t>
      </w:r>
    </w:p>
    <w:p>
      <w:pPr>
        <w:pStyle w:val="ListBullet"/>
        <w:spacing w:after="20"/>
        <w:ind w:left="340"/>
        <w:jc w:val="both"/>
      </w:pPr>
      <w:r>
        <w:rPr>
          <w:b/>
        </w:rPr>
        <w:t>Kiểm chứng:</w:t>
      </w:r>
      <w:r>
        <w:t xml:space="preserve"> 24 phép kiểm tra tự động (toàn vẹn phả hệ, độ phủ cạnh, hàng đợi rà soát…) chạy sau mỗi lần thu thập. Tuần này phát hiện và sửa: tệp cạnh phụ thuộc lượt chạy (làm lộ 115 văn bản đích chưa tải, đang bổ sung); lỗi chọn phương pháp ghép (phục hồi +4.199 nút); ngày trong lịch sử hiệu lực lệch +1 ngày có quy luật (chuẩn hóa xong, khớp 99,76–99,92% với ngày của văn bản, chỉ dùng làm bằng chứng đối chiếu).</w:t>
      </w:r>
    </w:p>
    <w:p>
      <w:pPr>
        <w:pStyle w:val="ListBullet"/>
        <w:spacing w:after="20"/>
        <w:ind w:left="340"/>
        <w:jc w:val="both"/>
      </w:pPr>
      <w:r>
        <w:rPr>
          <w:b/>
        </w:rPr>
        <w:t>Giới hạn đã định lượng:</w:t>
      </w:r>
      <w:r>
        <w:t xml:space="preserve"> 1.893 văn bản (4,7% nút) không đặt được lên trục thời gian (thiếu hoặc mâu thuẫn ngày hiệu lực); metadata cho biết khoản nào hết hiệu lực (31.175 ghi nhận, 73,8% định vị được trên cây) nhưng không cho biết khi nào — 79,7% văn bản bị từ 2 văn bản trở lên tác động; 874 QPPL không có toàn văn (308 cần nhập tay); 1.626 QPPL có toàn văn nhưng không có cây Điều/Khoản.</w:t>
      </w:r>
    </w:p>
    <w:p>
      <w:pPr>
        <w:keepNext/>
        <w:spacing w:before="60" w:after="40"/>
      </w:pPr>
      <w:r>
        <w:rPr>
          <w:b/>
          <w:color w:val="1F2A44"/>
          <w:sz w:val="21"/>
        </w:rPr>
        <w:t>1.4. Xây dựng đồ thị</w:t>
      </w:r>
    </w:p>
    <w:p>
      <w:pPr>
        <w:spacing w:after="40" w:before="0"/>
        <w:jc w:val="both"/>
      </w:pPr>
      <w:r>
        <w:rPr>
          <w:i w:val="0"/>
        </w:rPr>
        <w:t>Đồ thị gồm 4 loại nút — Văn bản, Đơn vị (Phần/Chương/Mục/Điều/Khoản/Điểm), Phiên bản, Sự kiện pháp lý — và 4 nhóm cạnh: CONTAINS (cây cấu trúc, ~1,17 triệu cạnh), 13 loại quan hệ văn bản lấy từ metadata, VERSION_OF (đơn vị → phiên bản, mỗi phiên bản mang khoảng hiệu lực nửa mở [bắt đầu, kết thúc)) và CAUSED_BY (phiên bản → sự kiện sửa đổi/bãi bỏ đã kiểm duyệt). Khoản/Điểm mà cây nguồn không khai báo được tách tất định từ HTML (89,4% chuỗi hết hiệu lực chưa định vị có marker tương ứng) và chỉ dùng sau khi kiểm tay ≥ 95% đúng. Thư mục dữ liệu gốc là nguồn sự thật; Neo4j (đồ thị) và Milvus (vector theo phiên bản) là kho dẫn xuất, xóa đi dựng lại được. Lõi logic (chuỗi phiên bản, áp sự kiện, lan truyền hiệu lực, snapshot) đã cài đặt với 184 unit test; việc nạp Neo4j bắt đầu sau khi đóng băng bản chụp v2 (mốc 05/10).</w:t>
      </w:r>
    </w:p>
    <w:p>
      <w:pPr>
        <w:keepNext/>
        <w:spacing w:before="120" w:after="40"/>
      </w:pPr>
      <w:r>
        <w:rPr>
          <w:b/>
          <w:color w:val="1F2A44"/>
          <w:sz w:val="24"/>
        </w:rPr>
        <w:t>2. Phương pháp giải quyết bài toán</w:t>
      </w:r>
    </w:p>
    <w:p>
      <w:pPr>
        <w:keepNext/>
        <w:spacing w:before="60" w:after="40"/>
      </w:pPr>
      <w:r>
        <w:rPr>
          <w:b/>
          <w:color w:val="1F2A44"/>
          <w:sz w:val="21"/>
        </w:rPr>
        <w:t>2.1. Yêu cầu quyết định cách biểu diễn</w:t>
      </w:r>
    </w:p>
    <w:p>
      <w:pPr>
        <w:spacing w:after="40" w:before="0"/>
        <w:jc w:val="both"/>
      </w:pPr>
      <w:r>
        <w:rPr>
          <w:i w:val="0"/>
        </w:rPr>
        <w:t>Truy vấn là cặp (câu hỏi x, mốc t); mọi bằng chứng E phải thuộc U(t) = {u | valid(u, t)}. Hiệu lực của một đơn vị không nằm trong nội dung của nó mà phụ thuộc ba loại thông tin: (I1) chuỗi phiên bản và khoảng hiệu lực; (I2) chuỗi đơn vị cấp trên — một Khoản chỉ có hiệu lực khi Điều chứa nó có hiệu lực; (I3) các văn bản tác động và bao đóng bắc cầu của chúng. Tiêu chí chọn: một biểu diễn chỉ "đủ" nếu tính được valid(u, t) từ nó; nếu hai đơn vị có cùng biểu diễn mà hiệu lực khác nhau thì mọi bộ xếp hạng dựng trên biểu diễn đó đều sai ở những trường hợp này, bất kể mô hình mạnh đến đâu.</w:t>
      </w:r>
    </w:p>
    <w:p>
      <w:pPr>
        <w:keepNext/>
        <w:spacing w:before="60" w:after="40"/>
      </w:pPr>
      <w:r>
        <w:rPr>
          <w:b/>
          <w:color w:val="1F2A44"/>
          <w:sz w:val="21"/>
        </w:rPr>
        <w:t>2.2. Vì sao không dùng các biểu diễn đơn giản hơn (đo trên corpus)</w:t>
      </w:r>
    </w:p>
    <w:tbl>
      <w:tblPr>
        <w:tblStyle w:val="TableGrid"/>
        <w:tblW w:type="auto" w:w="0"/>
        <w:jc w:val="center"/>
        <w:tblLayout w:type="fixed"/>
        <w:tblLook w:firstColumn="1" w:firstRow="1" w:lastColumn="0" w:lastRow="0" w:noHBand="0" w:noVBand="1" w:val="04A0"/>
        <w:tblLayout w:type="fixed"/>
      </w:tblPr>
      <w:tblGrid>
        <w:gridCol w:w="2438"/>
        <w:gridCol w:w="1020"/>
        <w:gridCol w:w="4309"/>
        <w:gridCol w:w="1077"/>
      </w:tblGrid>
      <w:tr>
        <w:tc>
          <w:tcPr>
            <w:tcW w:type="dxa" w:w="2438"/>
            <w:shd w:val="clear" w:color="auto" w:fill="DCE3EF"/>
          </w:tcPr>
          <w:p>
            <w:pPr>
              <w:spacing w:after="0"/>
            </w:pPr>
            <w:r/>
            <w:r>
              <w:rPr>
                <w:b/>
                <w:sz w:val="17"/>
              </w:rPr>
              <w:t>Biểu diễn thay thế</w:t>
            </w:r>
          </w:p>
        </w:tc>
        <w:tc>
          <w:tcPr>
            <w:tcW w:type="dxa" w:w="1020"/>
            <w:shd w:val="clear" w:color="auto" w:fill="DCE3EF"/>
          </w:tcPr>
          <w:p>
            <w:pPr>
              <w:spacing w:after="0"/>
            </w:pPr>
            <w:r/>
            <w:r>
              <w:rPr>
                <w:b/>
                <w:sz w:val="17"/>
              </w:rPr>
              <w:t>Thiếu</w:t>
            </w:r>
          </w:p>
        </w:tc>
        <w:tc>
          <w:tcPr>
            <w:tcW w:type="dxa" w:w="4309"/>
            <w:shd w:val="clear" w:color="auto" w:fill="DCE3EF"/>
          </w:tcPr>
          <w:p>
            <w:pPr>
              <w:spacing w:after="0"/>
            </w:pPr>
            <w:r/>
            <w:r>
              <w:rPr>
                <w:b/>
                <w:sz w:val="17"/>
              </w:rPr>
              <w:t>Bằng chứng trên dữ liệu</w:t>
            </w:r>
          </w:p>
        </w:tc>
        <w:tc>
          <w:tcPr>
            <w:tcW w:type="dxa" w:w="1077"/>
            <w:shd w:val="clear" w:color="auto" w:fill="DCE3EF"/>
          </w:tcPr>
          <w:p>
            <w:pPr>
              <w:spacing w:after="0"/>
            </w:pPr>
            <w:r/>
            <w:r>
              <w:rPr>
                <w:b/>
                <w:sz w:val="17"/>
              </w:rPr>
              <w:t>Đối chứng</w:t>
            </w:r>
          </w:p>
        </w:tc>
      </w:tr>
      <w:tr>
        <w:tc>
          <w:tcPr>
            <w:tcW w:type="dxa" w:w="2438"/>
          </w:tcPr>
          <w:p>
            <w:pPr>
              <w:spacing w:after="0"/>
            </w:pPr>
            <w:r/>
            <w:r>
              <w:rPr>
                <w:sz w:val="17"/>
              </w:rPr>
              <w:t>Truy xuất phẳng (BM25, dense)</w:t>
            </w:r>
          </w:p>
        </w:tc>
        <w:tc>
          <w:tcPr>
            <w:tcW w:type="dxa" w:w="1020"/>
          </w:tcPr>
          <w:p>
            <w:pPr>
              <w:spacing w:after="0"/>
            </w:pPr>
            <w:r/>
            <w:r>
              <w:rPr>
                <w:sz w:val="17"/>
              </w:rPr>
              <w:t>I1</w:t>
            </w:r>
          </w:p>
        </w:tc>
        <w:tc>
          <w:tcPr>
            <w:tcW w:type="dxa" w:w="4309"/>
          </w:tcPr>
          <w:p>
            <w:pPr>
              <w:spacing w:after="0"/>
            </w:pPr>
            <w:r/>
            <w:r>
              <w:rPr>
                <w:sz w:val="17"/>
              </w:rPr>
              <w:t>8.210 nhóm điều khoản trùng nội dung nhưng hiệu lực trái ngược; chọn ngẫu nhiên sai 47,5%</w:t>
            </w:r>
          </w:p>
        </w:tc>
        <w:tc>
          <w:tcPr>
            <w:tcW w:type="dxa" w:w="1077"/>
          </w:tcPr>
          <w:p>
            <w:pPr>
              <w:spacing w:after="0"/>
            </w:pPr>
            <w:r/>
            <w:r>
              <w:rPr>
                <w:sz w:val="17"/>
              </w:rPr>
              <w:t>B2–B4</w:t>
            </w:r>
          </w:p>
        </w:tc>
      </w:tr>
      <w:tr>
        <w:tc>
          <w:tcPr>
            <w:tcW w:type="dxa" w:w="2438"/>
          </w:tcPr>
          <w:p>
            <w:pPr>
              <w:spacing w:after="0"/>
            </w:pPr>
            <w:r/>
            <w:r>
              <w:rPr>
                <w:sz w:val="17"/>
              </w:rPr>
              <w:t>Phẳng + lọc ngày hiệu lực cấp văn bản</w:t>
            </w:r>
          </w:p>
        </w:tc>
        <w:tc>
          <w:tcPr>
            <w:tcW w:type="dxa" w:w="1020"/>
          </w:tcPr>
          <w:p>
            <w:pPr>
              <w:spacing w:after="0"/>
            </w:pPr>
            <w:r/>
            <w:r>
              <w:rPr>
                <w:sz w:val="17"/>
              </w:rPr>
              <w:t>I1 cấp đơn vị</w:t>
            </w:r>
          </w:p>
        </w:tc>
        <w:tc>
          <w:tcPr>
            <w:tcW w:type="dxa" w:w="4309"/>
          </w:tcPr>
          <w:p>
            <w:pPr>
              <w:spacing w:after="0"/>
            </w:pPr>
            <w:r/>
            <w:r>
              <w:rPr>
                <w:sz w:val="17"/>
              </w:rPr>
              <w:t>2.051 văn bản hết hiệu lực một phần chứa 27,8% đơn vị — không quyết định được</w:t>
            </w:r>
          </w:p>
        </w:tc>
        <w:tc>
          <w:tcPr>
            <w:tcW w:type="dxa" w:w="1077"/>
          </w:tcPr>
          <w:p>
            <w:pPr>
              <w:spacing w:after="0"/>
            </w:pPr>
            <w:r/>
            <w:r>
              <w:rPr>
                <w:sz w:val="17"/>
              </w:rPr>
              <w:t>B7</w:t>
            </w:r>
          </w:p>
        </w:tc>
      </w:tr>
      <w:tr>
        <w:tc>
          <w:tcPr>
            <w:tcW w:type="dxa" w:w="2438"/>
          </w:tcPr>
          <w:p>
            <w:pPr>
              <w:spacing w:after="0"/>
            </w:pPr>
            <w:r/>
            <w:r>
              <w:rPr>
                <w:sz w:val="17"/>
              </w:rPr>
              <w:t>Hiệu lực riêng từng đơn vị, không có cây</w:t>
            </w:r>
          </w:p>
        </w:tc>
        <w:tc>
          <w:tcPr>
            <w:tcW w:type="dxa" w:w="1020"/>
          </w:tcPr>
          <w:p>
            <w:pPr>
              <w:spacing w:after="0"/>
            </w:pPr>
            <w:r/>
            <w:r>
              <w:rPr>
                <w:sz w:val="17"/>
              </w:rPr>
              <w:t>I2</w:t>
            </w:r>
          </w:p>
        </w:tc>
        <w:tc>
          <w:tcPr>
            <w:tcW w:type="dxa" w:w="4309"/>
          </w:tcPr>
          <w:p>
            <w:pPr>
              <w:spacing w:after="0"/>
            </w:pPr>
            <w:r/>
            <w:r>
              <w:rPr>
                <w:sz w:val="17"/>
              </w:rPr>
              <w:t>14.157 đơn vị mất hiệu lực chỉ vì cấp trên bị bãi bỏ (gấp 2,4 lần số bị bãi bỏ trực tiếp)</w:t>
            </w:r>
          </w:p>
        </w:tc>
        <w:tc>
          <w:tcPr>
            <w:tcW w:type="dxa" w:w="1077"/>
          </w:tcPr>
          <w:p>
            <w:pPr>
              <w:spacing w:after="0"/>
            </w:pPr>
            <w:r/>
            <w:r>
              <w:rPr>
                <w:sz w:val="17"/>
              </w:rPr>
              <w:t>A4</w:t>
            </w:r>
          </w:p>
        </w:tc>
      </w:tr>
      <w:tr>
        <w:tc>
          <w:tcPr>
            <w:tcW w:type="dxa" w:w="2438"/>
          </w:tcPr>
          <w:p>
            <w:pPr>
              <w:spacing w:after="0"/>
            </w:pPr>
            <w:r/>
            <w:r>
              <w:rPr>
                <w:sz w:val="17"/>
              </w:rPr>
              <w:t>Đồ thị không có quan hệ bắc cầu</w:t>
            </w:r>
          </w:p>
        </w:tc>
        <w:tc>
          <w:tcPr>
            <w:tcW w:type="dxa" w:w="1020"/>
          </w:tcPr>
          <w:p>
            <w:pPr>
              <w:spacing w:after="0"/>
            </w:pPr>
            <w:r/>
            <w:r>
              <w:rPr>
                <w:sz w:val="17"/>
              </w:rPr>
              <w:t>I3</w:t>
            </w:r>
          </w:p>
        </w:tc>
        <w:tc>
          <w:tcPr>
            <w:tcW w:type="dxa" w:w="4309"/>
          </w:tcPr>
          <w:p>
            <w:pPr>
              <w:spacing w:after="0"/>
            </w:pPr>
            <w:r/>
            <w:r>
              <w:rPr>
                <w:sz w:val="17"/>
              </w:rPr>
              <w:t>39,2% văn bản bị ≥ 2 văn bản tác động; bao đóng lớn nhất 2.963 văn bản</w:t>
            </w:r>
          </w:p>
        </w:tc>
        <w:tc>
          <w:tcPr>
            <w:tcW w:type="dxa" w:w="1077"/>
          </w:tcPr>
          <w:p>
            <w:pPr>
              <w:spacing w:after="0"/>
            </w:pPr>
            <w:r/>
            <w:r>
              <w:rPr>
                <w:sz w:val="17"/>
              </w:rPr>
              <w:t>B5, A2</w:t>
            </w:r>
          </w:p>
        </w:tc>
      </w:tr>
      <w:tr>
        <w:tc>
          <w:tcPr>
            <w:tcW w:type="dxa" w:w="2438"/>
          </w:tcPr>
          <w:p>
            <w:pPr>
              <w:spacing w:after="0"/>
            </w:pPr>
            <w:r/>
            <w:r>
              <w:rPr>
                <w:sz w:val="17"/>
              </w:rPr>
              <w:t>Cây ngữ nghĩa (RAPTOR), GraphRAG/LightRAG, KG phân cấp VN</w:t>
            </w:r>
          </w:p>
        </w:tc>
        <w:tc>
          <w:tcPr>
            <w:tcW w:type="dxa" w:w="1020"/>
          </w:tcPr>
          <w:p>
            <w:pPr>
              <w:spacing w:after="0"/>
            </w:pPr>
            <w:r/>
            <w:r>
              <w:rPr>
                <w:sz w:val="17"/>
              </w:rPr>
              <w:t>I1 (± I2)</w:t>
            </w:r>
          </w:p>
        </w:tc>
        <w:tc>
          <w:tcPr>
            <w:tcW w:type="dxa" w:w="4309"/>
          </w:tcPr>
          <w:p>
            <w:pPr>
              <w:spacing w:after="0"/>
            </w:pPr>
            <w:r/>
            <w:r>
              <w:rPr>
                <w:sz w:val="17"/>
              </w:rPr>
              <w:t>Cây theo độ tương đồng, không theo pháp điển; mỗi thực thể chỉ một phiên bản</w:t>
            </w:r>
          </w:p>
        </w:tc>
        <w:tc>
          <w:tcPr>
            <w:tcW w:type="dxa" w:w="1077"/>
          </w:tcPr>
          <w:p>
            <w:pPr>
              <w:spacing w:after="0"/>
            </w:pPr>
            <w:r/>
            <w:r>
              <w:rPr>
                <w:sz w:val="17"/>
              </w:rPr>
              <w:t>B5, B6</w:t>
            </w:r>
          </w:p>
        </w:tc>
      </w:tr>
    </w:tbl>
    <w:p>
      <w:pPr>
        <w:spacing w:after="0"/>
      </w:pPr>
    </w:p>
    <w:p>
      <w:pPr>
        <w:keepNext/>
        <w:spacing w:before="60" w:after="40"/>
      </w:pPr>
      <w:r>
        <w:rPr>
          <w:b/>
          <w:color w:val="1F2A44"/>
          <w:sz w:val="21"/>
        </w:rPr>
        <w:t>2.3. Vì sao là cây + đồ thị có phiên bản, không phải cấu trúc khác</w:t>
      </w:r>
    </w:p>
    <w:p>
      <w:pPr>
        <w:pStyle w:val="ListBullet"/>
        <w:spacing w:after="20"/>
        <w:ind w:left="340"/>
        <w:jc w:val="both"/>
      </w:pPr>
      <w:r>
        <w:rPr>
          <w:b/>
        </w:rPr>
        <w:t>Cây cho cấp trên–cấp dưới:</w:t>
      </w:r>
      <w:r>
        <w:t xml:space="preserve"> cấu trúc pháp điển là cây thật sự (mỗi đơn vị đúng một cấp trên; 92,2% đơn vị ở độ sâu ≥ 2). Cây cho phép lan truyền hiệu lực bằng một lần duyệt tổ tiên, và bãi bỏ một Chương tự vô hiệu cả cây con.</w:t>
      </w:r>
    </w:p>
    <w:p>
      <w:pPr>
        <w:pStyle w:val="ListBullet"/>
        <w:spacing w:after="20"/>
        <w:ind w:left="340"/>
        <w:jc w:val="both"/>
      </w:pPr>
      <w:r>
        <w:rPr>
          <w:b/>
        </w:rPr>
        <w:t>Đồ thị cho quan hệ văn bản:</w:t>
      </w:r>
      <w:r>
        <w:t xml:space="preserve"> quan hệ giữa văn bản có hướng, có kiểu và rất thưa (mật độ 0,00025), nên danh sách kề là tự nhiên; ma trận kề không khả thi (1 bit/ô cho 1,26 triệu nút ≈ 200 GB). Bảng quan hệ tương đương về mặt dữ liệu, nhưng truy vết chuỗi sửa đổi nhiều bước và trình diễn đường bằng chứng tự nhiên hơn trên đồ thị.</w:t>
      </w:r>
    </w:p>
    <w:p>
      <w:pPr>
        <w:pStyle w:val="ListBullet"/>
        <w:spacing w:after="20"/>
        <w:ind w:left="340"/>
        <w:jc w:val="both"/>
      </w:pPr>
      <w:r>
        <w:rPr>
          <w:b/>
        </w:rPr>
        <w:t>Phiên bản và sự kiện:</w:t>
      </w:r>
      <w:r>
        <w:t xml:space="preserve"> tách danh tính đơn vị khỏi phiên bản nội dung (như FRBR, SAT-Graph RAG) để phân biệt "đúng điều khoản, sai phiên bản" (chỉ số VCR) và dựng cặp câu hỏi tương phản; khoảng nửa mở để ngày chuyển giao chỉ một phiên bản hợp lệ; sự kiện sửa đổi là nút riêng mang nguồn gốc để kiểm toán và cho Temporal Verifier.</w:t>
      </w:r>
    </w:p>
    <w:p>
      <w:pPr>
        <w:pStyle w:val="ListBullet"/>
        <w:spacing w:after="20"/>
        <w:ind w:left="340"/>
        <w:jc w:val="both"/>
      </w:pPr>
      <w:r>
        <w:rPr>
          <w:b/>
        </w:rPr>
        <w:t>Kết hợp truy xuất lai:</w:t>
      </w:r>
      <w:r>
        <w:t xml:space="preserve"> đồ thị bảo đảm tính hợp lệ theo thời gian nhưng không đo được độ liên quan, nên trong U(t) ứng viên vẫn được xếp hạng lai (BM25 + dense + tín hiệu láng giềng).</w:t>
      </w:r>
    </w:p>
    <w:p>
      <w:pPr>
        <w:keepNext/>
        <w:spacing w:before="60" w:after="40"/>
      </w:pPr>
      <w:r>
        <w:rPr>
          <w:b/>
          <w:color w:val="1F2A44"/>
          <w:sz w:val="21"/>
        </w:rPr>
        <w:t>2.4. Quy trình đề xuất và cách kiểm chứng</w:t>
      </w:r>
    </w:p>
    <w:p>
      <w:pPr>
        <w:spacing w:after="40" w:before="0"/>
        <w:jc w:val="both"/>
      </w:pPr>
      <w:r>
        <w:rPr>
          <w:i w:val="0"/>
        </w:rPr>
        <w:t>L0–L1 dựng cây và cạnh từ metadata → L2 trích xuất thao tác sửa đổi (luật hình thức, LLM chỉ cho ca phức tạp; đo trên 843 bộ ba vàng suy từ metadata + 200 mẫu kiểm tay) → L3 hợp nhất phiên bản, lan truyền hiệu lực → L4 lọc U(t) (khoảng hiệu lực thực của từng phiên bản được tính trước và ghi vào Milvus, Neo4j xác nhận lại top-k) rồi xếp hạng lai → L5 sinh câu trả lời có trích dẫn cấp Điều/Khoản/Điểm, Temporal Verifier loại trích dẫn không hợp lệ tại t. Nguyên tắc xuyên suốt: dữ liệu suy dẫn không bao giờ ghi đè dữ liệu gốc; kết quả chính chỉ dùng dữ liệu quan sát được hoặc đã kiểm duyệt. Phép thử quyết định là so với B7: nếu lọc theo ngày hiệu lực cấp văn bản đạt gần phương pháp đề xuất trên nhóm câu hỏi hết hiệu lực một phần, lợi ích của đồ thị không được xác lập và đóng góp phải được đánh giá lại.</w:t>
      </w:r>
    </w:p>
    <w:p>
      <w:pPr>
        <w:keepNext/>
        <w:spacing w:before="120" w:after="40"/>
      </w:pPr>
      <w:r>
        <w:rPr>
          <w:b/>
          <w:color w:val="1F2A44"/>
          <w:sz w:val="24"/>
        </w:rPr>
        <w:t>3. Tuần tới và vấn đề xin ý kiến</w:t>
      </w:r>
    </w:p>
    <w:p>
      <w:pPr>
        <w:spacing w:after="0" w:before="0"/>
        <w:jc w:val="both"/>
      </w:pPr>
      <w:r>
        <w:rPr>
          <w:i w:val="0"/>
        </w:rPr>
        <w:t>Hoàn tất bổ sung dữ liệu và đóng băng bản chụp v2 (mốc 05/10); duyệt ~395 ngày hết hiệu lực ứng viên; kiểm tay 100 Khoản/Điểm tách tự động; dựng hạ tầng Neo4j/Milvus. Xin ý kiến: (1) 1.626 QPPL có toàn văn nhưng không có cây — dựng cấu trúc hay dùng cả văn bản làm một đơn vị truy xuất; (2) metadata không phân biệt Quyết định cá biệt với Quyết định quy phạm — chấp nhận làm giới hạn hay lọc thêm.</w:t>
      </w:r>
    </w:p>
    <w:sectPr w:rsidR="00FC693F" w:rsidRPr="0006063C" w:rsidSect="00034616">
      <w:pgSz w:w="11906" w:h="16838"/>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52" w:lineRule="auto"/>
    </w:pPr>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