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pPr>
      <w:r w:rsidDel="00000000" w:rsidR="00000000" w:rsidRPr="00000000">
        <w:rPr>
          <w:rtl w:val="0"/>
        </w:rPr>
      </w:r>
    </w:p>
    <w:p w:rsidR="00000000" w:rsidDel="00000000" w:rsidP="00000000" w:rsidRDefault="00000000" w:rsidRPr="00000000" w14:paraId="00000002">
      <w:pPr>
        <w:pStyle w:val="Title"/>
        <w:spacing w:line="240" w:lineRule="auto"/>
        <w:jc w:val="center"/>
        <w:rPr/>
      </w:pPr>
      <w:r w:rsidDel="00000000" w:rsidR="00000000" w:rsidRPr="00000000">
        <w:rPr>
          <w:rtl w:val="0"/>
        </w:rPr>
        <w:t xml:space="preserve">Industry Investment Predictions by GDP &amp; Income</w:t>
      </w:r>
    </w:p>
    <w:p w:rsidR="00000000" w:rsidDel="00000000" w:rsidP="00000000" w:rsidRDefault="00000000" w:rsidRPr="00000000" w14:paraId="00000003">
      <w:pPr>
        <w:spacing w:line="240" w:lineRule="auto"/>
        <w:jc w:val="center"/>
        <w:rPr/>
      </w:pPr>
      <w:r w:rsidDel="00000000" w:rsidR="00000000" w:rsidRPr="00000000">
        <w:rPr>
          <w:rtl w:val="0"/>
        </w:rPr>
        <w:t xml:space="preserve">Michael Speer, Elijah Taber, Caleb Trimble</w:t>
      </w:r>
    </w:p>
    <w:p w:rsidR="00000000" w:rsidDel="00000000" w:rsidP="00000000" w:rsidRDefault="00000000" w:rsidRPr="00000000" w14:paraId="00000004">
      <w:pPr>
        <w:spacing w:line="240" w:lineRule="auto"/>
        <w:jc w:val="center"/>
        <w:rPr/>
      </w:pPr>
      <w:r w:rsidDel="00000000" w:rsidR="00000000" w:rsidRPr="00000000">
        <w:rPr>
          <w:rtl w:val="0"/>
        </w:rPr>
        <w:t xml:space="preserve">May 25, 2025</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pStyle w:val="Heading1"/>
        <w:spacing w:lin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D">
      <w:pPr>
        <w:spacing w:after="240" w:before="240" w:line="240" w:lineRule="auto"/>
        <w:ind w:firstLine="720"/>
        <w:rPr>
          <w:sz w:val="22"/>
          <w:szCs w:val="22"/>
        </w:rPr>
      </w:pPr>
      <w:r w:rsidDel="00000000" w:rsidR="00000000" w:rsidRPr="00000000">
        <w:rPr>
          <w:sz w:val="22"/>
          <w:szCs w:val="22"/>
          <w:rtl w:val="0"/>
        </w:rPr>
        <w:t xml:space="preserve">Economic forecasting is essential for strategic investment, providing insights into market trends and industry shifts. By analyzing quarterly GDP proportions, this project aims to anticipate economic developments, highlight promising investment sectors, and assess market volatility and stability.</w:t>
      </w:r>
    </w:p>
    <w:p w:rsidR="00000000" w:rsidDel="00000000" w:rsidP="00000000" w:rsidRDefault="00000000" w:rsidRPr="00000000" w14:paraId="0000001E">
      <w:pPr>
        <w:spacing w:after="240" w:before="240" w:line="240" w:lineRule="auto"/>
        <w:ind w:firstLine="720"/>
        <w:rPr/>
      </w:pPr>
      <w:r w:rsidDel="00000000" w:rsidR="00000000" w:rsidRPr="00000000">
        <w:rPr>
          <w:sz w:val="22"/>
          <w:szCs w:val="22"/>
          <w:rtl w:val="0"/>
        </w:rPr>
        <w:t xml:space="preserve">Predicting industry-level GDP trends allows investors to navigate downturns and seize emerging opportunities. Forecasting wages further enhances insight into labor market conditions and economic growth. By integrating these factors into five- and ten-year investment outlooks, this approach improves confidence in identifying industries poised for sustainable expansion. Through a data-driven methodology and risk assessment framework, this forecasting model refines decision-making and optimizes ROI, empowering investors to move beyond speculation toward a proactive strategy.</w:t>
      </w:r>
      <w:r w:rsidDel="00000000" w:rsidR="00000000" w:rsidRPr="00000000">
        <w:rPr>
          <w:rtl w:val="0"/>
        </w:rPr>
      </w:r>
    </w:p>
    <w:p w:rsidR="00000000" w:rsidDel="00000000" w:rsidP="00000000" w:rsidRDefault="00000000" w:rsidRPr="00000000" w14:paraId="0000001F">
      <w:pPr>
        <w:pStyle w:val="Heading1"/>
        <w:spacing w:line="240" w:lineRule="auto"/>
        <w:rPr>
          <w:b w:val="1"/>
          <w:sz w:val="28"/>
          <w:szCs w:val="28"/>
        </w:rPr>
      </w:pPr>
      <w:r w:rsidDel="00000000" w:rsidR="00000000" w:rsidRPr="00000000">
        <w:rPr>
          <w:b w:val="1"/>
          <w:sz w:val="28"/>
          <w:szCs w:val="28"/>
          <w:rtl w:val="0"/>
        </w:rPr>
        <w:t xml:space="preserve">Business Problem/Hypothesis</w:t>
      </w:r>
    </w:p>
    <w:p w:rsidR="00000000" w:rsidDel="00000000" w:rsidP="00000000" w:rsidRDefault="00000000" w:rsidRPr="00000000" w14:paraId="00000020">
      <w:pPr>
        <w:spacing w:after="240" w:before="240" w:line="240" w:lineRule="auto"/>
        <w:ind w:firstLine="720"/>
        <w:rPr>
          <w:sz w:val="22"/>
          <w:szCs w:val="22"/>
        </w:rPr>
      </w:pPr>
      <w:r w:rsidDel="00000000" w:rsidR="00000000" w:rsidRPr="00000000">
        <w:rPr>
          <w:sz w:val="22"/>
          <w:szCs w:val="22"/>
          <w:rtl w:val="0"/>
        </w:rPr>
        <w:t xml:space="preserve">Investing without a clear understanding of future economic trends adds unnecessary risk. Traditional industry selection often relies on historical performance and subjective insights, failing to account for macroeconomic shifts and labor market fluctuations. Without a reliable forecasting model, investors risk allocating capital to declining industries, reducing returns and increasing portfolio volatility.</w:t>
      </w:r>
    </w:p>
    <w:p w:rsidR="00000000" w:rsidDel="00000000" w:rsidP="00000000" w:rsidRDefault="00000000" w:rsidRPr="00000000" w14:paraId="00000021">
      <w:pPr>
        <w:spacing w:after="240" w:before="240" w:line="240" w:lineRule="auto"/>
        <w:ind w:firstLine="720"/>
        <w:rPr>
          <w:sz w:val="22"/>
          <w:szCs w:val="22"/>
        </w:rPr>
      </w:pPr>
      <w:r w:rsidDel="00000000" w:rsidR="00000000" w:rsidRPr="00000000">
        <w:rPr>
          <w:sz w:val="22"/>
          <w:szCs w:val="22"/>
          <w:rtl w:val="0"/>
        </w:rPr>
        <w:t xml:space="preserve">This project aims to predict industry-level GDP trends to guide investment decisions. By analyzing quarterly GDP proportions, forecasting growth, and incorporating wage trends, we provide a data-driven approach to identifying high-potential industries. A risk scoring system further refines uncertainty assessment, enabling smarter investment choices for 5- and 10-year forecasts.</w:t>
      </w:r>
    </w:p>
    <w:p w:rsidR="00000000" w:rsidDel="00000000" w:rsidP="00000000" w:rsidRDefault="00000000" w:rsidRPr="00000000" w14:paraId="00000022">
      <w:pPr>
        <w:pStyle w:val="Heading1"/>
        <w:spacing w:line="240" w:lineRule="auto"/>
        <w:rPr>
          <w:b w:val="1"/>
          <w:sz w:val="28"/>
          <w:szCs w:val="28"/>
        </w:rPr>
      </w:pPr>
      <w:r w:rsidDel="00000000" w:rsidR="00000000" w:rsidRPr="00000000">
        <w:rPr>
          <w:b w:val="1"/>
          <w:sz w:val="28"/>
          <w:szCs w:val="28"/>
          <w:rtl w:val="0"/>
        </w:rPr>
        <w:t xml:space="preserve">Methods/Analysis</w:t>
      </w:r>
    </w:p>
    <w:p w:rsidR="00000000" w:rsidDel="00000000" w:rsidP="00000000" w:rsidRDefault="00000000" w:rsidRPr="00000000" w14:paraId="00000023">
      <w:pPr>
        <w:spacing w:line="240" w:lineRule="auto"/>
        <w:ind w:firstLine="720"/>
        <w:rPr/>
      </w:pPr>
      <w:r w:rsidDel="00000000" w:rsidR="00000000" w:rsidRPr="00000000">
        <w:rPr>
          <w:sz w:val="22"/>
          <w:szCs w:val="22"/>
          <w:rtl w:val="0"/>
        </w:rPr>
        <w:t xml:space="preserve">The analysis leveraged quarterly U.S. GDP and wage data (2005–2024) from the BEA, focusing on 83 industries. Data preprocessing in Python (pandas, NumPy) standardized TimePeriod quartiles and IndustryDescription categories, with GDP proportions calculated to isolate sector-specific trends. Missing values were interpolated, and anomalies (e.g., 2020 downturns) were flagged to test model robustness. Wage data was aligned to GDP timelines to assess labor market linkages.</w:t>
      </w:r>
      <w:r w:rsidDel="00000000" w:rsidR="00000000" w:rsidRPr="00000000">
        <w:rPr>
          <w:rtl w:val="0"/>
        </w:rPr>
      </w:r>
    </w:p>
    <w:p w:rsidR="00000000" w:rsidDel="00000000" w:rsidP="00000000" w:rsidRDefault="00000000" w:rsidRPr="00000000" w14:paraId="00000024">
      <w:pPr>
        <w:pStyle w:val="Heading1"/>
        <w:spacing w:line="240" w:lineRule="auto"/>
        <w:ind w:left="0" w:right="-720" w:firstLine="0"/>
        <w:rPr>
          <w:sz w:val="22"/>
          <w:szCs w:val="22"/>
        </w:rPr>
      </w:pPr>
      <w:r w:rsidDel="00000000" w:rsidR="00000000" w:rsidRPr="00000000">
        <w:rPr>
          <w:sz w:val="22"/>
          <w:szCs w:val="22"/>
        </w:rPr>
        <w:drawing>
          <wp:inline distB="114300" distT="114300" distL="114300" distR="114300">
            <wp:extent cx="5891213" cy="2031174"/>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91213" cy="20311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center"/>
        <w:rPr>
          <w:sz w:val="22"/>
          <w:szCs w:val="22"/>
        </w:rPr>
      </w:pPr>
      <w:r w:rsidDel="00000000" w:rsidR="00000000" w:rsidRPr="00000000">
        <w:rPr>
          <w:b w:val="1"/>
          <w:rtl w:val="0"/>
        </w:rPr>
        <w:t xml:space="preserve">Figure 1: GDP growth trends by quarter showing consistent upward trajectory from 2005-2023, with quarterly distributions remaining stable across Q1-Q4 periods.</w:t>
      </w:r>
      <w:r w:rsidDel="00000000" w:rsidR="00000000" w:rsidRPr="00000000">
        <w:rPr>
          <w:rtl w:val="0"/>
        </w:rPr>
      </w:r>
    </w:p>
    <w:p w:rsidR="00000000" w:rsidDel="00000000" w:rsidP="00000000" w:rsidRDefault="00000000" w:rsidRPr="00000000" w14:paraId="00000026">
      <w:pPr>
        <w:spacing w:line="240" w:lineRule="auto"/>
        <w:ind w:firstLine="720"/>
        <w:rPr>
          <w:sz w:val="22"/>
          <w:szCs w:val="22"/>
        </w:rPr>
      </w:pPr>
      <w:r w:rsidDel="00000000" w:rsidR="00000000" w:rsidRPr="00000000">
        <w:rPr>
          <w:sz w:val="22"/>
          <w:szCs w:val="22"/>
          <w:rtl w:val="0"/>
        </w:rPr>
        <w:t xml:space="preserve">Forecasts used ARIMA for long-term GDP trends and cyclical patterns, alongside Linear Regression for aggregate growth. Industry-level predictions employed a MultiOutput Regressor (scikit-learn) and individual ARIMA models, validated via walk-forward testing and MAPE. Risk scores integrated forecast variance, wage stability, and historical shocks to refine sector-specific uncertainty, resolving disparities (e.g., ARIMA’s 20.1% growth vs. MultiOutput’s contractions).</w:t>
      </w:r>
    </w:p>
    <w:p w:rsidR="00000000" w:rsidDel="00000000" w:rsidP="00000000" w:rsidRDefault="00000000" w:rsidRPr="00000000" w14:paraId="00000027">
      <w:pPr>
        <w:pStyle w:val="Heading1"/>
        <w:spacing w:line="240" w:lineRule="auto"/>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8">
      <w:pPr>
        <w:spacing w:after="240" w:line="240" w:lineRule="auto"/>
        <w:ind w:firstLine="720"/>
        <w:rPr>
          <w:sz w:val="22"/>
          <w:szCs w:val="22"/>
        </w:rPr>
      </w:pPr>
      <w:r w:rsidDel="00000000" w:rsidR="00000000" w:rsidRPr="00000000">
        <w:rPr>
          <w:sz w:val="22"/>
          <w:szCs w:val="22"/>
          <w:rtl w:val="0"/>
        </w:rPr>
        <w:t xml:space="preserve">The GDP forecasting models provide insights into both overall U.S. economic growth and individual industry performance. The 10-year ARIMA forecast projects sustained expansion, offering a more nuanced perspective than linear regression, which struggles with anomalies like the 2020 downturn due to it high bias, low variance architecture.</w:t>
      </w:r>
    </w:p>
    <w:p w:rsidR="00000000" w:rsidDel="00000000" w:rsidP="00000000" w:rsidRDefault="00000000" w:rsidRPr="00000000" w14:paraId="00000029">
      <w:pPr>
        <w:spacing w:line="240" w:lineRule="auto"/>
        <w:ind w:left="0" w:right="-720" w:firstLine="0"/>
        <w:rPr>
          <w:sz w:val="22"/>
          <w:szCs w:val="22"/>
        </w:rPr>
      </w:pPr>
      <w:r w:rsidDel="00000000" w:rsidR="00000000" w:rsidRPr="00000000">
        <w:rPr>
          <w:sz w:val="22"/>
          <w:szCs w:val="22"/>
        </w:rPr>
        <w:drawing>
          <wp:inline distB="114300" distT="114300" distL="114300" distR="114300">
            <wp:extent cx="5846242" cy="2633663"/>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46242"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left="0" w:right="0" w:firstLine="0"/>
        <w:jc w:val="center"/>
        <w:rPr>
          <w:sz w:val="22"/>
          <w:szCs w:val="22"/>
        </w:rPr>
      </w:pPr>
      <w:r w:rsidDel="00000000" w:rsidR="00000000" w:rsidRPr="00000000">
        <w:rPr>
          <w:b w:val="1"/>
          <w:rtl w:val="0"/>
        </w:rPr>
        <w:t xml:space="preserve">Figure 2: Projected 10-Year U.S. GDP Growth (ARIMA Model). The figure shows the forecasted trajectory of the total U.S. over the next decade, based on ARIMA’s forecast.</w:t>
      </w:r>
      <w:r w:rsidDel="00000000" w:rsidR="00000000" w:rsidRPr="00000000">
        <w:rPr>
          <w:sz w:val="22"/>
          <w:szCs w:val="22"/>
          <w:rtl w:val="0"/>
        </w:rPr>
        <w:t xml:space="preserve"> </w:t>
      </w:r>
    </w:p>
    <w:p w:rsidR="00000000" w:rsidDel="00000000" w:rsidP="00000000" w:rsidRDefault="00000000" w:rsidRPr="00000000" w14:paraId="0000002B">
      <w:pPr>
        <w:spacing w:after="240" w:before="240" w:line="240" w:lineRule="auto"/>
        <w:ind w:firstLine="720"/>
        <w:rPr>
          <w:sz w:val="22"/>
          <w:szCs w:val="22"/>
        </w:rPr>
      </w:pPr>
      <w:r w:rsidDel="00000000" w:rsidR="00000000" w:rsidRPr="00000000">
        <w:rPr>
          <w:sz w:val="22"/>
          <w:szCs w:val="22"/>
          <w:rtl w:val="0"/>
        </w:rPr>
        <w:t xml:space="preserve">At the industry level, forecasts were generated using a MultiOutput Regressor and individual ARIMA models for 83 industries. The MultiOutput model suggests contractions in major sectors such as </w:t>
      </w:r>
      <w:r w:rsidDel="00000000" w:rsidR="00000000" w:rsidRPr="00000000">
        <w:rPr>
          <w:b w:val="1"/>
          <w:sz w:val="22"/>
          <w:szCs w:val="22"/>
          <w:rtl w:val="0"/>
        </w:rPr>
        <w:t xml:space="preserve">Real Estate and Manufacturing</w:t>
      </w:r>
      <w:r w:rsidDel="00000000" w:rsidR="00000000" w:rsidRPr="00000000">
        <w:rPr>
          <w:sz w:val="22"/>
          <w:szCs w:val="22"/>
          <w:rtl w:val="0"/>
        </w:rPr>
        <w:t xml:space="preserve">, with projected declines from $3.91T to $2.81T and $2.88T to $2.22T, respectively. In contrast, ARIMA forecasts a </w:t>
      </w:r>
      <w:r w:rsidDel="00000000" w:rsidR="00000000" w:rsidRPr="00000000">
        <w:rPr>
          <w:b w:val="1"/>
          <w:sz w:val="22"/>
          <w:szCs w:val="22"/>
          <w:rtl w:val="0"/>
        </w:rPr>
        <w:t xml:space="preserve">more optimistic outlook</w:t>
      </w:r>
      <w:r w:rsidDel="00000000" w:rsidR="00000000" w:rsidRPr="00000000">
        <w:rPr>
          <w:sz w:val="22"/>
          <w:szCs w:val="22"/>
          <w:rtl w:val="0"/>
        </w:rPr>
        <w:t xml:space="preserve">, with an average industry growth rate of </w:t>
      </w:r>
      <w:r w:rsidDel="00000000" w:rsidR="00000000" w:rsidRPr="00000000">
        <w:rPr>
          <w:b w:val="1"/>
          <w:sz w:val="22"/>
          <w:szCs w:val="22"/>
          <w:rtl w:val="0"/>
        </w:rPr>
        <w:t xml:space="preserve">20.1%</w:t>
      </w:r>
      <w:r w:rsidDel="00000000" w:rsidR="00000000" w:rsidRPr="00000000">
        <w:rPr>
          <w:sz w:val="22"/>
          <w:szCs w:val="22"/>
          <w:rtl w:val="0"/>
        </w:rPr>
        <w:t xml:space="preserve">, and </w:t>
      </w:r>
      <w:r w:rsidDel="00000000" w:rsidR="00000000" w:rsidRPr="00000000">
        <w:rPr>
          <w:b w:val="1"/>
          <w:sz w:val="22"/>
          <w:szCs w:val="22"/>
          <w:rtl w:val="0"/>
        </w:rPr>
        <w:t xml:space="preserve">74 out of 83 industries</w:t>
      </w:r>
      <w:r w:rsidDel="00000000" w:rsidR="00000000" w:rsidRPr="00000000">
        <w:rPr>
          <w:sz w:val="22"/>
          <w:szCs w:val="22"/>
          <w:rtl w:val="0"/>
        </w:rPr>
        <w:t xml:space="preserve"> expected to expand.</w:t>
      </w:r>
    </w:p>
    <w:p w:rsidR="00000000" w:rsidDel="00000000" w:rsidP="00000000" w:rsidRDefault="00000000" w:rsidRPr="00000000" w14:paraId="0000002C">
      <w:pPr>
        <w:spacing w:after="240" w:before="240" w:line="240" w:lineRule="auto"/>
        <w:ind w:firstLine="720"/>
        <w:rPr>
          <w:sz w:val="22"/>
          <w:szCs w:val="22"/>
        </w:rPr>
      </w:pPr>
      <w:r w:rsidDel="00000000" w:rsidR="00000000" w:rsidRPr="00000000">
        <w:rPr>
          <w:sz w:val="22"/>
          <w:szCs w:val="22"/>
          <w:rtl w:val="0"/>
        </w:rPr>
        <w:t xml:space="preserve">Notable growth projections include </w:t>
      </w:r>
      <w:r w:rsidDel="00000000" w:rsidR="00000000" w:rsidRPr="00000000">
        <w:rPr>
          <w:b w:val="1"/>
          <w:sz w:val="22"/>
          <w:szCs w:val="22"/>
          <w:rtl w:val="0"/>
        </w:rPr>
        <w:t xml:space="preserve">Real Estate (34.5%)</w:t>
      </w:r>
      <w:r w:rsidDel="00000000" w:rsidR="00000000" w:rsidRPr="00000000">
        <w:rPr>
          <w:sz w:val="22"/>
          <w:szCs w:val="22"/>
          <w:rtl w:val="0"/>
        </w:rPr>
        <w:t xml:space="preserve"> and </w:t>
      </w:r>
      <w:r w:rsidDel="00000000" w:rsidR="00000000" w:rsidRPr="00000000">
        <w:rPr>
          <w:b w:val="1"/>
          <w:sz w:val="22"/>
          <w:szCs w:val="22"/>
          <w:rtl w:val="0"/>
        </w:rPr>
        <w:t xml:space="preserve">Educational Services &amp; Healthcare (46.9%)</w:t>
      </w:r>
      <w:r w:rsidDel="00000000" w:rsidR="00000000" w:rsidRPr="00000000">
        <w:rPr>
          <w:sz w:val="22"/>
          <w:szCs w:val="22"/>
          <w:rtl w:val="0"/>
        </w:rPr>
        <w:t xml:space="preserve">, along with high-growth industries like </w:t>
      </w:r>
      <w:r w:rsidDel="00000000" w:rsidR="00000000" w:rsidRPr="00000000">
        <w:rPr>
          <w:b w:val="1"/>
          <w:sz w:val="22"/>
          <w:szCs w:val="22"/>
          <w:rtl w:val="0"/>
        </w:rPr>
        <w:t xml:space="preserve">Social Assistance (73.3%)</w:t>
      </w:r>
      <w:r w:rsidDel="00000000" w:rsidR="00000000" w:rsidRPr="00000000">
        <w:rPr>
          <w:sz w:val="22"/>
          <w:szCs w:val="22"/>
          <w:rtl w:val="0"/>
        </w:rPr>
        <w:t xml:space="preserve"> and </w:t>
      </w:r>
      <w:r w:rsidDel="00000000" w:rsidR="00000000" w:rsidRPr="00000000">
        <w:rPr>
          <w:b w:val="1"/>
          <w:sz w:val="22"/>
          <w:szCs w:val="22"/>
          <w:rtl w:val="0"/>
        </w:rPr>
        <w:t xml:space="preserve">Data Processing (58.2%)</w:t>
      </w:r>
      <w:r w:rsidDel="00000000" w:rsidR="00000000" w:rsidRPr="00000000">
        <w:rPr>
          <w:sz w:val="22"/>
          <w:szCs w:val="22"/>
          <w:rtl w:val="0"/>
        </w:rPr>
        <w:t xml:space="preserve">. The contrast between models highlights uncertainties in industry trajectories, reinforcing the need for diversified investment strategies.</w:t>
      </w:r>
    </w:p>
    <w:p w:rsidR="00000000" w:rsidDel="00000000" w:rsidP="00000000" w:rsidRDefault="00000000" w:rsidRPr="00000000" w14:paraId="0000002D">
      <w:pPr>
        <w:spacing w:after="240" w:before="240" w:line="240" w:lineRule="auto"/>
        <w:ind w:firstLine="720"/>
        <w:rPr>
          <w:sz w:val="22"/>
          <w:szCs w:val="22"/>
        </w:rPr>
      </w:pPr>
      <w:r w:rsidDel="00000000" w:rsidR="00000000" w:rsidRPr="00000000">
        <w:rPr>
          <w:rtl w:val="0"/>
        </w:rPr>
      </w:r>
    </w:p>
    <w:p w:rsidR="00000000" w:rsidDel="00000000" w:rsidP="00000000" w:rsidRDefault="00000000" w:rsidRPr="00000000" w14:paraId="0000002E">
      <w:pPr>
        <w:spacing w:after="240" w:before="240" w:line="240" w:lineRule="auto"/>
        <w:ind w:firstLine="720"/>
        <w:rPr>
          <w:sz w:val="22"/>
          <w:szCs w:val="22"/>
        </w:rPr>
      </w:pPr>
      <w:r w:rsidDel="00000000" w:rsidR="00000000" w:rsidRPr="00000000">
        <w:rPr>
          <w:rtl w:val="0"/>
        </w:rPr>
      </w:r>
    </w:p>
    <w:p w:rsidR="00000000" w:rsidDel="00000000" w:rsidP="00000000" w:rsidRDefault="00000000" w:rsidRPr="00000000" w14:paraId="0000002F">
      <w:pPr>
        <w:spacing w:after="240" w:before="240" w:line="240" w:lineRule="auto"/>
        <w:ind w:firstLine="720"/>
        <w:rPr>
          <w:sz w:val="22"/>
          <w:szCs w:val="22"/>
        </w:rPr>
      </w:pPr>
      <w:r w:rsidDel="00000000" w:rsidR="00000000" w:rsidRPr="00000000">
        <w:rPr>
          <w:rtl w:val="0"/>
        </w:rPr>
      </w:r>
    </w:p>
    <w:p w:rsidR="00000000" w:rsidDel="00000000" w:rsidP="00000000" w:rsidRDefault="00000000" w:rsidRPr="00000000" w14:paraId="00000030">
      <w:pPr>
        <w:pStyle w:val="Heading1"/>
        <w:spacing w:line="240" w:lineRule="auto"/>
        <w:rPr>
          <w:b w:val="1"/>
          <w:sz w:val="28"/>
          <w:szCs w:val="28"/>
        </w:rPr>
      </w:pPr>
      <w:bookmarkStart w:colFirst="0" w:colLast="0" w:name="_heading=h.mlqegxe9efn5" w:id="0"/>
      <w:bookmarkEnd w:id="0"/>
      <w:r w:rsidDel="00000000" w:rsidR="00000000" w:rsidRPr="00000000">
        <w:rPr>
          <w:b w:val="1"/>
          <w:sz w:val="28"/>
          <w:szCs w:val="28"/>
          <w:rtl w:val="0"/>
        </w:rPr>
        <w:t xml:space="preserve">Recommendations</w:t>
      </w:r>
    </w:p>
    <w:p w:rsidR="00000000" w:rsidDel="00000000" w:rsidP="00000000" w:rsidRDefault="00000000" w:rsidRPr="00000000" w14:paraId="00000031">
      <w:pPr>
        <w:spacing w:after="240" w:before="240" w:line="240" w:lineRule="auto"/>
        <w:ind w:firstLine="720"/>
        <w:rPr>
          <w:sz w:val="22"/>
          <w:szCs w:val="22"/>
        </w:rPr>
      </w:pPr>
      <w:r w:rsidDel="00000000" w:rsidR="00000000" w:rsidRPr="00000000">
        <w:rPr>
          <w:sz w:val="22"/>
          <w:szCs w:val="22"/>
          <w:rtl w:val="0"/>
        </w:rPr>
        <w:t xml:space="preserve">Industry-level forecasts highlight sectors with strong growth potential, particularly those projected by ARIMA models. High-growth industries such as </w:t>
      </w:r>
      <w:r w:rsidDel="00000000" w:rsidR="00000000" w:rsidRPr="00000000">
        <w:rPr>
          <w:b w:val="1"/>
          <w:sz w:val="22"/>
          <w:szCs w:val="22"/>
          <w:rtl w:val="0"/>
        </w:rPr>
        <w:t xml:space="preserve">Social Assistance (73.3%)</w:t>
      </w:r>
      <w:r w:rsidDel="00000000" w:rsidR="00000000" w:rsidRPr="00000000">
        <w:rPr>
          <w:sz w:val="22"/>
          <w:szCs w:val="22"/>
          <w:rtl w:val="0"/>
        </w:rPr>
        <w:t xml:space="preserve">, </w:t>
      </w:r>
      <w:r w:rsidDel="00000000" w:rsidR="00000000" w:rsidRPr="00000000">
        <w:rPr>
          <w:b w:val="1"/>
          <w:sz w:val="22"/>
          <w:szCs w:val="22"/>
          <w:rtl w:val="0"/>
        </w:rPr>
        <w:t xml:space="preserve">Data Processing &amp; Internet Services (58.2%)</w:t>
      </w:r>
      <w:r w:rsidDel="00000000" w:rsidR="00000000" w:rsidRPr="00000000">
        <w:rPr>
          <w:sz w:val="22"/>
          <w:szCs w:val="22"/>
          <w:rtl w:val="0"/>
        </w:rPr>
        <w:t xml:space="preserve">, and </w:t>
      </w:r>
      <w:r w:rsidDel="00000000" w:rsidR="00000000" w:rsidRPr="00000000">
        <w:rPr>
          <w:b w:val="1"/>
          <w:sz w:val="22"/>
          <w:szCs w:val="22"/>
          <w:rtl w:val="0"/>
        </w:rPr>
        <w:t xml:space="preserve">Ambulatory Health Care (50.8%)</w:t>
      </w:r>
      <w:r w:rsidDel="00000000" w:rsidR="00000000" w:rsidRPr="00000000">
        <w:rPr>
          <w:sz w:val="22"/>
          <w:szCs w:val="22"/>
          <w:rtl w:val="0"/>
        </w:rPr>
        <w:t xml:space="preserve"> present substantial investment opportunities, driven by demographic shifts, technological advancements, and evolving societal needs.</w:t>
      </w:r>
    </w:p>
    <w:p w:rsidR="00000000" w:rsidDel="00000000" w:rsidP="00000000" w:rsidRDefault="00000000" w:rsidRPr="00000000" w14:paraId="00000032">
      <w:pPr>
        <w:spacing w:after="240" w:line="240" w:lineRule="auto"/>
        <w:ind w:left="0" w:firstLine="0"/>
        <w:jc w:val="center"/>
        <w:rPr>
          <w:b w:val="1"/>
        </w:rPr>
      </w:pPr>
      <w:r w:rsidDel="00000000" w:rsidR="00000000" w:rsidRPr="00000000">
        <w:rPr>
          <w:b w:val="1"/>
          <w:rtl w:val="0"/>
        </w:rPr>
        <w:t xml:space="preserve">Figure 3: Top 10 Industries with Highest Growth Rates. This figure shows which industries have the highest projected growth by percentage.</w:t>
      </w:r>
      <w:r w:rsidDel="00000000" w:rsidR="00000000" w:rsidRPr="00000000">
        <w:drawing>
          <wp:anchor allowOverlap="1" behindDoc="0" distB="114300" distT="114300" distL="114300" distR="114300" hidden="0" layoutInCell="1" locked="0" relativeHeight="0" simplePos="0">
            <wp:simplePos x="0" y="0"/>
            <wp:positionH relativeFrom="column">
              <wp:posOffset>-442911</wp:posOffset>
            </wp:positionH>
            <wp:positionV relativeFrom="paragraph">
              <wp:posOffset>259904</wp:posOffset>
            </wp:positionV>
            <wp:extent cx="6827520" cy="320040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27520" cy="3200400"/>
                    </a:xfrm>
                    <a:prstGeom prst="rect"/>
                    <a:ln/>
                  </pic:spPr>
                </pic:pic>
              </a:graphicData>
            </a:graphic>
          </wp:anchor>
        </w:drawing>
      </w:r>
    </w:p>
    <w:p w:rsidR="00000000" w:rsidDel="00000000" w:rsidP="00000000" w:rsidRDefault="00000000" w:rsidRPr="00000000" w14:paraId="00000033">
      <w:pPr>
        <w:spacing w:after="240" w:before="240" w:line="240" w:lineRule="auto"/>
        <w:ind w:firstLine="720"/>
        <w:rPr>
          <w:sz w:val="22"/>
          <w:szCs w:val="22"/>
        </w:rPr>
      </w:pPr>
      <w:r w:rsidDel="00000000" w:rsidR="00000000" w:rsidRPr="00000000">
        <w:rPr>
          <w:sz w:val="22"/>
          <w:szCs w:val="22"/>
          <w:rtl w:val="0"/>
        </w:rPr>
        <w:t xml:space="preserve">Beyond percentage growth, industries with large projected GDP values offer stability and strong economic contributions. </w:t>
      </w:r>
      <w:r w:rsidDel="00000000" w:rsidR="00000000" w:rsidRPr="00000000">
        <w:rPr>
          <w:b w:val="1"/>
          <w:sz w:val="22"/>
          <w:szCs w:val="22"/>
          <w:rtl w:val="0"/>
        </w:rPr>
        <w:t xml:space="preserve">Real Estate and Rental Leasing ($5.26T), Real Estate ($4.73T),</w:t>
      </w:r>
      <w:r w:rsidDel="00000000" w:rsidR="00000000" w:rsidRPr="00000000">
        <w:rPr>
          <w:sz w:val="22"/>
          <w:szCs w:val="22"/>
          <w:rtl w:val="0"/>
        </w:rPr>
        <w:t xml:space="preserve"> and </w:t>
      </w:r>
      <w:r w:rsidDel="00000000" w:rsidR="00000000" w:rsidRPr="00000000">
        <w:rPr>
          <w:b w:val="1"/>
          <w:sz w:val="22"/>
          <w:szCs w:val="22"/>
          <w:rtl w:val="0"/>
        </w:rPr>
        <w:t xml:space="preserve">Educational Services, Health Care &amp; Social Assistance ($3.59T)</w:t>
      </w:r>
      <w:r w:rsidDel="00000000" w:rsidR="00000000" w:rsidRPr="00000000">
        <w:rPr>
          <w:sz w:val="22"/>
          <w:szCs w:val="22"/>
          <w:rtl w:val="0"/>
        </w:rPr>
        <w:t xml:space="preserve"> remain foundational pillars of the U.S. economy. Effective investment strategies should balance high-growth emerging opportunities with established sectors for long-term stability.</w:t>
      </w:r>
    </w:p>
    <w:p w:rsidR="00000000" w:rsidDel="00000000" w:rsidP="00000000" w:rsidRDefault="00000000" w:rsidRPr="00000000" w14:paraId="00000034">
      <w:pPr>
        <w:spacing w:after="240" w:line="240" w:lineRule="auto"/>
        <w:ind w:left="0" w:firstLine="0"/>
        <w:jc w:val="center"/>
        <w:rPr>
          <w:b w:val="1"/>
        </w:rPr>
      </w:pPr>
      <w:r w:rsidDel="00000000" w:rsidR="00000000" w:rsidRPr="00000000">
        <w:rPr>
          <w:b w:val="1"/>
          <w:rtl w:val="0"/>
        </w:rPr>
        <w:t xml:space="preserve">Figure 4: Top Industry Forecasted GDP (ARIMA Model). This figure shows the forecasted increase in GDP for the top industries for the next 40 years.</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237679</wp:posOffset>
            </wp:positionV>
            <wp:extent cx="6273149" cy="320040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73149" cy="3200400"/>
                    </a:xfrm>
                    <a:prstGeom prst="rect"/>
                    <a:ln/>
                  </pic:spPr>
                </pic:pic>
              </a:graphicData>
            </a:graphic>
          </wp:anchor>
        </w:drawing>
      </w:r>
    </w:p>
    <w:p w:rsidR="00000000" w:rsidDel="00000000" w:rsidP="00000000" w:rsidRDefault="00000000" w:rsidRPr="00000000" w14:paraId="00000035">
      <w:pPr>
        <w:spacing w:after="240" w:line="240" w:lineRule="auto"/>
        <w:ind w:firstLine="720"/>
        <w:jc w:val="left"/>
        <w:rPr>
          <w:sz w:val="22"/>
          <w:szCs w:val="22"/>
        </w:rPr>
      </w:pPr>
      <w:r w:rsidDel="00000000" w:rsidR="00000000" w:rsidRPr="00000000">
        <w:rPr>
          <w:sz w:val="22"/>
          <w:szCs w:val="22"/>
          <w:rtl w:val="0"/>
        </w:rPr>
        <w:t xml:space="preserve">These recommendations are based on model-driven forecasts, acknowledging that real-world economic conditions and unforeseen events may impact actual outcomes.</w:t>
      </w:r>
    </w:p>
    <w:p w:rsidR="00000000" w:rsidDel="00000000" w:rsidP="00000000" w:rsidRDefault="00000000" w:rsidRPr="00000000" w14:paraId="00000036">
      <w:pPr>
        <w:pStyle w:val="Heading1"/>
        <w:spacing w:lin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7">
      <w:pPr>
        <w:spacing w:after="240" w:before="240" w:line="240" w:lineRule="auto"/>
        <w:ind w:firstLine="720"/>
        <w:rPr>
          <w:sz w:val="22"/>
          <w:szCs w:val="22"/>
        </w:rPr>
      </w:pPr>
      <w:r w:rsidDel="00000000" w:rsidR="00000000" w:rsidRPr="00000000">
        <w:rPr>
          <w:sz w:val="22"/>
          <w:szCs w:val="22"/>
          <w:rtl w:val="0"/>
        </w:rPr>
        <w:t xml:space="preserve">This project explored multiple time series forecasting models to predict U.S. GDP trends and industry performance over the next decade. Linear Regression and ARIMA models provided insights into aggregate GDP, while MultiOutput Regression and individual ARIMA models assessed 83 industries. The findings indicate </w:t>
      </w:r>
      <w:r w:rsidDel="00000000" w:rsidR="00000000" w:rsidRPr="00000000">
        <w:rPr>
          <w:b w:val="1"/>
          <w:sz w:val="22"/>
          <w:szCs w:val="22"/>
          <w:rtl w:val="0"/>
        </w:rPr>
        <w:t xml:space="preserve">continued GDP growth</w:t>
      </w:r>
      <w:r w:rsidDel="00000000" w:rsidR="00000000" w:rsidRPr="00000000">
        <w:rPr>
          <w:sz w:val="22"/>
          <w:szCs w:val="22"/>
          <w:rtl w:val="0"/>
        </w:rPr>
        <w:t xml:space="preserve">, with ARIMA models generally projecting </w:t>
      </w:r>
      <w:r w:rsidDel="00000000" w:rsidR="00000000" w:rsidRPr="00000000">
        <w:rPr>
          <w:b w:val="1"/>
          <w:sz w:val="22"/>
          <w:szCs w:val="22"/>
          <w:rtl w:val="0"/>
        </w:rPr>
        <w:t xml:space="preserve">stronger sector-specific expansion</w:t>
      </w:r>
      <w:r w:rsidDel="00000000" w:rsidR="00000000" w:rsidRPr="00000000">
        <w:rPr>
          <w:sz w:val="22"/>
          <w:szCs w:val="22"/>
          <w:rtl w:val="0"/>
        </w:rPr>
        <w:t xml:space="preserve"> compared to the MultiOutput Regressor.</w:t>
      </w:r>
    </w:p>
    <w:p w:rsidR="00000000" w:rsidDel="00000000" w:rsidP="00000000" w:rsidRDefault="00000000" w:rsidRPr="00000000" w14:paraId="00000038">
      <w:pPr>
        <w:spacing w:after="240" w:before="240" w:line="240" w:lineRule="auto"/>
        <w:ind w:firstLine="720"/>
        <w:rPr>
          <w:sz w:val="22"/>
          <w:szCs w:val="22"/>
        </w:rPr>
      </w:pPr>
      <w:r w:rsidDel="00000000" w:rsidR="00000000" w:rsidRPr="00000000">
        <w:rPr>
          <w:sz w:val="22"/>
          <w:szCs w:val="22"/>
          <w:rtl w:val="0"/>
        </w:rPr>
        <w:t xml:space="preserve">Key industries expected to thrive include </w:t>
      </w:r>
      <w:r w:rsidDel="00000000" w:rsidR="00000000" w:rsidRPr="00000000">
        <w:rPr>
          <w:b w:val="1"/>
          <w:sz w:val="22"/>
          <w:szCs w:val="22"/>
          <w:rtl w:val="0"/>
        </w:rPr>
        <w:t xml:space="preserve">Social Assistance, Data Processing, and Ambulatory Healthcare</w:t>
      </w:r>
      <w:r w:rsidDel="00000000" w:rsidR="00000000" w:rsidRPr="00000000">
        <w:rPr>
          <w:sz w:val="22"/>
          <w:szCs w:val="22"/>
          <w:rtl w:val="0"/>
        </w:rPr>
        <w:t xml:space="preserve">, highlighting promising areas for investment and policy considerations. While forecasting carries inherent uncertainties, the use of multiple methodologies provides a </w:t>
      </w:r>
      <w:r w:rsidDel="00000000" w:rsidR="00000000" w:rsidRPr="00000000">
        <w:rPr>
          <w:b w:val="1"/>
          <w:sz w:val="22"/>
          <w:szCs w:val="22"/>
          <w:rtl w:val="0"/>
        </w:rPr>
        <w:t xml:space="preserve">data-driven framework</w:t>
      </w:r>
      <w:r w:rsidDel="00000000" w:rsidR="00000000" w:rsidRPr="00000000">
        <w:rPr>
          <w:sz w:val="22"/>
          <w:szCs w:val="22"/>
          <w:rtl w:val="0"/>
        </w:rPr>
        <w:t xml:space="preserve"> for evaluating economic trends. The divergence between models underscores the need for </w:t>
      </w:r>
      <w:r w:rsidDel="00000000" w:rsidR="00000000" w:rsidRPr="00000000">
        <w:rPr>
          <w:b w:val="1"/>
          <w:sz w:val="22"/>
          <w:szCs w:val="22"/>
          <w:rtl w:val="0"/>
        </w:rPr>
        <w:t xml:space="preserve">multi-perspective analysis</w:t>
      </w:r>
      <w:r w:rsidDel="00000000" w:rsidR="00000000" w:rsidRPr="00000000">
        <w:rPr>
          <w:sz w:val="22"/>
          <w:szCs w:val="22"/>
          <w:rtl w:val="0"/>
        </w:rPr>
        <w:t xml:space="preserve"> when predicting complex economic systems.</w:t>
      </w:r>
    </w:p>
    <w:p w:rsidR="00000000" w:rsidDel="00000000" w:rsidP="00000000" w:rsidRDefault="00000000" w:rsidRPr="00000000" w14:paraId="00000039">
      <w:pPr>
        <w:spacing w:after="240" w:before="240" w:line="240" w:lineRule="auto"/>
        <w:ind w:firstLine="720"/>
        <w:rPr>
          <w:sz w:val="22"/>
          <w:szCs w:val="22"/>
        </w:rPr>
      </w:pPr>
      <w:r w:rsidDel="00000000" w:rsidR="00000000" w:rsidRPr="00000000">
        <w:rPr>
          <w:rtl w:val="0"/>
        </w:rPr>
      </w:r>
    </w:p>
    <w:p w:rsidR="00000000" w:rsidDel="00000000" w:rsidP="00000000" w:rsidRDefault="00000000" w:rsidRPr="00000000" w14:paraId="0000003A">
      <w:pPr>
        <w:pStyle w:val="Heading1"/>
        <w:spacing w:line="24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B">
      <w:pPr>
        <w:spacing w:after="160" w:line="240" w:lineRule="auto"/>
        <w:ind w:lef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spacing w:after="0" w:line="240" w:lineRule="auto"/>
        <w:ind w:left="1440" w:hanging="144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GDP (current US$) - United States</w:t>
      </w:r>
      <w:r w:rsidDel="00000000" w:rsidR="00000000" w:rsidRPr="00000000">
        <w:rPr>
          <w:rFonts w:ascii="Times New Roman" w:cs="Times New Roman" w:eastAsia="Times New Roman" w:hAnsi="Times New Roman"/>
          <w:sz w:val="22"/>
          <w:szCs w:val="22"/>
          <w:rtl w:val="0"/>
        </w:rPr>
        <w:t xml:space="preserve">. World Bank Open Data. (n.d.). </w:t>
      </w:r>
      <w:hyperlink r:id="rId11">
        <w:r w:rsidDel="00000000" w:rsidR="00000000" w:rsidRPr="00000000">
          <w:rPr>
            <w:rFonts w:ascii="Times New Roman" w:cs="Times New Roman" w:eastAsia="Times New Roman" w:hAnsi="Times New Roman"/>
            <w:color w:val="1155cc"/>
            <w:sz w:val="22"/>
            <w:szCs w:val="22"/>
            <w:u w:val="single"/>
            <w:rtl w:val="0"/>
          </w:rPr>
          <w:t xml:space="preserve">https://data.worldbank.org/indicator/NY.GDP.MKTP.CD?locations=US</w:t>
        </w:r>
      </w:hyperlink>
      <w:r w:rsidDel="00000000" w:rsidR="00000000" w:rsidRPr="00000000">
        <w:rPr>
          <w:rtl w:val="0"/>
        </w:rPr>
      </w:r>
    </w:p>
    <w:p w:rsidR="00000000" w:rsidDel="00000000" w:rsidP="00000000" w:rsidRDefault="00000000" w:rsidRPr="00000000" w14:paraId="0000003D">
      <w:pPr>
        <w:spacing w:after="16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 Bureau of Economic Analysis, "</w:t>
      </w:r>
      <w:hyperlink r:id="rId12">
        <w:r w:rsidDel="00000000" w:rsidR="00000000" w:rsidRPr="00000000">
          <w:rPr>
            <w:rFonts w:ascii="Times New Roman" w:cs="Times New Roman" w:eastAsia="Times New Roman" w:hAnsi="Times New Roman"/>
            <w:color w:val="0563c1"/>
            <w:sz w:val="22"/>
            <w:szCs w:val="22"/>
            <w:u w:val="single"/>
            <w:rtl w:val="0"/>
          </w:rPr>
          <w:t xml:space="preserve">Value Added by Industry</w:t>
        </w:r>
      </w:hyperlink>
      <w:r w:rsidDel="00000000" w:rsidR="00000000" w:rsidRPr="00000000">
        <w:rPr>
          <w:rFonts w:ascii="Times New Roman" w:cs="Times New Roman" w:eastAsia="Times New Roman" w:hAnsi="Times New Roman"/>
          <w:sz w:val="22"/>
          <w:szCs w:val="22"/>
          <w:rtl w:val="0"/>
        </w:rPr>
        <w:t xml:space="preserve">" (accessed Sunday, May 18, 2025).</w:t>
      </w:r>
    </w:p>
    <w:p w:rsidR="00000000" w:rsidDel="00000000" w:rsidP="00000000" w:rsidRDefault="00000000" w:rsidRPr="00000000" w14:paraId="0000003E">
      <w:pPr>
        <w:spacing w:after="16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 Bureau of Economic Analysis, "</w:t>
      </w:r>
      <w:hyperlink r:id="rId13">
        <w:r w:rsidDel="00000000" w:rsidR="00000000" w:rsidRPr="00000000">
          <w:rPr>
            <w:rFonts w:ascii="Times New Roman" w:cs="Times New Roman" w:eastAsia="Times New Roman" w:hAnsi="Times New Roman"/>
            <w:color w:val="0563c1"/>
            <w:sz w:val="22"/>
            <w:szCs w:val="22"/>
            <w:u w:val="single"/>
            <w:rtl w:val="0"/>
          </w:rPr>
          <w:t xml:space="preserve">Table 6.3A. Wages and Salaries by Industry</w:t>
        </w:r>
      </w:hyperlink>
      <w:r w:rsidDel="00000000" w:rsidR="00000000" w:rsidRPr="00000000">
        <w:rPr>
          <w:rFonts w:ascii="Times New Roman" w:cs="Times New Roman" w:eastAsia="Times New Roman" w:hAnsi="Times New Roman"/>
          <w:sz w:val="22"/>
          <w:szCs w:val="22"/>
          <w:rtl w:val="0"/>
        </w:rPr>
        <w:t xml:space="preserve">" (accessed Sunday, May 18, 2025).</w:t>
      </w:r>
    </w:p>
    <w:p w:rsidR="00000000" w:rsidDel="00000000" w:rsidP="00000000" w:rsidRDefault="00000000" w:rsidRPr="00000000" w14:paraId="0000003F">
      <w:pPr>
        <w:pStyle w:val="Heading1"/>
        <w:spacing w:line="240" w:lineRule="auto"/>
        <w:rPr/>
      </w:pPr>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14:paraId="00000040">
      <w:pPr>
        <w:spacing w:after="240" w:line="240" w:lineRule="auto"/>
        <w:jc w:val="left"/>
        <w:rPr>
          <w:b w:val="1"/>
          <w:sz w:val="22"/>
          <w:szCs w:val="22"/>
        </w:rPr>
      </w:pPr>
      <w:r w:rsidDel="00000000" w:rsidR="00000000" w:rsidRPr="00000000">
        <w:rPr>
          <w:b w:val="1"/>
          <w:sz w:val="22"/>
          <w:szCs w:val="22"/>
          <w:rtl w:val="0"/>
        </w:rPr>
        <w:t xml:space="preserve">Data Source 1</w:t>
      </w:r>
    </w:p>
    <w:p w:rsidR="00000000" w:rsidDel="00000000" w:rsidP="00000000" w:rsidRDefault="00000000" w:rsidRPr="00000000" w14:paraId="00000041">
      <w:pPr>
        <w:numPr>
          <w:ilvl w:val="0"/>
          <w:numId w:val="3"/>
        </w:numPr>
        <w:spacing w:after="0" w:line="240" w:lineRule="auto"/>
        <w:ind w:left="720" w:hanging="360"/>
        <w:jc w:val="left"/>
        <w:rPr>
          <w:sz w:val="22"/>
          <w:szCs w:val="22"/>
        </w:rPr>
      </w:pPr>
      <w:r w:rsidDel="00000000" w:rsidR="00000000" w:rsidRPr="00000000">
        <w:rPr>
          <w:b w:val="1"/>
          <w:sz w:val="22"/>
          <w:szCs w:val="22"/>
          <w:rtl w:val="0"/>
        </w:rPr>
        <w:t xml:space="preserve">Dataset</w:t>
      </w:r>
      <w:r w:rsidDel="00000000" w:rsidR="00000000" w:rsidRPr="00000000">
        <w:rPr>
          <w:sz w:val="22"/>
          <w:szCs w:val="22"/>
          <w:rtl w:val="0"/>
        </w:rPr>
        <w:t xml:space="preserve">: GDPbyIndustry</w:t>
      </w:r>
    </w:p>
    <w:p w:rsidR="00000000" w:rsidDel="00000000" w:rsidP="00000000" w:rsidRDefault="00000000" w:rsidRPr="00000000" w14:paraId="00000042">
      <w:pPr>
        <w:numPr>
          <w:ilvl w:val="0"/>
          <w:numId w:val="3"/>
        </w:numPr>
        <w:spacing w:after="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Access Date</w:t>
      </w:r>
      <w:r w:rsidDel="00000000" w:rsidR="00000000" w:rsidRPr="00000000">
        <w:rPr>
          <w:sz w:val="22"/>
          <w:szCs w:val="22"/>
          <w:rtl w:val="0"/>
        </w:rPr>
        <w:t xml:space="preserve">: May 2025</w:t>
      </w:r>
      <w:r w:rsidDel="00000000" w:rsidR="00000000" w:rsidRPr="00000000">
        <w:rPr>
          <w:rtl w:val="0"/>
        </w:rPr>
      </w:r>
    </w:p>
    <w:p w:rsidR="00000000" w:rsidDel="00000000" w:rsidP="00000000" w:rsidRDefault="00000000" w:rsidRPr="00000000" w14:paraId="00000043">
      <w:pPr>
        <w:numPr>
          <w:ilvl w:val="0"/>
          <w:numId w:val="3"/>
        </w:numPr>
        <w:spacing w:after="24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URL</w:t>
      </w:r>
      <w:r w:rsidDel="00000000" w:rsidR="00000000" w:rsidRPr="00000000">
        <w:rPr>
          <w:sz w:val="22"/>
          <w:szCs w:val="22"/>
          <w:rtl w:val="0"/>
        </w:rPr>
        <w:t xml:space="preserve">: https://apps.bea.gov/iTable/?reqid=150&amp;step=2&amp;isuri=1&amp;categories=gdpxind#eyJhcHBpZCI6MTUwLCJzdGVwcyI6WzEsMiwzXSwiZGF0YSI6W1siY2F0ZWdvcmllcyIsIkdkcHhJbmQiXSxbIlRhYmxlX0xpc3QiLCIxIl1dfQ==</w:t>
      </w:r>
      <w:r w:rsidDel="00000000" w:rsidR="00000000" w:rsidRPr="00000000">
        <w:rPr>
          <w:rtl w:val="0"/>
        </w:rPr>
      </w:r>
    </w:p>
    <w:p w:rsidR="00000000" w:rsidDel="00000000" w:rsidP="00000000" w:rsidRDefault="00000000" w:rsidRPr="00000000" w14:paraId="00000044">
      <w:pPr>
        <w:spacing w:after="240" w:before="240" w:line="240" w:lineRule="auto"/>
        <w:jc w:val="left"/>
        <w:rPr>
          <w:b w:val="1"/>
          <w:sz w:val="22"/>
          <w:szCs w:val="22"/>
        </w:rPr>
      </w:pPr>
      <w:r w:rsidDel="00000000" w:rsidR="00000000" w:rsidRPr="00000000">
        <w:rPr>
          <w:b w:val="1"/>
          <w:sz w:val="22"/>
          <w:szCs w:val="22"/>
          <w:rtl w:val="0"/>
        </w:rPr>
        <w:t xml:space="preserve">Data Source 2</w:t>
      </w:r>
    </w:p>
    <w:p w:rsidR="00000000" w:rsidDel="00000000" w:rsidP="00000000" w:rsidRDefault="00000000" w:rsidRPr="00000000" w14:paraId="00000045">
      <w:pPr>
        <w:numPr>
          <w:ilvl w:val="0"/>
          <w:numId w:val="4"/>
        </w:numPr>
        <w:spacing w:after="0" w:before="24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Dataset: </w:t>
      </w:r>
      <w:r w:rsidDel="00000000" w:rsidR="00000000" w:rsidRPr="00000000">
        <w:rPr>
          <w:sz w:val="22"/>
          <w:szCs w:val="22"/>
          <w:rtl w:val="0"/>
        </w:rPr>
        <w:t xml:space="preserve">Wages and Salaries by Industry</w:t>
      </w:r>
      <w:r w:rsidDel="00000000" w:rsidR="00000000" w:rsidRPr="00000000">
        <w:rPr>
          <w:rtl w:val="0"/>
        </w:rPr>
      </w:r>
    </w:p>
    <w:p w:rsidR="00000000" w:rsidDel="00000000" w:rsidP="00000000" w:rsidRDefault="00000000" w:rsidRPr="00000000" w14:paraId="00000046">
      <w:pPr>
        <w:numPr>
          <w:ilvl w:val="0"/>
          <w:numId w:val="4"/>
        </w:numPr>
        <w:spacing w:after="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Access Date: </w:t>
      </w:r>
      <w:r w:rsidDel="00000000" w:rsidR="00000000" w:rsidRPr="00000000">
        <w:rPr>
          <w:sz w:val="22"/>
          <w:szCs w:val="22"/>
          <w:rtl w:val="0"/>
        </w:rPr>
        <w:t xml:space="preserve">May 2025</w:t>
      </w:r>
      <w:r w:rsidDel="00000000" w:rsidR="00000000" w:rsidRPr="00000000">
        <w:rPr>
          <w:rtl w:val="0"/>
        </w:rPr>
      </w:r>
    </w:p>
    <w:p w:rsidR="00000000" w:rsidDel="00000000" w:rsidP="00000000" w:rsidRDefault="00000000" w:rsidRPr="00000000" w14:paraId="00000047">
      <w:pPr>
        <w:numPr>
          <w:ilvl w:val="0"/>
          <w:numId w:val="4"/>
        </w:numPr>
        <w:spacing w:after="24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URL: </w:t>
      </w:r>
      <w:r w:rsidDel="00000000" w:rsidR="00000000" w:rsidRPr="00000000">
        <w:rPr>
          <w:sz w:val="22"/>
          <w:szCs w:val="22"/>
          <w:rtl w:val="0"/>
        </w:rPr>
        <w:t xml:space="preserve">https://apps.bea.gov/iTable/?reqid=19&amp;step=2&amp;isuri=1&amp;categories=survey&amp;_gl=1*14pf2ql*_ga*ODU1MjA0OTQ4LjE3NDcxNTM3MDA.*_ga_J4698JNNFT*czE3NDc2MTAwMDMkbzMkZzEkdDE3NDc2MTAzMzMkajYwJGwwJGgwJGR0WVZtNDREVWttcEVVRl9GdGlQMk1ta1JWQmItVFY0UUZB#eyJhcHBpZCI6MTksInN0ZXBzIjpbMSwyLDNdLCJkYXRhIjpbWyJjYXRlZ29yaWVzIiwiU3VydmV5Il0sWyJOSVBBX1RhYmxlX0xpc3QiLCIxODYiXV19</w:t>
      </w:r>
      <w:r w:rsidDel="00000000" w:rsidR="00000000" w:rsidRPr="00000000">
        <w:rPr>
          <w:rtl w:val="0"/>
        </w:rPr>
      </w:r>
    </w:p>
    <w:p w:rsidR="00000000" w:rsidDel="00000000" w:rsidP="00000000" w:rsidRDefault="00000000" w:rsidRPr="00000000" w14:paraId="00000048">
      <w:pPr>
        <w:spacing w:after="240" w:before="240" w:line="240" w:lineRule="auto"/>
        <w:jc w:val="left"/>
        <w:rPr>
          <w:b w:val="1"/>
          <w:sz w:val="22"/>
          <w:szCs w:val="22"/>
        </w:rPr>
      </w:pPr>
      <w:r w:rsidDel="00000000" w:rsidR="00000000" w:rsidRPr="00000000">
        <w:rPr>
          <w:b w:val="1"/>
          <w:sz w:val="22"/>
          <w:szCs w:val="22"/>
          <w:rtl w:val="0"/>
        </w:rPr>
        <w:t xml:space="preserve">Key Variables Used in Analysis</w:t>
      </w:r>
    </w:p>
    <w:p w:rsidR="00000000" w:rsidDel="00000000" w:rsidP="00000000" w:rsidRDefault="00000000" w:rsidRPr="00000000" w14:paraId="00000049">
      <w:pPr>
        <w:numPr>
          <w:ilvl w:val="0"/>
          <w:numId w:val="1"/>
        </w:numPr>
        <w:spacing w:after="0" w:before="24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GeoName</w:t>
      </w:r>
      <w:r w:rsidDel="00000000" w:rsidR="00000000" w:rsidRPr="00000000">
        <w:rPr>
          <w:sz w:val="22"/>
          <w:szCs w:val="22"/>
          <w:rtl w:val="0"/>
        </w:rPr>
        <w:t xml:space="preserve">: State</w:t>
        <w:br w:type="textWrapping"/>
      </w: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TimePeriod</w:t>
      </w:r>
      <w:r w:rsidDel="00000000" w:rsidR="00000000" w:rsidRPr="00000000">
        <w:rPr>
          <w:sz w:val="22"/>
          <w:szCs w:val="22"/>
          <w:rtl w:val="0"/>
        </w:rPr>
        <w:t xml:space="preserve">: Annual GDP broken down into Quartiles (2005-2024)</w:t>
        <w:br w:type="textWrapping"/>
      </w: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IndustrYDescription</w:t>
      </w:r>
      <w:r w:rsidDel="00000000" w:rsidR="00000000" w:rsidRPr="00000000">
        <w:rPr>
          <w:sz w:val="22"/>
          <w:szCs w:val="22"/>
          <w:rtl w:val="0"/>
        </w:rPr>
        <w:t xml:space="preserve">: Industries broken down into 99 different categories</w:t>
        <w:br w:type="textWrapping"/>
      </w: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Frequency</w:t>
      </w:r>
      <w:r w:rsidDel="00000000" w:rsidR="00000000" w:rsidRPr="00000000">
        <w:rPr>
          <w:sz w:val="22"/>
          <w:szCs w:val="22"/>
          <w:rtl w:val="0"/>
        </w:rPr>
        <w:t xml:space="preserve">: Quarterly results for GDP by industry</w:t>
        <w:br w:type="textWrapping"/>
      </w: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LineDescription</w:t>
      </w:r>
      <w:r w:rsidDel="00000000" w:rsidR="00000000" w:rsidRPr="00000000">
        <w:rPr>
          <w:sz w:val="22"/>
          <w:szCs w:val="22"/>
          <w:rtl w:val="0"/>
        </w:rPr>
        <w:t xml:space="preserve">: Industries broken down into types of industries (Distributive, Goods-producing, etc.)</w:t>
        <w:br w:type="textWrapping"/>
      </w:r>
      <w:r w:rsidDel="00000000" w:rsidR="00000000" w:rsidRPr="00000000">
        <w:rPr>
          <w:rtl w:val="0"/>
        </w:rPr>
      </w:r>
    </w:p>
    <w:p w:rsidR="00000000" w:rsidDel="00000000" w:rsidP="00000000" w:rsidRDefault="00000000" w:rsidRPr="00000000" w14:paraId="0000004E">
      <w:pPr>
        <w:numPr>
          <w:ilvl w:val="0"/>
          <w:numId w:val="1"/>
        </w:numPr>
        <w:spacing w:after="24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TimePeriod: </w:t>
      </w:r>
      <w:r w:rsidDel="00000000" w:rsidR="00000000" w:rsidRPr="00000000">
        <w:rPr>
          <w:sz w:val="22"/>
          <w:szCs w:val="22"/>
          <w:rtl w:val="0"/>
        </w:rPr>
        <w:t xml:space="preserve">Quarterly income (1947-2000) by industry type.</w:t>
        <w:br w:type="textWrapping"/>
      </w:r>
      <w:r w:rsidDel="00000000" w:rsidR="00000000" w:rsidRPr="00000000">
        <w:rPr>
          <w:rtl w:val="0"/>
        </w:rPr>
      </w:r>
    </w:p>
    <w:p w:rsidR="00000000" w:rsidDel="00000000" w:rsidP="00000000" w:rsidRDefault="00000000" w:rsidRPr="00000000" w14:paraId="0000004F">
      <w:pPr>
        <w:spacing w:after="240" w:before="240" w:line="240" w:lineRule="auto"/>
        <w:jc w:val="left"/>
        <w:rPr>
          <w:b w:val="1"/>
          <w:sz w:val="22"/>
          <w:szCs w:val="22"/>
        </w:rPr>
      </w:pPr>
      <w:r w:rsidDel="00000000" w:rsidR="00000000" w:rsidRPr="00000000">
        <w:rPr>
          <w:b w:val="1"/>
          <w:sz w:val="22"/>
          <w:szCs w:val="22"/>
          <w:rtl w:val="0"/>
        </w:rPr>
        <w:t xml:space="preserve">Tools &amp; Libraries </w:t>
      </w:r>
    </w:p>
    <w:p w:rsidR="00000000" w:rsidDel="00000000" w:rsidP="00000000" w:rsidRDefault="00000000" w:rsidRPr="00000000" w14:paraId="00000050">
      <w:pPr>
        <w:numPr>
          <w:ilvl w:val="0"/>
          <w:numId w:val="2"/>
        </w:numPr>
        <w:spacing w:after="0" w:before="240" w:line="240" w:lineRule="auto"/>
        <w:ind w:left="720" w:hanging="360"/>
        <w:jc w:val="left"/>
        <w:rPr>
          <w:sz w:val="22"/>
          <w:szCs w:val="22"/>
        </w:rPr>
      </w:pPr>
      <w:r w:rsidDel="00000000" w:rsidR="00000000" w:rsidRPr="00000000">
        <w:rPr>
          <w:sz w:val="22"/>
          <w:szCs w:val="22"/>
          <w:rtl w:val="0"/>
        </w:rPr>
        <w:t xml:space="preserve">Python: pandas, matplotlib, seaborn, scikit-learn, numpy, urllib, plotly</w:t>
        <w:br w:type="textWrapping"/>
      </w:r>
    </w:p>
    <w:p w:rsidR="00000000" w:rsidDel="00000000" w:rsidP="00000000" w:rsidRDefault="00000000" w:rsidRPr="00000000" w14:paraId="00000051">
      <w:pPr>
        <w:numPr>
          <w:ilvl w:val="0"/>
          <w:numId w:val="2"/>
        </w:numPr>
        <w:spacing w:after="240" w:line="240" w:lineRule="auto"/>
        <w:ind w:left="720" w:hanging="360"/>
        <w:jc w:val="left"/>
        <w:rPr>
          <w:sz w:val="22"/>
          <w:szCs w:val="22"/>
        </w:rPr>
      </w:pPr>
      <w:r w:rsidDel="00000000" w:rsidR="00000000" w:rsidRPr="00000000">
        <w:rPr>
          <w:sz w:val="22"/>
          <w:szCs w:val="22"/>
          <w:rtl w:val="0"/>
        </w:rPr>
        <w:t xml:space="preserve">Jupyter Notebook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spacing w:line="240" w:lineRule="auto"/>
      <w:jc w:val="right"/>
    </w:pPr>
    <w:rPr>
      <w:smallCaps w:val="1"/>
      <w:sz w:val="48"/>
      <w:szCs w:val="48"/>
    </w:rPr>
  </w:style>
  <w:style w:type="paragraph" w:styleId="Normal" w:default="1">
    <w:name w:val="Normal"/>
    <w:qFormat w:val="1"/>
    <w:rsid w:val="00A70FCF"/>
  </w:style>
  <w:style w:type="paragraph" w:styleId="Heading1">
    <w:name w:val="heading 1"/>
    <w:basedOn w:val="Normal"/>
    <w:next w:val="Normal"/>
    <w:link w:val="Heading1Char"/>
    <w:uiPriority w:val="9"/>
    <w:qFormat w:val="1"/>
    <w:rsid w:val="00A70FCF"/>
    <w:pPr>
      <w:spacing w:after="40" w:before="300"/>
      <w:jc w:val="left"/>
      <w:outlineLvl w:val="0"/>
    </w:pPr>
    <w:rPr>
      <w:smallCaps w:val="1"/>
      <w:spacing w:val="5"/>
      <w:sz w:val="32"/>
      <w:szCs w:val="32"/>
    </w:rPr>
  </w:style>
  <w:style w:type="paragraph" w:styleId="Heading2">
    <w:name w:val="heading 2"/>
    <w:basedOn w:val="Normal"/>
    <w:next w:val="Normal"/>
    <w:link w:val="Heading2Char"/>
    <w:uiPriority w:val="9"/>
    <w:semiHidden w:val="1"/>
    <w:unhideWhenUsed w:val="1"/>
    <w:qFormat w:val="1"/>
    <w:rsid w:val="00A70FCF"/>
    <w:pPr>
      <w:spacing w:after="80" w:before="240"/>
      <w:jc w:val="left"/>
      <w:outlineLvl w:val="1"/>
    </w:pPr>
    <w:rPr>
      <w:smallCaps w:val="1"/>
      <w:spacing w:val="5"/>
      <w:sz w:val="28"/>
      <w:szCs w:val="28"/>
    </w:rPr>
  </w:style>
  <w:style w:type="paragraph" w:styleId="Heading3">
    <w:name w:val="heading 3"/>
    <w:basedOn w:val="Normal"/>
    <w:next w:val="Normal"/>
    <w:link w:val="Heading3Char"/>
    <w:uiPriority w:val="9"/>
    <w:semiHidden w:val="1"/>
    <w:unhideWhenUsed w:val="1"/>
    <w:qFormat w:val="1"/>
    <w:rsid w:val="00A70FCF"/>
    <w:pPr>
      <w:spacing w:after="0"/>
      <w:jc w:val="left"/>
      <w:outlineLvl w:val="2"/>
    </w:pPr>
    <w:rPr>
      <w:smallCaps w:val="1"/>
      <w:spacing w:val="5"/>
      <w:sz w:val="24"/>
      <w:szCs w:val="24"/>
    </w:rPr>
  </w:style>
  <w:style w:type="paragraph" w:styleId="Heading4">
    <w:name w:val="heading 4"/>
    <w:basedOn w:val="Normal"/>
    <w:next w:val="Normal"/>
    <w:link w:val="Heading4Char"/>
    <w:uiPriority w:val="9"/>
    <w:semiHidden w:val="1"/>
    <w:unhideWhenUsed w:val="1"/>
    <w:qFormat w:val="1"/>
    <w:rsid w:val="00A70FCF"/>
    <w:pPr>
      <w:spacing w:after="0" w:before="240"/>
      <w:jc w:val="left"/>
      <w:outlineLvl w:val="3"/>
    </w:pPr>
    <w:rPr>
      <w:smallCaps w:val="1"/>
      <w:spacing w:val="10"/>
      <w:sz w:val="22"/>
      <w:szCs w:val="22"/>
    </w:rPr>
  </w:style>
  <w:style w:type="paragraph" w:styleId="Heading5">
    <w:name w:val="heading 5"/>
    <w:basedOn w:val="Normal"/>
    <w:next w:val="Normal"/>
    <w:link w:val="Heading5Char"/>
    <w:uiPriority w:val="9"/>
    <w:semiHidden w:val="1"/>
    <w:unhideWhenUsed w:val="1"/>
    <w:qFormat w:val="1"/>
    <w:rsid w:val="00A70FCF"/>
    <w:pPr>
      <w:spacing w:after="0" w:before="200"/>
      <w:jc w:val="left"/>
      <w:outlineLvl w:val="4"/>
    </w:pPr>
    <w:rPr>
      <w:smallCaps w:val="1"/>
      <w:color w:val="c45911" w:themeColor="accent2" w:themeShade="0000BF"/>
      <w:spacing w:val="10"/>
      <w:sz w:val="22"/>
      <w:szCs w:val="26"/>
    </w:rPr>
  </w:style>
  <w:style w:type="paragraph" w:styleId="Heading6">
    <w:name w:val="heading 6"/>
    <w:basedOn w:val="Normal"/>
    <w:next w:val="Normal"/>
    <w:link w:val="Heading6Char"/>
    <w:uiPriority w:val="9"/>
    <w:semiHidden w:val="1"/>
    <w:unhideWhenUsed w:val="1"/>
    <w:qFormat w:val="1"/>
    <w:rsid w:val="00A70FCF"/>
    <w:pPr>
      <w:spacing w:after="0"/>
      <w:jc w:val="left"/>
      <w:outlineLvl w:val="5"/>
    </w:pPr>
    <w:rPr>
      <w:smallCaps w:val="1"/>
      <w:color w:val="ed7d31" w:themeColor="accent2"/>
      <w:spacing w:val="5"/>
      <w:sz w:val="22"/>
    </w:rPr>
  </w:style>
  <w:style w:type="paragraph" w:styleId="Heading7">
    <w:name w:val="heading 7"/>
    <w:basedOn w:val="Normal"/>
    <w:next w:val="Normal"/>
    <w:link w:val="Heading7Char"/>
    <w:uiPriority w:val="9"/>
    <w:semiHidden w:val="1"/>
    <w:unhideWhenUsed w:val="1"/>
    <w:qFormat w:val="1"/>
    <w:rsid w:val="00A70FCF"/>
    <w:pPr>
      <w:spacing w:after="0"/>
      <w:jc w:val="left"/>
      <w:outlineLvl w:val="6"/>
    </w:pPr>
    <w:rPr>
      <w:b w:val="1"/>
      <w:smallCaps w:val="1"/>
      <w:color w:val="ed7d31" w:themeColor="accent2"/>
      <w:spacing w:val="10"/>
    </w:rPr>
  </w:style>
  <w:style w:type="paragraph" w:styleId="Heading8">
    <w:name w:val="heading 8"/>
    <w:basedOn w:val="Normal"/>
    <w:next w:val="Normal"/>
    <w:link w:val="Heading8Char"/>
    <w:uiPriority w:val="9"/>
    <w:semiHidden w:val="1"/>
    <w:unhideWhenUsed w:val="1"/>
    <w:qFormat w:val="1"/>
    <w:rsid w:val="00A70FCF"/>
    <w:pPr>
      <w:spacing w:after="0"/>
      <w:jc w:val="left"/>
      <w:outlineLvl w:val="7"/>
    </w:pPr>
    <w:rPr>
      <w:b w:val="1"/>
      <w:i w:val="1"/>
      <w:smallCaps w:val="1"/>
      <w:color w:val="c45911" w:themeColor="accent2" w:themeShade="0000BF"/>
    </w:rPr>
  </w:style>
  <w:style w:type="paragraph" w:styleId="Heading9">
    <w:name w:val="heading 9"/>
    <w:basedOn w:val="Normal"/>
    <w:next w:val="Normal"/>
    <w:link w:val="Heading9Char"/>
    <w:uiPriority w:val="9"/>
    <w:semiHidden w:val="1"/>
    <w:unhideWhenUsed w:val="1"/>
    <w:qFormat w:val="1"/>
    <w:rsid w:val="00A70FCF"/>
    <w:pPr>
      <w:spacing w:after="0"/>
      <w:jc w:val="left"/>
      <w:outlineLvl w:val="8"/>
    </w:pPr>
    <w:rPr>
      <w:b w:val="1"/>
      <w:i w:val="1"/>
      <w:smallCaps w:val="1"/>
      <w:color w:val="823b0b" w:themeColor="accent2"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70FCF"/>
    <w:pPr>
      <w:pBdr>
        <w:top w:color="ed7d31" w:space="1" w:sz="12" w:themeColor="accent2" w:val="single"/>
      </w:pBdr>
      <w:spacing w:line="240" w:lineRule="auto"/>
      <w:jc w:val="right"/>
    </w:pPr>
    <w:rPr>
      <w:smallCaps w:val="1"/>
      <w:sz w:val="48"/>
      <w:szCs w:val="48"/>
    </w:rPr>
  </w:style>
  <w:style w:type="character" w:styleId="TitleChar" w:customStyle="1">
    <w:name w:val="Title Char"/>
    <w:basedOn w:val="DefaultParagraphFont"/>
    <w:link w:val="Title"/>
    <w:uiPriority w:val="10"/>
    <w:rsid w:val="00A70FCF"/>
    <w:rPr>
      <w:smallCaps w:val="1"/>
      <w:sz w:val="48"/>
      <w:szCs w:val="48"/>
    </w:rPr>
  </w:style>
  <w:style w:type="character" w:styleId="Heading1Char" w:customStyle="1">
    <w:name w:val="Heading 1 Char"/>
    <w:basedOn w:val="DefaultParagraphFont"/>
    <w:link w:val="Heading1"/>
    <w:uiPriority w:val="9"/>
    <w:rsid w:val="00A70FCF"/>
    <w:rPr>
      <w:smallCaps w:val="1"/>
      <w:spacing w:val="5"/>
      <w:sz w:val="32"/>
      <w:szCs w:val="32"/>
    </w:rPr>
  </w:style>
  <w:style w:type="character" w:styleId="Heading2Char" w:customStyle="1">
    <w:name w:val="Heading 2 Char"/>
    <w:basedOn w:val="DefaultParagraphFont"/>
    <w:link w:val="Heading2"/>
    <w:uiPriority w:val="9"/>
    <w:semiHidden w:val="1"/>
    <w:rsid w:val="00A70FCF"/>
    <w:rPr>
      <w:smallCaps w:val="1"/>
      <w:spacing w:val="5"/>
      <w:sz w:val="28"/>
      <w:szCs w:val="28"/>
    </w:rPr>
  </w:style>
  <w:style w:type="character" w:styleId="Heading3Char" w:customStyle="1">
    <w:name w:val="Heading 3 Char"/>
    <w:basedOn w:val="DefaultParagraphFont"/>
    <w:link w:val="Heading3"/>
    <w:uiPriority w:val="9"/>
    <w:semiHidden w:val="1"/>
    <w:rsid w:val="00A70FCF"/>
    <w:rPr>
      <w:smallCaps w:val="1"/>
      <w:spacing w:val="5"/>
      <w:sz w:val="24"/>
      <w:szCs w:val="24"/>
    </w:rPr>
  </w:style>
  <w:style w:type="character" w:styleId="Heading4Char" w:customStyle="1">
    <w:name w:val="Heading 4 Char"/>
    <w:basedOn w:val="DefaultParagraphFont"/>
    <w:link w:val="Heading4"/>
    <w:uiPriority w:val="9"/>
    <w:semiHidden w:val="1"/>
    <w:rsid w:val="00A70FCF"/>
    <w:rPr>
      <w:smallCaps w:val="1"/>
      <w:spacing w:val="10"/>
      <w:sz w:val="22"/>
      <w:szCs w:val="22"/>
    </w:rPr>
  </w:style>
  <w:style w:type="character" w:styleId="Heading5Char" w:customStyle="1">
    <w:name w:val="Heading 5 Char"/>
    <w:basedOn w:val="DefaultParagraphFont"/>
    <w:link w:val="Heading5"/>
    <w:uiPriority w:val="9"/>
    <w:semiHidden w:val="1"/>
    <w:rsid w:val="00A70FCF"/>
    <w:rPr>
      <w:smallCaps w:val="1"/>
      <w:color w:val="c45911" w:themeColor="accent2" w:themeShade="0000BF"/>
      <w:spacing w:val="10"/>
      <w:sz w:val="22"/>
      <w:szCs w:val="26"/>
    </w:rPr>
  </w:style>
  <w:style w:type="character" w:styleId="Heading6Char" w:customStyle="1">
    <w:name w:val="Heading 6 Char"/>
    <w:basedOn w:val="DefaultParagraphFont"/>
    <w:link w:val="Heading6"/>
    <w:uiPriority w:val="9"/>
    <w:semiHidden w:val="1"/>
    <w:rsid w:val="00A70FCF"/>
    <w:rPr>
      <w:smallCaps w:val="1"/>
      <w:color w:val="ed7d31" w:themeColor="accent2"/>
      <w:spacing w:val="5"/>
      <w:sz w:val="22"/>
    </w:rPr>
  </w:style>
  <w:style w:type="character" w:styleId="Heading7Char" w:customStyle="1">
    <w:name w:val="Heading 7 Char"/>
    <w:basedOn w:val="DefaultParagraphFont"/>
    <w:link w:val="Heading7"/>
    <w:uiPriority w:val="9"/>
    <w:semiHidden w:val="1"/>
    <w:rsid w:val="00A70FCF"/>
    <w:rPr>
      <w:b w:val="1"/>
      <w:smallCaps w:val="1"/>
      <w:color w:val="ed7d31" w:themeColor="accent2"/>
      <w:spacing w:val="10"/>
    </w:rPr>
  </w:style>
  <w:style w:type="character" w:styleId="Heading8Char" w:customStyle="1">
    <w:name w:val="Heading 8 Char"/>
    <w:basedOn w:val="DefaultParagraphFont"/>
    <w:link w:val="Heading8"/>
    <w:uiPriority w:val="9"/>
    <w:semiHidden w:val="1"/>
    <w:rsid w:val="00A70FCF"/>
    <w:rPr>
      <w:b w:val="1"/>
      <w:i w:val="1"/>
      <w:smallCaps w:val="1"/>
      <w:color w:val="c45911" w:themeColor="accent2" w:themeShade="0000BF"/>
    </w:rPr>
  </w:style>
  <w:style w:type="character" w:styleId="Heading9Char" w:customStyle="1">
    <w:name w:val="Heading 9 Char"/>
    <w:basedOn w:val="DefaultParagraphFont"/>
    <w:link w:val="Heading9"/>
    <w:uiPriority w:val="9"/>
    <w:semiHidden w:val="1"/>
    <w:rsid w:val="00A70FCF"/>
    <w:rPr>
      <w:b w:val="1"/>
      <w:i w:val="1"/>
      <w:smallCaps w:val="1"/>
      <w:color w:val="823b0b" w:themeColor="accent2" w:themeShade="00007F"/>
    </w:rPr>
  </w:style>
  <w:style w:type="paragraph" w:styleId="Caption">
    <w:name w:val="caption"/>
    <w:basedOn w:val="Normal"/>
    <w:next w:val="Normal"/>
    <w:uiPriority w:val="35"/>
    <w:semiHidden w:val="1"/>
    <w:unhideWhenUsed w:val="1"/>
    <w:qFormat w:val="1"/>
    <w:rsid w:val="00A70FCF"/>
    <w:rPr>
      <w:b w:val="1"/>
      <w:bCs w:val="1"/>
      <w:caps w:val="1"/>
      <w:sz w:val="16"/>
      <w:szCs w:val="18"/>
    </w:rPr>
  </w:style>
  <w:style w:type="paragraph" w:styleId="Subtitle">
    <w:name w:val="Subtitle"/>
    <w:basedOn w:val="Normal"/>
    <w:next w:val="Normal"/>
    <w:link w:val="SubtitleChar"/>
    <w:uiPriority w:val="11"/>
    <w:qFormat w:val="1"/>
    <w:pPr>
      <w:spacing w:after="720" w:line="240" w:lineRule="auto"/>
      <w:jc w:val="right"/>
    </w:pPr>
  </w:style>
  <w:style w:type="character" w:styleId="SubtitleChar" w:customStyle="1">
    <w:name w:val="Subtitle Char"/>
    <w:basedOn w:val="DefaultParagraphFont"/>
    <w:link w:val="Subtitle"/>
    <w:uiPriority w:val="11"/>
    <w:rsid w:val="00A70FCF"/>
    <w:rPr>
      <w:rFonts w:asciiTheme="majorHAnsi" w:cstheme="majorBidi" w:eastAsiaTheme="majorEastAsia" w:hAnsiTheme="majorHAnsi"/>
      <w:szCs w:val="22"/>
    </w:rPr>
  </w:style>
  <w:style w:type="character" w:styleId="Strong">
    <w:name w:val="Strong"/>
    <w:uiPriority w:val="22"/>
    <w:qFormat w:val="1"/>
    <w:rsid w:val="00A70FCF"/>
    <w:rPr>
      <w:b w:val="1"/>
      <w:color w:val="ed7d31" w:themeColor="accent2"/>
    </w:rPr>
  </w:style>
  <w:style w:type="character" w:styleId="Emphasis">
    <w:name w:val="Emphasis"/>
    <w:uiPriority w:val="20"/>
    <w:qFormat w:val="1"/>
    <w:rsid w:val="00A70FCF"/>
    <w:rPr>
      <w:b w:val="1"/>
      <w:i w:val="1"/>
      <w:spacing w:val="10"/>
    </w:rPr>
  </w:style>
  <w:style w:type="paragraph" w:styleId="NoSpacing">
    <w:name w:val="No Spacing"/>
    <w:basedOn w:val="Normal"/>
    <w:link w:val="NoSpacingChar"/>
    <w:uiPriority w:val="1"/>
    <w:qFormat w:val="1"/>
    <w:rsid w:val="00A70FCF"/>
    <w:pPr>
      <w:spacing w:after="0" w:line="240" w:lineRule="auto"/>
    </w:pPr>
  </w:style>
  <w:style w:type="character" w:styleId="NoSpacingChar" w:customStyle="1">
    <w:name w:val="No Spacing Char"/>
    <w:basedOn w:val="DefaultParagraphFont"/>
    <w:link w:val="NoSpacing"/>
    <w:uiPriority w:val="1"/>
    <w:rsid w:val="00A70FCF"/>
  </w:style>
  <w:style w:type="paragraph" w:styleId="ListParagraph">
    <w:name w:val="List Paragraph"/>
    <w:basedOn w:val="Normal"/>
    <w:uiPriority w:val="34"/>
    <w:qFormat w:val="1"/>
    <w:rsid w:val="00A70FCF"/>
    <w:pPr>
      <w:ind w:left="720"/>
      <w:contextualSpacing w:val="1"/>
    </w:pPr>
  </w:style>
  <w:style w:type="paragraph" w:styleId="Quote">
    <w:name w:val="Quote"/>
    <w:basedOn w:val="Normal"/>
    <w:next w:val="Normal"/>
    <w:link w:val="QuoteChar"/>
    <w:uiPriority w:val="29"/>
    <w:qFormat w:val="1"/>
    <w:rsid w:val="00A70FCF"/>
    <w:rPr>
      <w:i w:val="1"/>
    </w:rPr>
  </w:style>
  <w:style w:type="character" w:styleId="QuoteChar" w:customStyle="1">
    <w:name w:val="Quote Char"/>
    <w:basedOn w:val="DefaultParagraphFont"/>
    <w:link w:val="Quote"/>
    <w:uiPriority w:val="29"/>
    <w:rsid w:val="00A70FCF"/>
    <w:rPr>
      <w:i w:val="1"/>
    </w:rPr>
  </w:style>
  <w:style w:type="paragraph" w:styleId="IntenseQuote">
    <w:name w:val="Intense Quote"/>
    <w:basedOn w:val="Normal"/>
    <w:next w:val="Normal"/>
    <w:link w:val="IntenseQuoteChar"/>
    <w:uiPriority w:val="30"/>
    <w:qFormat w:val="1"/>
    <w:rsid w:val="00A70FCF"/>
    <w:pPr>
      <w:pBdr>
        <w:top w:color="c45911" w:space="10" w:sz="8" w:themeColor="accent2" w:themeShade="0000BF" w:val="single"/>
        <w:left w:color="c45911" w:space="10" w:sz="8" w:themeColor="accent2" w:themeShade="0000BF" w:val="single"/>
        <w:bottom w:color="c45911" w:space="10" w:sz="8" w:themeColor="accent2" w:themeShade="0000BF" w:val="single"/>
        <w:right w:color="c45911" w:space="10" w:sz="8" w:themeColor="accent2" w:themeShade="0000BF" w:val="single"/>
      </w:pBdr>
      <w:shd w:color="auto" w:fill="ed7d31" w:themeFill="accent2" w:val="clear"/>
      <w:spacing w:after="140" w:before="140"/>
      <w:ind w:left="1440" w:right="1440"/>
    </w:pPr>
    <w:rPr>
      <w:b w:val="1"/>
      <w:i w:val="1"/>
      <w:color w:val="ffffff" w:themeColor="background1"/>
    </w:rPr>
  </w:style>
  <w:style w:type="character" w:styleId="IntenseQuoteChar" w:customStyle="1">
    <w:name w:val="Intense Quote Char"/>
    <w:basedOn w:val="DefaultParagraphFont"/>
    <w:link w:val="IntenseQuote"/>
    <w:uiPriority w:val="30"/>
    <w:rsid w:val="00A70FCF"/>
    <w:rPr>
      <w:b w:val="1"/>
      <w:i w:val="1"/>
      <w:color w:val="ffffff" w:themeColor="background1"/>
      <w:shd w:color="auto" w:fill="ed7d31" w:themeFill="accent2" w:val="clear"/>
    </w:rPr>
  </w:style>
  <w:style w:type="character" w:styleId="SubtleEmphasis">
    <w:name w:val="Subtle Emphasis"/>
    <w:uiPriority w:val="19"/>
    <w:qFormat w:val="1"/>
    <w:rsid w:val="00A70FCF"/>
    <w:rPr>
      <w:i w:val="1"/>
    </w:rPr>
  </w:style>
  <w:style w:type="character" w:styleId="IntenseEmphasis">
    <w:name w:val="Intense Emphasis"/>
    <w:uiPriority w:val="21"/>
    <w:qFormat w:val="1"/>
    <w:rsid w:val="00A70FCF"/>
    <w:rPr>
      <w:b w:val="1"/>
      <w:i w:val="1"/>
      <w:color w:val="ed7d31" w:themeColor="accent2"/>
      <w:spacing w:val="10"/>
    </w:rPr>
  </w:style>
  <w:style w:type="character" w:styleId="SubtleReference">
    <w:name w:val="Subtle Reference"/>
    <w:uiPriority w:val="31"/>
    <w:qFormat w:val="1"/>
    <w:rsid w:val="00A70FCF"/>
    <w:rPr>
      <w:b w:val="1"/>
    </w:rPr>
  </w:style>
  <w:style w:type="character" w:styleId="IntenseReference">
    <w:name w:val="Intense Reference"/>
    <w:uiPriority w:val="32"/>
    <w:qFormat w:val="1"/>
    <w:rsid w:val="00A70FCF"/>
    <w:rPr>
      <w:b w:val="1"/>
      <w:bCs w:val="1"/>
      <w:smallCaps w:val="1"/>
      <w:spacing w:val="5"/>
      <w:sz w:val="22"/>
      <w:szCs w:val="22"/>
      <w:u w:val="single"/>
    </w:rPr>
  </w:style>
  <w:style w:type="character" w:styleId="BookTitle">
    <w:name w:val="Book Title"/>
    <w:uiPriority w:val="33"/>
    <w:qFormat w:val="1"/>
    <w:rsid w:val="00A70FCF"/>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unhideWhenUsed w:val="1"/>
    <w:qFormat w:val="1"/>
    <w:rsid w:val="00A70FCF"/>
    <w:pPr>
      <w:outlineLvl w:val="9"/>
    </w:pPr>
  </w:style>
  <w:style w:type="paragraph" w:styleId="TOC1">
    <w:name w:val="toc 1"/>
    <w:basedOn w:val="Normal"/>
    <w:next w:val="Normal"/>
    <w:autoRedefine w:val="1"/>
    <w:uiPriority w:val="39"/>
    <w:semiHidden w:val="1"/>
    <w:unhideWhenUsed w:val="1"/>
    <w:rsid w:val="00A70FCF"/>
    <w:pPr>
      <w:spacing w:after="0" w:before="120"/>
      <w:jc w:val="left"/>
    </w:pPr>
    <w:rPr>
      <w:b w:val="1"/>
      <w:bCs w:val="1"/>
      <w:i w:val="1"/>
      <w:iCs w:val="1"/>
      <w:sz w:val="24"/>
      <w:szCs w:val="24"/>
    </w:rPr>
  </w:style>
  <w:style w:type="paragraph" w:styleId="TOC2">
    <w:name w:val="toc 2"/>
    <w:basedOn w:val="Normal"/>
    <w:next w:val="Normal"/>
    <w:autoRedefine w:val="1"/>
    <w:uiPriority w:val="39"/>
    <w:semiHidden w:val="1"/>
    <w:unhideWhenUsed w:val="1"/>
    <w:rsid w:val="00A70FCF"/>
    <w:pPr>
      <w:spacing w:after="0" w:before="120"/>
      <w:ind w:left="200"/>
      <w:jc w:val="left"/>
    </w:pPr>
    <w:rPr>
      <w:b w:val="1"/>
      <w:bCs w:val="1"/>
      <w:sz w:val="22"/>
      <w:szCs w:val="22"/>
    </w:rPr>
  </w:style>
  <w:style w:type="paragraph" w:styleId="TOC3">
    <w:name w:val="toc 3"/>
    <w:basedOn w:val="Normal"/>
    <w:next w:val="Normal"/>
    <w:autoRedefine w:val="1"/>
    <w:uiPriority w:val="39"/>
    <w:semiHidden w:val="1"/>
    <w:unhideWhenUsed w:val="1"/>
    <w:rsid w:val="00A70FCF"/>
    <w:pPr>
      <w:spacing w:after="0"/>
      <w:ind w:left="400"/>
      <w:jc w:val="left"/>
    </w:pPr>
  </w:style>
  <w:style w:type="paragraph" w:styleId="TOC4">
    <w:name w:val="toc 4"/>
    <w:basedOn w:val="Normal"/>
    <w:next w:val="Normal"/>
    <w:autoRedefine w:val="1"/>
    <w:uiPriority w:val="39"/>
    <w:semiHidden w:val="1"/>
    <w:unhideWhenUsed w:val="1"/>
    <w:rsid w:val="00A70FCF"/>
    <w:pPr>
      <w:spacing w:after="0"/>
      <w:ind w:left="600"/>
      <w:jc w:val="left"/>
    </w:pPr>
  </w:style>
  <w:style w:type="paragraph" w:styleId="TOC5">
    <w:name w:val="toc 5"/>
    <w:basedOn w:val="Normal"/>
    <w:next w:val="Normal"/>
    <w:autoRedefine w:val="1"/>
    <w:uiPriority w:val="39"/>
    <w:semiHidden w:val="1"/>
    <w:unhideWhenUsed w:val="1"/>
    <w:rsid w:val="00A70FCF"/>
    <w:pPr>
      <w:spacing w:after="0"/>
      <w:ind w:left="800"/>
      <w:jc w:val="left"/>
    </w:pPr>
  </w:style>
  <w:style w:type="paragraph" w:styleId="TOC6">
    <w:name w:val="toc 6"/>
    <w:basedOn w:val="Normal"/>
    <w:next w:val="Normal"/>
    <w:autoRedefine w:val="1"/>
    <w:uiPriority w:val="39"/>
    <w:semiHidden w:val="1"/>
    <w:unhideWhenUsed w:val="1"/>
    <w:rsid w:val="00A70FCF"/>
    <w:pPr>
      <w:spacing w:after="0"/>
      <w:ind w:left="1000"/>
      <w:jc w:val="left"/>
    </w:pPr>
  </w:style>
  <w:style w:type="paragraph" w:styleId="TOC7">
    <w:name w:val="toc 7"/>
    <w:basedOn w:val="Normal"/>
    <w:next w:val="Normal"/>
    <w:autoRedefine w:val="1"/>
    <w:uiPriority w:val="39"/>
    <w:semiHidden w:val="1"/>
    <w:unhideWhenUsed w:val="1"/>
    <w:rsid w:val="00A70FCF"/>
    <w:pPr>
      <w:spacing w:after="0"/>
      <w:ind w:left="1200"/>
      <w:jc w:val="left"/>
    </w:pPr>
  </w:style>
  <w:style w:type="paragraph" w:styleId="TOC8">
    <w:name w:val="toc 8"/>
    <w:basedOn w:val="Normal"/>
    <w:next w:val="Normal"/>
    <w:autoRedefine w:val="1"/>
    <w:uiPriority w:val="39"/>
    <w:semiHidden w:val="1"/>
    <w:unhideWhenUsed w:val="1"/>
    <w:rsid w:val="00A70FCF"/>
    <w:pPr>
      <w:spacing w:after="0"/>
      <w:ind w:left="1400"/>
      <w:jc w:val="left"/>
    </w:pPr>
  </w:style>
  <w:style w:type="paragraph" w:styleId="TOC9">
    <w:name w:val="toc 9"/>
    <w:basedOn w:val="Normal"/>
    <w:next w:val="Normal"/>
    <w:autoRedefine w:val="1"/>
    <w:uiPriority w:val="39"/>
    <w:semiHidden w:val="1"/>
    <w:unhideWhenUsed w:val="1"/>
    <w:rsid w:val="00A70FCF"/>
    <w:pPr>
      <w:spacing w:after="0"/>
      <w:ind w:left="1600"/>
      <w:jc w:val="left"/>
    </w:pPr>
  </w:style>
  <w:style w:type="paragraph" w:styleId="Subtitle">
    <w:name w:val="Subtitle"/>
    <w:basedOn w:val="Normal"/>
    <w:next w:val="Normal"/>
    <w:pPr>
      <w:spacing w:after="720" w:line="240" w:lineRule="auto"/>
      <w:jc w:val="right"/>
    </w:pPr>
    <w:rPr/>
  </w:style>
  <w:style w:type="paragraph" w:styleId="Subtitle">
    <w:name w:val="Subtitle"/>
    <w:basedOn w:val="Normal"/>
    <w:next w:val="Normal"/>
    <w:pPr>
      <w:spacing w:after="720" w:line="240" w:lineRule="auto"/>
      <w:jc w:val="right"/>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worldbank.org/indicator/NY.GDP.MKTP.CD?locations=US" TargetMode="External"/><Relationship Id="rId10" Type="http://schemas.openxmlformats.org/officeDocument/2006/relationships/image" Target="media/image3.png"/><Relationship Id="rId13" Type="http://schemas.openxmlformats.org/officeDocument/2006/relationships/hyperlink" Target="https://apps.bea.gov/iTable/?reqid=19&amp;step=2&amp;isuri=1&amp;categories=survey&amp;_gl=1*14pf2ql*_ga*ODU1MjA0OTQ4LjE3NDcxNTM3MDA.*_ga_J4698JNNFT*czE3NDc2MTAwMDMkbzMkZzEkdDE3NDc2MTAzMzMkajYwJGwwJGgwJGR0WVZtNDREVWttcEVVRl9GdGlQMk1ta1JWQmItVFY0UUZB#eyJhcHBpZCI6MTksInN0ZXBzIjpbMSwyLDNdLCJkYXRhIjpbWyJjYXRlZ29yaWVzIiwiU3VydmV5Il0sWyJOSVBBX1RhYmxlX0xpc3QiLCIxODYiXV19" TargetMode="External"/><Relationship Id="rId12" Type="http://schemas.openxmlformats.org/officeDocument/2006/relationships/hyperlink" Target="https://apps.bea.gov/iTable/?reqid=150&amp;step=2&amp;isuri=1&amp;categories=gdpxind#eyJhcHBpZCI6MTUwLCJzdGVwcyI6WzEsMiwzXSwiZGF0YSI6W1siY2F0ZWdvcmllcyIsIkdkcHhJbmQiXSxbIlRhYmxlX0xpc3QiLCIxIl1df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Lt0cwmo5etjZp51BMGW/Kw1pQ==">CgMxLjAyDmgubWxxZWd4ZTllZm41OAByITF0ZWwzSnJ6eHJ0dmg0VmFGdUxlNkRraHlHM0hXTGZxWQ==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2020-11-28T19:35:00Z</dcterms:created>
  <dc:creator>Catherine Williams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