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小工具功能增加</w:t>
      </w:r>
    </w:p>
    <w:p>
      <w:pPr>
        <w:spacing w:before="120" w:after="120" w:line="288" w:lineRule="auto"/>
        <w:ind w:left="0"/>
        <w:jc w:val="left"/>
      </w:pPr>
      <w:hyperlink r:id="rId4">
        <w:r>
          <w:rPr>
            <w:rFonts w:eastAsia="等线" w:ascii="Arial" w:cs="Arial" w:hAnsi="Arial"/>
            <w:color w:val="3370ff"/>
            <w:sz w:val="22"/>
          </w:rPr>
          <w:t>TFLR小工具文档集合</w:t>
        </w:r>
      </w:hyperlink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小工具的需求与开发规划在此查看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小工具是基于streamlit开发的，开发前可先查阅streamlit使用方法，安装好与streamlit相关的包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小工具代码仓库：</w:t>
      </w:r>
      <w:r>
        <w:rPr>
          <w:rFonts w:eastAsia="等线" w:ascii="Arial" w:cs="Arial" w:hAnsi="Arial"/>
          <w:sz w:val="22"/>
        </w:rPr>
        <w:t>https://gitlab.momenta.works/fujia.zhao/tflr_ddld4.0_mct/-/tree/master/utils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仓库权限请找</w:t>
      </w:r>
      <w:r>
        <w:rPr>
          <w:rFonts w:eastAsia="等线" w:ascii="Arial" w:cs="Arial" w:hAnsi="Arial"/>
          <w:color w:val="3370ff"/>
          <w:sz w:val="22"/>
        </w:rPr>
        <w:t>@Fujia Zhao</w:t>
      </w:r>
      <w:r>
        <w:rPr>
          <w:rFonts w:eastAsia="等线" w:ascii="Arial" w:cs="Arial" w:hAnsi="Arial"/>
          <w:sz w:val="22"/>
        </w:rPr>
        <w:t>开启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0" w:id="0"/>
      <w:r>
        <w:rPr>
          <w:rFonts w:eastAsia="等线" w:ascii="Arial" w:cs="Arial" w:hAnsi="Arial"/>
          <w:b w:val="true"/>
          <w:sz w:val="30"/>
        </w:rPr>
        <w:t>代码修改步骤：</w:t>
      </w:r>
      <w:bookmarkEnd w:id="0"/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1.在run.py中增加对应的page项，在首页呈现出所需的功能条目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6222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2.在./app路径下新增实现功能的代码，呈现格式参考已有代码即可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3.最后将要求功能完成后，在</w:t>
      </w:r>
      <w:hyperlink r:id="rId6">
        <w:r>
          <w:rPr>
            <w:rFonts w:eastAsia="等线" w:ascii="Arial" w:cs="Arial" w:hAnsi="Arial"/>
            <w:color w:val="3370ff"/>
            <w:sz w:val="22"/>
          </w:rPr>
          <w:t>TFLR小工具文档集合</w:t>
        </w:r>
      </w:hyperlink>
      <w:r>
        <w:rPr>
          <w:rFonts w:eastAsia="等线" w:ascii="Arial" w:cs="Arial" w:hAnsi="Arial"/>
          <w:sz w:val="22"/>
        </w:rPr>
        <w:t>中写好教程，然后在核心群里@大家，让大家知道小工具增加了哪些功能，具体要如何使用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具体教程的编写可以参考</w:t>
      </w:r>
      <w:hyperlink r:id="rId7">
        <w:r>
          <w:rPr>
            <w:rFonts w:eastAsia="等线" w:ascii="Arial" w:cs="Arial" w:hAnsi="Arial"/>
            <w:color w:val="3370ff"/>
            <w:sz w:val="22"/>
          </w:rPr>
          <w:t>逻辑灯数据转4.0格式</w:t>
        </w:r>
      </w:hyperlink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也可以录成视频的方式呈现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tips：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1.实现具体功能的.py文件名尽量一目了然，让人明白是实现什么功能的文件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2.token要给用户自主上传的接口，避免默认token过期，用户无法使用小工具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3.当流程需要新建文件用于储存中间数据时，文件名可以与时间戳挂钩，避免多个用户同时修改同一个文件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4.公司数据量通常比较大，可以采取线程池的方式实现功能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" w:id="1"/>
      <w:r>
        <w:rPr>
          <w:rFonts w:eastAsia="等线" w:ascii="Arial" w:cs="Arial" w:hAnsi="Arial"/>
          <w:b w:val="true"/>
          <w:sz w:val="30"/>
        </w:rPr>
        <w:t>由我完成部分：</w:t>
      </w:r>
      <w:bookmarkEnd w:id="1"/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1.</w:t>
      </w:r>
      <w:r>
        <w:rPr>
          <w:rFonts w:eastAsia="等线" w:ascii="Arial" w:cs="Arial" w:hAnsi="Arial"/>
          <w:sz w:val="22"/>
        </w:rPr>
        <w:t>送标查重功能</w:t>
      </w:r>
      <w:r>
        <w:rPr>
          <w:rFonts w:eastAsia="等线" w:ascii="Arial" w:cs="Arial" w:hAnsi="Arial"/>
          <w:sz w:val="22"/>
        </w:rPr>
        <w:t>:</w:t>
      </w:r>
    </w:p>
    <w:p>
      <w:pPr>
        <w:spacing w:before="120" w:after="120" w:line="288" w:lineRule="auto"/>
        <w:ind w:left="453" w:firstLine="420"/>
        <w:jc w:val="left"/>
      </w:pPr>
      <w:r>
        <w:rPr>
          <w:rFonts w:eastAsia="等线" w:ascii="Arial" w:cs="Arial" w:hAnsi="Arial"/>
          <w:sz w:val="22"/>
        </w:rPr>
        <w:t>送标查重目前根据两个模块，一是数据湖perception_experiment_v2中的dd4d_tflr_fusion_gt_bags表，二是</w:t>
      </w:r>
      <w:hyperlink r:id="rId8">
        <w:r>
          <w:rPr>
            <w:rFonts w:eastAsia="等线" w:ascii="Arial" w:cs="Arial" w:hAnsi="Arial"/>
            <w:color w:val="3370ff"/>
            <w:sz w:val="22"/>
          </w:rPr>
          <w:t>Sales sheet</w:t>
        </w:r>
      </w:hyperlink>
      <w:r>
        <w:rPr>
          <w:rFonts w:eastAsia="等线" w:ascii="Arial" w:cs="Arial" w:hAnsi="Arial"/>
          <w:sz w:val="22"/>
        </w:rPr>
        <w:t>表。根据nv名去/share_data_node65/users/wangqi/tl_dd_fusion/fusion_data/label_result/v6，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/share_data_node65/users/wangqi/tl_dd_fusion/fusion_data/label_result/v6p1 下取得对应的bag名，来进行查重。</w:t>
      </w:r>
    </w:p>
    <w:p>
      <w:pPr>
        <w:spacing w:before="120" w:after="120" w:line="288" w:lineRule="auto"/>
        <w:ind w:left="453" w:firstLine="420"/>
        <w:jc w:val="left"/>
      </w:pPr>
      <w:r>
        <w:rPr>
          <w:rFonts w:eastAsia="等线" w:ascii="Arial" w:cs="Arial" w:hAnsi="Arial"/>
          <w:sz w:val="22"/>
        </w:rPr>
        <w:t>具体查重步骤如下所示：</w:t>
      </w:r>
    </w:p>
    <w:p>
      <w:pPr>
        <w:spacing w:before="120" w:after="120" w:line="288" w:lineRule="auto"/>
        <w:ind w:left="907"/>
        <w:jc w:val="center"/>
      </w:pPr>
      <w:r>
        <w:drawing>
          <wp:inline distT="0" distR="0" distB="0" distL="0">
            <wp:extent cx="5257800" cy="34004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 xml:space="preserve">   1.创建FeishuHelper对象，使用该对象获得</w:t>
      </w:r>
      <w:hyperlink r:id="rId10">
        <w:r>
          <w:rPr>
            <w:rFonts w:eastAsia="等线" w:ascii="Arial" w:cs="Arial" w:hAnsi="Arial"/>
            <w:color w:val="3370ff"/>
            <w:sz w:val="22"/>
          </w:rPr>
          <w:t>Sales sheet</w:t>
        </w:r>
      </w:hyperlink>
      <w:r>
        <w:rPr>
          <w:rFonts w:eastAsia="等线" w:ascii="Arial" w:cs="Arial" w:hAnsi="Arial"/>
          <w:sz w:val="22"/>
        </w:rPr>
        <w:t>表中的所有nv名储存在feishu_data变量中、</w:t>
      </w:r>
    </w:p>
    <w:p>
      <w:pPr>
        <w:spacing w:before="120" w:after="120" w:line="288" w:lineRule="auto"/>
        <w:ind w:left="907" w:firstLine="420"/>
        <w:jc w:val="left"/>
      </w:pPr>
      <w:r>
        <w:rPr>
          <w:rFonts w:eastAsia="等线" w:ascii="Arial" w:cs="Arial" w:hAnsi="Arial"/>
          <w:sz w:val="22"/>
        </w:rPr>
        <w:t>飞书表中的数据由飞书机器人获取,对应的机器人是</w:t>
      </w:r>
      <w:r>
        <w:rPr>
          <w:rFonts w:eastAsia="等线" w:ascii="Arial" w:cs="Arial" w:hAnsi="Arial"/>
          <w:color w:val="3370ff"/>
          <w:sz w:val="22"/>
        </w:rPr>
        <w:t>@Fujia Zhao</w:t>
      </w:r>
      <w:r>
        <w:rPr>
          <w:rFonts w:eastAsia="等线" w:ascii="Arial" w:cs="Arial" w:hAnsi="Arial"/>
          <w:sz w:val="22"/>
        </w:rPr>
        <w:t>创建的应用</w:t>
      </w:r>
    </w:p>
    <w:p>
      <w:pPr>
        <w:spacing w:before="120" w:after="120" w:line="288" w:lineRule="auto"/>
        <w:ind w:left="907"/>
        <w:jc w:val="center"/>
      </w:pPr>
      <w:r>
        <w:drawing>
          <wp:inline distT="0" distR="0" distB="0" distL="0">
            <wp:extent cx="5257800" cy="125730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907"/>
        <w:jc w:val="center"/>
      </w:pPr>
      <w:r>
        <w:drawing>
          <wp:inline distT="0" distR="0" distB="0" distL="0">
            <wp:extent cx="5257800" cy="6953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907" w:firstLine="0"/>
        <w:jc w:val="left"/>
      </w:pPr>
      <w:r>
        <w:rPr>
          <w:rFonts w:eastAsia="等线" w:ascii="Arial" w:cs="Arial" w:hAnsi="Arial"/>
          <w:sz w:val="22"/>
        </w:rPr>
        <w:t xml:space="preserve">  </w:t>
      </w:r>
    </w:p>
    <w:p>
      <w:pPr>
        <w:spacing w:before="120" w:after="120" w:line="288" w:lineRule="auto"/>
        <w:ind w:left="907"/>
        <w:jc w:val="center"/>
      </w:pPr>
      <w:r>
        <w:drawing>
          <wp:inline distT="0" distR="0" distB="0" distL="0">
            <wp:extent cx="5257800" cy="265747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飞书机器人在此添加。首先你要获得文档的管理权限，可以向</w:t>
      </w:r>
      <w:r>
        <w:rPr>
          <w:rFonts w:eastAsia="等线" w:ascii="Arial" w:cs="Arial" w:hAnsi="Arial"/>
          <w:color w:val="3370ff"/>
          <w:sz w:val="22"/>
        </w:rPr>
        <w:t>@Ze Wu</w:t>
      </w:r>
      <w:r>
        <w:rPr>
          <w:rFonts w:eastAsia="等线" w:ascii="Arial" w:cs="Arial" w:hAnsi="Arial"/>
          <w:sz w:val="22"/>
        </w:rPr>
        <w:t>申请该文档的管理权限</w:t>
      </w:r>
    </w:p>
    <w:p>
      <w:p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2.之后使用get_bag_names_multi函数，多线程从/share_data_node65/users/wangqi/tl_dd_fusion/fusion_data/label_result/v6/获取所有已送标数据的bagname。利用获取的bagname与当前需要送标的bagname/md5s对比。把当前需要送标数据分为已经送标与还未送标。</w:t>
      </w:r>
    </w:p>
    <w:p>
      <w:p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3.从</w:t>
      </w:r>
      <w:r>
        <w:rPr>
          <w:rFonts w:eastAsia="等线" w:ascii="Arial" w:cs="Arial" w:hAnsi="Arial"/>
          <w:sz w:val="22"/>
        </w:rPr>
        <w:t>dd4d_tflr_fusion_gt_bags</w:t>
      </w:r>
      <w:r>
        <w:rPr>
          <w:rFonts w:eastAsia="等线" w:ascii="Arial" w:cs="Arial" w:hAnsi="Arial"/>
          <w:sz w:val="22"/>
        </w:rPr>
        <w:t>数据湖中获得所有已上传的md5，查询当前需要送标的数据是否已经在其中存在，把当前需要送标数据分为已经送标与还未送标。</w:t>
      </w:r>
    </w:p>
    <w:p>
      <w:p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4.聚合第二步与第三步的结果，已经送标取并集，还未送标取交集，返回结果即可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sz w:val="22"/>
        </w:rPr>
        <w:t>2.</w:t>
      </w:r>
      <w:r>
        <w:rPr>
          <w:rFonts w:eastAsia="等线" w:ascii="Arial" w:cs="Arial" w:hAnsi="Arial"/>
          <w:sz w:val="22"/>
        </w:rPr>
        <w:t>fusion真值上传部分</w:t>
      </w:r>
    </w:p>
    <w:p>
      <w:pPr>
        <w:spacing w:before="120" w:after="120" w:line="288" w:lineRule="auto"/>
        <w:ind w:left="453" w:firstLine="420"/>
        <w:jc w:val="left"/>
      </w:pPr>
      <w:r>
        <w:rPr>
          <w:rFonts w:eastAsia="等线" w:ascii="Arial" w:cs="Arial" w:hAnsi="Arial"/>
          <w:sz w:val="22"/>
        </w:rPr>
        <w:t>原代码仓库</w:t>
      </w:r>
      <w:hyperlink r:id="rId14">
        <w:r>
          <w:rPr>
            <w:rFonts w:eastAsia="等线" w:ascii="Arial" w:cs="Arial" w:hAnsi="Arial"/>
            <w:color w:val="3370ff"/>
            <w:sz w:val="22"/>
          </w:rPr>
          <w:t>gitlab.momenta.works</w:t>
        </w:r>
      </w:hyperlink>
    </w:p>
    <w:p>
      <w:pPr>
        <w:spacing w:before="120" w:after="120" w:line="288" w:lineRule="auto"/>
        <w:ind w:left="453" w:firstLine="420"/>
        <w:jc w:val="left"/>
      </w:pPr>
      <w:r>
        <w:rPr>
          <w:rFonts w:eastAsia="等线" w:ascii="Arial" w:cs="Arial" w:hAnsi="Arial"/>
          <w:sz w:val="22"/>
        </w:rPr>
        <w:t>上传流程图：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34290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453" w:firstLine="420"/>
        <w:jc w:val="left"/>
      </w:pPr>
      <w:r>
        <w:rPr>
          <w:rFonts w:eastAsia="等线" w:ascii="Arial" w:cs="Arial" w:hAnsi="Arial"/>
          <w:sz w:val="22"/>
        </w:rPr>
        <w:t>真值上传部分基于该代码重构，把代码中graph部分拆为三个类，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232410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453" w:firstLine="420"/>
        <w:jc w:val="left"/>
      </w:pPr>
      <w:r>
        <w:rPr>
          <w:rFonts w:eastAsia="等线" w:ascii="Arial" w:cs="Arial" w:hAnsi="Arial"/>
          <w:sz w:val="22"/>
        </w:rPr>
        <w:t>整体介绍：三个类对应原代码中graph的三个步骤，原代码用json文件暂存，运行过程中的中间数据，小工具采取了同样的方法。但是考虑多个用户同时操作的情况，这里使用时间戳为名字建立中间文件。代码中考虑了多种情况，避免新建的中间文件没被删除导致硬盘空间泄漏。但是有极端场景可能未考虑在内，后续如果出现bug需要考虑能否改进。</w:t>
      </w:r>
    </w:p>
    <w:p>
      <w:pPr>
        <w:spacing w:before="120" w:after="120" w:line="288" w:lineRule="auto"/>
        <w:ind w:left="453" w:firstLine="420"/>
        <w:jc w:val="left"/>
      </w:pPr>
      <w:r>
        <w:rPr>
          <w:rFonts w:eastAsia="等线" w:ascii="Arial" w:cs="Arial" w:hAnsi="Arial"/>
          <w:sz w:val="22"/>
        </w:rPr>
        <w:t>具体步骤：</w:t>
      </w:r>
    </w:p>
    <w:p>
      <w:pPr>
        <w:spacing w:before="120" w:after="120" w:line="288" w:lineRule="auto"/>
        <w:ind w:left="453" w:firstLine="420"/>
        <w:jc w:val="left"/>
      </w:pPr>
      <w:r>
        <w:rPr>
          <w:rFonts w:eastAsia="等线" w:ascii="Arial" w:cs="Arial" w:hAnsi="Arial"/>
          <w:sz w:val="22"/>
        </w:rPr>
        <w:t>1.实例化SplitHardNormal，用实例化后的对象将输入数据划分为hard数据与非hard数据(是否为hard在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"/share_data_node65/users/wangqi/tl_dd_fusion/fusion_data/label_result/v6"里的人工标注结果中可以查阅到)，hard与非hard数据分别走之后三个流程。</w:t>
      </w:r>
    </w:p>
    <w:p>
      <w:pPr>
        <w:spacing w:before="120" w:after="120" w:line="288" w:lineRule="auto"/>
        <w:ind w:left="453" w:firstLine="420"/>
        <w:jc w:val="left"/>
      </w:pPr>
      <w:r>
        <w:rPr>
          <w:rFonts w:eastAsia="等线" w:ascii="Arial" w:cs="Arial" w:hAnsi="Arial"/>
          <w:sz w:val="22"/>
        </w:rPr>
        <w:t>2.DDLDDataCheck用于检查输入数据，先筛选出cla中存在的数据，再对存在的数据进行筛选，检查topic是否有缺失。无法使用的md5储存在如下路径中。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58102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453" w:firstLine="420"/>
        <w:jc w:val="left"/>
      </w:pPr>
      <w:r>
        <w:rPr>
          <w:rFonts w:eastAsia="等线" w:ascii="Arial" w:cs="Arial" w:hAnsi="Arial"/>
          <w:sz w:val="22"/>
        </w:rPr>
        <w:t>3.把DDLDDataCheck的输出(不存在问题的md5)作为ProcessFusionLabel的输入。ProcessFusionLabel用于将"/share_data_node65/users/wangqi/tl_dd_fusion/fusion_data/label_result/v6"中标注的数据转换为特定格式。使每个时间戳都有与之对应的逻辑灯真值，egopose以及位置信息。最后为每个md5创造一个json文件，用于储存转化后的结果。</w:t>
      </w:r>
    </w:p>
    <w:p>
      <w:pPr>
        <w:spacing w:before="120" w:after="120" w:line="288" w:lineRule="auto"/>
        <w:ind w:left="453" w:firstLine="420"/>
        <w:jc w:val="left"/>
      </w:pPr>
      <w:r>
        <w:rPr>
          <w:rFonts w:eastAsia="等线" w:ascii="Arial" w:cs="Arial" w:hAnsi="Arial"/>
          <w:sz w:val="22"/>
        </w:rPr>
        <w:t>4.以ProcessFusionLabel中的输出(每个md5对应的json文件)作为FusionUpload的输入，为frame表中的每个数据添加第三步中获得的真值数据。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238125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使用_construct_gt_lane将真值数据写入对应frame。最后使用数据湖客户端datalake_client = DatalakeClient(token=self.ppl_token)，将本地记录的数据推送到数据湖上，完成真值数据的更新。</w:t>
      </w:r>
    </w:p>
    <w:sectPr>
      <w:footerReference w:type="default" r:id="rId3"/>
      <w:headerReference w:type="default" r:id="rId19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https://momenta.feishu.cn/wiki/QGp5wDVbsiqtB2kmKrgcpkdynqb" TargetMode="External" Type="http://schemas.openxmlformats.org/officeDocument/2006/relationships/hyperlink"/><Relationship Id="rId11" Target="media/image3.png" Type="http://schemas.openxmlformats.org/officeDocument/2006/relationships/image"/><Relationship Id="rId12" Target="media/image4.png" Type="http://schemas.openxmlformats.org/officeDocument/2006/relationships/image"/><Relationship Id="rId13" Target="media/image5.png" Type="http://schemas.openxmlformats.org/officeDocument/2006/relationships/image"/><Relationship Id="rId14" Target="https://gitlab.momenta.works/zhudawei/tflr_dpl_4.0/-/tree/zfj/dev/fusionv3tov4" TargetMode="External" Type="http://schemas.openxmlformats.org/officeDocument/2006/relationships/hyperlink"/><Relationship Id="rId15" Target="media/image6.jpeg" Type="http://schemas.openxmlformats.org/officeDocument/2006/relationships/image"/><Relationship Id="rId16" Target="media/image7.png" Type="http://schemas.openxmlformats.org/officeDocument/2006/relationships/image"/><Relationship Id="rId17" Target="media/image8.png" Type="http://schemas.openxmlformats.org/officeDocument/2006/relationships/image"/><Relationship Id="rId18" Target="media/image9.png" Type="http://schemas.openxmlformats.org/officeDocument/2006/relationships/image"/><Relationship Id="rId19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https://momenta.feishu.cn/wiki/IaKywKj6Eixx6YkV69HcNAHKnKH?open_in_browser=true" TargetMode="External" Type="http://schemas.openxmlformats.org/officeDocument/2006/relationships/hyperlink"/><Relationship Id="rId5" Target="media/image1.png" Type="http://schemas.openxmlformats.org/officeDocument/2006/relationships/image"/><Relationship Id="rId6" Target="https://momenta.feishu.cn/wiki/IaKywKj6Eixx6YkV69HcNAHKnKH?open_in_browser=true" TargetMode="External" Type="http://schemas.openxmlformats.org/officeDocument/2006/relationships/hyperlink"/><Relationship Id="rId7" Target="https://momenta.feishu.cn/wiki/YDJkwJKkeiVCY4ksFrXcY4s6nsb?open_in_browser=true" TargetMode="External" Type="http://schemas.openxmlformats.org/officeDocument/2006/relationships/hyperlink"/><Relationship Id="rId8" Target="https://momenta.feishu.cn/wiki/QGp5wDVbsiqtB2kmKrgcpkdynqb" TargetMode="External" Type="http://schemas.openxmlformats.org/officeDocument/2006/relationships/hyperlink"/><Relationship Id="rId9" Target="media/image2.jpe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0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2025-02-19T08:11:57Z</dcterms:created>
  <dc:creator>Apache POI</dc:creator>
</cp:coreProperties>
</file>