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Carnegie Hall: proposal example</w:t>
      </w:r>
    </w:p>
    <w:p>
      <w:pPr>
        <w:pStyle w:val="Brand"/>
      </w:pPr>
      <w:r>
        <w:t>Troen Student Performance Events</w:t>
      </w:r>
    </w:p>
    <w:p>
      <w:pPr>
        <w:pStyle w:val="Date"/>
      </w:pPr>
      <w:r>
        <w:t>Wednesday, March 3, 2027 · Stern Auditorium / Perelman Stage</w:t>
      </w:r>
    </w:p>
    <w:p>
      <w:pPr>
        <w:pStyle w:val="Small"/>
      </w:pPr>
      <w:r>
        <w:t>Internal demonstration · September 11, 2026 · Fictional group · Not issued · No booking</w:t>
      </w:r>
    </w:p>
    <w:p>
      <w:pPr>
        <w:pStyle w:val="Small"/>
      </w:pPr>
      <w:r>
        <w:rPr>
          <w:b/>
        </w:rPr>
        <w:t>Example Concert Ensemble is an invented group.</w:t>
      </w:r>
      <w:r>
        <w:rPr>
          <w:b w:val="0"/>
        </w:rPr>
        <w:t xml:space="preserve"> It is not a real school, and nothing here records interest, eligibility, approval, a reservation or a payment. This draft shows the structure of a tailored proposal and how one change moves through it. Experience details follow Troen’s shared March 3 / March 31 brochure; final March 3 inclusions and group-specific terms belong in an approved offer.</w:t>
      </w:r>
    </w:p>
    <w:p>
      <w:pPr>
        <w:pStyle w:val="Heading2"/>
      </w:pPr>
      <w:r>
        <w:t>The ensemble in this example</w:t>
      </w:r>
    </w:p>
    <w:p>
      <w:r>
        <w:t>Example Concert Ensemble is a fictional high school concert band of about 55 students travelling with 6 adults, planning its first out-of-state performance trip. Its director wants a performance that the program can prepare for over a semester, feedback the students can use afterwards, and a trip the school will consider reasonable to approve. These planning details are assumptions invented for the example, not a real group’s numbers.</w:t>
      </w:r>
    </w:p>
    <w:p>
      <w:pPr>
        <w:pStyle w:val="Heading2"/>
      </w:pPr>
      <w:r>
        <w:t>Why the March 3 event suits that purpose</w:t>
      </w:r>
    </w:p>
    <w:p>
      <w:r>
        <w:t>The festival is built around preparation, performance and response rather than a single appearance. The brochure describes a one-hour clinic with an adjudicator at Boulevard Carroll Music Studios, with preparedness advice and support; a soundcheck on the Carnegie Hall stage; the concert performance itself; and a closing awards ceremony. Directors receive written adjudicator comments and ratings, or comments only if the ensemble prefers that, together with an archival recording of the performance.</w:t>
      </w:r>
    </w:p>
    <w:p>
      <w:r>
        <w:t>For a school, that sequence is easy to describe as educational work: rehearsal with an outside expert, a professional performance environment, and written feedback that returns to the classroom.</w:t>
      </w:r>
    </w:p>
    <w:p>
      <w:pPr>
        <w:pStyle w:val="Heading2"/>
      </w:pPr>
      <w:r>
        <w:t>What the festival provides</w:t>
      </w:r>
    </w:p>
    <w:p>
      <w:r>
        <w:t>From the shared brochure, subject to confirmation for this date:</w:t>
      </w:r>
    </w:p>
    <w:p>
      <w:pPr>
        <w:pStyle w:val="ListParagraph"/>
        <w:ind w:left="360"/>
      </w:pPr>
      <w:r>
        <w:t>A one-hour clinic and rehearsal at Boulevard Carroll Music Studios, with preparation guidance.</w:t>
      </w:r>
    </w:p>
    <w:p>
      <w:pPr>
        <w:pStyle w:val="ListParagraph"/>
        <w:ind w:left="360"/>
      </w:pPr>
      <w:r>
        <w:t>A soundcheck on stage, then the concert performance in Stern Auditorium / Perelman Stage.</w:t>
      </w:r>
    </w:p>
    <w:p>
      <w:pPr>
        <w:pStyle w:val="ListParagraph"/>
        <w:ind w:left="360"/>
      </w:pPr>
      <w:r>
        <w:t>Written adjudicator comments and ratings, or comments only, and an archival recording.</w:t>
      </w:r>
    </w:p>
    <w:p>
      <w:pPr>
        <w:pStyle w:val="ListParagraph"/>
        <w:ind w:left="360"/>
      </w:pPr>
      <w:r>
        <w:t>A private base room for the ensemble and dressing-room arrangements for directors.</w:t>
      </w:r>
    </w:p>
    <w:p>
      <w:pPr>
        <w:pStyle w:val="ListParagraph"/>
        <w:ind w:left="360"/>
      </w:pPr>
      <w:r>
        <w:t>Event shirts, backstage credentials, playbill copies and an assigned event director for the day.</w:t>
      </w:r>
    </w:p>
    <w:p>
      <w:r>
        <w:t>The brochure specifies arrival buffers and attire for the clinic, soundcheck and concert performance. The tailored itinerary would state the actual times for this group once the schedule is confirmed.</w:t>
      </w:r>
    </w:p>
    <w:p>
      <w:pPr>
        <w:pStyle w:val="Heading2"/>
      </w:pPr>
      <w:r>
        <w:t>What still has to be arranged, and by whom</w:t>
      </w:r>
    </w:p>
    <w:p>
      <w:r>
        <w:t>The festival is the performance component. A complete trip also needs transport, accommodation, meals, any additional activities, and supervision arrangements. Three patterns are workable, and this example assumes none of them:</w:t>
      </w:r>
    </w:p>
    <w:tbl>
      <w:tblPr>
        <w:tblW w:type="auto" w:w="0"/>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Pr>
      <w:tblGrid>
        <w:gridCol w:w="2585"/>
        <w:gridCol w:w="2585"/>
        <w:gridCol w:w="2585"/>
        <w:gridCol w:w="2585"/>
      </w:tblGrid>
      <w:tr>
        <w:tc>
          <w:tcPr>
            <w:tcW w:type="dxa" w:w="2585"/>
          </w:tcPr>
          <w:p>
            <w:r/>
            <w:r>
              <w:rPr>
                <w:b/>
              </w:rPr>
              <w:t>Element</w:t>
            </w:r>
          </w:p>
        </w:tc>
        <w:tc>
          <w:tcPr>
            <w:tcW w:type="dxa" w:w="2585"/>
          </w:tcPr>
          <w:p>
            <w:r/>
            <w:r>
              <w:rPr>
                <w:b/>
              </w:rPr>
              <w:t>Could be Troen</w:t>
            </w:r>
          </w:p>
        </w:tc>
        <w:tc>
          <w:tcPr>
            <w:tcW w:type="dxa" w:w="2585"/>
          </w:tcPr>
          <w:p>
            <w:r/>
            <w:r>
              <w:rPr>
                <w:b/>
              </w:rPr>
              <w:t>Could be the school</w:t>
            </w:r>
          </w:p>
        </w:tc>
        <w:tc>
          <w:tcPr>
            <w:tcW w:type="dxa" w:w="2585"/>
          </w:tcPr>
          <w:p>
            <w:r/>
            <w:r>
              <w:rPr>
                <w:b/>
              </w:rPr>
              <w:t>Could be a travel company</w:t>
            </w:r>
          </w:p>
        </w:tc>
      </w:tr>
      <w:tr>
        <w:tc>
          <w:tcPr>
            <w:tcW w:type="dxa" w:w="2585"/>
          </w:tcPr>
          <w:p>
            <w:r/>
            <w:r>
              <w:t>Festival participation and event-day coordination</w:t>
            </w:r>
          </w:p>
        </w:tc>
        <w:tc>
          <w:tcPr>
            <w:tcW w:type="dxa" w:w="2585"/>
          </w:tcPr>
          <w:p>
            <w:r/>
            <w:r>
              <w:t>Yes</w:t>
            </w:r>
          </w:p>
        </w:tc>
        <w:tc>
          <w:tcPr>
            <w:tcW w:type="dxa" w:w="2585"/>
          </w:tcPr>
          <w:p>
            <w:r/>
            <w:r>
              <w:t>—</w:t>
            </w:r>
          </w:p>
        </w:tc>
        <w:tc>
          <w:tcPr>
            <w:tcW w:type="dxa" w:w="2585"/>
          </w:tcPr>
          <w:p>
            <w:r/>
            <w:r>
              <w:t>—</w:t>
            </w:r>
          </w:p>
        </w:tc>
      </w:tr>
      <w:tr>
        <w:tc>
          <w:tcPr>
            <w:tcW w:type="dxa" w:w="2585"/>
          </w:tcPr>
          <w:p>
            <w:r/>
            <w:r>
              <w:t>Transport to and within New York</w:t>
            </w:r>
          </w:p>
        </w:tc>
        <w:tc>
          <w:tcPr>
            <w:tcW w:type="dxa" w:w="2585"/>
          </w:tcPr>
          <w:p>
            <w:r/>
            <w:r>
              <w:t>Possible</w:t>
            </w:r>
          </w:p>
        </w:tc>
        <w:tc>
          <w:tcPr>
            <w:tcW w:type="dxa" w:w="2585"/>
          </w:tcPr>
          <w:p>
            <w:r/>
            <w:r>
              <w:t>Possible</w:t>
            </w:r>
          </w:p>
        </w:tc>
        <w:tc>
          <w:tcPr>
            <w:tcW w:type="dxa" w:w="2585"/>
          </w:tcPr>
          <w:p>
            <w:r/>
            <w:r>
              <w:t>Possible</w:t>
            </w:r>
          </w:p>
        </w:tc>
      </w:tr>
      <w:tr>
        <w:tc>
          <w:tcPr>
            <w:tcW w:type="dxa" w:w="2585"/>
          </w:tcPr>
          <w:p>
            <w:r/>
            <w:r>
              <w:t>Accommodation and meals</w:t>
            </w:r>
          </w:p>
        </w:tc>
        <w:tc>
          <w:tcPr>
            <w:tcW w:type="dxa" w:w="2585"/>
          </w:tcPr>
          <w:p>
            <w:r/>
            <w:r>
              <w:t>Possible</w:t>
            </w:r>
          </w:p>
        </w:tc>
        <w:tc>
          <w:tcPr>
            <w:tcW w:type="dxa" w:w="2585"/>
          </w:tcPr>
          <w:p>
            <w:r/>
            <w:r>
              <w:t>Possible</w:t>
            </w:r>
          </w:p>
        </w:tc>
        <w:tc>
          <w:tcPr>
            <w:tcW w:type="dxa" w:w="2585"/>
          </w:tcPr>
          <w:p>
            <w:r/>
            <w:r>
              <w:t>Possible</w:t>
            </w:r>
          </w:p>
        </w:tc>
      </w:tr>
      <w:tr>
        <w:tc>
          <w:tcPr>
            <w:tcW w:type="dxa" w:w="2585"/>
          </w:tcPr>
          <w:p>
            <w:r/>
            <w:r>
              <w:t>Additional activities and free time</w:t>
            </w:r>
          </w:p>
        </w:tc>
        <w:tc>
          <w:tcPr>
            <w:tcW w:type="dxa" w:w="2585"/>
          </w:tcPr>
          <w:p>
            <w:r/>
            <w:r>
              <w:t>Possible</w:t>
            </w:r>
          </w:p>
        </w:tc>
        <w:tc>
          <w:tcPr>
            <w:tcW w:type="dxa" w:w="2585"/>
          </w:tcPr>
          <w:p>
            <w:r/>
            <w:r>
              <w:t>Possible</w:t>
            </w:r>
          </w:p>
        </w:tc>
        <w:tc>
          <w:tcPr>
            <w:tcW w:type="dxa" w:w="2585"/>
          </w:tcPr>
          <w:p>
            <w:r/>
            <w:r>
              <w:t>Possible</w:t>
            </w:r>
          </w:p>
        </w:tc>
      </w:tr>
      <w:tr>
        <w:tc>
          <w:tcPr>
            <w:tcW w:type="dxa" w:w="2585"/>
          </w:tcPr>
          <w:p>
            <w:r/>
            <w:r>
              <w:t>Participant registration and payment collection</w:t>
            </w:r>
          </w:p>
        </w:tc>
        <w:tc>
          <w:tcPr>
            <w:tcW w:type="dxa" w:w="2585"/>
          </w:tcPr>
          <w:p>
            <w:r/>
            <w:r>
              <w:t>Possible</w:t>
            </w:r>
          </w:p>
        </w:tc>
        <w:tc>
          <w:tcPr>
            <w:tcW w:type="dxa" w:w="2585"/>
          </w:tcPr>
          <w:p>
            <w:r/>
            <w:r>
              <w:t>Possible</w:t>
            </w:r>
          </w:p>
        </w:tc>
        <w:tc>
          <w:tcPr>
            <w:tcW w:type="dxa" w:w="2585"/>
          </w:tcPr>
          <w:p>
            <w:r/>
            <w:r>
              <w:t>Possible</w:t>
            </w:r>
          </w:p>
        </w:tc>
      </w:tr>
    </w:tbl>
    <w:p>
      <w:r>
        <w:t>Which pattern applies changes the proposal’s price basis, the agreement the school signs, and who the director calls when something moves. The tailored proposal names one pattern; this example deliberately leaves it open.</w:t>
      </w:r>
    </w:p>
    <w:p>
      <w:pPr>
        <w:pStyle w:val="Heading2"/>
      </w:pPr>
      <w:r>
        <w:t>Inclusions and exclusions to agree</w:t>
      </w:r>
    </w:p>
    <w:p>
      <w:r>
        <w:t>A group-specific offer would list, in one place, what the price covers, what it excludes, what remains optional, and what the school arranges itself. Optional travel protection, if offered, carries its own approved wording and conditions. None of that is settled here, and no amount is quoted in this example.</w:t>
      </w:r>
    </w:p>
    <w:p>
      <w:pPr>
        <w:pStyle w:val="Heading2"/>
      </w:pPr>
      <w:r>
        <w:t>A short approval summary for the school</w:t>
      </w:r>
    </w:p>
    <w:p>
      <w:r>
        <w:t>For this example, the proposed approval summary focuses on educational purpose, cost, supervision and risk. A one-page summary would give an approver the educational rationale, the proposed dates and outline itinerary, the total cost per student and what it includes, supervision ratios and the responsible staff, and the decision the school is being asked to make. Approval is not assumed anywhere in this draft, and no school policy or deadline is represented.</w:t>
      </w:r>
    </w:p>
    <w:p>
      <w:pPr>
        <w:pStyle w:val="Heading2"/>
      </w:pPr>
      <w:r>
        <w:t>Agreement, payments and price basis</w:t>
      </w:r>
    </w:p>
    <w:p>
      <w:r>
        <w:t>The eventual offer states the agreement between the school and Troen, the payment milestones and their timing, and what happens if numbers change. This example records no agreement, no deposit, no payment schedule and no cancellation terms, because none has been approved for a new March 3 group.</w:t>
      </w:r>
    </w:p>
    <w:p>
      <w:r>
        <w:t>The price basis would be built from the confirmed festival inclusions, the chosen travel pattern, the number of paying performers and accompanying adults, and the length of stay. Until those are set and the business confirms the applicable terms, the proposal carries the basis and leaves the figure unquoted. A draft that quotes a number the business has not approved is worse than one that explains what the number will depend on.</w:t>
      </w:r>
    </w:p>
    <w:p>
      <w:pPr>
        <w:pStyle w:val="Heading2"/>
      </w:pPr>
      <w:r>
        <w:t>One change, worked through</w:t>
      </w:r>
    </w:p>
    <w:p>
      <w:r>
        <w:rPr>
          <w:b/>
        </w:rPr>
        <w:t>Illustrative change, invented for this example:</w:t>
      </w:r>
      <w:r>
        <w:rPr>
          <w:b w:val="0"/>
        </w:rPr>
        <w:t xml:space="preserve"> the motorcoach operator under consideration declines the proposed overnight drive, citing its own driver-hours policy. Nothing has been requested, held or confirmed with any supplier.</w:t>
      </w:r>
    </w:p>
    <w:p>
      <w:r>
        <w:t>For this invented scenario, assume the revised option leaves a day earlier and adds one night's accommodation. The longer stay would require a revised cost basis and approval summary; no amount is calculated here. Also assume the festival-day sequence stays unchanged. These are illustrative planning choices, not inevitable consequences of a supplier objection or confirmed arrangements.</w:t>
      </w:r>
    </w:p>
    <w:p>
      <w:r>
        <w:t>The practical handling is to reissue the proposal as a new version, mark which parts changed, and tell the school that the earlier cost basis has been superseded before it is discussed further. The old version stays on file so the change is explainable. No supplier arrangement, hold or release date is created by this example.</w:t>
      </w:r>
    </w:p>
    <w:p>
      <w:pPr>
        <w:pStyle w:val="Heading2"/>
      </w:pPr>
      <w:r>
        <w:t>The next useful step</w:t>
      </w:r>
    </w:p>
    <w:p>
      <w:r>
        <w:t>Confirm the festival inclusions and available time slot for this date, and decide which travel pattern the proposal should assume. Those two answers turn this structure into a real draft for a real ensemble. Neither is needed to review the structure itself.</w:t>
      </w:r>
    </w:p>
    <w:p>
      <w:pPr>
        <w:pStyle w:val="Small"/>
      </w:pPr>
      <w:r>
        <w:t xml:space="preserve">Festival experience: Troen’s supplied </w:t>
      </w:r>
      <w:hyperlink r:id="rIdr7fmxfzkjsfvxlkht_ugu">
        <w:r>
          <w:rPr>
            <w:rStyle w:val="Hyperlink"/>
          </w:rPr>
          <w:t xml:space="preserve">Carnegie Hall Event Overview</w:t>
        </w:r>
      </w:hyperlink>
      <w:r>
        <w:t xml:space="preserve">, pages 1–6. Companion document: the </w:t>
      </w:r>
      <w:hyperlink r:id="rId8">
        <w:r>
          <w:rPr>
            <w:rStyle w:val="Hyperlink"/>
          </w:rPr>
          <w:t xml:space="preserve">March 3 director FAQ</w:t>
        </w:r>
      </w:hyperlink>
      <w:r>
        <w:t>. Prepared by the logistics and software developer.</w:t>
      </w:r>
    </w:p>
    <w:sectPr>
      <w:footerReference w:type="default" r:id="rId7"/>
      <w:pgSz w:w="12240" w:h="15840" w:orient="portrait"/>
      <w:pgMar w:top="800" w:right="950" w:bottom="8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mall"/>
    </w:pPr>
    <w:r>
      <w:t>Internal demonstration · Fictional group · No place reserved or booking confirmed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3F3A"/>
        <w:sz w:val="21"/>
        <w:szCs w:val="21"/>
      </w:rPr>
    </w:rPrDefault>
    <w:pPrDefault>
      <w:pPr>
        <w:spacing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50"/>
    </w:pPr>
    <w:rPr>
      <w:rFonts w:ascii="Georgia" w:cs="Georgia" w:eastAsia="Georgia" w:hAnsi="Georgia"/>
      <w:color w:val="173F42"/>
      <w:sz w:val="46"/>
      <w:szCs w:val="46"/>
    </w:rPr>
  </w:style>
  <w:style w:type="paragraph" w:styleId="Heading2">
    <w:name w:val="Heading 2"/>
    <w:basedOn w:val="Normal"/>
    <w:pPr>
      <w:keepNext/>
      <w:outlineLvl w:val="1"/>
    </w:pPr>
    <w:rPr>
      <w:b/>
      <w:bCs/>
      <w:color w:val="1D5D55"/>
      <w:sz w:val="22"/>
      <w:szCs w:val="22"/>
    </w:rPr>
  </w:style>
  <w:style w:type="paragraph" w:styleId="Brand">
    <w:name w:val="Brand"/>
    <w:basedOn w:val="Normal"/>
    <w:rPr>
      <w:b/>
      <w:bCs/>
      <w:color w:val="1D5D55"/>
      <w:sz w:val="22"/>
      <w:szCs w:val="22"/>
    </w:rPr>
  </w:style>
  <w:style w:type="paragraph" w:styleId="Date">
    <w:name w:val="Date"/>
    <w:basedOn w:val="Normal"/>
    <w:rPr>
      <w:b/>
      <w:bCs/>
      <w:sz w:val="20"/>
      <w:szCs w:val="20"/>
    </w:rPr>
  </w:style>
  <w:style w:type="paragraph" w:styleId="Small">
    <w:name w:val="Small"/>
    <w:basedOn w:val="Normal"/>
    <w:rPr>
      <w:color w:val="51635B"/>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7fmxfzkjsfvxlkht_ugu" Type="http://schemas.openxmlformats.org/officeDocument/2006/relationships/hyperlink" Target="../../../logistics/carnegie%20hall%20EVENT%20OVERVIEW.pdf" TargetMode="External"/><Relationship Id="rId9" Type="http://schemas.openxmlformats.org/officeDocument/2006/relationships/fontTable" Target="fontTable.xml"/><Relationship Id="rId8" Type="http://schemas.openxmlformats.org/officeDocument/2006/relationships/hyperlink" Target="Troen%20-%20Carnegie%20Hall%20Director%20FAQ.m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Troen - Carnegie Hall Proposal Example</dc:title>
  <dc:creator>Logistics and software developer</dc:creator>
  <dc:description>Internal demonstration for March 3, 2027. Fictional group; not issued; no booking.</dc:description>
  <cp:lastModifiedBy>Un-named</cp:lastModifiedBy>
  <cp:revision>1</cp:revision>
  <dcterms:created xsi:type="dcterms:W3CDTF">2026-09-11T19:17:34.010Z</dcterms:created>
  <dcterms:modified xsi:type="dcterms:W3CDTF">2026-09-11T19:17:34.017Z</dcterms:modified>
</cp:coreProperties>
</file>

<file path=docProps/custom.xml><?xml version="1.0" encoding="utf-8"?>
<Properties xmlns="http://schemas.openxmlformats.org/officeDocument/2006/custom-properties" xmlns:vt="http://schemas.openxmlformats.org/officeDocument/2006/docPropsVTypes"/>
</file>