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footnotes.xml" ContentType="application/vnd.openxmlformats-officedocument.wordprocessingml.footnot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Zoho Assessment for Troen Student Performance Events</w:t>
      </w:r>
    </w:p>
    <w:p>
      <w:pPr>
        <w:pStyle w:val="Heading1"/>
      </w:pPr>
      <w:r>
        <w:t>Executive assessment</w:t>
      </w:r>
    </w:p>
    <w:p>
      <w:r>
        <w:t>Troen should first verify and improve the software and services it already pays for, while preserving its Python prospect-research pipeline and spreadsheet exports. The immediate commercial objective is additional ensemble bookings for March 3, 2027. A change of CRM is justified only if the current system demonstrably prevents staff from qualifying groups, following up, producing proposals, or securing contracts and deposits.</w:t>
      </w:r>
    </w:p>
    <w:p>
      <w:r>
        <w:rPr>
          <w:b/>
        </w:rPr>
        <w:t>Direct answer.</w:t>
      </w:r>
      <w:r>
        <w:t xml:space="preserve"> The most defensible working hypothesis is that Troen pays for software used in client acquisition, possibly with separately supplied implementation, marketing, or data services. There is insufficient evidence to identify its actual product, edition, bill, provider, or deliverables. “Zoho finds clients” must remain an unverified description. Zoho CRM manages sales records and activity; its enrichment can add public information to records already seeded with identifying details. A Marketplace product can discover businesses, but the verified Lead Finder example is supplied by Zenith Innovations and depends on Google Maps. These are materially different purchases.</w:t>
      </w:r>
      <w:r>
        <w:rPr>
          <w:vertAlign w:val="superscript"/>
        </w:rPr>
        <w:footnoteReference w:id="1"/>
      </w:r>
      <w:r>
        <w:rPr>
          <w:vertAlign w:val="superscript"/>
        </w:rPr>
        <w:t xml:space="preserve">, </w:t>
      </w:r>
      <w:r>
        <w:rPr>
          <w:vertAlign w:val="superscript"/>
        </w:rPr>
        <w:footnoteReference w:id="2"/>
      </w:r>
      <w:r>
        <w:rPr>
          <w:vertAlign w:val="superscript"/>
        </w:rPr>
        <w:t xml:space="preserve">, </w:t>
      </w:r>
      <w:r>
        <w:rPr>
          <w:vertAlign w:val="superscript"/>
        </w:rPr>
        <w:footnoteReference w:id="3"/>
      </w:r>
    </w:p>
    <w:p>
      <w:r>
        <w:rPr>
          <w:b/>
        </w:rPr>
        <w:t>Recommended direction — high confidence in the sequence, medium confidence in the eventual product choice.</w:t>
      </w:r>
      <w:r>
        <w:t xml:space="preserve"> Audit the existing bill and lead provenance, confirm the event’s commercial constraints, and establish one March 3 pipeline. Preserve warm school relationships and tour-company relationships. Improve the research pipeline only where it lacks verified adult contacts, evidence of ensemble fit, or reliable updates. Prefer a small configuration improvement over migration. If no usable system exists, compare Bigin Express/Premier with CRM Standard using representative school and partner cases.</w:t>
      </w:r>
    </w:p>
    <w:p>
      <w:r>
        <w:rPr>
          <w:b/>
        </w:rPr>
        <w:t>A critical qualification.</w:t>
      </w:r>
      <w:r>
        <w:t xml:space="preserve"> Zoho’s email rules are permission-based. Its anti-spam policy prohibits purchased, rented, and website-collected email addresses in covered services; CRM’s specific terms expressly apply that policy to commercial email. A publicly listed director’s email is not proof of permission. Keep the external research staging area separate from marketing lists, and resolve the permitted CRM import and communication boundary before connecting researched contacts to Zoho. Do not assume one-to-one CRM email avoids this restriction.</w:t>
      </w:r>
      <w:r>
        <w:rPr>
          <w:vertAlign w:val="superscript"/>
        </w:rPr>
        <w:footnoteReference w:id="4"/>
      </w:r>
      <w:r>
        <w:rPr>
          <w:vertAlign w:val="superscript"/>
        </w:rPr>
        <w:t xml:space="preserve">, </w:t>
      </w:r>
      <w:r>
        <w:rPr>
          <w:vertAlign w:val="superscript"/>
        </w:rPr>
        <w:footnoteReference w:id="5"/>
      </w:r>
    </w:p>
    <w:p>
      <w:r>
        <w:rPr>
          <w:b/>
        </w:rPr>
        <w:t>Decision economics.</w:t>
      </w:r>
      <w:r>
        <w:t xml:space="preserve"> For three users, published annual-billing license costs are $252 for Bigin Express, $432 for Bigin Premier, $504 for CRM Standard, and $1,332 for Zoho One if all three are the entire eligible workforce. These are software charges, not all-in ownership costs. Zoho’s published Jumpstart implementation starts at $2,000 before tax, illustrating how setup can exceed several years of a small CRM subscription.</w:t>
      </w:r>
      <w:r>
        <w:rPr>
          <w:vertAlign w:val="superscript"/>
        </w:rPr>
        <w:footnoteReference w:id="6"/>
      </w:r>
      <w:r>
        <w:rPr>
          <w:vertAlign w:val="superscript"/>
        </w:rPr>
        <w:t xml:space="preserve">, </w:t>
      </w:r>
      <w:r>
        <w:rPr>
          <w:vertAlign w:val="superscript"/>
        </w:rPr>
        <w:footnoteReference w:id="7"/>
      </w:r>
      <w:r>
        <w:rPr>
          <w:vertAlign w:val="superscript"/>
        </w:rPr>
        <w:t xml:space="preserve">, </w:t>
      </w:r>
      <w:r>
        <w:rPr>
          <w:vertAlign w:val="superscript"/>
        </w:rPr>
        <w:footnoteReference w:id="8"/>
      </w:r>
    </w:p>
    <w:p>
      <w:pPr>
        <w:pStyle w:val="Heading1"/>
      </w:pPr>
      <w:r>
        <w:t>Scope and evidence</w:t>
      </w:r>
    </w:p>
    <w:p>
      <w:r>
        <w:t>Pricing and public policies were checked on September 10, 2026, US Eastern time. Amounts are US dollars, before tax, unless explicitly stated otherwise. “Verified” below means supported by a cited public source, not independently tested inside Troen’s account. Vendor capability claims establish advertised functionality, not achieved booking results. “Assessment” identifies analytical judgment; “unknown” identifies information public sources cannot establish.</w:t>
      </w:r>
    </w:p>
    <w:p>
      <w:r>
        <w:t>Troen’s public event page advertises March 3 and March 31, 2027. This report concerns only March 3. The owner-reported position is one participating group and approximately ten additional ensemble bookings needed. Neither that count nor remaining capacity has been independently verified. The public page does not establish a current venue contract, usable performance slots, minimum group sizes, or deposit deadlines.</w:t>
      </w:r>
      <w:r>
        <w:rPr>
          <w:vertAlign w:val="superscript"/>
        </w:rPr>
        <w:footnoteReference w:id="9"/>
      </w:r>
    </w:p>
    <w:p>
      <w:r>
        <w:t>Research and recommendations cover adult business contacts and ensemble-level commercial records. No purchase, signup, outreach, private account inspection, or system change forms part of this assessment. Travel contracting, school-specific approvals, and participant-data requirements need their own operational decisions; a software feature is not evidence that those requirements have been satisfied.</w:t>
      </w:r>
    </w:p>
    <w:p>
      <w:pPr>
        <w:pStyle w:val="Heading1"/>
      </w:pPr>
      <w:r>
        <w:t>What Troen may actually be buying</w:t>
      </w:r>
    </w:p>
    <w:tbl>
      <w:tblPr>
        <w:tblW w:type="auto" w:w="0"/>
        <w:tblLayout w:type="fixed"/>
        <w:tblLook w:firstColumn="1" w:firstRow="1" w:lastColumn="0" w:lastRow="0" w:noHBand="0" w:noVBand="1" w:val="04A0"/>
        <w:tblBorders>
          <w:top w:val="single" w:sz="4" w:color="C8C8C8"/>
          <w:left w:val="single" w:sz="4" w:color="C8C8C8"/>
          <w:bottom w:val="single" w:sz="4" w:color="C8C8C8"/>
          <w:right w:val="single" w:sz="4" w:color="C8C8C8"/>
          <w:insideH w:val="single" w:sz="4" w:color="C8C8C8"/>
          <w:insideV w:val="single" w:sz="4" w:color="C8C8C8"/>
        </w:tblBorders>
      </w:tblPr>
      <w:tblGrid>
        <w:gridCol w:w="3456"/>
        <w:gridCol w:w="3456"/>
        <w:gridCol w:w="3456"/>
      </w:tblGrid>
      <w:tr>
        <w:trPr>
          <w:cantSplit/>
          <w:tblHeader/>
        </w:trPr>
        <w:tc>
          <w:tcPr>
            <w:tcW w:type="dxa" w:w="1872"/>
            <w:shd w:fill="EAEAEA"/>
          </w:tcPr>
          <w:p>
            <w:pPr>
              <w:spacing w:after="80" w:before="80" w:line="245" w:lineRule="auto"/>
            </w:pPr>
            <w:r>
              <w:rPr>
                <w:b/>
                <w:sz w:val="18"/>
              </w:rPr>
              <w:t>Possible purchase</w:t>
            </w:r>
          </w:p>
        </w:tc>
        <w:tc>
          <w:tcPr>
            <w:tcW w:type="dxa" w:w="4248"/>
            <w:shd w:fill="EAEAEA"/>
          </w:tcPr>
          <w:p>
            <w:pPr>
              <w:spacing w:after="80" w:before="80" w:line="245" w:lineRule="auto"/>
            </w:pPr>
            <w:r>
              <w:rPr>
                <w:b/>
                <w:sz w:val="18"/>
              </w:rPr>
              <w:t>What the payment buys</w:t>
            </w:r>
          </w:p>
        </w:tc>
        <w:tc>
          <w:tcPr>
            <w:tcW w:type="dxa" w:w="4248"/>
            <w:shd w:fill="EAEAEA"/>
          </w:tcPr>
          <w:p>
            <w:pPr>
              <w:spacing w:after="80" w:before="80" w:line="245" w:lineRule="auto"/>
            </w:pPr>
            <w:r>
              <w:rPr>
                <w:b/>
                <w:sz w:val="18"/>
              </w:rPr>
              <w:t>Evidence needed from Troen</w:t>
            </w:r>
          </w:p>
        </w:tc>
      </w:tr>
      <w:tr>
        <w:trPr>
          <w:cantSplit/>
        </w:trPr>
        <w:tc>
          <w:tcPr>
            <w:tcW w:type="dxa" w:w="1872"/>
          </w:tcPr>
          <w:p>
            <w:pPr>
              <w:spacing w:after="80" w:before="80" w:line="245" w:lineRule="auto"/>
            </w:pPr>
            <w:r>
              <w:rPr>
                <w:sz w:val="18"/>
              </w:rPr>
              <w:t>CRM or Bigin subscription</w:t>
            </w:r>
          </w:p>
        </w:tc>
        <w:tc>
          <w:tcPr>
            <w:tcW w:type="dxa" w:w="4248"/>
          </w:tcPr>
          <w:p>
            <w:pPr>
              <w:spacing w:after="80" w:before="80" w:line="245" w:lineRule="auto"/>
            </w:pPr>
            <w:r>
              <w:rPr>
                <w:sz w:val="18"/>
              </w:rPr>
              <w:t>Seats, record management, reminders, and edition-specific features</w:t>
            </w:r>
          </w:p>
        </w:tc>
        <w:tc>
          <w:tcPr>
            <w:tcW w:type="dxa" w:w="4248"/>
          </w:tcPr>
          <w:p>
            <w:pPr>
              <w:spacing w:after="80" w:before="80" w:line="245" w:lineRule="auto"/>
            </w:pPr>
            <w:r>
              <w:rPr>
                <w:sz w:val="18"/>
              </w:rPr>
              <w:t>Exact product, edition, seats, billing term, and usage</w:t>
            </w:r>
          </w:p>
        </w:tc>
      </w:tr>
      <w:tr>
        <w:trPr>
          <w:cantSplit/>
        </w:trPr>
        <w:tc>
          <w:tcPr>
            <w:tcW w:type="dxa" w:w="1872"/>
          </w:tcPr>
          <w:p>
            <w:pPr>
              <w:spacing w:after="80" w:before="80" w:line="245" w:lineRule="auto"/>
            </w:pPr>
            <w:r>
              <w:rPr>
                <w:sz w:val="18"/>
              </w:rPr>
              <w:t>Zoho One or another bundle</w:t>
            </w:r>
          </w:p>
        </w:tc>
        <w:tc>
          <w:tcPr>
            <w:tcW w:type="dxa" w:w="4248"/>
          </w:tcPr>
          <w:p>
            <w:pPr>
              <w:spacing w:after="80" w:before="80" w:line="245" w:lineRule="auto"/>
            </w:pPr>
            <w:r>
              <w:rPr>
                <w:sz w:val="18"/>
              </w:rPr>
              <w:t>Access to multiple apps under a licensing arrangement</w:t>
            </w:r>
          </w:p>
        </w:tc>
        <w:tc>
          <w:tcPr>
            <w:tcW w:type="dxa" w:w="4248"/>
          </w:tcPr>
          <w:p>
            <w:pPr>
              <w:spacing w:after="80" w:before="80" w:line="245" w:lineRule="auto"/>
            </w:pPr>
            <w:r>
              <w:rPr>
                <w:sz w:val="18"/>
              </w:rPr>
              <w:t>Bundle name, employee count, enabled apps, entitlements</w:t>
            </w:r>
          </w:p>
        </w:tc>
      </w:tr>
      <w:tr>
        <w:trPr>
          <w:cantSplit/>
        </w:trPr>
        <w:tc>
          <w:tcPr>
            <w:tcW w:type="dxa" w:w="1872"/>
          </w:tcPr>
          <w:p>
            <w:pPr>
              <w:spacing w:after="80" w:before="80" w:line="245" w:lineRule="auto"/>
            </w:pPr>
            <w:r>
              <w:rPr>
                <w:sz w:val="18"/>
              </w:rPr>
              <w:t>Campaigns or Marketing Automation</w:t>
            </w:r>
          </w:p>
        </w:tc>
        <w:tc>
          <w:tcPr>
            <w:tcW w:type="dxa" w:w="4248"/>
          </w:tcPr>
          <w:p>
            <w:pPr>
              <w:spacing w:after="80" w:before="80" w:line="245" w:lineRule="auto"/>
            </w:pPr>
            <w:r>
              <w:rPr>
                <w:sz w:val="18"/>
              </w:rPr>
              <w:t>Email marketing and nurturing for a contact tier</w:t>
            </w:r>
          </w:p>
        </w:tc>
        <w:tc>
          <w:tcPr>
            <w:tcW w:type="dxa" w:w="4248"/>
          </w:tcPr>
          <w:p>
            <w:pPr>
              <w:spacing w:after="80" w:before="80" w:line="245" w:lineRule="auto"/>
            </w:pPr>
            <w:r>
              <w:rPr>
                <w:sz w:val="18"/>
              </w:rPr>
              <w:t>Contact tier, consent source, sends, attributable opportunities</w:t>
            </w:r>
          </w:p>
        </w:tc>
      </w:tr>
      <w:tr>
        <w:trPr>
          <w:cantSplit/>
        </w:trPr>
        <w:tc>
          <w:tcPr>
            <w:tcW w:type="dxa" w:w="1872"/>
          </w:tcPr>
          <w:p>
            <w:pPr>
              <w:spacing w:after="80" w:before="80" w:line="245" w:lineRule="auto"/>
            </w:pPr>
            <w:r>
              <w:rPr>
                <w:sz w:val="18"/>
              </w:rPr>
              <w:t>SalesIQ</w:t>
            </w:r>
          </w:p>
        </w:tc>
        <w:tc>
          <w:tcPr>
            <w:tcW w:type="dxa" w:w="4248"/>
          </w:tcPr>
          <w:p>
            <w:pPr>
              <w:spacing w:after="80" w:before="80" w:line="245" w:lineRule="auto"/>
            </w:pPr>
            <w:r>
              <w:rPr>
                <w:sz w:val="18"/>
              </w:rPr>
              <w:t>Website visitor engagement and chat tools</w:t>
            </w:r>
          </w:p>
        </w:tc>
        <w:tc>
          <w:tcPr>
            <w:tcW w:type="dxa" w:w="4248"/>
          </w:tcPr>
          <w:p>
            <w:pPr>
              <w:spacing w:after="80" w:before="80" w:line="245" w:lineRule="auto"/>
            </w:pPr>
            <w:r>
              <w:rPr>
                <w:sz w:val="18"/>
              </w:rPr>
              <w:t>Website installation, visitor volume, chats, source attribution</w:t>
            </w:r>
          </w:p>
        </w:tc>
      </w:tr>
      <w:tr>
        <w:trPr>
          <w:cantSplit/>
        </w:trPr>
        <w:tc>
          <w:tcPr>
            <w:tcW w:type="dxa" w:w="1872"/>
          </w:tcPr>
          <w:p>
            <w:pPr>
              <w:spacing w:after="80" w:before="80" w:line="245" w:lineRule="auto"/>
            </w:pPr>
            <w:r>
              <w:rPr>
                <w:sz w:val="18"/>
              </w:rPr>
              <w:t>Marketplace extension or external data subscription</w:t>
            </w:r>
          </w:p>
        </w:tc>
        <w:tc>
          <w:tcPr>
            <w:tcW w:type="dxa" w:w="4248"/>
          </w:tcPr>
          <w:p>
            <w:pPr>
              <w:spacing w:after="80" w:before="80" w:line="245" w:lineRule="auto"/>
            </w:pPr>
            <w:r>
              <w:rPr>
                <w:sz w:val="18"/>
              </w:rPr>
              <w:t>Specific integration, enrichment, or discovery function</w:t>
            </w:r>
          </w:p>
        </w:tc>
        <w:tc>
          <w:tcPr>
            <w:tcW w:type="dxa" w:w="4248"/>
          </w:tcPr>
          <w:p>
            <w:pPr>
              <w:spacing w:after="80" w:before="80" w:line="245" w:lineRule="auto"/>
            </w:pPr>
            <w:r>
              <w:rPr>
                <w:sz w:val="18"/>
              </w:rPr>
              <w:t>Vendor, separate invoice, credit allowance, data sources</w:t>
            </w:r>
          </w:p>
        </w:tc>
      </w:tr>
      <w:tr>
        <w:trPr>
          <w:cantSplit/>
        </w:trPr>
        <w:tc>
          <w:tcPr>
            <w:tcW w:type="dxa" w:w="1872"/>
          </w:tcPr>
          <w:p>
            <w:pPr>
              <w:spacing w:after="80" w:before="80" w:line="245" w:lineRule="auto"/>
            </w:pPr>
            <w:r>
              <w:rPr>
                <w:sz w:val="18"/>
              </w:rPr>
              <w:t>Partner or agency service</w:t>
            </w:r>
          </w:p>
        </w:tc>
        <w:tc>
          <w:tcPr>
            <w:tcW w:type="dxa" w:w="4248"/>
          </w:tcPr>
          <w:p>
            <w:pPr>
              <w:spacing w:after="80" w:before="80" w:line="245" w:lineRule="auto"/>
            </w:pPr>
            <w:r>
              <w:rPr>
                <w:sz w:val="18"/>
              </w:rPr>
              <w:t>Configuration, training, managed campaigns, research, or other contracted work</w:t>
            </w:r>
          </w:p>
        </w:tc>
        <w:tc>
          <w:tcPr>
            <w:tcW w:type="dxa" w:w="4248"/>
          </w:tcPr>
          <w:p>
            <w:pPr>
              <w:spacing w:after="80" w:before="80" w:line="245" w:lineRule="auto"/>
            </w:pPr>
            <w:r>
              <w:rPr>
                <w:sz w:val="18"/>
              </w:rPr>
              <w:t>Seller identity, scope, recurring fee, and actual outputs</w:t>
            </w:r>
          </w:p>
        </w:tc>
      </w:tr>
    </w:tbl>
    <w:p>
      <w:pPr>
        <w:spacing w:after="20"/>
      </w:pPr>
    </w:p>
    <w:p>
      <w:r>
        <w:t>These are hypotheses, not probability estimates. The distinction can be resolved by following three recent “leads” backward: who found the organization, where the adult contact came from, what consent exists, who initiated contact, and which paid item supplied each step. Separately record who qualifies the group and who closes the booking. A dashboard of imported names is not evidence of delivered sales opportunities.</w:t>
      </w:r>
    </w:p>
    <w:p>
      <w:r>
        <w:t>Zoho’s partner directory describes implementation, migration, integration, training, and support services. Partner status does not itself mean a firm supplies leads. The directory also says partners do not automatically receive access to confidential application data, although an established partner relationship enables subscription/payment management through its partner tool. Troen should own its administrator accounts and clarify the partner’s permissions and commercial responsibilities.</w:t>
      </w:r>
      <w:r>
        <w:rPr>
          <w:vertAlign w:val="superscript"/>
        </w:rPr>
        <w:footnoteReference w:id="10"/>
      </w:r>
    </w:p>
    <w:p>
      <w:pPr>
        <w:pStyle w:val="Heading1"/>
      </w:pPr>
      <w:r>
        <w:t>Product and capability comparison</w:t>
      </w:r>
    </w:p>
    <w:p>
      <w:r>
        <w:t>The final column is a Troen-specific assessment, conditional on its current setup. “Discovery” means identifying a previously unknown organization or adult prospect; “conversion” means advancing a business relationship already identified.</w:t>
      </w:r>
    </w:p>
    <w:tbl>
      <w:tblPr>
        <w:tblW w:type="auto" w:w="0"/>
        <w:tblLayout w:type="fixed"/>
        <w:tblLook w:firstColumn="1" w:firstRow="1" w:lastColumn="0" w:lastRow="0" w:noHBand="0" w:noVBand="1" w:val="04A0"/>
        <w:tblBorders>
          <w:top w:val="single" w:sz="4" w:color="C8C8C8"/>
          <w:left w:val="single" w:sz="4" w:color="C8C8C8"/>
          <w:bottom w:val="single" w:sz="4" w:color="C8C8C8"/>
          <w:right w:val="single" w:sz="4" w:color="C8C8C8"/>
          <w:insideH w:val="single" w:sz="4" w:color="C8C8C8"/>
          <w:insideV w:val="single" w:sz="4" w:color="C8C8C8"/>
        </w:tblBorders>
      </w:tblPr>
      <w:tblGrid>
        <w:gridCol w:w="2592"/>
        <w:gridCol w:w="2592"/>
        <w:gridCol w:w="2592"/>
        <w:gridCol w:w="2592"/>
      </w:tblGrid>
      <w:tr>
        <w:trPr>
          <w:cantSplit/>
          <w:tblHeader/>
        </w:trPr>
        <w:tc>
          <w:tcPr>
            <w:tcW w:type="dxa" w:w="1656"/>
            <w:shd w:fill="EAEAEA"/>
          </w:tcPr>
          <w:p>
            <w:pPr>
              <w:spacing w:after="80" w:before="80" w:line="245" w:lineRule="auto"/>
            </w:pPr>
            <w:r>
              <w:rPr>
                <w:b/>
                <w:sz w:val="18"/>
              </w:rPr>
              <w:t>Product or capability</w:t>
            </w:r>
          </w:p>
        </w:tc>
        <w:tc>
          <w:tcPr>
            <w:tcW w:type="dxa" w:w="2592"/>
            <w:shd w:fill="EAEAEA"/>
          </w:tcPr>
          <w:p>
            <w:pPr>
              <w:spacing w:after="80" w:before="80" w:line="245" w:lineRule="auto"/>
            </w:pPr>
            <w:r>
              <w:rPr>
                <w:b/>
                <w:sz w:val="18"/>
              </w:rPr>
              <w:t>Verified role</w:t>
            </w:r>
          </w:p>
        </w:tc>
        <w:tc>
          <w:tcPr>
            <w:tcW w:type="dxa" w:w="3456"/>
            <w:shd w:fill="EAEAEA"/>
          </w:tcPr>
          <w:p>
            <w:pPr>
              <w:spacing w:after="80" w:before="80" w:line="245" w:lineRule="auto"/>
            </w:pPr>
            <w:r>
              <w:rPr>
                <w:b/>
                <w:sz w:val="18"/>
              </w:rPr>
              <w:t>Dependency or important limit</w:t>
            </w:r>
          </w:p>
        </w:tc>
        <w:tc>
          <w:tcPr>
            <w:tcW w:type="dxa" w:w="2664"/>
            <w:shd w:fill="EAEAEA"/>
          </w:tcPr>
          <w:p>
            <w:pPr>
              <w:spacing w:after="80" w:before="80" w:line="245" w:lineRule="auto"/>
            </w:pPr>
            <w:r>
              <w:rPr>
                <w:b/>
                <w:sz w:val="18"/>
              </w:rPr>
              <w:t>March 3 fit assessment</w:t>
            </w:r>
          </w:p>
        </w:tc>
      </w:tr>
      <w:tr>
        <w:trPr>
          <w:cantSplit/>
        </w:trPr>
        <w:tc>
          <w:tcPr>
            <w:tcW w:type="dxa" w:w="1656"/>
          </w:tcPr>
          <w:p>
            <w:pPr>
              <w:spacing w:after="80" w:before="80" w:line="245" w:lineRule="auto"/>
            </w:pPr>
            <w:r>
              <w:rPr>
                <w:sz w:val="18"/>
              </w:rPr>
              <w:t>Zoho CRM</w:t>
            </w:r>
          </w:p>
        </w:tc>
        <w:tc>
          <w:tcPr>
            <w:tcW w:type="dxa" w:w="2592"/>
          </w:tcPr>
          <w:p>
            <w:pPr>
              <w:spacing w:after="80" w:before="80" w:line="245" w:lineRule="auto"/>
            </w:pPr>
            <w:r>
              <w:rPr>
                <w:sz w:val="18"/>
              </w:rPr>
              <w:t>Leads, contacts, accounts, deals, activities, forms and edition-specific automation</w:t>
            </w:r>
          </w:p>
        </w:tc>
        <w:tc>
          <w:tcPr>
            <w:tcW w:type="dxa" w:w="3456"/>
          </w:tcPr>
          <w:p>
            <w:pPr>
              <w:spacing w:after="80" w:before="80" w:line="245" w:lineRule="auto"/>
            </w:pPr>
            <w:r>
              <w:rPr>
                <w:sz w:val="18"/>
              </w:rPr>
              <w:t>Requires data, configuration, owners, and follow-up; all full users in one organization use one edition</w:t>
            </w:r>
          </w:p>
        </w:tc>
        <w:tc>
          <w:tcPr>
            <w:tcW w:type="dxa" w:w="2664"/>
          </w:tcPr>
          <w:p>
            <w:pPr>
              <w:spacing w:after="80" w:before="80" w:line="245" w:lineRule="auto"/>
            </w:pPr>
            <w:r>
              <w:rPr>
                <w:sz w:val="18"/>
              </w:rPr>
              <w:t>High for conversion when already used; Standard is a sensible comparison baseline</w:t>
            </w:r>
          </w:p>
        </w:tc>
      </w:tr>
      <w:tr>
        <w:trPr>
          <w:cantSplit/>
        </w:trPr>
        <w:tc>
          <w:tcPr>
            <w:tcW w:type="dxa" w:w="1656"/>
          </w:tcPr>
          <w:p>
            <w:pPr>
              <w:spacing w:after="80" w:before="80" w:line="245" w:lineRule="auto"/>
            </w:pPr>
            <w:r>
              <w:rPr>
                <w:sz w:val="18"/>
              </w:rPr>
              <w:t>Bigin</w:t>
            </w:r>
          </w:p>
        </w:tc>
        <w:tc>
          <w:tcPr>
            <w:tcW w:type="dxa" w:w="2592"/>
          </w:tcPr>
          <w:p>
            <w:pPr>
              <w:spacing w:after="80" w:before="80" w:line="245" w:lineRule="auto"/>
            </w:pPr>
            <w:r>
              <w:rPr>
                <w:sz w:val="18"/>
              </w:rPr>
              <w:t>Simpler pipeline-based relationship management</w:t>
            </w:r>
          </w:p>
        </w:tc>
        <w:tc>
          <w:tcPr>
            <w:tcW w:type="dxa" w:w="3456"/>
          </w:tcPr>
          <w:p>
            <w:pPr>
              <w:spacing w:after="80" w:before="80" w:line="245" w:lineRule="auto"/>
            </w:pPr>
            <w:r>
              <w:rPr>
                <w:sz w:val="18"/>
              </w:rPr>
              <w:t>Express has 3 team pipelines; Premier adds scheduled automation and transition rules; field limits matter</w:t>
            </w:r>
          </w:p>
        </w:tc>
        <w:tc>
          <w:tcPr>
            <w:tcW w:type="dxa" w:w="2664"/>
          </w:tcPr>
          <w:p>
            <w:pPr>
              <w:spacing w:after="80" w:before="80" w:line="245" w:lineRule="auto"/>
            </w:pPr>
            <w:r>
              <w:rPr>
                <w:sz w:val="18"/>
              </w:rPr>
              <w:t>High if staff need a simpler process; migration still has a cost</w:t>
            </w:r>
          </w:p>
        </w:tc>
      </w:tr>
      <w:tr>
        <w:trPr>
          <w:cantSplit/>
        </w:trPr>
        <w:tc>
          <w:tcPr>
            <w:tcW w:type="dxa" w:w="1656"/>
          </w:tcPr>
          <w:p>
            <w:pPr>
              <w:spacing w:after="80" w:before="80" w:line="245" w:lineRule="auto"/>
            </w:pPr>
            <w:r>
              <w:rPr>
                <w:sz w:val="18"/>
              </w:rPr>
              <w:t>Zoho One</w:t>
            </w:r>
          </w:p>
        </w:tc>
        <w:tc>
          <w:tcPr>
            <w:tcW w:type="dxa" w:w="2592"/>
          </w:tcPr>
          <w:p>
            <w:pPr>
              <w:spacing w:after="80" w:before="80" w:line="245" w:lineRule="auto"/>
            </w:pPr>
            <w:r>
              <w:rPr>
                <w:sz w:val="18"/>
              </w:rPr>
              <w:t>Bundle of 50+ business apps and centralized administration</w:t>
            </w:r>
          </w:p>
        </w:tc>
        <w:tc>
          <w:tcPr>
            <w:tcW w:type="dxa" w:w="3456"/>
          </w:tcPr>
          <w:p>
            <w:pPr>
              <w:spacing w:after="80" w:before="80" w:line="245" w:lineRule="auto"/>
            </w:pPr>
            <w:r>
              <w:rPr>
                <w:sz w:val="18"/>
              </w:rPr>
              <w:t>All-employee licensing or flexible seats; app-specific limits and external fees remain</w:t>
            </w:r>
          </w:p>
        </w:tc>
        <w:tc>
          <w:tcPr>
            <w:tcW w:type="dxa" w:w="2664"/>
          </w:tcPr>
          <w:p>
            <w:pPr>
              <w:spacing w:after="80" w:before="80" w:line="245" w:lineRule="auto"/>
            </w:pPr>
            <w:r>
              <w:rPr>
                <w:sz w:val="18"/>
              </w:rPr>
              <w:t>Good only when several included apps have real use or it is already economical</w:t>
            </w:r>
          </w:p>
        </w:tc>
      </w:tr>
      <w:tr>
        <w:trPr>
          <w:cantSplit/>
        </w:trPr>
        <w:tc>
          <w:tcPr>
            <w:tcW w:type="dxa" w:w="1656"/>
          </w:tcPr>
          <w:p>
            <w:pPr>
              <w:spacing w:after="80" w:before="80" w:line="245" w:lineRule="auto"/>
            </w:pPr>
            <w:r>
              <w:rPr>
                <w:sz w:val="18"/>
              </w:rPr>
              <w:t>Campaigns</w:t>
            </w:r>
          </w:p>
        </w:tc>
        <w:tc>
          <w:tcPr>
            <w:tcW w:type="dxa" w:w="2592"/>
          </w:tcPr>
          <w:p>
            <w:pPr>
              <w:spacing w:after="80" w:before="80" w:line="245" w:lineRule="auto"/>
            </w:pPr>
            <w:r>
              <w:rPr>
                <w:sz w:val="18"/>
              </w:rPr>
              <w:t>Permission-based email campaigns and basic/advanced nurturing</w:t>
            </w:r>
          </w:p>
        </w:tc>
        <w:tc>
          <w:tcPr>
            <w:tcW w:type="dxa" w:w="3456"/>
          </w:tcPr>
          <w:p>
            <w:pPr>
              <w:spacing w:after="80" w:before="80" w:line="245" w:lineRule="auto"/>
            </w:pPr>
            <w:r>
              <w:rPr>
                <w:sz w:val="18"/>
              </w:rPr>
              <w:t>Contact-tier pricing; requires eligible audience, content, and deliverability management</w:t>
            </w:r>
          </w:p>
        </w:tc>
        <w:tc>
          <w:tcPr>
            <w:tcW w:type="dxa" w:w="2664"/>
          </w:tcPr>
          <w:p>
            <w:pPr>
              <w:spacing w:after="80" w:before="80" w:line="245" w:lineRule="auto"/>
            </w:pPr>
            <w:r>
              <w:rPr>
                <w:sz w:val="18"/>
              </w:rPr>
              <w:t>Useful for existing opted-in directors and partners; not a cold-list engine</w:t>
            </w:r>
          </w:p>
        </w:tc>
      </w:tr>
      <w:tr>
        <w:trPr>
          <w:cantSplit/>
        </w:trPr>
        <w:tc>
          <w:tcPr>
            <w:tcW w:type="dxa" w:w="1656"/>
          </w:tcPr>
          <w:p>
            <w:pPr>
              <w:spacing w:after="80" w:before="80" w:line="245" w:lineRule="auto"/>
            </w:pPr>
            <w:r>
              <w:rPr>
                <w:sz w:val="18"/>
              </w:rPr>
              <w:t>Marketing Automation</w:t>
            </w:r>
          </w:p>
        </w:tc>
        <w:tc>
          <w:tcPr>
            <w:tcW w:type="dxa" w:w="2592"/>
          </w:tcPr>
          <w:p>
            <w:pPr>
              <w:spacing w:after="80" w:before="80" w:line="245" w:lineRule="auto"/>
            </w:pPr>
            <w:r>
              <w:rPr>
                <w:sz w:val="18"/>
              </w:rPr>
              <w:t>Marketing journeys, website behavior, segmentation and higher-tier attribution</w:t>
            </w:r>
          </w:p>
        </w:tc>
        <w:tc>
          <w:tcPr>
            <w:tcW w:type="dxa" w:w="3456"/>
          </w:tcPr>
          <w:p>
            <w:pPr>
              <w:spacing w:after="80" w:before="80" w:line="245" w:lineRule="auto"/>
            </w:pPr>
            <w:r>
              <w:rPr>
                <w:sz w:val="18"/>
              </w:rPr>
              <w:t>Contact and visitor allowances; SMS and other channels can add cost</w:t>
            </w:r>
          </w:p>
        </w:tc>
        <w:tc>
          <w:tcPr>
            <w:tcW w:type="dxa" w:w="2664"/>
          </w:tcPr>
          <w:p>
            <w:pPr>
              <w:spacing w:after="80" w:before="80" w:line="245" w:lineRule="auto"/>
            </w:pPr>
            <w:r>
              <w:rPr>
                <w:sz w:val="18"/>
              </w:rPr>
              <w:t>Defer unless Troen already has meaningful inbound demand and a usable permissioned audience</w:t>
            </w:r>
          </w:p>
        </w:tc>
      </w:tr>
      <w:tr>
        <w:trPr>
          <w:cantSplit/>
        </w:trPr>
        <w:tc>
          <w:tcPr>
            <w:tcW w:type="dxa" w:w="1656"/>
          </w:tcPr>
          <w:p>
            <w:pPr>
              <w:spacing w:after="80" w:before="80" w:line="245" w:lineRule="auto"/>
            </w:pPr>
            <w:r>
              <w:rPr>
                <w:sz w:val="18"/>
              </w:rPr>
              <w:t>SalesIQ</w:t>
            </w:r>
          </w:p>
        </w:tc>
        <w:tc>
          <w:tcPr>
            <w:tcW w:type="dxa" w:w="2592"/>
          </w:tcPr>
          <w:p>
            <w:pPr>
              <w:spacing w:after="80" w:before="80" w:line="245" w:lineRule="auto"/>
            </w:pPr>
            <w:r>
              <w:rPr>
                <w:sz w:val="18"/>
              </w:rPr>
              <w:t>Website chat, visitor context, bots and operator tools</w:t>
            </w:r>
          </w:p>
        </w:tc>
        <w:tc>
          <w:tcPr>
            <w:tcW w:type="dxa" w:w="3456"/>
          </w:tcPr>
          <w:p>
            <w:pPr>
              <w:spacing w:after="80" w:before="80" w:line="245" w:lineRule="auto"/>
            </w:pPr>
            <w:r>
              <w:rPr>
                <w:sz w:val="18"/>
              </w:rPr>
              <w:t>Needs website traffic and response coverage; anonymous visitor context does not identify every director</w:t>
            </w:r>
          </w:p>
        </w:tc>
        <w:tc>
          <w:tcPr>
            <w:tcW w:type="dxa" w:w="2664"/>
          </w:tcPr>
          <w:p>
            <w:pPr>
              <w:spacing w:after="80" w:before="80" w:line="245" w:lineRule="auto"/>
            </w:pPr>
            <w:r>
              <w:rPr>
                <w:sz w:val="18"/>
              </w:rPr>
              <w:t>Conditional; useful for capturing real inquiries, not replacing prospect research</w:t>
            </w:r>
          </w:p>
        </w:tc>
      </w:tr>
      <w:tr>
        <w:trPr>
          <w:cantSplit/>
        </w:trPr>
        <w:tc>
          <w:tcPr>
            <w:tcW w:type="dxa" w:w="1656"/>
          </w:tcPr>
          <w:p>
            <w:pPr>
              <w:spacing w:after="80" w:before="80" w:line="245" w:lineRule="auto"/>
            </w:pPr>
            <w:r>
              <w:rPr>
                <w:sz w:val="18"/>
              </w:rPr>
              <w:t>Zia enrichment</w:t>
            </w:r>
          </w:p>
        </w:tc>
        <w:tc>
          <w:tcPr>
            <w:tcW w:type="dxa" w:w="2592"/>
          </w:tcPr>
          <w:p>
            <w:pPr>
              <w:spacing w:after="80" w:before="80" w:line="245" w:lineRule="auto"/>
            </w:pPr>
            <w:r>
              <w:rPr>
                <w:sz w:val="18"/>
              </w:rPr>
              <w:t>Completes existing CRM records using public web information</w:t>
            </w:r>
          </w:p>
        </w:tc>
        <w:tc>
          <w:tcPr>
            <w:tcW w:type="dxa" w:w="3456"/>
          </w:tcPr>
          <w:p>
            <w:pPr>
              <w:spacing w:after="80" w:before="80" w:line="245" w:lineRule="auto"/>
            </w:pPr>
            <w:r>
              <w:rPr>
                <w:sz w:val="18"/>
              </w:rPr>
              <w:t>Seed fields such as company, website or email; accuracy and school coverage need checking</w:t>
            </w:r>
          </w:p>
        </w:tc>
        <w:tc>
          <w:tcPr>
            <w:tcW w:type="dxa" w:w="2664"/>
          </w:tcPr>
          <w:p>
            <w:pPr>
              <w:spacing w:after="80" w:before="80" w:line="245" w:lineRule="auto"/>
            </w:pPr>
            <w:r>
              <w:rPr>
                <w:sz w:val="18"/>
              </w:rPr>
              <w:t>Selective supplement; verify an adult’s current role against school sources</w:t>
            </w:r>
          </w:p>
        </w:tc>
      </w:tr>
      <w:tr>
        <w:trPr>
          <w:cantSplit/>
        </w:trPr>
        <w:tc>
          <w:tcPr>
            <w:tcW w:type="dxa" w:w="1656"/>
          </w:tcPr>
          <w:p>
            <w:pPr>
              <w:spacing w:after="80" w:before="80" w:line="245" w:lineRule="auto"/>
            </w:pPr>
            <w:r>
              <w:rPr>
                <w:sz w:val="18"/>
              </w:rPr>
              <w:t>Zia agents and predictions</w:t>
            </w:r>
          </w:p>
        </w:tc>
        <w:tc>
          <w:tcPr>
            <w:tcW w:type="dxa" w:w="2592"/>
          </w:tcPr>
          <w:p>
            <w:pPr>
              <w:spacing w:after="80" w:before="80" w:line="245" w:lineRule="auto"/>
            </w:pPr>
            <w:r>
              <w:rPr>
                <w:sz w:val="18"/>
              </w:rPr>
              <w:t>Advertised qualification, scheduling, summaries, quote assistance and deal analysis</w:t>
            </w:r>
          </w:p>
        </w:tc>
        <w:tc>
          <w:tcPr>
            <w:tcW w:type="dxa" w:w="3456"/>
          </w:tcPr>
          <w:p>
            <w:pPr>
              <w:spacing w:after="80" w:before="80" w:line="245" w:lineRule="auto"/>
            </w:pPr>
            <w:r>
              <w:rPr>
                <w:sz w:val="18"/>
              </w:rPr>
              <w:t>Edition, rollout, model, permissions, data volume and usage rules vary</w:t>
            </w:r>
          </w:p>
        </w:tc>
        <w:tc>
          <w:tcPr>
            <w:tcW w:type="dxa" w:w="2664"/>
          </w:tcPr>
          <w:p>
            <w:pPr>
              <w:spacing w:after="80" w:before="80" w:line="245" w:lineRule="auto"/>
            </w:pPr>
            <w:r>
              <w:rPr>
                <w:sz w:val="18"/>
              </w:rPr>
              <w:t>Draft assistance may help; autonomous negotiation and predictive upgrades are poor first priorities</w:t>
            </w:r>
          </w:p>
        </w:tc>
      </w:tr>
      <w:tr>
        <w:trPr>
          <w:cantSplit/>
        </w:trPr>
        <w:tc>
          <w:tcPr>
            <w:tcW w:type="dxa" w:w="1656"/>
          </w:tcPr>
          <w:p>
            <w:pPr>
              <w:spacing w:after="80" w:before="80" w:line="245" w:lineRule="auto"/>
            </w:pPr>
            <w:r>
              <w:rPr>
                <w:sz w:val="18"/>
              </w:rPr>
              <w:t>Marketplace Lead Finder</w:t>
            </w:r>
          </w:p>
        </w:tc>
        <w:tc>
          <w:tcPr>
            <w:tcW w:type="dxa" w:w="2592"/>
          </w:tcPr>
          <w:p>
            <w:pPr>
              <w:spacing w:after="80" w:before="80" w:line="245" w:lineRule="auto"/>
            </w:pPr>
            <w:r>
              <w:rPr>
                <w:sz w:val="18"/>
              </w:rPr>
              <w:t>Searches businesses using keywords/location and Google Maps API</w:t>
            </w:r>
          </w:p>
        </w:tc>
        <w:tc>
          <w:tcPr>
            <w:tcW w:type="dxa" w:w="3456"/>
          </w:tcPr>
          <w:p>
            <w:pPr>
              <w:spacing w:after="80" w:before="80" w:line="245" w:lineRule="auto"/>
            </w:pPr>
            <w:r>
              <w:rPr>
                <w:sz w:val="18"/>
              </w:rPr>
              <w:t>Third-party Zenith Innovations product; paid extension and external API dependency</w:t>
            </w:r>
          </w:p>
        </w:tc>
        <w:tc>
          <w:tcPr>
            <w:tcW w:type="dxa" w:w="2664"/>
          </w:tcPr>
          <w:p>
            <w:pPr>
              <w:spacing w:after="80" w:before="80" w:line="245" w:lineRule="auto"/>
            </w:pPr>
            <w:r>
              <w:rPr>
                <w:sz w:val="18"/>
              </w:rPr>
              <w:t>Potential discovery tool, but school office listings do not establish ensemble suitability</w:t>
            </w:r>
          </w:p>
        </w:tc>
      </w:tr>
      <w:tr>
        <w:trPr>
          <w:cantSplit/>
        </w:trPr>
        <w:tc>
          <w:tcPr>
            <w:tcW w:type="dxa" w:w="1656"/>
          </w:tcPr>
          <w:p>
            <w:pPr>
              <w:spacing w:after="80" w:before="80" w:line="245" w:lineRule="auto"/>
            </w:pPr>
            <w:r>
              <w:rPr>
                <w:sz w:val="18"/>
              </w:rPr>
              <w:t>Forms, Sign and finance integrations</w:t>
            </w:r>
          </w:p>
        </w:tc>
        <w:tc>
          <w:tcPr>
            <w:tcW w:type="dxa" w:w="2592"/>
          </w:tcPr>
          <w:p>
            <w:pPr>
              <w:spacing w:after="80" w:before="80" w:line="245" w:lineRule="auto"/>
            </w:pPr>
            <w:r>
              <w:rPr>
                <w:sz w:val="18"/>
              </w:rPr>
              <w:t>Inquiry/registration capture, signatures, and payment/accounting connections</w:t>
            </w:r>
          </w:p>
        </w:tc>
        <w:tc>
          <w:tcPr>
            <w:tcW w:type="dxa" w:w="3456"/>
          </w:tcPr>
          <w:p>
            <w:pPr>
              <w:spacing w:after="80" w:before="80" w:line="245" w:lineRule="auto"/>
            </w:pPr>
            <w:r>
              <w:rPr>
                <w:sz w:val="18"/>
              </w:rPr>
              <w:t>Separate plans or bundle entitlements, payment provider fees, signing credits, reconciliation</w:t>
            </w:r>
          </w:p>
        </w:tc>
        <w:tc>
          <w:tcPr>
            <w:tcW w:type="dxa" w:w="2664"/>
          </w:tcPr>
          <w:p>
            <w:pPr>
              <w:spacing w:after="80" w:before="80" w:line="245" w:lineRule="auto"/>
            </w:pPr>
            <w:r>
              <w:rPr>
                <w:sz w:val="18"/>
              </w:rPr>
              <w:t>Use existing working tools; add only the missing handoff</w:t>
            </w:r>
          </w:p>
        </w:tc>
      </w:tr>
    </w:tbl>
    <w:p>
      <w:pPr>
        <w:spacing w:after="20"/>
      </w:pPr>
    </w:p>
    <w:p>
      <w:r>
        <w:t xml:space="preserve">Product facts: CRM and licensing </w:t>
      </w:r>
      <w:hyperlink r:id="rId9">
        <w:r>
          <w:rPr>
            <w:color w:val="303030"/>
            <w:vertAlign w:val="superscript"/>
          </w:rPr>
          <w:t>1</w:t>
        </w:r>
      </w:hyperlink>
      <w:r>
        <w:rPr>
          <w:vertAlign w:val="superscript"/>
        </w:rPr>
        <w:t xml:space="preserve">, </w:t>
      </w:r>
      <w:r>
        <w:rPr>
          <w:vertAlign w:val="superscript"/>
        </w:rPr>
        <w:footnoteReference w:id="11"/>
      </w:r>
      <w:r>
        <w:t xml:space="preserve">; Bigin </w:t>
      </w:r>
      <w:hyperlink r:id="rId10">
        <w:r>
          <w:rPr>
            <w:color w:val="303030"/>
            <w:vertAlign w:val="superscript"/>
          </w:rPr>
          <w:t>6</w:t>
        </w:r>
      </w:hyperlink>
      <w:r>
        <w:t xml:space="preserve">; One </w:t>
      </w:r>
      <w:hyperlink r:id="rId11">
        <w:r>
          <w:rPr>
            <w:color w:val="303030"/>
            <w:vertAlign w:val="superscript"/>
          </w:rPr>
          <w:t>7</w:t>
        </w:r>
      </w:hyperlink>
      <w:r>
        <w:rPr>
          <w:vertAlign w:val="superscript"/>
        </w:rPr>
        <w:t xml:space="preserve">, </w:t>
      </w:r>
      <w:r>
        <w:rPr>
          <w:vertAlign w:val="superscript"/>
        </w:rPr>
        <w:footnoteReference w:id="12"/>
      </w:r>
      <w:r>
        <w:t xml:space="preserve">; Campaigns </w:t>
      </w:r>
      <w:r>
        <w:rPr>
          <w:vertAlign w:val="superscript"/>
        </w:rPr>
        <w:footnoteReference w:id="13"/>
      </w:r>
      <w:r>
        <w:t xml:space="preserve">; Marketing Automation </w:t>
      </w:r>
      <w:r>
        <w:rPr>
          <w:vertAlign w:val="superscript"/>
        </w:rPr>
        <w:footnoteReference w:id="14"/>
      </w:r>
      <w:r>
        <w:t xml:space="preserve">; SalesIQ </w:t>
      </w:r>
      <w:r>
        <w:rPr>
          <w:vertAlign w:val="superscript"/>
        </w:rPr>
        <w:footnoteReference w:id="15"/>
      </w:r>
      <w:r>
        <w:t xml:space="preserve">; enrichment </w:t>
      </w:r>
      <w:hyperlink r:id="rId12">
        <w:r>
          <w:rPr>
            <w:color w:val="303030"/>
            <w:vertAlign w:val="superscript"/>
          </w:rPr>
          <w:t>2</w:t>
        </w:r>
      </w:hyperlink>
      <w:r>
        <w:t xml:space="preserve">; agents </w:t>
      </w:r>
      <w:r>
        <w:rPr>
          <w:vertAlign w:val="superscript"/>
        </w:rPr>
        <w:footnoteReference w:id="16"/>
      </w:r>
      <w:r>
        <w:t xml:space="preserve">; Lead Finder </w:t>
      </w:r>
      <w:hyperlink r:id="rId13">
        <w:r>
          <w:rPr>
            <w:color w:val="303030"/>
            <w:vertAlign w:val="superscript"/>
          </w:rPr>
          <w:t>3</w:t>
        </w:r>
      </w:hyperlink>
      <w:r>
        <w:t xml:space="preserve">; forms and signatures </w:t>
      </w:r>
      <w:r>
        <w:rPr>
          <w:vertAlign w:val="superscript"/>
        </w:rPr>
        <w:footnoteReference w:id="17"/>
      </w:r>
      <w:r>
        <w:rPr>
          <w:vertAlign w:val="superscript"/>
        </w:rPr>
        <w:t xml:space="preserve">, </w:t>
      </w:r>
      <w:r>
        <w:rPr>
          <w:vertAlign w:val="superscript"/>
        </w:rPr>
        <w:footnoteReference w:id="18"/>
      </w:r>
      <w:r>
        <w:t>.</w:t>
      </w:r>
    </w:p>
    <w:p>
      <w:pPr>
        <w:pStyle w:val="Heading2"/>
      </w:pPr>
      <w:r>
        <w:t>Discovery and enrichment are different</w:t>
      </w:r>
    </w:p>
    <w:p>
      <w:r>
        <w:t>Zia’s documented enrichment starts with information entered into a CRM record, then looks for additional public information. It can help fill gaps; it does not establish a purchased database of school music ensembles with available travel budgets. The help documentation limits enrichment to English websites and lists regional availability, including the US. Treat every returned contact as a candidate requiring provenance and verification.</w:t>
      </w:r>
      <w:hyperlink r:id="rId12">
        <w:r>
          <w:rPr>
            <w:color w:val="303030"/>
            <w:vertAlign w:val="superscript"/>
          </w:rPr>
          <w:t>2</w:t>
        </w:r>
      </w:hyperlink>
    </w:p>
    <w:p>
      <w:r>
        <w:t>Lead Finder is a concrete example of genuine discovery available through the Zoho ecosystem: a third-party extension searches businesses by keyword and location. Its existence prevents the overly broad claim that “nothing in Zoho can find prospects.” But discovery through Google Maps is not evidence of the right ensemble type, current director, artistic eligibility, willingness to travel, or approval timing. No evidence establishes that Troen uses this extension.</w:t>
      </w:r>
      <w:hyperlink r:id="rId13">
        <w:r>
          <w:rPr>
            <w:color w:val="303030"/>
            <w:vertAlign w:val="superscript"/>
          </w:rPr>
          <w:t>3</w:t>
        </w:r>
      </w:hyperlink>
    </w:p>
    <w:p>
      <w:r>
        <w:t>SalesIQ can pass information collected from website forms into visitor records. Its Enterprise profile enrichment supplies company context, including through a visitor’s email address. That is useful context for an inquiry; it is not a guarantee of identifying an anonymous individual or their school purchasing authority.</w:t>
      </w:r>
      <w:r>
        <w:rPr>
          <w:vertAlign w:val="superscript"/>
        </w:rPr>
        <w:footnoteReference w:id="19"/>
      </w:r>
      <w:r>
        <w:rPr>
          <w:vertAlign w:val="superscript"/>
        </w:rPr>
        <w:t xml:space="preserve">, </w:t>
      </w:r>
      <w:r>
        <w:rPr>
          <w:vertAlign w:val="superscript"/>
        </w:rPr>
        <w:footnoteReference w:id="20"/>
      </w:r>
    </w:p>
    <w:p>
      <w:pPr>
        <w:pStyle w:val="Heading2"/>
      </w:pPr>
      <w:r>
        <w:t>AI should support a small sales process</w:t>
      </w:r>
    </w:p>
    <w:p>
      <w:r>
        <w:t>Zoho advertises SDR, follow-up scheduling, deal-analysis and quote-generation agents. This expands the automation menu, but does not establish that an agent brings its own suitable prospect database or can judge school travel feasibility. Availability in a marketing page should be reconciled with Troen’s edition, data center, deployment mode and credit dashboard.</w:t>
      </w:r>
      <w:hyperlink r:id="rId14">
        <w:r>
          <w:rPr>
            <w:color w:val="303030"/>
            <w:vertAlign w:val="superscript"/>
          </w:rPr>
          <w:t>16</w:t>
        </w:r>
      </w:hyperlink>
    </w:p>
    <w:p>
      <w:r>
        <w:t>Assessment: with one reported participating group and a small target, simple evidence-based qualification is more useful than a statistically impressive-looking win score. Start with human-reviewed summaries and drafts using verified event facts. Keep price concessions, performance eligibility, capacity promises, school approval claims, contracts and payment status under named human control. Some CRM AI features have minimum-seat gates exceeding a 1–5 person team; paying for an edition does not unlock every advertised AI feature.</w:t>
      </w:r>
      <w:r>
        <w:rPr>
          <w:vertAlign w:val="superscript"/>
        </w:rPr>
        <w:footnoteReference w:id="21"/>
      </w:r>
    </w:p>
    <w:p>
      <w:pPr>
        <w:pStyle w:val="Heading1"/>
      </w:pPr>
      <w:r>
        <w:t>US pricing and ownership costs</w:t>
      </w:r>
    </w:p>
    <w:p>
      <w:pPr>
        <w:pStyle w:val="Heading2"/>
      </w:pPr>
      <w:r>
        <w:t>Core licenses for 1 3 and 5 users</w:t>
      </w:r>
    </w:p>
    <w:p>
      <w:r>
        <w:t xml:space="preserve">Each team-cost cell below shows </w:t>
      </w:r>
      <w:r>
        <w:rPr>
          <w:b/>
        </w:rPr>
        <w:t>monthly bill / annual upfront bill</w:t>
      </w:r>
      <w:r>
        <w:t>. The first uses monthly billing; the second uses the annual rate multiplied by 12. They are alternative billing arrangements, not amounts to add together. A full year of monthly billing costs 12 times the monthly bill. All seats are full users; no sharing of logins, free/paid edition mixing, nonprofit discounts, partner discounts, or taxes are assumed.</w:t>
      </w:r>
    </w:p>
    <w:tbl>
      <w:tblPr>
        <w:tblW w:type="auto" w:w="0"/>
        <w:tblLayout w:type="fixed"/>
        <w:tblLook w:firstColumn="1" w:firstRow="1" w:lastColumn="0" w:lastRow="0" w:noHBand="0" w:noVBand="1" w:val="04A0"/>
        <w:tblBorders>
          <w:top w:val="single" w:sz="4" w:color="C8C8C8"/>
          <w:left w:val="single" w:sz="4" w:color="C8C8C8"/>
          <w:bottom w:val="single" w:sz="4" w:color="C8C8C8"/>
          <w:right w:val="single" w:sz="4" w:color="C8C8C8"/>
          <w:insideH w:val="single" w:sz="4" w:color="C8C8C8"/>
          <w:insideV w:val="single" w:sz="4" w:color="C8C8C8"/>
        </w:tblBorders>
      </w:tblPr>
      <w:tblGrid>
        <w:gridCol w:w="2074"/>
        <w:gridCol w:w="2074"/>
        <w:gridCol w:w="2074"/>
        <w:gridCol w:w="2074"/>
        <w:gridCol w:w="2074"/>
      </w:tblGrid>
      <w:tr>
        <w:trPr>
          <w:cantSplit/>
          <w:tblHeader/>
        </w:trPr>
        <w:tc>
          <w:tcPr>
            <w:tcW w:type="dxa" w:w="3096"/>
            <w:shd w:fill="EAEAEA"/>
          </w:tcPr>
          <w:p>
            <w:pPr>
              <w:spacing w:after="80" w:before="80" w:line="245" w:lineRule="auto"/>
            </w:pPr>
            <w:r>
              <w:rPr>
                <w:b/>
                <w:sz w:val="18"/>
              </w:rPr>
              <w:t>Plan</w:t>
            </w:r>
          </w:p>
        </w:tc>
        <w:tc>
          <w:tcPr>
            <w:tcW w:type="dxa" w:w="2160"/>
            <w:shd w:fill="EAEAEA"/>
          </w:tcPr>
          <w:p>
            <w:pPr>
              <w:spacing w:after="80" w:before="80" w:line="245" w:lineRule="auto"/>
            </w:pPr>
            <w:r>
              <w:rPr>
                <w:b/>
                <w:sz w:val="18"/>
              </w:rPr>
              <w:t>Per user per month monthly / annual term</w:t>
            </w:r>
          </w:p>
        </w:tc>
        <w:tc>
          <w:tcPr>
            <w:tcW w:type="dxa" w:w="1699"/>
            <w:shd w:fill="EAEAEA"/>
          </w:tcPr>
          <w:p>
            <w:pPr>
              <w:spacing w:after="80" w:before="80" w:line="245" w:lineRule="auto"/>
            </w:pPr>
            <w:r>
              <w:rPr>
                <w:b/>
                <w:sz w:val="18"/>
              </w:rPr>
              <w:t>1 user M / A</w:t>
            </w:r>
          </w:p>
        </w:tc>
        <w:tc>
          <w:tcPr>
            <w:tcW w:type="dxa" w:w="1699"/>
            <w:shd w:fill="EAEAEA"/>
          </w:tcPr>
          <w:p>
            <w:pPr>
              <w:spacing w:after="80" w:before="80" w:line="245" w:lineRule="auto"/>
            </w:pPr>
            <w:r>
              <w:rPr>
                <w:b/>
                <w:sz w:val="18"/>
              </w:rPr>
              <w:t>3 users M / A</w:t>
            </w:r>
          </w:p>
        </w:tc>
        <w:tc>
          <w:tcPr>
            <w:tcW w:type="dxa" w:w="1714"/>
            <w:shd w:fill="EAEAEA"/>
          </w:tcPr>
          <w:p>
            <w:pPr>
              <w:spacing w:after="80" w:before="80" w:line="245" w:lineRule="auto"/>
            </w:pPr>
            <w:r>
              <w:rPr>
                <w:b/>
                <w:sz w:val="18"/>
              </w:rPr>
              <w:t>5 users M / A</w:t>
            </w:r>
          </w:p>
        </w:tc>
      </w:tr>
      <w:tr>
        <w:trPr>
          <w:cantSplit/>
        </w:trPr>
        <w:tc>
          <w:tcPr>
            <w:tcW w:type="dxa" w:w="3096"/>
          </w:tcPr>
          <w:p>
            <w:pPr>
              <w:spacing w:after="80" w:before="80" w:line="245" w:lineRule="auto"/>
            </w:pPr>
            <w:r>
              <w:rPr>
                <w:sz w:val="18"/>
              </w:rPr>
              <w:t>CRM Free</w:t>
            </w:r>
          </w:p>
        </w:tc>
        <w:tc>
          <w:tcPr>
            <w:tcW w:type="dxa" w:w="2160"/>
          </w:tcPr>
          <w:p>
            <w:pPr>
              <w:spacing w:after="80" w:before="80" w:line="245" w:lineRule="auto"/>
            </w:pPr>
            <w:r>
              <w:rPr>
                <w:sz w:val="18"/>
              </w:rPr>
              <w:t>$0; up to 3 users</w:t>
            </w:r>
          </w:p>
        </w:tc>
        <w:tc>
          <w:tcPr>
            <w:tcW w:type="dxa" w:w="1699"/>
          </w:tcPr>
          <w:p>
            <w:pPr>
              <w:spacing w:after="80" w:before="80" w:line="245" w:lineRule="auto"/>
            </w:pPr>
            <w:r>
              <w:rPr>
                <w:sz w:val="18"/>
              </w:rPr>
              <w:t>$0 / $0</w:t>
            </w:r>
          </w:p>
        </w:tc>
        <w:tc>
          <w:tcPr>
            <w:tcW w:type="dxa" w:w="1699"/>
          </w:tcPr>
          <w:p>
            <w:pPr>
              <w:spacing w:after="80" w:before="80" w:line="245" w:lineRule="auto"/>
            </w:pPr>
            <w:r>
              <w:rPr>
                <w:sz w:val="18"/>
              </w:rPr>
              <w:t>$0 / $0</w:t>
            </w:r>
          </w:p>
        </w:tc>
        <w:tc>
          <w:tcPr>
            <w:tcW w:type="dxa" w:w="1714"/>
          </w:tcPr>
          <w:p>
            <w:pPr>
              <w:spacing w:after="80" w:before="80" w:line="245" w:lineRule="auto"/>
            </w:pPr>
            <w:r>
              <w:rPr>
                <w:sz w:val="18"/>
              </w:rPr>
              <w:t>Not available</w:t>
            </w:r>
          </w:p>
        </w:tc>
      </w:tr>
      <w:tr>
        <w:trPr>
          <w:cantSplit/>
        </w:trPr>
        <w:tc>
          <w:tcPr>
            <w:tcW w:type="dxa" w:w="3096"/>
          </w:tcPr>
          <w:p>
            <w:pPr>
              <w:spacing w:after="80" w:before="80" w:line="245" w:lineRule="auto"/>
            </w:pPr>
            <w:r>
              <w:rPr>
                <w:sz w:val="18"/>
              </w:rPr>
              <w:t>CRM Standard</w:t>
            </w:r>
          </w:p>
        </w:tc>
        <w:tc>
          <w:tcPr>
            <w:tcW w:type="dxa" w:w="2160"/>
          </w:tcPr>
          <w:p>
            <w:pPr>
              <w:spacing w:after="80" w:before="80" w:line="245" w:lineRule="auto"/>
            </w:pPr>
            <w:r>
              <w:rPr>
                <w:sz w:val="18"/>
              </w:rPr>
              <w:t>$20 / $14</w:t>
            </w:r>
          </w:p>
        </w:tc>
        <w:tc>
          <w:tcPr>
            <w:tcW w:type="dxa" w:w="1699"/>
          </w:tcPr>
          <w:p>
            <w:pPr>
              <w:spacing w:after="80" w:before="80" w:line="245" w:lineRule="auto"/>
            </w:pPr>
            <w:r>
              <w:rPr>
                <w:sz w:val="18"/>
              </w:rPr>
              <w:t>$20 / $168</w:t>
            </w:r>
          </w:p>
        </w:tc>
        <w:tc>
          <w:tcPr>
            <w:tcW w:type="dxa" w:w="1699"/>
          </w:tcPr>
          <w:p>
            <w:pPr>
              <w:spacing w:after="80" w:before="80" w:line="245" w:lineRule="auto"/>
            </w:pPr>
            <w:r>
              <w:rPr>
                <w:sz w:val="18"/>
              </w:rPr>
              <w:t>$60 / $504</w:t>
            </w:r>
          </w:p>
        </w:tc>
        <w:tc>
          <w:tcPr>
            <w:tcW w:type="dxa" w:w="1714"/>
          </w:tcPr>
          <w:p>
            <w:pPr>
              <w:spacing w:after="80" w:before="80" w:line="245" w:lineRule="auto"/>
            </w:pPr>
            <w:r>
              <w:rPr>
                <w:sz w:val="18"/>
              </w:rPr>
              <w:t>$100 / $840</w:t>
            </w:r>
          </w:p>
        </w:tc>
      </w:tr>
      <w:tr>
        <w:trPr>
          <w:cantSplit/>
        </w:trPr>
        <w:tc>
          <w:tcPr>
            <w:tcW w:type="dxa" w:w="3096"/>
          </w:tcPr>
          <w:p>
            <w:pPr>
              <w:spacing w:after="80" w:before="80" w:line="245" w:lineRule="auto"/>
            </w:pPr>
            <w:r>
              <w:rPr>
                <w:sz w:val="18"/>
              </w:rPr>
              <w:t>CRM Professional</w:t>
            </w:r>
          </w:p>
        </w:tc>
        <w:tc>
          <w:tcPr>
            <w:tcW w:type="dxa" w:w="2160"/>
          </w:tcPr>
          <w:p>
            <w:pPr>
              <w:spacing w:after="80" w:before="80" w:line="245" w:lineRule="auto"/>
            </w:pPr>
            <w:r>
              <w:rPr>
                <w:sz w:val="18"/>
              </w:rPr>
              <w:t>$35 / $23</w:t>
            </w:r>
          </w:p>
        </w:tc>
        <w:tc>
          <w:tcPr>
            <w:tcW w:type="dxa" w:w="1699"/>
          </w:tcPr>
          <w:p>
            <w:pPr>
              <w:spacing w:after="80" w:before="80" w:line="245" w:lineRule="auto"/>
            </w:pPr>
            <w:r>
              <w:rPr>
                <w:sz w:val="18"/>
              </w:rPr>
              <w:t>$35 / $276</w:t>
            </w:r>
          </w:p>
        </w:tc>
        <w:tc>
          <w:tcPr>
            <w:tcW w:type="dxa" w:w="1699"/>
          </w:tcPr>
          <w:p>
            <w:pPr>
              <w:spacing w:after="80" w:before="80" w:line="245" w:lineRule="auto"/>
            </w:pPr>
            <w:r>
              <w:rPr>
                <w:sz w:val="18"/>
              </w:rPr>
              <w:t>$105 / $828</w:t>
            </w:r>
          </w:p>
        </w:tc>
        <w:tc>
          <w:tcPr>
            <w:tcW w:type="dxa" w:w="1714"/>
          </w:tcPr>
          <w:p>
            <w:pPr>
              <w:spacing w:after="80" w:before="80" w:line="245" w:lineRule="auto"/>
            </w:pPr>
            <w:r>
              <w:rPr>
                <w:sz w:val="18"/>
              </w:rPr>
              <w:t>$175 / $1,380</w:t>
            </w:r>
          </w:p>
        </w:tc>
      </w:tr>
      <w:tr>
        <w:trPr>
          <w:cantSplit/>
        </w:trPr>
        <w:tc>
          <w:tcPr>
            <w:tcW w:type="dxa" w:w="3096"/>
          </w:tcPr>
          <w:p>
            <w:pPr>
              <w:spacing w:after="80" w:before="80" w:line="245" w:lineRule="auto"/>
            </w:pPr>
            <w:r>
              <w:rPr>
                <w:sz w:val="18"/>
              </w:rPr>
              <w:t>CRM Enterprise</w:t>
            </w:r>
          </w:p>
        </w:tc>
        <w:tc>
          <w:tcPr>
            <w:tcW w:type="dxa" w:w="2160"/>
          </w:tcPr>
          <w:p>
            <w:pPr>
              <w:spacing w:after="80" w:before="80" w:line="245" w:lineRule="auto"/>
            </w:pPr>
            <w:r>
              <w:rPr>
                <w:sz w:val="18"/>
              </w:rPr>
              <w:t>$50 / $40</w:t>
            </w:r>
          </w:p>
        </w:tc>
        <w:tc>
          <w:tcPr>
            <w:tcW w:type="dxa" w:w="1699"/>
          </w:tcPr>
          <w:p>
            <w:pPr>
              <w:spacing w:after="80" w:before="80" w:line="245" w:lineRule="auto"/>
            </w:pPr>
            <w:r>
              <w:rPr>
                <w:sz w:val="18"/>
              </w:rPr>
              <w:t>$50 / $480</w:t>
            </w:r>
          </w:p>
        </w:tc>
        <w:tc>
          <w:tcPr>
            <w:tcW w:type="dxa" w:w="1699"/>
          </w:tcPr>
          <w:p>
            <w:pPr>
              <w:spacing w:after="80" w:before="80" w:line="245" w:lineRule="auto"/>
            </w:pPr>
            <w:r>
              <w:rPr>
                <w:sz w:val="18"/>
              </w:rPr>
              <w:t>$150 / $1,440</w:t>
            </w:r>
          </w:p>
        </w:tc>
        <w:tc>
          <w:tcPr>
            <w:tcW w:type="dxa" w:w="1714"/>
          </w:tcPr>
          <w:p>
            <w:pPr>
              <w:spacing w:after="80" w:before="80" w:line="245" w:lineRule="auto"/>
            </w:pPr>
            <w:r>
              <w:rPr>
                <w:sz w:val="18"/>
              </w:rPr>
              <w:t>$250 / $2,400</w:t>
            </w:r>
          </w:p>
        </w:tc>
      </w:tr>
      <w:tr>
        <w:trPr>
          <w:cantSplit/>
        </w:trPr>
        <w:tc>
          <w:tcPr>
            <w:tcW w:type="dxa" w:w="3096"/>
          </w:tcPr>
          <w:p>
            <w:pPr>
              <w:spacing w:after="80" w:before="80" w:line="245" w:lineRule="auto"/>
            </w:pPr>
            <w:r>
              <w:rPr>
                <w:sz w:val="18"/>
              </w:rPr>
              <w:t>CRM Ultimate</w:t>
            </w:r>
          </w:p>
        </w:tc>
        <w:tc>
          <w:tcPr>
            <w:tcW w:type="dxa" w:w="2160"/>
          </w:tcPr>
          <w:p>
            <w:pPr>
              <w:spacing w:after="80" w:before="80" w:line="245" w:lineRule="auto"/>
            </w:pPr>
            <w:r>
              <w:rPr>
                <w:sz w:val="18"/>
              </w:rPr>
              <w:t>$65 / $52</w:t>
            </w:r>
          </w:p>
        </w:tc>
        <w:tc>
          <w:tcPr>
            <w:tcW w:type="dxa" w:w="1699"/>
          </w:tcPr>
          <w:p>
            <w:pPr>
              <w:spacing w:after="80" w:before="80" w:line="245" w:lineRule="auto"/>
            </w:pPr>
            <w:r>
              <w:rPr>
                <w:sz w:val="18"/>
              </w:rPr>
              <w:t>$65 / $624</w:t>
            </w:r>
          </w:p>
        </w:tc>
        <w:tc>
          <w:tcPr>
            <w:tcW w:type="dxa" w:w="1699"/>
          </w:tcPr>
          <w:p>
            <w:pPr>
              <w:spacing w:after="80" w:before="80" w:line="245" w:lineRule="auto"/>
            </w:pPr>
            <w:r>
              <w:rPr>
                <w:sz w:val="18"/>
              </w:rPr>
              <w:t>$195 / $1,872</w:t>
            </w:r>
          </w:p>
        </w:tc>
        <w:tc>
          <w:tcPr>
            <w:tcW w:type="dxa" w:w="1714"/>
          </w:tcPr>
          <w:p>
            <w:pPr>
              <w:spacing w:after="80" w:before="80" w:line="245" w:lineRule="auto"/>
            </w:pPr>
            <w:r>
              <w:rPr>
                <w:sz w:val="18"/>
              </w:rPr>
              <w:t>$325 / $3,120</w:t>
            </w:r>
          </w:p>
        </w:tc>
      </w:tr>
      <w:tr>
        <w:trPr>
          <w:cantSplit/>
        </w:trPr>
        <w:tc>
          <w:tcPr>
            <w:tcW w:type="dxa" w:w="3096"/>
          </w:tcPr>
          <w:p>
            <w:pPr>
              <w:spacing w:after="80" w:before="80" w:line="245" w:lineRule="auto"/>
            </w:pPr>
            <w:r>
              <w:rPr>
                <w:sz w:val="18"/>
              </w:rPr>
              <w:t>Bigin Free</w:t>
            </w:r>
          </w:p>
        </w:tc>
        <w:tc>
          <w:tcPr>
            <w:tcW w:type="dxa" w:w="2160"/>
          </w:tcPr>
          <w:p>
            <w:pPr>
              <w:spacing w:after="80" w:before="80" w:line="245" w:lineRule="auto"/>
            </w:pPr>
            <w:r>
              <w:rPr>
                <w:sz w:val="18"/>
              </w:rPr>
              <w:t>$0; 1 user only</w:t>
            </w:r>
          </w:p>
        </w:tc>
        <w:tc>
          <w:tcPr>
            <w:tcW w:type="dxa" w:w="1699"/>
          </w:tcPr>
          <w:p>
            <w:pPr>
              <w:spacing w:after="80" w:before="80" w:line="245" w:lineRule="auto"/>
            </w:pPr>
            <w:r>
              <w:rPr>
                <w:sz w:val="18"/>
              </w:rPr>
              <w:t>$0 / $0</w:t>
            </w:r>
          </w:p>
        </w:tc>
        <w:tc>
          <w:tcPr>
            <w:tcW w:type="dxa" w:w="1699"/>
          </w:tcPr>
          <w:p>
            <w:pPr>
              <w:spacing w:after="80" w:before="80" w:line="245" w:lineRule="auto"/>
            </w:pPr>
            <w:r>
              <w:rPr>
                <w:sz w:val="18"/>
              </w:rPr>
              <w:t>Not available</w:t>
            </w:r>
          </w:p>
        </w:tc>
        <w:tc>
          <w:tcPr>
            <w:tcW w:type="dxa" w:w="1714"/>
          </w:tcPr>
          <w:p>
            <w:pPr>
              <w:spacing w:after="80" w:before="80" w:line="245" w:lineRule="auto"/>
            </w:pPr>
            <w:r>
              <w:rPr>
                <w:sz w:val="18"/>
              </w:rPr>
              <w:t>Not available</w:t>
            </w:r>
          </w:p>
        </w:tc>
      </w:tr>
      <w:tr>
        <w:trPr>
          <w:cantSplit/>
        </w:trPr>
        <w:tc>
          <w:tcPr>
            <w:tcW w:type="dxa" w:w="3096"/>
          </w:tcPr>
          <w:p>
            <w:pPr>
              <w:spacing w:after="80" w:before="80" w:line="245" w:lineRule="auto"/>
            </w:pPr>
            <w:r>
              <w:rPr>
                <w:sz w:val="18"/>
              </w:rPr>
              <w:t>Bigin Express</w:t>
            </w:r>
          </w:p>
        </w:tc>
        <w:tc>
          <w:tcPr>
            <w:tcW w:type="dxa" w:w="2160"/>
          </w:tcPr>
          <w:p>
            <w:pPr>
              <w:spacing w:after="80" w:before="80" w:line="245" w:lineRule="auto"/>
            </w:pPr>
            <w:r>
              <w:rPr>
                <w:sz w:val="18"/>
              </w:rPr>
              <w:t>$9 / $7</w:t>
            </w:r>
          </w:p>
        </w:tc>
        <w:tc>
          <w:tcPr>
            <w:tcW w:type="dxa" w:w="1699"/>
          </w:tcPr>
          <w:p>
            <w:pPr>
              <w:spacing w:after="80" w:before="80" w:line="245" w:lineRule="auto"/>
            </w:pPr>
            <w:r>
              <w:rPr>
                <w:sz w:val="18"/>
              </w:rPr>
              <w:t>$9 / $84</w:t>
            </w:r>
          </w:p>
        </w:tc>
        <w:tc>
          <w:tcPr>
            <w:tcW w:type="dxa" w:w="1699"/>
          </w:tcPr>
          <w:p>
            <w:pPr>
              <w:spacing w:after="80" w:before="80" w:line="245" w:lineRule="auto"/>
            </w:pPr>
            <w:r>
              <w:rPr>
                <w:sz w:val="18"/>
              </w:rPr>
              <w:t>$27 / $252</w:t>
            </w:r>
          </w:p>
        </w:tc>
        <w:tc>
          <w:tcPr>
            <w:tcW w:type="dxa" w:w="1714"/>
          </w:tcPr>
          <w:p>
            <w:pPr>
              <w:spacing w:after="80" w:before="80" w:line="245" w:lineRule="auto"/>
            </w:pPr>
            <w:r>
              <w:rPr>
                <w:sz w:val="18"/>
              </w:rPr>
              <w:t>$45 / $420</w:t>
            </w:r>
          </w:p>
        </w:tc>
      </w:tr>
      <w:tr>
        <w:trPr>
          <w:cantSplit/>
        </w:trPr>
        <w:tc>
          <w:tcPr>
            <w:tcW w:type="dxa" w:w="3096"/>
          </w:tcPr>
          <w:p>
            <w:pPr>
              <w:spacing w:after="80" w:before="80" w:line="245" w:lineRule="auto"/>
            </w:pPr>
            <w:r>
              <w:rPr>
                <w:sz w:val="18"/>
              </w:rPr>
              <w:t>Bigin Premier</w:t>
            </w:r>
          </w:p>
        </w:tc>
        <w:tc>
          <w:tcPr>
            <w:tcW w:type="dxa" w:w="2160"/>
          </w:tcPr>
          <w:p>
            <w:pPr>
              <w:spacing w:after="80" w:before="80" w:line="245" w:lineRule="auto"/>
            </w:pPr>
            <w:r>
              <w:rPr>
                <w:sz w:val="18"/>
              </w:rPr>
              <w:t>$15 / $12</w:t>
            </w:r>
          </w:p>
        </w:tc>
        <w:tc>
          <w:tcPr>
            <w:tcW w:type="dxa" w:w="1699"/>
          </w:tcPr>
          <w:p>
            <w:pPr>
              <w:spacing w:after="80" w:before="80" w:line="245" w:lineRule="auto"/>
            </w:pPr>
            <w:r>
              <w:rPr>
                <w:sz w:val="18"/>
              </w:rPr>
              <w:t>$15 / $144</w:t>
            </w:r>
          </w:p>
        </w:tc>
        <w:tc>
          <w:tcPr>
            <w:tcW w:type="dxa" w:w="1699"/>
          </w:tcPr>
          <w:p>
            <w:pPr>
              <w:spacing w:after="80" w:before="80" w:line="245" w:lineRule="auto"/>
            </w:pPr>
            <w:r>
              <w:rPr>
                <w:sz w:val="18"/>
              </w:rPr>
              <w:t>$45 / $432</w:t>
            </w:r>
          </w:p>
        </w:tc>
        <w:tc>
          <w:tcPr>
            <w:tcW w:type="dxa" w:w="1714"/>
          </w:tcPr>
          <w:p>
            <w:pPr>
              <w:spacing w:after="80" w:before="80" w:line="245" w:lineRule="auto"/>
            </w:pPr>
            <w:r>
              <w:rPr>
                <w:sz w:val="18"/>
              </w:rPr>
              <w:t>$75 / $720</w:t>
            </w:r>
          </w:p>
        </w:tc>
      </w:tr>
      <w:tr>
        <w:trPr>
          <w:cantSplit/>
        </w:trPr>
        <w:tc>
          <w:tcPr>
            <w:tcW w:type="dxa" w:w="3096"/>
          </w:tcPr>
          <w:p>
            <w:pPr>
              <w:spacing w:after="80" w:before="80" w:line="245" w:lineRule="auto"/>
            </w:pPr>
            <w:r>
              <w:rPr>
                <w:sz w:val="18"/>
              </w:rPr>
              <w:t>Bigin 360</w:t>
            </w:r>
          </w:p>
        </w:tc>
        <w:tc>
          <w:tcPr>
            <w:tcW w:type="dxa" w:w="2160"/>
          </w:tcPr>
          <w:p>
            <w:pPr>
              <w:spacing w:after="80" w:before="80" w:line="245" w:lineRule="auto"/>
            </w:pPr>
            <w:r>
              <w:rPr>
                <w:sz w:val="18"/>
              </w:rPr>
              <w:t>$21 / $18</w:t>
            </w:r>
          </w:p>
        </w:tc>
        <w:tc>
          <w:tcPr>
            <w:tcW w:type="dxa" w:w="1699"/>
          </w:tcPr>
          <w:p>
            <w:pPr>
              <w:spacing w:after="80" w:before="80" w:line="245" w:lineRule="auto"/>
            </w:pPr>
            <w:r>
              <w:rPr>
                <w:sz w:val="18"/>
              </w:rPr>
              <w:t>$21 / $216</w:t>
            </w:r>
          </w:p>
        </w:tc>
        <w:tc>
          <w:tcPr>
            <w:tcW w:type="dxa" w:w="1699"/>
          </w:tcPr>
          <w:p>
            <w:pPr>
              <w:spacing w:after="80" w:before="80" w:line="245" w:lineRule="auto"/>
            </w:pPr>
            <w:r>
              <w:rPr>
                <w:sz w:val="18"/>
              </w:rPr>
              <w:t>$63 / $648</w:t>
            </w:r>
          </w:p>
        </w:tc>
        <w:tc>
          <w:tcPr>
            <w:tcW w:type="dxa" w:w="1714"/>
          </w:tcPr>
          <w:p>
            <w:pPr>
              <w:spacing w:after="80" w:before="80" w:line="245" w:lineRule="auto"/>
            </w:pPr>
            <w:r>
              <w:rPr>
                <w:sz w:val="18"/>
              </w:rPr>
              <w:t>$105 / $1,080</w:t>
            </w:r>
          </w:p>
        </w:tc>
      </w:tr>
      <w:tr>
        <w:trPr>
          <w:cantSplit/>
        </w:trPr>
        <w:tc>
          <w:tcPr>
            <w:tcW w:type="dxa" w:w="3096"/>
          </w:tcPr>
          <w:p>
            <w:pPr>
              <w:spacing w:after="80" w:before="80" w:line="245" w:lineRule="auto"/>
            </w:pPr>
            <w:r>
              <w:rPr>
                <w:sz w:val="18"/>
              </w:rPr>
              <w:t>One all employees</w:t>
            </w:r>
          </w:p>
        </w:tc>
        <w:tc>
          <w:tcPr>
            <w:tcW w:type="dxa" w:w="2160"/>
          </w:tcPr>
          <w:p>
            <w:pPr>
              <w:spacing w:after="80" w:before="80" w:line="245" w:lineRule="auto"/>
            </w:pPr>
            <w:r>
              <w:rPr>
                <w:sz w:val="18"/>
              </w:rPr>
              <w:t>$45 / $37</w:t>
            </w:r>
          </w:p>
        </w:tc>
        <w:tc>
          <w:tcPr>
            <w:tcW w:type="dxa" w:w="1699"/>
          </w:tcPr>
          <w:p>
            <w:pPr>
              <w:spacing w:after="80" w:before="80" w:line="245" w:lineRule="auto"/>
            </w:pPr>
            <w:r>
              <w:rPr>
                <w:sz w:val="18"/>
              </w:rPr>
              <w:t>$45 / $444</w:t>
            </w:r>
          </w:p>
        </w:tc>
        <w:tc>
          <w:tcPr>
            <w:tcW w:type="dxa" w:w="1699"/>
          </w:tcPr>
          <w:p>
            <w:pPr>
              <w:spacing w:after="80" w:before="80" w:line="245" w:lineRule="auto"/>
            </w:pPr>
            <w:r>
              <w:rPr>
                <w:sz w:val="18"/>
              </w:rPr>
              <w:t>$135 / $1,332</w:t>
            </w:r>
          </w:p>
        </w:tc>
        <w:tc>
          <w:tcPr>
            <w:tcW w:type="dxa" w:w="1714"/>
          </w:tcPr>
          <w:p>
            <w:pPr>
              <w:spacing w:after="80" w:before="80" w:line="245" w:lineRule="auto"/>
            </w:pPr>
            <w:r>
              <w:rPr>
                <w:sz w:val="18"/>
              </w:rPr>
              <w:t>$225 / $2,220</w:t>
            </w:r>
          </w:p>
        </w:tc>
      </w:tr>
      <w:tr>
        <w:trPr>
          <w:cantSplit/>
        </w:trPr>
        <w:tc>
          <w:tcPr>
            <w:tcW w:type="dxa" w:w="3096"/>
          </w:tcPr>
          <w:p>
            <w:pPr>
              <w:spacing w:after="80" w:before="80" w:line="245" w:lineRule="auto"/>
            </w:pPr>
            <w:r>
              <w:rPr>
                <w:sz w:val="18"/>
              </w:rPr>
              <w:t>One flexible displayed annual offer</w:t>
            </w:r>
          </w:p>
        </w:tc>
        <w:tc>
          <w:tcPr>
            <w:tcW w:type="dxa" w:w="2160"/>
          </w:tcPr>
          <w:p>
            <w:pPr>
              <w:spacing w:after="80" w:before="80" w:line="245" w:lineRule="auto"/>
            </w:pPr>
            <w:r>
              <w:rPr>
                <w:sz w:val="18"/>
              </w:rPr>
              <w:t>$105 / $67</w:t>
            </w:r>
          </w:p>
        </w:tc>
        <w:tc>
          <w:tcPr>
            <w:tcW w:type="dxa" w:w="1699"/>
          </w:tcPr>
          <w:p>
            <w:pPr>
              <w:spacing w:after="80" w:before="80" w:line="245" w:lineRule="auto"/>
            </w:pPr>
            <w:r>
              <w:rPr>
                <w:sz w:val="18"/>
              </w:rPr>
              <w:t>$105 / $804</w:t>
            </w:r>
          </w:p>
        </w:tc>
        <w:tc>
          <w:tcPr>
            <w:tcW w:type="dxa" w:w="1699"/>
          </w:tcPr>
          <w:p>
            <w:pPr>
              <w:spacing w:after="80" w:before="80" w:line="245" w:lineRule="auto"/>
            </w:pPr>
            <w:r>
              <w:rPr>
                <w:sz w:val="18"/>
              </w:rPr>
              <w:t>$315 / $2,412</w:t>
            </w:r>
          </w:p>
        </w:tc>
        <w:tc>
          <w:tcPr>
            <w:tcW w:type="dxa" w:w="1714"/>
          </w:tcPr>
          <w:p>
            <w:pPr>
              <w:spacing w:after="80" w:before="80" w:line="245" w:lineRule="auto"/>
            </w:pPr>
            <w:r>
              <w:rPr>
                <w:sz w:val="18"/>
              </w:rPr>
              <w:t>$525 / $4,020</w:t>
            </w:r>
          </w:p>
        </w:tc>
      </w:tr>
      <w:tr>
        <w:trPr>
          <w:cantSplit/>
        </w:trPr>
        <w:tc>
          <w:tcPr>
            <w:tcW w:type="dxa" w:w="3096"/>
          </w:tcPr>
          <w:p>
            <w:pPr>
              <w:spacing w:after="80" w:before="80" w:line="245" w:lineRule="auto"/>
            </w:pPr>
            <w:r>
              <w:rPr>
                <w:sz w:val="18"/>
              </w:rPr>
              <w:t>One flexible $90 reference scenario</w:t>
            </w:r>
          </w:p>
        </w:tc>
        <w:tc>
          <w:tcPr>
            <w:tcW w:type="dxa" w:w="2160"/>
          </w:tcPr>
          <w:p>
            <w:pPr>
              <w:spacing w:after="80" w:before="80" w:line="245" w:lineRule="auto"/>
            </w:pPr>
            <w:r>
              <w:rPr>
                <w:sz w:val="18"/>
              </w:rPr>
              <w:t>Annual reference only</w:t>
            </w:r>
          </w:p>
        </w:tc>
        <w:tc>
          <w:tcPr>
            <w:tcW w:type="dxa" w:w="1699"/>
          </w:tcPr>
          <w:p>
            <w:pPr>
              <w:spacing w:after="80" w:before="80" w:line="245" w:lineRule="auto"/>
            </w:pPr>
            <w:r>
              <w:rPr>
                <w:sz w:val="18"/>
              </w:rPr>
              <w:t>— / $1,080</w:t>
            </w:r>
          </w:p>
        </w:tc>
        <w:tc>
          <w:tcPr>
            <w:tcW w:type="dxa" w:w="1699"/>
          </w:tcPr>
          <w:p>
            <w:pPr>
              <w:spacing w:after="80" w:before="80" w:line="245" w:lineRule="auto"/>
            </w:pPr>
            <w:r>
              <w:rPr>
                <w:sz w:val="18"/>
              </w:rPr>
              <w:t>— / $3,240</w:t>
            </w:r>
          </w:p>
        </w:tc>
        <w:tc>
          <w:tcPr>
            <w:tcW w:type="dxa" w:w="1714"/>
          </w:tcPr>
          <w:p>
            <w:pPr>
              <w:spacing w:after="80" w:before="80" w:line="245" w:lineRule="auto"/>
            </w:pPr>
            <w:r>
              <w:rPr>
                <w:sz w:val="18"/>
              </w:rPr>
              <w:t>— / $5,400</w:t>
            </w:r>
          </w:p>
        </w:tc>
      </w:tr>
    </w:tbl>
    <w:p>
      <w:pPr>
        <w:spacing w:after="20"/>
      </w:pPr>
    </w:p>
    <w:p>
      <w:r>
        <w:t xml:space="preserve">Sources: live US CRM page for Standard–Enterprise and official USD comparison for Ultimate </w:t>
      </w:r>
      <w:hyperlink r:id="rId9">
        <w:r>
          <w:rPr>
            <w:color w:val="303030"/>
            <w:vertAlign w:val="superscript"/>
          </w:rPr>
          <w:t>1</w:t>
        </w:r>
      </w:hyperlink>
      <w:r>
        <w:rPr>
          <w:vertAlign w:val="superscript"/>
        </w:rPr>
        <w:t xml:space="preserve">, </w:t>
      </w:r>
      <w:r>
        <w:rPr>
          <w:vertAlign w:val="superscript"/>
        </w:rPr>
        <w:footnoteReference w:id="22"/>
      </w:r>
      <w:r>
        <w:t xml:space="preserve">; Bigin </w:t>
      </w:r>
      <w:hyperlink r:id="rId10">
        <w:r>
          <w:rPr>
            <w:color w:val="303030"/>
            <w:vertAlign w:val="superscript"/>
          </w:rPr>
          <w:t>6</w:t>
        </w:r>
      </w:hyperlink>
      <w:r>
        <w:t xml:space="preserve">; One pricing and FAQ </w:t>
      </w:r>
      <w:hyperlink r:id="rId11">
        <w:r>
          <w:rPr>
            <w:color w:val="303030"/>
            <w:vertAlign w:val="superscript"/>
          </w:rPr>
          <w:t>7</w:t>
        </w:r>
      </w:hyperlink>
      <w:r>
        <w:rPr>
          <w:vertAlign w:val="superscript"/>
        </w:rPr>
        <w:t xml:space="preserve">, </w:t>
      </w:r>
      <w:r>
        <w:rPr>
          <w:vertAlign w:val="superscript"/>
        </w:rPr>
        <w:footnoteReference w:id="23"/>
      </w:r>
      <w:r>
        <w:t>. These are published prices, not Troen invoices. CRM and Bigin paid plans are sold per user; One’s FAQ explicitly states no minimum and allows a sole proprietor. CRM’s specifications prohibit mixing editions within one organization.</w:t>
      </w:r>
      <w:hyperlink r:id="rId15">
        <w:r>
          <w:rPr>
            <w:color w:val="303030"/>
            <w:vertAlign w:val="superscript"/>
          </w:rPr>
          <w:t>11</w:t>
        </w:r>
      </w:hyperlink>
      <w:r>
        <w:rPr>
          <w:vertAlign w:val="superscript"/>
        </w:rPr>
        <w:t xml:space="preserve">, </w:t>
      </w:r>
      <w:hyperlink r:id="rId16">
        <w:r>
          <w:rPr>
            <w:color w:val="303030"/>
            <w:vertAlign w:val="superscript"/>
          </w:rPr>
          <w:t>23</w:t>
        </w:r>
      </w:hyperlink>
    </w:p>
    <w:p>
      <w:r>
        <w:rPr>
          <w:b/>
        </w:rPr>
        <w:t>Zoho One qualification.</w:t>
      </w:r>
      <w:r>
        <w:t xml:space="preserve"> All-employee figures assume the number shown is Troen’s entire eligible workforce, not merely the staff who need a CRM. Payroll count and legal-entity boundaries must be confirmed. The all-employee terms include employee-count certification, additional licenses for new employees and audit provisions. School directors and students are not automatically Troen employee seats merely because they are customers.</w:t>
      </w:r>
      <w:r>
        <w:rPr>
          <w:vertAlign w:val="superscript"/>
        </w:rPr>
        <w:footnoteReference w:id="24"/>
      </w:r>
    </w:p>
    <w:p>
      <w:r>
        <w:rPr>
          <w:b/>
        </w:rPr>
        <w:t>Displayed offer versus dependable budget.</w:t>
      </w:r>
      <w:r>
        <w:t xml:space="preserve"> On the access date, the live US-facing One page displayed $67 per flexible user/month annually with $90 crossed out; the live FAQ also showed $67. Monthly pricing showed $105. The public display did not establish Troen’s eligibility, the offer duration or its renewal rate. Use $67 only as an observed offer and keep the $90 scenario until a written subscription summary settles renewal terms. Regional Essentials content also appeared in extracted material; it was not verified as a US offer and is excluded.</w:t>
      </w:r>
      <w:hyperlink r:id="rId11">
        <w:r>
          <w:rPr>
            <w:color w:val="303030"/>
            <w:vertAlign w:val="superscript"/>
          </w:rPr>
          <w:t>7</w:t>
        </w:r>
      </w:hyperlink>
      <w:r>
        <w:rPr>
          <w:vertAlign w:val="superscript"/>
        </w:rPr>
        <w:t xml:space="preserve">, </w:t>
      </w:r>
      <w:hyperlink r:id="rId16">
        <w:r>
          <w:rPr>
            <w:color w:val="303030"/>
            <w:vertAlign w:val="superscript"/>
          </w:rPr>
          <w:t>23</w:t>
        </w:r>
      </w:hyperlink>
    </w:p>
    <w:p>
      <w:pPr>
        <w:pStyle w:val="Heading2"/>
      </w:pPr>
      <w:r>
        <w:t>Marketing and visitor tools</w:t>
      </w:r>
    </w:p>
    <w:p>
      <w:r>
        <w:t>Campaigns and Marketing Automation below are priced per organization at the stated contact tier, so 1, 3 and 5 internal users cost the same within included seats. SalesIQ paid plans are per operator. M / A has the same meaning as in the core table.</w:t>
      </w:r>
    </w:p>
    <w:tbl>
      <w:tblPr>
        <w:tblW w:type="auto" w:w="0"/>
        <w:tblLayout w:type="fixed"/>
        <w:tblLook w:firstColumn="1" w:firstRow="1" w:lastColumn="0" w:lastRow="0" w:noHBand="0" w:noVBand="1" w:val="04A0"/>
        <w:tblBorders>
          <w:top w:val="single" w:sz="4" w:color="C8C8C8"/>
          <w:left w:val="single" w:sz="4" w:color="C8C8C8"/>
          <w:bottom w:val="single" w:sz="4" w:color="C8C8C8"/>
          <w:right w:val="single" w:sz="4" w:color="C8C8C8"/>
          <w:insideH w:val="single" w:sz="4" w:color="C8C8C8"/>
          <w:insideV w:val="single" w:sz="4" w:color="C8C8C8"/>
        </w:tblBorders>
      </w:tblPr>
      <w:tblGrid>
        <w:gridCol w:w="2074"/>
        <w:gridCol w:w="2074"/>
        <w:gridCol w:w="2074"/>
        <w:gridCol w:w="2074"/>
        <w:gridCol w:w="2074"/>
      </w:tblGrid>
      <w:tr>
        <w:trPr>
          <w:cantSplit/>
          <w:tblHeader/>
        </w:trPr>
        <w:tc>
          <w:tcPr>
            <w:tcW w:type="dxa" w:w="3096"/>
            <w:shd w:fill="EAEAEA"/>
          </w:tcPr>
          <w:p>
            <w:pPr>
              <w:spacing w:after="80" w:before="80" w:line="245" w:lineRule="auto"/>
            </w:pPr>
            <w:r>
              <w:rPr>
                <w:b/>
                <w:sz w:val="18"/>
              </w:rPr>
              <w:t>Product and tier</w:t>
            </w:r>
          </w:p>
        </w:tc>
        <w:tc>
          <w:tcPr>
            <w:tcW w:type="dxa" w:w="2160"/>
            <w:shd w:fill="EAEAEA"/>
          </w:tcPr>
          <w:p>
            <w:pPr>
              <w:spacing w:after="80" w:before="80" w:line="245" w:lineRule="auto"/>
            </w:pPr>
            <w:r>
              <w:rPr>
                <w:b/>
                <w:sz w:val="18"/>
              </w:rPr>
              <w:t>Base monthly / annual-term monthly rate</w:t>
            </w:r>
          </w:p>
        </w:tc>
        <w:tc>
          <w:tcPr>
            <w:tcW w:type="dxa" w:w="1699"/>
            <w:shd w:fill="EAEAEA"/>
          </w:tcPr>
          <w:p>
            <w:pPr>
              <w:spacing w:after="80" w:before="80" w:line="245" w:lineRule="auto"/>
            </w:pPr>
            <w:r>
              <w:rPr>
                <w:b/>
                <w:sz w:val="18"/>
              </w:rPr>
              <w:t>1 user M / A</w:t>
            </w:r>
          </w:p>
        </w:tc>
        <w:tc>
          <w:tcPr>
            <w:tcW w:type="dxa" w:w="1699"/>
            <w:shd w:fill="EAEAEA"/>
          </w:tcPr>
          <w:p>
            <w:pPr>
              <w:spacing w:after="80" w:before="80" w:line="245" w:lineRule="auto"/>
            </w:pPr>
            <w:r>
              <w:rPr>
                <w:b/>
                <w:sz w:val="18"/>
              </w:rPr>
              <w:t>3 users M / A</w:t>
            </w:r>
          </w:p>
        </w:tc>
        <w:tc>
          <w:tcPr>
            <w:tcW w:type="dxa" w:w="1714"/>
            <w:shd w:fill="EAEAEA"/>
          </w:tcPr>
          <w:p>
            <w:pPr>
              <w:spacing w:after="80" w:before="80" w:line="245" w:lineRule="auto"/>
            </w:pPr>
            <w:r>
              <w:rPr>
                <w:b/>
                <w:sz w:val="18"/>
              </w:rPr>
              <w:t>5 users M / A</w:t>
            </w:r>
          </w:p>
        </w:tc>
      </w:tr>
      <w:tr>
        <w:trPr>
          <w:cantSplit/>
        </w:trPr>
        <w:tc>
          <w:tcPr>
            <w:tcW w:type="dxa" w:w="3096"/>
          </w:tcPr>
          <w:p>
            <w:pPr>
              <w:spacing w:after="80" w:before="80" w:line="245" w:lineRule="auto"/>
            </w:pPr>
            <w:r>
              <w:rPr>
                <w:sz w:val="18"/>
              </w:rPr>
              <w:t>Campaigns Free, 2,000 contacts</w:t>
            </w:r>
          </w:p>
        </w:tc>
        <w:tc>
          <w:tcPr>
            <w:tcW w:type="dxa" w:w="2160"/>
          </w:tcPr>
          <w:p>
            <w:pPr>
              <w:spacing w:after="80" w:before="80" w:line="245" w:lineRule="auto"/>
            </w:pPr>
            <w:r>
              <w:rPr>
                <w:sz w:val="18"/>
              </w:rPr>
              <w:t>$0 / $0</w:t>
            </w:r>
          </w:p>
        </w:tc>
        <w:tc>
          <w:tcPr>
            <w:tcW w:type="dxa" w:w="1699"/>
          </w:tcPr>
          <w:p>
            <w:pPr>
              <w:spacing w:after="80" w:before="80" w:line="245" w:lineRule="auto"/>
            </w:pPr>
            <w:r>
              <w:rPr>
                <w:sz w:val="18"/>
              </w:rPr>
              <w:t>$0 / $0</w:t>
            </w:r>
          </w:p>
        </w:tc>
        <w:tc>
          <w:tcPr>
            <w:tcW w:type="dxa" w:w="1699"/>
          </w:tcPr>
          <w:p>
            <w:pPr>
              <w:spacing w:after="80" w:before="80" w:line="245" w:lineRule="auto"/>
            </w:pPr>
            <w:r>
              <w:rPr>
                <w:sz w:val="18"/>
              </w:rPr>
              <w:t>$0 / $0</w:t>
            </w:r>
          </w:p>
        </w:tc>
        <w:tc>
          <w:tcPr>
            <w:tcW w:type="dxa" w:w="1714"/>
          </w:tcPr>
          <w:p>
            <w:pPr>
              <w:spacing w:after="80" w:before="80" w:line="245" w:lineRule="auto"/>
            </w:pPr>
            <w:r>
              <w:rPr>
                <w:sz w:val="18"/>
              </w:rPr>
              <w:t>$0 / $0</w:t>
            </w:r>
          </w:p>
        </w:tc>
      </w:tr>
      <w:tr>
        <w:trPr>
          <w:cantSplit/>
        </w:trPr>
        <w:tc>
          <w:tcPr>
            <w:tcW w:type="dxa" w:w="3096"/>
          </w:tcPr>
          <w:p>
            <w:pPr>
              <w:spacing w:after="80" w:before="80" w:line="245" w:lineRule="auto"/>
            </w:pPr>
            <w:r>
              <w:rPr>
                <w:sz w:val="18"/>
              </w:rPr>
              <w:t>Campaigns Standard, 500 contacts</w:t>
            </w:r>
          </w:p>
        </w:tc>
        <w:tc>
          <w:tcPr>
            <w:tcW w:type="dxa" w:w="2160"/>
          </w:tcPr>
          <w:p>
            <w:pPr>
              <w:spacing w:after="80" w:before="80" w:line="245" w:lineRule="auto"/>
            </w:pPr>
            <w:r>
              <w:rPr>
                <w:sz w:val="18"/>
              </w:rPr>
              <w:t>$4 / $3</w:t>
            </w:r>
          </w:p>
        </w:tc>
        <w:tc>
          <w:tcPr>
            <w:tcW w:type="dxa" w:w="1699"/>
          </w:tcPr>
          <w:p>
            <w:pPr>
              <w:spacing w:after="80" w:before="80" w:line="245" w:lineRule="auto"/>
            </w:pPr>
            <w:r>
              <w:rPr>
                <w:sz w:val="18"/>
              </w:rPr>
              <w:t>$4 / $36</w:t>
            </w:r>
          </w:p>
        </w:tc>
        <w:tc>
          <w:tcPr>
            <w:tcW w:type="dxa" w:w="1699"/>
          </w:tcPr>
          <w:p>
            <w:pPr>
              <w:spacing w:after="80" w:before="80" w:line="245" w:lineRule="auto"/>
            </w:pPr>
            <w:r>
              <w:rPr>
                <w:sz w:val="18"/>
              </w:rPr>
              <w:t>$4 / $36</w:t>
            </w:r>
          </w:p>
        </w:tc>
        <w:tc>
          <w:tcPr>
            <w:tcW w:type="dxa" w:w="1714"/>
          </w:tcPr>
          <w:p>
            <w:pPr>
              <w:spacing w:after="80" w:before="80" w:line="245" w:lineRule="auto"/>
            </w:pPr>
            <w:r>
              <w:rPr>
                <w:sz w:val="18"/>
              </w:rPr>
              <w:t>$4 / $36</w:t>
            </w:r>
          </w:p>
        </w:tc>
      </w:tr>
      <w:tr>
        <w:trPr>
          <w:cantSplit/>
        </w:trPr>
        <w:tc>
          <w:tcPr>
            <w:tcW w:type="dxa" w:w="3096"/>
          </w:tcPr>
          <w:p>
            <w:pPr>
              <w:spacing w:after="80" w:before="80" w:line="245" w:lineRule="auto"/>
            </w:pPr>
            <w:r>
              <w:rPr>
                <w:sz w:val="18"/>
              </w:rPr>
              <w:t>Campaigns Professional, 500 contacts</w:t>
            </w:r>
          </w:p>
        </w:tc>
        <w:tc>
          <w:tcPr>
            <w:tcW w:type="dxa" w:w="2160"/>
          </w:tcPr>
          <w:p>
            <w:pPr>
              <w:spacing w:after="80" w:before="80" w:line="245" w:lineRule="auto"/>
            </w:pPr>
            <w:r>
              <w:rPr>
                <w:sz w:val="18"/>
              </w:rPr>
              <w:t>$6 / $4.50</w:t>
            </w:r>
          </w:p>
        </w:tc>
        <w:tc>
          <w:tcPr>
            <w:tcW w:type="dxa" w:w="1699"/>
          </w:tcPr>
          <w:p>
            <w:pPr>
              <w:spacing w:after="80" w:before="80" w:line="245" w:lineRule="auto"/>
            </w:pPr>
            <w:r>
              <w:rPr>
                <w:sz w:val="18"/>
              </w:rPr>
              <w:t>$6 / $54</w:t>
            </w:r>
          </w:p>
        </w:tc>
        <w:tc>
          <w:tcPr>
            <w:tcW w:type="dxa" w:w="1699"/>
          </w:tcPr>
          <w:p>
            <w:pPr>
              <w:spacing w:after="80" w:before="80" w:line="245" w:lineRule="auto"/>
            </w:pPr>
            <w:r>
              <w:rPr>
                <w:sz w:val="18"/>
              </w:rPr>
              <w:t>$6 / $54</w:t>
            </w:r>
          </w:p>
        </w:tc>
        <w:tc>
          <w:tcPr>
            <w:tcW w:type="dxa" w:w="1714"/>
          </w:tcPr>
          <w:p>
            <w:pPr>
              <w:spacing w:after="80" w:before="80" w:line="245" w:lineRule="auto"/>
            </w:pPr>
            <w:r>
              <w:rPr>
                <w:sz w:val="18"/>
              </w:rPr>
              <w:t>$6 / $54</w:t>
            </w:r>
          </w:p>
        </w:tc>
      </w:tr>
      <w:tr>
        <w:trPr>
          <w:cantSplit/>
        </w:trPr>
        <w:tc>
          <w:tcPr>
            <w:tcW w:type="dxa" w:w="3096"/>
          </w:tcPr>
          <w:p>
            <w:pPr>
              <w:spacing w:after="80" w:before="80" w:line="245" w:lineRule="auto"/>
            </w:pPr>
            <w:r>
              <w:rPr>
                <w:sz w:val="18"/>
              </w:rPr>
              <w:t>Marketing Automation Standard, 1,000 contacts</w:t>
            </w:r>
          </w:p>
        </w:tc>
        <w:tc>
          <w:tcPr>
            <w:tcW w:type="dxa" w:w="2160"/>
          </w:tcPr>
          <w:p>
            <w:pPr>
              <w:spacing w:after="80" w:before="80" w:line="245" w:lineRule="auto"/>
            </w:pPr>
            <w:r>
              <w:rPr>
                <w:sz w:val="18"/>
              </w:rPr>
              <w:t>$19 / $14</w:t>
            </w:r>
          </w:p>
        </w:tc>
        <w:tc>
          <w:tcPr>
            <w:tcW w:type="dxa" w:w="1699"/>
          </w:tcPr>
          <w:p>
            <w:pPr>
              <w:spacing w:after="80" w:before="80" w:line="245" w:lineRule="auto"/>
            </w:pPr>
            <w:r>
              <w:rPr>
                <w:sz w:val="18"/>
              </w:rPr>
              <w:t>$19 / $168</w:t>
            </w:r>
          </w:p>
        </w:tc>
        <w:tc>
          <w:tcPr>
            <w:tcW w:type="dxa" w:w="1699"/>
          </w:tcPr>
          <w:p>
            <w:pPr>
              <w:spacing w:after="80" w:before="80" w:line="245" w:lineRule="auto"/>
            </w:pPr>
            <w:r>
              <w:rPr>
                <w:sz w:val="18"/>
              </w:rPr>
              <w:t>$19 / $168</w:t>
            </w:r>
          </w:p>
        </w:tc>
        <w:tc>
          <w:tcPr>
            <w:tcW w:type="dxa" w:w="1714"/>
          </w:tcPr>
          <w:p>
            <w:pPr>
              <w:spacing w:after="80" w:before="80" w:line="245" w:lineRule="auto"/>
            </w:pPr>
            <w:r>
              <w:rPr>
                <w:sz w:val="18"/>
              </w:rPr>
              <w:t>$19 / $168</w:t>
            </w:r>
          </w:p>
        </w:tc>
      </w:tr>
      <w:tr>
        <w:trPr>
          <w:cantSplit/>
        </w:trPr>
        <w:tc>
          <w:tcPr>
            <w:tcW w:type="dxa" w:w="3096"/>
          </w:tcPr>
          <w:p>
            <w:pPr>
              <w:spacing w:after="80" w:before="80" w:line="245" w:lineRule="auto"/>
            </w:pPr>
            <w:r>
              <w:rPr>
                <w:sz w:val="18"/>
              </w:rPr>
              <w:t>Marketing Automation Professional, 1,000 contacts</w:t>
            </w:r>
          </w:p>
        </w:tc>
        <w:tc>
          <w:tcPr>
            <w:tcW w:type="dxa" w:w="2160"/>
          </w:tcPr>
          <w:p>
            <w:pPr>
              <w:spacing w:after="80" w:before="80" w:line="245" w:lineRule="auto"/>
            </w:pPr>
            <w:r>
              <w:rPr>
                <w:sz w:val="18"/>
              </w:rPr>
              <w:t>$29 / $22</w:t>
            </w:r>
          </w:p>
        </w:tc>
        <w:tc>
          <w:tcPr>
            <w:tcW w:type="dxa" w:w="1699"/>
          </w:tcPr>
          <w:p>
            <w:pPr>
              <w:spacing w:after="80" w:before="80" w:line="245" w:lineRule="auto"/>
            </w:pPr>
            <w:r>
              <w:rPr>
                <w:sz w:val="18"/>
              </w:rPr>
              <w:t>$29 / $264</w:t>
            </w:r>
          </w:p>
        </w:tc>
        <w:tc>
          <w:tcPr>
            <w:tcW w:type="dxa" w:w="1699"/>
          </w:tcPr>
          <w:p>
            <w:pPr>
              <w:spacing w:after="80" w:before="80" w:line="245" w:lineRule="auto"/>
            </w:pPr>
            <w:r>
              <w:rPr>
                <w:sz w:val="18"/>
              </w:rPr>
              <w:t>$29 / $264</w:t>
            </w:r>
          </w:p>
        </w:tc>
        <w:tc>
          <w:tcPr>
            <w:tcW w:type="dxa" w:w="1714"/>
          </w:tcPr>
          <w:p>
            <w:pPr>
              <w:spacing w:after="80" w:before="80" w:line="245" w:lineRule="auto"/>
            </w:pPr>
            <w:r>
              <w:rPr>
                <w:sz w:val="18"/>
              </w:rPr>
              <w:t>$29 / $264</w:t>
            </w:r>
          </w:p>
        </w:tc>
      </w:tr>
      <w:tr>
        <w:trPr>
          <w:cantSplit/>
        </w:trPr>
        <w:tc>
          <w:tcPr>
            <w:tcW w:type="dxa" w:w="3096"/>
          </w:tcPr>
          <w:p>
            <w:pPr>
              <w:spacing w:after="80" w:before="80" w:line="245" w:lineRule="auto"/>
            </w:pPr>
            <w:r>
              <w:rPr>
                <w:sz w:val="18"/>
              </w:rPr>
              <w:t>Marketing Automation Enterprise, 1,000 contacts</w:t>
            </w:r>
          </w:p>
        </w:tc>
        <w:tc>
          <w:tcPr>
            <w:tcW w:type="dxa" w:w="2160"/>
          </w:tcPr>
          <w:p>
            <w:pPr>
              <w:spacing w:after="80" w:before="80" w:line="245" w:lineRule="auto"/>
            </w:pPr>
            <w:r>
              <w:rPr>
                <w:sz w:val="18"/>
              </w:rPr>
              <w:t>$59 / $44</w:t>
            </w:r>
          </w:p>
        </w:tc>
        <w:tc>
          <w:tcPr>
            <w:tcW w:type="dxa" w:w="1699"/>
          </w:tcPr>
          <w:p>
            <w:pPr>
              <w:spacing w:after="80" w:before="80" w:line="245" w:lineRule="auto"/>
            </w:pPr>
            <w:r>
              <w:rPr>
                <w:sz w:val="18"/>
              </w:rPr>
              <w:t>$59 / $528</w:t>
            </w:r>
          </w:p>
        </w:tc>
        <w:tc>
          <w:tcPr>
            <w:tcW w:type="dxa" w:w="1699"/>
          </w:tcPr>
          <w:p>
            <w:pPr>
              <w:spacing w:after="80" w:before="80" w:line="245" w:lineRule="auto"/>
            </w:pPr>
            <w:r>
              <w:rPr>
                <w:sz w:val="18"/>
              </w:rPr>
              <w:t>$59 / $528</w:t>
            </w:r>
          </w:p>
        </w:tc>
        <w:tc>
          <w:tcPr>
            <w:tcW w:type="dxa" w:w="1714"/>
          </w:tcPr>
          <w:p>
            <w:pPr>
              <w:spacing w:after="80" w:before="80" w:line="245" w:lineRule="auto"/>
            </w:pPr>
            <w:r>
              <w:rPr>
                <w:sz w:val="18"/>
              </w:rPr>
              <w:t>$59 / $528</w:t>
            </w:r>
          </w:p>
        </w:tc>
      </w:tr>
      <w:tr>
        <w:trPr>
          <w:cantSplit/>
        </w:trPr>
        <w:tc>
          <w:tcPr>
            <w:tcW w:type="dxa" w:w="3096"/>
          </w:tcPr>
          <w:p>
            <w:pPr>
              <w:spacing w:after="80" w:before="80" w:line="245" w:lineRule="auto"/>
            </w:pPr>
            <w:r>
              <w:rPr>
                <w:sz w:val="18"/>
              </w:rPr>
              <w:t>SalesIQ Free</w:t>
            </w:r>
          </w:p>
        </w:tc>
        <w:tc>
          <w:tcPr>
            <w:tcW w:type="dxa" w:w="2160"/>
          </w:tcPr>
          <w:p>
            <w:pPr>
              <w:spacing w:after="80" w:before="80" w:line="245" w:lineRule="auto"/>
            </w:pPr>
            <w:r>
              <w:rPr>
                <w:sz w:val="18"/>
              </w:rPr>
              <w:t>$0; 3 operators</w:t>
            </w:r>
          </w:p>
        </w:tc>
        <w:tc>
          <w:tcPr>
            <w:tcW w:type="dxa" w:w="1699"/>
          </w:tcPr>
          <w:p>
            <w:pPr>
              <w:spacing w:after="80" w:before="80" w:line="245" w:lineRule="auto"/>
            </w:pPr>
            <w:r>
              <w:rPr>
                <w:sz w:val="18"/>
              </w:rPr>
              <w:t>$0 / $0</w:t>
            </w:r>
          </w:p>
        </w:tc>
        <w:tc>
          <w:tcPr>
            <w:tcW w:type="dxa" w:w="1699"/>
          </w:tcPr>
          <w:p>
            <w:pPr>
              <w:spacing w:after="80" w:before="80" w:line="245" w:lineRule="auto"/>
            </w:pPr>
            <w:r>
              <w:rPr>
                <w:sz w:val="18"/>
              </w:rPr>
              <w:t>$0 / $0</w:t>
            </w:r>
          </w:p>
        </w:tc>
        <w:tc>
          <w:tcPr>
            <w:tcW w:type="dxa" w:w="1714"/>
          </w:tcPr>
          <w:p>
            <w:pPr>
              <w:spacing w:after="80" w:before="80" w:line="245" w:lineRule="auto"/>
            </w:pPr>
            <w:r>
              <w:rPr>
                <w:sz w:val="18"/>
              </w:rPr>
              <w:t>Not available</w:t>
            </w:r>
          </w:p>
        </w:tc>
      </w:tr>
      <w:tr>
        <w:trPr>
          <w:cantSplit/>
        </w:trPr>
        <w:tc>
          <w:tcPr>
            <w:tcW w:type="dxa" w:w="3096"/>
          </w:tcPr>
          <w:p>
            <w:pPr>
              <w:spacing w:after="80" w:before="80" w:line="245" w:lineRule="auto"/>
            </w:pPr>
            <w:r>
              <w:rPr>
                <w:sz w:val="18"/>
              </w:rPr>
              <w:t>SalesIQ Basic</w:t>
            </w:r>
          </w:p>
        </w:tc>
        <w:tc>
          <w:tcPr>
            <w:tcW w:type="dxa" w:w="2160"/>
          </w:tcPr>
          <w:p>
            <w:pPr>
              <w:spacing w:after="80" w:before="80" w:line="245" w:lineRule="auto"/>
            </w:pPr>
            <w:r>
              <w:rPr>
                <w:sz w:val="18"/>
              </w:rPr>
              <w:t>$10 / $7 per operator</w:t>
            </w:r>
          </w:p>
        </w:tc>
        <w:tc>
          <w:tcPr>
            <w:tcW w:type="dxa" w:w="1699"/>
          </w:tcPr>
          <w:p>
            <w:pPr>
              <w:spacing w:after="80" w:before="80" w:line="245" w:lineRule="auto"/>
            </w:pPr>
            <w:r>
              <w:rPr>
                <w:sz w:val="18"/>
              </w:rPr>
              <w:t>$10 / $84</w:t>
            </w:r>
          </w:p>
        </w:tc>
        <w:tc>
          <w:tcPr>
            <w:tcW w:type="dxa" w:w="1699"/>
          </w:tcPr>
          <w:p>
            <w:pPr>
              <w:spacing w:after="80" w:before="80" w:line="245" w:lineRule="auto"/>
            </w:pPr>
            <w:r>
              <w:rPr>
                <w:sz w:val="18"/>
              </w:rPr>
              <w:t>$30 / $252</w:t>
            </w:r>
          </w:p>
        </w:tc>
        <w:tc>
          <w:tcPr>
            <w:tcW w:type="dxa" w:w="1714"/>
          </w:tcPr>
          <w:p>
            <w:pPr>
              <w:spacing w:after="80" w:before="80" w:line="245" w:lineRule="auto"/>
            </w:pPr>
            <w:r>
              <w:rPr>
                <w:sz w:val="18"/>
              </w:rPr>
              <w:t>$50 / $420</w:t>
            </w:r>
          </w:p>
        </w:tc>
      </w:tr>
      <w:tr>
        <w:trPr>
          <w:cantSplit/>
        </w:trPr>
        <w:tc>
          <w:tcPr>
            <w:tcW w:type="dxa" w:w="3096"/>
          </w:tcPr>
          <w:p>
            <w:pPr>
              <w:spacing w:after="80" w:before="80" w:line="245" w:lineRule="auto"/>
            </w:pPr>
            <w:r>
              <w:rPr>
                <w:sz w:val="18"/>
              </w:rPr>
              <w:t>SalesIQ Professional</w:t>
            </w:r>
          </w:p>
        </w:tc>
        <w:tc>
          <w:tcPr>
            <w:tcW w:type="dxa" w:w="2160"/>
          </w:tcPr>
          <w:p>
            <w:pPr>
              <w:spacing w:after="80" w:before="80" w:line="245" w:lineRule="auto"/>
            </w:pPr>
            <w:r>
              <w:rPr>
                <w:sz w:val="18"/>
              </w:rPr>
              <w:t>$17 / $12.75 per operator</w:t>
            </w:r>
          </w:p>
        </w:tc>
        <w:tc>
          <w:tcPr>
            <w:tcW w:type="dxa" w:w="1699"/>
          </w:tcPr>
          <w:p>
            <w:pPr>
              <w:spacing w:after="80" w:before="80" w:line="245" w:lineRule="auto"/>
            </w:pPr>
            <w:r>
              <w:rPr>
                <w:sz w:val="18"/>
              </w:rPr>
              <w:t>$17 / $153</w:t>
            </w:r>
          </w:p>
        </w:tc>
        <w:tc>
          <w:tcPr>
            <w:tcW w:type="dxa" w:w="1699"/>
          </w:tcPr>
          <w:p>
            <w:pPr>
              <w:spacing w:after="80" w:before="80" w:line="245" w:lineRule="auto"/>
            </w:pPr>
            <w:r>
              <w:rPr>
                <w:sz w:val="18"/>
              </w:rPr>
              <w:t>$51 / $459</w:t>
            </w:r>
          </w:p>
        </w:tc>
        <w:tc>
          <w:tcPr>
            <w:tcW w:type="dxa" w:w="1714"/>
          </w:tcPr>
          <w:p>
            <w:pPr>
              <w:spacing w:after="80" w:before="80" w:line="245" w:lineRule="auto"/>
            </w:pPr>
            <w:r>
              <w:rPr>
                <w:sz w:val="18"/>
              </w:rPr>
              <w:t>$85 / $765</w:t>
            </w:r>
          </w:p>
        </w:tc>
      </w:tr>
      <w:tr>
        <w:trPr>
          <w:cantSplit/>
        </w:trPr>
        <w:tc>
          <w:tcPr>
            <w:tcW w:type="dxa" w:w="3096"/>
          </w:tcPr>
          <w:p>
            <w:pPr>
              <w:spacing w:after="80" w:before="80" w:line="245" w:lineRule="auto"/>
            </w:pPr>
            <w:r>
              <w:rPr>
                <w:sz w:val="18"/>
              </w:rPr>
              <w:t>SalesIQ Enterprise</w:t>
            </w:r>
          </w:p>
        </w:tc>
        <w:tc>
          <w:tcPr>
            <w:tcW w:type="dxa" w:w="2160"/>
          </w:tcPr>
          <w:p>
            <w:pPr>
              <w:spacing w:after="80" w:before="80" w:line="245" w:lineRule="auto"/>
            </w:pPr>
            <w:r>
              <w:rPr>
                <w:sz w:val="18"/>
              </w:rPr>
              <w:t>$25 / $20 per operator</w:t>
            </w:r>
          </w:p>
        </w:tc>
        <w:tc>
          <w:tcPr>
            <w:tcW w:type="dxa" w:w="1699"/>
          </w:tcPr>
          <w:p>
            <w:pPr>
              <w:spacing w:after="80" w:before="80" w:line="245" w:lineRule="auto"/>
            </w:pPr>
            <w:r>
              <w:rPr>
                <w:sz w:val="18"/>
              </w:rPr>
              <w:t>$25 / $240</w:t>
            </w:r>
          </w:p>
        </w:tc>
        <w:tc>
          <w:tcPr>
            <w:tcW w:type="dxa" w:w="1699"/>
          </w:tcPr>
          <w:p>
            <w:pPr>
              <w:spacing w:after="80" w:before="80" w:line="245" w:lineRule="auto"/>
            </w:pPr>
            <w:r>
              <w:rPr>
                <w:sz w:val="18"/>
              </w:rPr>
              <w:t>$75 / $720</w:t>
            </w:r>
          </w:p>
        </w:tc>
        <w:tc>
          <w:tcPr>
            <w:tcW w:type="dxa" w:w="1714"/>
          </w:tcPr>
          <w:p>
            <w:pPr>
              <w:spacing w:after="80" w:before="80" w:line="245" w:lineRule="auto"/>
            </w:pPr>
            <w:r>
              <w:rPr>
                <w:sz w:val="18"/>
              </w:rPr>
              <w:t>$125 / $1,200</w:t>
            </w:r>
          </w:p>
        </w:tc>
      </w:tr>
    </w:tbl>
    <w:p>
      <w:pPr>
        <w:spacing w:after="20"/>
      </w:pPr>
    </w:p>
    <w:p>
      <w:r>
        <w:t xml:space="preserve">Pricing sources: Campaigns live US dollar selector </w:t>
      </w:r>
      <w:hyperlink r:id="rId17">
        <w:r>
          <w:rPr>
            <w:color w:val="303030"/>
            <w:vertAlign w:val="superscript"/>
          </w:rPr>
          <w:t>13</w:t>
        </w:r>
      </w:hyperlink>
      <w:r>
        <w:t xml:space="preserve">; Marketing Automation live selector </w:t>
      </w:r>
      <w:hyperlink r:id="rId18">
        <w:r>
          <w:rPr>
            <w:color w:val="303030"/>
            <w:vertAlign w:val="superscript"/>
          </w:rPr>
          <w:t>14</w:t>
        </w:r>
      </w:hyperlink>
      <w:r>
        <w:t xml:space="preserve">; SalesIQ live monthly display and official USD comparison </w:t>
      </w:r>
      <w:hyperlink r:id="rId19">
        <w:r>
          <w:rPr>
            <w:color w:val="303030"/>
            <w:vertAlign w:val="superscript"/>
          </w:rPr>
          <w:t>15</w:t>
        </w:r>
      </w:hyperlink>
      <w:r>
        <w:rPr>
          <w:vertAlign w:val="superscript"/>
        </w:rPr>
        <w:t xml:space="preserve">, </w:t>
      </w:r>
      <w:r>
        <w:rPr>
          <w:vertAlign w:val="superscript"/>
        </w:rPr>
        <w:footnoteReference w:id="25"/>
      </w:r>
      <w:r>
        <w:t>. Paid Campaigns starting prices cover fewer contacts than its free plan: upgrading a 2,000-contact list requires pricing the appropriate larger tier, not using the $3 starting rate.</w:t>
      </w:r>
    </w:p>
    <w:p>
      <w:r>
        <w:t>Campaigns includes 5 users and 6,000 emails/month free; Standard includes 10 users and Professional 20+ users, with unlimited emails advertised on paid plans. “Unlimited” does not waive permission, abuse or delivery restrictions. Marketing Automation includes 10/15/25 users and visitor allowances of 2/5/10 times its marketing-contact count; when contact capacity is exceeded, new contacts and importing syncs are blocked. These are reasons to size the eligible audience before choosing a tier.</w:t>
      </w:r>
      <w:hyperlink r:id="rId17">
        <w:r>
          <w:rPr>
            <w:color w:val="303030"/>
            <w:vertAlign w:val="superscript"/>
          </w:rPr>
          <w:t>13</w:t>
        </w:r>
      </w:hyperlink>
      <w:r>
        <w:rPr>
          <w:vertAlign w:val="superscript"/>
        </w:rPr>
        <w:t xml:space="preserve">, </w:t>
      </w:r>
      <w:hyperlink r:id="rId18">
        <w:r>
          <w:rPr>
            <w:color w:val="303030"/>
            <w:vertAlign w:val="superscript"/>
          </w:rPr>
          <w:t>14</w:t>
        </w:r>
      </w:hyperlink>
    </w:p>
    <w:p>
      <w:pPr>
        <w:pStyle w:val="Heading2"/>
        <w:pageBreakBefore/>
      </w:pPr>
      <w:r>
        <w:t>Limits that can change the practical choice</w:t>
      </w:r>
    </w:p>
    <w:tbl>
      <w:tblPr>
        <w:tblW w:type="auto" w:w="0"/>
        <w:tblLayout w:type="fixed"/>
        <w:tblLook w:firstColumn="1" w:firstRow="1" w:lastColumn="0" w:lastRow="0" w:noHBand="0" w:noVBand="1" w:val="04A0"/>
        <w:tblBorders>
          <w:top w:val="single" w:sz="4" w:color="C8C8C8"/>
          <w:left w:val="single" w:sz="4" w:color="C8C8C8"/>
          <w:bottom w:val="single" w:sz="4" w:color="C8C8C8"/>
          <w:right w:val="single" w:sz="4" w:color="C8C8C8"/>
          <w:insideH w:val="single" w:sz="4" w:color="C8C8C8"/>
          <w:insideV w:val="single" w:sz="4" w:color="C8C8C8"/>
        </w:tblBorders>
      </w:tblPr>
      <w:tblGrid>
        <w:gridCol w:w="3456"/>
        <w:gridCol w:w="3456"/>
        <w:gridCol w:w="3456"/>
      </w:tblGrid>
      <w:tr>
        <w:trPr>
          <w:cantSplit/>
          <w:tblHeader/>
        </w:trPr>
        <w:tc>
          <w:tcPr>
            <w:tcW w:type="dxa" w:w="1872"/>
            <w:shd w:fill="EAEAEA"/>
          </w:tcPr>
          <w:p>
            <w:pPr>
              <w:spacing w:after="80" w:before="80" w:line="245" w:lineRule="auto"/>
            </w:pPr>
            <w:r>
              <w:rPr>
                <w:b/>
                <w:sz w:val="18"/>
              </w:rPr>
              <w:t>Area</w:t>
            </w:r>
          </w:p>
        </w:tc>
        <w:tc>
          <w:tcPr>
            <w:tcW w:type="dxa" w:w="4248"/>
            <w:shd w:fill="EAEAEA"/>
          </w:tcPr>
          <w:p>
            <w:pPr>
              <w:spacing w:after="80" w:before="80" w:line="245" w:lineRule="auto"/>
            </w:pPr>
            <w:r>
              <w:rPr>
                <w:b/>
                <w:sz w:val="18"/>
              </w:rPr>
              <w:t>Verified limit or cost driver</w:t>
            </w:r>
          </w:p>
        </w:tc>
        <w:tc>
          <w:tcPr>
            <w:tcW w:type="dxa" w:w="4248"/>
            <w:shd w:fill="EAEAEA"/>
          </w:tcPr>
          <w:p>
            <w:pPr>
              <w:spacing w:after="80" w:before="80" w:line="245" w:lineRule="auto"/>
            </w:pPr>
            <w:r>
              <w:rPr>
                <w:b/>
                <w:sz w:val="18"/>
              </w:rPr>
              <w:t>Implication for Troen</w:t>
            </w:r>
          </w:p>
        </w:tc>
      </w:tr>
      <w:tr>
        <w:trPr>
          <w:cantSplit/>
        </w:trPr>
        <w:tc>
          <w:tcPr>
            <w:tcW w:type="dxa" w:w="1872"/>
          </w:tcPr>
          <w:p>
            <w:pPr>
              <w:spacing w:after="80" w:before="80" w:line="245" w:lineRule="auto"/>
            </w:pPr>
            <w:r>
              <w:rPr>
                <w:sz w:val="18"/>
              </w:rPr>
              <w:t>CRM fields</w:t>
            </w:r>
          </w:p>
        </w:tc>
        <w:tc>
          <w:tcPr>
            <w:tcW w:type="dxa" w:w="4248"/>
          </w:tcPr>
          <w:p>
            <w:pPr>
              <w:spacing w:after="80" w:before="80" w:line="245" w:lineRule="auto"/>
            </w:pPr>
            <w:r>
              <w:rPr>
                <w:sz w:val="18"/>
              </w:rPr>
              <w:t>Standard 10 custom fields/module; Professional 155; Enterprise 300; Ultimate 500</w:t>
            </w:r>
          </w:p>
        </w:tc>
        <w:tc>
          <w:tcPr>
            <w:tcW w:type="dxa" w:w="4248"/>
          </w:tcPr>
          <w:p>
            <w:pPr>
              <w:spacing w:after="80" w:before="80" w:line="245" w:lineRule="auto"/>
            </w:pPr>
            <w:r>
              <w:rPr>
                <w:sz w:val="18"/>
              </w:rPr>
              <w:t>Check the proposed event fields before buying. Standard may be tight if unrelated workflows already consume fields</w:t>
            </w:r>
          </w:p>
        </w:tc>
      </w:tr>
      <w:tr>
        <w:trPr>
          <w:cantSplit/>
        </w:trPr>
        <w:tc>
          <w:tcPr>
            <w:tcW w:type="dxa" w:w="1872"/>
          </w:tcPr>
          <w:p>
            <w:pPr>
              <w:spacing w:after="80" w:before="80" w:line="245" w:lineRule="auto"/>
            </w:pPr>
            <w:r>
              <w:rPr>
                <w:sz w:val="18"/>
              </w:rPr>
              <w:t>CRM automation</w:t>
            </w:r>
          </w:p>
        </w:tc>
        <w:tc>
          <w:tcPr>
            <w:tcW w:type="dxa" w:w="4248"/>
          </w:tcPr>
          <w:p>
            <w:pPr>
              <w:spacing w:after="80" w:before="80" w:line="245" w:lineRule="auto"/>
            </w:pPr>
            <w:r>
              <w:rPr>
                <w:sz w:val="18"/>
              </w:rPr>
              <w:t>Standard 30 rules/module, 15 active; Professional 80, 40 active</w:t>
            </w:r>
          </w:p>
        </w:tc>
        <w:tc>
          <w:tcPr>
            <w:tcW w:type="dxa" w:w="4248"/>
          </w:tcPr>
          <w:p>
            <w:pPr>
              <w:spacing w:after="80" w:before="80" w:line="245" w:lineRule="auto"/>
            </w:pPr>
            <w:r>
              <w:rPr>
                <w:sz w:val="18"/>
              </w:rPr>
              <w:t>A few owner reminders should fit; avoid choosing an edition by rule count alone</w:t>
            </w:r>
          </w:p>
        </w:tc>
      </w:tr>
      <w:tr>
        <w:trPr>
          <w:cantSplit/>
        </w:trPr>
        <w:tc>
          <w:tcPr>
            <w:tcW w:type="dxa" w:w="1872"/>
          </w:tcPr>
          <w:p>
            <w:pPr>
              <w:spacing w:after="80" w:before="80" w:line="245" w:lineRule="auto"/>
            </w:pPr>
            <w:r>
              <w:rPr>
                <w:sz w:val="18"/>
              </w:rPr>
              <w:t>CRM mass email</w:t>
            </w:r>
          </w:p>
        </w:tc>
        <w:tc>
          <w:tcPr>
            <w:tcW w:type="dxa" w:w="4248"/>
          </w:tcPr>
          <w:p>
            <w:pPr>
              <w:spacing w:after="80" w:before="80" w:line="245" w:lineRule="auto"/>
            </w:pPr>
            <w:r>
              <w:rPr>
                <w:sz w:val="18"/>
              </w:rPr>
              <w:t>Standard 250/day/org; Professional 500; Enterprise 1,000; Ultimate 2,000</w:t>
            </w:r>
          </w:p>
        </w:tc>
        <w:tc>
          <w:tcPr>
            <w:tcW w:type="dxa" w:w="4248"/>
          </w:tcPr>
          <w:p>
            <w:pPr>
              <w:spacing w:after="80" w:before="80" w:line="245" w:lineRule="auto"/>
            </w:pPr>
            <w:r>
              <w:rPr>
                <w:sz w:val="18"/>
              </w:rPr>
              <w:t>Technical ceilings are not permission to email researched contacts</w:t>
            </w:r>
          </w:p>
        </w:tc>
      </w:tr>
      <w:tr>
        <w:trPr>
          <w:cantSplit/>
        </w:trPr>
        <w:tc>
          <w:tcPr>
            <w:tcW w:type="dxa" w:w="1872"/>
          </w:tcPr>
          <w:p>
            <w:pPr>
              <w:spacing w:after="80" w:before="80" w:line="245" w:lineRule="auto"/>
            </w:pPr>
            <w:r>
              <w:rPr>
                <w:sz w:val="18"/>
              </w:rPr>
              <w:t>CRM records</w:t>
            </w:r>
          </w:p>
        </w:tc>
        <w:tc>
          <w:tcPr>
            <w:tcW w:type="dxa" w:w="4248"/>
          </w:tcPr>
          <w:p>
            <w:pPr>
              <w:spacing w:after="80" w:before="80" w:line="245" w:lineRule="auto"/>
            </w:pPr>
            <w:r>
              <w:rPr>
                <w:sz w:val="18"/>
              </w:rPr>
              <w:t>Free 5,000 records/10 MB; Standard 100,000/200 MB; Professional and above base 10 GB for small organizations</w:t>
            </w:r>
          </w:p>
        </w:tc>
        <w:tc>
          <w:tcPr>
            <w:tcW w:type="dxa" w:w="4248"/>
          </w:tcPr>
          <w:p>
            <w:pPr>
              <w:spacing w:after="80" w:before="80" w:line="245" w:lineRule="auto"/>
            </w:pPr>
            <w:r>
              <w:rPr>
                <w:sz w:val="18"/>
              </w:rPr>
              <w:t>Keep raw research and duplicates out of operational records</w:t>
            </w:r>
          </w:p>
        </w:tc>
      </w:tr>
      <w:tr>
        <w:trPr>
          <w:cantSplit/>
        </w:trPr>
        <w:tc>
          <w:tcPr>
            <w:tcW w:type="dxa" w:w="1872"/>
          </w:tcPr>
          <w:p>
            <w:pPr>
              <w:spacing w:after="80" w:before="80" w:line="245" w:lineRule="auto"/>
            </w:pPr>
            <w:r>
              <w:rPr>
                <w:sz w:val="18"/>
              </w:rPr>
              <w:t>CRM files</w:t>
            </w:r>
          </w:p>
        </w:tc>
        <w:tc>
          <w:tcPr>
            <w:tcW w:type="dxa" w:w="4248"/>
          </w:tcPr>
          <w:p>
            <w:pPr>
              <w:spacing w:after="80" w:before="80" w:line="245" w:lineRule="auto"/>
            </w:pPr>
            <w:r>
              <w:rPr>
                <w:sz w:val="18"/>
              </w:rPr>
              <w:t>New CRM-created WorkDrive Essentials: 5 GB/org plus 1 GB/user; existing WorkDrive may differ</w:t>
            </w:r>
          </w:p>
        </w:tc>
        <w:tc>
          <w:tcPr>
            <w:tcW w:type="dxa" w:w="4248"/>
          </w:tcPr>
          <w:p>
            <w:pPr>
              <w:spacing w:after="80" w:before="80" w:line="245" w:lineRule="auto"/>
            </w:pPr>
            <w:r>
              <w:rPr>
                <w:sz w:val="18"/>
              </w:rPr>
              <w:t>Verify the actual storage model; old file-storage comparisons may be stale</w:t>
            </w:r>
          </w:p>
        </w:tc>
      </w:tr>
      <w:tr>
        <w:trPr>
          <w:cantSplit/>
        </w:trPr>
        <w:tc>
          <w:tcPr>
            <w:tcW w:type="dxa" w:w="1872"/>
          </w:tcPr>
          <w:p>
            <w:pPr>
              <w:spacing w:after="80" w:before="80" w:line="245" w:lineRule="auto"/>
            </w:pPr>
            <w:r>
              <w:rPr>
                <w:sz w:val="18"/>
              </w:rPr>
              <w:t>Bigin records and fields</w:t>
            </w:r>
          </w:p>
        </w:tc>
        <w:tc>
          <w:tcPr>
            <w:tcW w:type="dxa" w:w="4248"/>
          </w:tcPr>
          <w:p>
            <w:pPr>
              <w:spacing w:after="80" w:before="80" w:line="245" w:lineRule="auto"/>
            </w:pPr>
            <w:r>
              <w:rPr>
                <w:sz w:val="18"/>
              </w:rPr>
              <w:t>Express 50,000 records, 10 fields; Premier 100,000, 25 fields; 360 one million, 50 fields</w:t>
            </w:r>
          </w:p>
        </w:tc>
        <w:tc>
          <w:tcPr>
            <w:tcW w:type="dxa" w:w="4248"/>
          </w:tcPr>
          <w:p>
            <w:pPr>
              <w:spacing w:after="80" w:before="80" w:line="245" w:lineRule="auto"/>
            </w:pPr>
            <w:r>
              <w:rPr>
                <w:sz w:val="18"/>
              </w:rPr>
              <w:t>Records include tasks, notes and other modules, not just contacts</w:t>
            </w:r>
          </w:p>
        </w:tc>
      </w:tr>
      <w:tr>
        <w:trPr>
          <w:cantSplit/>
        </w:trPr>
        <w:tc>
          <w:tcPr>
            <w:tcW w:type="dxa" w:w="1872"/>
          </w:tcPr>
          <w:p>
            <w:pPr>
              <w:spacing w:after="80" w:before="80" w:line="245" w:lineRule="auto"/>
            </w:pPr>
            <w:r>
              <w:rPr>
                <w:sz w:val="18"/>
              </w:rPr>
              <w:t>Bigin automation and email</w:t>
            </w:r>
          </w:p>
        </w:tc>
        <w:tc>
          <w:tcPr>
            <w:tcW w:type="dxa" w:w="4248"/>
          </w:tcPr>
          <w:p>
            <w:pPr>
              <w:spacing w:after="80" w:before="80" w:line="245" w:lineRule="auto"/>
            </w:pPr>
            <w:r>
              <w:rPr>
                <w:sz w:val="18"/>
              </w:rPr>
              <w:t>Express 30 automations/150 mass emails daily; Premier 50/300; 360 100/1,000</w:t>
            </w:r>
          </w:p>
        </w:tc>
        <w:tc>
          <w:tcPr>
            <w:tcW w:type="dxa" w:w="4248"/>
          </w:tcPr>
          <w:p>
            <w:pPr>
              <w:spacing w:after="80" w:before="80" w:line="245" w:lineRule="auto"/>
            </w:pPr>
            <w:r>
              <w:rPr>
                <w:sz w:val="18"/>
              </w:rPr>
              <w:t>Premier’s scheduled actions can justify its small premium if reminders are the real gap</w:t>
            </w:r>
          </w:p>
        </w:tc>
      </w:tr>
      <w:tr>
        <w:trPr>
          <w:cantSplit/>
        </w:trPr>
        <w:tc>
          <w:tcPr>
            <w:tcW w:type="dxa" w:w="1872"/>
          </w:tcPr>
          <w:p>
            <w:pPr>
              <w:spacing w:after="80" w:before="80" w:line="245" w:lineRule="auto"/>
            </w:pPr>
            <w:r>
              <w:rPr>
                <w:sz w:val="18"/>
              </w:rPr>
              <w:t>Bigin storage and backups</w:t>
            </w:r>
          </w:p>
        </w:tc>
        <w:tc>
          <w:tcPr>
            <w:tcW w:type="dxa" w:w="4248"/>
          </w:tcPr>
          <w:p>
            <w:pPr>
              <w:spacing w:after="80" w:before="80" w:line="245" w:lineRule="auto"/>
            </w:pPr>
            <w:r>
              <w:rPr>
                <w:sz w:val="18"/>
              </w:rPr>
              <w:t>1 GB/org plus 512 MB/paid user; 2 included backups/month</w:t>
            </w:r>
          </w:p>
        </w:tc>
        <w:tc>
          <w:tcPr>
            <w:tcW w:type="dxa" w:w="4248"/>
          </w:tcPr>
          <w:p>
            <w:pPr>
              <w:spacing w:after="80" w:before="80" w:line="245" w:lineRule="auto"/>
            </w:pPr>
            <w:r>
              <w:rPr>
                <w:sz w:val="18"/>
              </w:rPr>
              <w:t>File Cabinet allowances are separate; confirm which pool holds attachments</w:t>
            </w:r>
          </w:p>
        </w:tc>
      </w:tr>
      <w:tr>
        <w:trPr>
          <w:cantSplit/>
        </w:trPr>
        <w:tc>
          <w:tcPr>
            <w:tcW w:type="dxa" w:w="1872"/>
          </w:tcPr>
          <w:p>
            <w:pPr>
              <w:spacing w:after="80" w:before="80" w:line="245" w:lineRule="auto"/>
            </w:pPr>
            <w:r>
              <w:rPr>
                <w:sz w:val="18"/>
              </w:rPr>
              <w:t>SalesIQ</w:t>
            </w:r>
          </w:p>
        </w:tc>
        <w:tc>
          <w:tcPr>
            <w:tcW w:type="dxa" w:w="4248"/>
          </w:tcPr>
          <w:p>
            <w:pPr>
              <w:spacing w:after="80" w:before="80" w:line="245" w:lineRule="auto"/>
            </w:pPr>
            <w:r>
              <w:rPr>
                <w:sz w:val="18"/>
              </w:rPr>
              <w:t>Free 10,000 tracked visitors and 100 operator chats/month; paid plans have higher limits</w:t>
            </w:r>
          </w:p>
        </w:tc>
        <w:tc>
          <w:tcPr>
            <w:tcW w:type="dxa" w:w="4248"/>
          </w:tcPr>
          <w:p>
            <w:pPr>
              <w:spacing w:after="80" w:before="80" w:line="245" w:lineRule="auto"/>
            </w:pPr>
            <w:r>
              <w:rPr>
                <w:sz w:val="18"/>
              </w:rPr>
              <w:t>Low traffic and no response owner weaken its business case</w:t>
            </w:r>
          </w:p>
        </w:tc>
      </w:tr>
      <w:tr>
        <w:trPr>
          <w:cantSplit/>
        </w:trPr>
        <w:tc>
          <w:tcPr>
            <w:tcW w:type="dxa" w:w="1872"/>
          </w:tcPr>
          <w:p>
            <w:pPr>
              <w:spacing w:after="80" w:before="80" w:line="245" w:lineRule="auto"/>
            </w:pPr>
            <w:r>
              <w:rPr>
                <w:sz w:val="18"/>
              </w:rPr>
              <w:t>One</w:t>
            </w:r>
          </w:p>
        </w:tc>
        <w:tc>
          <w:tcPr>
            <w:tcW w:type="dxa" w:w="4248"/>
          </w:tcPr>
          <w:p>
            <w:pPr>
              <w:spacing w:after="80" w:before="80" w:line="245" w:lineRule="auto"/>
            </w:pPr>
            <w:r>
              <w:rPr>
                <w:sz w:val="18"/>
              </w:rPr>
              <w:t>Plan detail lists Campaigns and Marketing Automation at 5,000 contacts/employee license, plus app-specific exceptions</w:t>
            </w:r>
          </w:p>
        </w:tc>
        <w:tc>
          <w:tcPr>
            <w:tcW w:type="dxa" w:w="4248"/>
          </w:tcPr>
          <w:p>
            <w:pPr>
              <w:spacing w:after="80" w:before="80" w:line="245" w:lineRule="auto"/>
            </w:pPr>
            <w:r>
              <w:rPr>
                <w:sz w:val="18"/>
              </w:rPr>
              <w:t>Bundle access is not unlimited usage; confirm how the allowance applies to the selected licensing model</w:t>
            </w:r>
          </w:p>
        </w:tc>
      </w:tr>
    </w:tbl>
    <w:p>
      <w:pPr>
        <w:spacing w:after="20"/>
      </w:pPr>
    </w:p>
    <w:p>
      <w:r>
        <w:t xml:space="preserve">Sources by row: fields </w:t>
      </w:r>
      <w:hyperlink r:id="rId15">
        <w:r>
          <w:rPr>
            <w:color w:val="303030"/>
            <w:vertAlign w:val="superscript"/>
          </w:rPr>
          <w:t>11</w:t>
        </w:r>
      </w:hyperlink>
      <w:r>
        <w:t xml:space="preserve">; automation and mass email </w:t>
      </w:r>
      <w:hyperlink r:id="rId20">
        <w:r>
          <w:rPr>
            <w:color w:val="303030"/>
            <w:vertAlign w:val="superscript"/>
          </w:rPr>
          <w:t>21</w:t>
        </w:r>
      </w:hyperlink>
      <w:r>
        <w:t xml:space="preserve">; records </w:t>
      </w:r>
      <w:r>
        <w:rPr>
          <w:vertAlign w:val="superscript"/>
        </w:rPr>
        <w:footnoteReference w:id="26"/>
      </w:r>
      <w:r>
        <w:t xml:space="preserve">; files </w:t>
      </w:r>
      <w:r>
        <w:rPr>
          <w:vertAlign w:val="superscript"/>
        </w:rPr>
        <w:footnoteReference w:id="27"/>
      </w:r>
      <w:r>
        <w:t xml:space="preserve">; Bigin records </w:t>
      </w:r>
      <w:r>
        <w:rPr>
          <w:vertAlign w:val="superscript"/>
        </w:rPr>
        <w:footnoteReference w:id="28"/>
      </w:r>
      <w:r>
        <w:t xml:space="preserve">, field/storage specifications </w:t>
      </w:r>
      <w:r>
        <w:rPr>
          <w:vertAlign w:val="superscript"/>
        </w:rPr>
        <w:footnoteReference w:id="29"/>
      </w:r>
      <w:r>
        <w:t xml:space="preserve">, and daily email limits </w:t>
      </w:r>
      <w:r>
        <w:rPr>
          <w:vertAlign w:val="superscript"/>
        </w:rPr>
        <w:footnoteReference w:id="30"/>
      </w:r>
      <w:r>
        <w:t xml:space="preserve">; SalesIQ </w:t>
      </w:r>
      <w:hyperlink r:id="rId19">
        <w:r>
          <w:rPr>
            <w:color w:val="303030"/>
            <w:vertAlign w:val="superscript"/>
          </w:rPr>
          <w:t>15</w:t>
        </w:r>
      </w:hyperlink>
      <w:r>
        <w:t xml:space="preserve">; One </w:t>
      </w:r>
      <w:hyperlink r:id="rId21">
        <w:r>
          <w:rPr>
            <w:color w:val="303030"/>
            <w:vertAlign w:val="superscript"/>
          </w:rPr>
          <w:t>12</w:t>
        </w:r>
      </w:hyperlink>
      <w:r>
        <w:t>.</w:t>
      </w:r>
    </w:p>
    <w:p>
      <w:r>
        <w:t>Bigin Premier lists 1,000 AI credits/month and 360 lists 3,000; extra credits are purchasable and consumption depends on the feature and request. CRM’s comparison lists enrichment allowances of 500 records/user, capped at 50,000, for Standard through Enterprise, and 2,000/user with the same cap for Ultimate. Confirm reset periods, actual availability and paid overages in the account; an allowance does not guarantee a successful match. Marketing-product API/storage ceilings and third-party data/AI overage prices were not fully established from the reviewed public pricing material and are not assumed unlimited.</w:t>
      </w:r>
      <w:hyperlink r:id="rId10">
        <w:r>
          <w:rPr>
            <w:color w:val="303030"/>
            <w:vertAlign w:val="superscript"/>
          </w:rPr>
          <w:t>6</w:t>
        </w:r>
      </w:hyperlink>
      <w:r>
        <w:rPr>
          <w:vertAlign w:val="superscript"/>
        </w:rPr>
        <w:t xml:space="preserve">, </w:t>
      </w:r>
      <w:hyperlink r:id="rId20">
        <w:r>
          <w:rPr>
            <w:color w:val="303030"/>
            <w:vertAlign w:val="superscript"/>
          </w:rPr>
          <w:t>21</w:t>
        </w:r>
      </w:hyperlink>
    </w:p>
    <w:p>
      <w:r>
        <w:t>For a future connection to the Python pipeline, CRM Standard includes 50,000 + 250 × users API credits per rolling 24 hours: 50,250, 50,750 and 51,250 for 1/3/5 users. Professional uses 500 per user, Enterprise/One 1,000, and Ultimate 2,000, above the same base. Operations consume different credits; concurrent requests also have limits. Extra CRM API usage can be enabled with usage-based monthly billing, starting at $0.14 per 1,000 additional credits per 24 hours for the first tier. No API add-on is assumed necessary for this pilot.</w:t>
      </w:r>
      <w:r>
        <w:rPr>
          <w:vertAlign w:val="superscript"/>
        </w:rPr>
        <w:footnoteReference w:id="31"/>
      </w:r>
      <w:r>
        <w:rPr>
          <w:vertAlign w:val="superscript"/>
        </w:rPr>
        <w:t xml:space="preserve">, </w:t>
      </w:r>
      <w:r>
        <w:rPr>
          <w:vertAlign w:val="superscript"/>
        </w:rPr>
        <w:footnoteReference w:id="32"/>
      </w:r>
    </w:p>
    <w:p>
      <w:r>
        <w:t>Bigin’s published API limit for Express/Premier is 50,000 + 250 × users, capped at 100,000, with concurrency limits. The proposed pilot does not need continuous integration: a reviewed, deduplicated batch is easier to inspect first. API capacity is unlikely to be the initial bottleneck; permissions, field mapping, duplicate handling and ownership of corrections matter more.</w:t>
      </w:r>
      <w:r>
        <w:rPr>
          <w:vertAlign w:val="superscript"/>
        </w:rPr>
        <w:footnoteReference w:id="33"/>
      </w:r>
    </w:p>
    <w:p>
      <w:pPr>
        <w:pStyle w:val="Heading2"/>
      </w:pPr>
      <w:r>
        <w:t>First year total ownership scenarios</w:t>
      </w:r>
    </w:p>
    <w:p>
      <w:r>
        <w:t xml:space="preserve">The following are </w:t>
      </w:r>
      <w:r>
        <w:rPr>
          <w:b/>
        </w:rPr>
        <w:t>planning estimates</w:t>
      </w:r>
      <w:r>
        <w:t>, not vendor quotes or a forecast of sales results. They compare annual license purchases plus internal implementation and administration. A $50/hour internal opportunity cost is an explicit modeling assumption, not Troen’s known wage. Research, relationship development, selling time, travel operations, taxes, payment fees, third-party data, and existing software bills are excluded and must be added where incremental.</w:t>
      </w:r>
    </w:p>
    <w:tbl>
      <w:tblPr>
        <w:tblW w:type="auto" w:w="0"/>
        <w:tblLayout w:type="fixed"/>
        <w:tblLook w:firstColumn="1" w:firstRow="1" w:lastColumn="0" w:lastRow="0" w:noHBand="0" w:noVBand="1" w:val="04A0"/>
        <w:tblBorders>
          <w:top w:val="single" w:sz="4" w:color="C8C8C8"/>
          <w:left w:val="single" w:sz="4" w:color="C8C8C8"/>
          <w:bottom w:val="single" w:sz="4" w:color="C8C8C8"/>
          <w:right w:val="single" w:sz="4" w:color="C8C8C8"/>
          <w:insideH w:val="single" w:sz="4" w:color="C8C8C8"/>
          <w:insideV w:val="single" w:sz="4" w:color="C8C8C8"/>
        </w:tblBorders>
      </w:tblPr>
      <w:tblGrid>
        <w:gridCol w:w="2592"/>
        <w:gridCol w:w="2592"/>
        <w:gridCol w:w="2592"/>
        <w:gridCol w:w="2592"/>
      </w:tblGrid>
      <w:tr>
        <w:trPr>
          <w:cantSplit/>
          <w:tblHeader/>
        </w:trPr>
        <w:tc>
          <w:tcPr>
            <w:tcW w:type="dxa" w:w="1656"/>
            <w:shd w:fill="EAEAEA"/>
          </w:tcPr>
          <w:p>
            <w:pPr>
              <w:spacing w:after="80" w:before="80" w:line="245" w:lineRule="auto"/>
            </w:pPr>
            <w:r>
              <w:rPr>
                <w:b/>
                <w:sz w:val="18"/>
              </w:rPr>
              <w:t>Scenario and assumed internal effort</w:t>
            </w:r>
          </w:p>
        </w:tc>
        <w:tc>
          <w:tcPr>
            <w:tcW w:type="dxa" w:w="2592"/>
            <w:shd w:fill="EAEAEA"/>
          </w:tcPr>
          <w:p>
            <w:pPr>
              <w:spacing w:after="80" w:before="80" w:line="245" w:lineRule="auto"/>
            </w:pPr>
            <w:r>
              <w:rPr>
                <w:b/>
                <w:sz w:val="18"/>
              </w:rPr>
              <w:t>1 user first year</w:t>
            </w:r>
          </w:p>
        </w:tc>
        <w:tc>
          <w:tcPr>
            <w:tcW w:type="dxa" w:w="3456"/>
            <w:shd w:fill="EAEAEA"/>
          </w:tcPr>
          <w:p>
            <w:pPr>
              <w:spacing w:after="80" w:before="80" w:line="245" w:lineRule="auto"/>
            </w:pPr>
            <w:r>
              <w:rPr>
                <w:b/>
                <w:sz w:val="18"/>
              </w:rPr>
              <w:t>3 users first year</w:t>
            </w:r>
          </w:p>
        </w:tc>
        <w:tc>
          <w:tcPr>
            <w:tcW w:type="dxa" w:w="2664"/>
            <w:shd w:fill="EAEAEA"/>
          </w:tcPr>
          <w:p>
            <w:pPr>
              <w:spacing w:after="80" w:before="80" w:line="245" w:lineRule="auto"/>
            </w:pPr>
            <w:r>
              <w:rPr>
                <w:b/>
                <w:sz w:val="18"/>
              </w:rPr>
              <w:t>5 users first year</w:t>
            </w:r>
          </w:p>
        </w:tc>
      </w:tr>
      <w:tr>
        <w:trPr>
          <w:cantSplit/>
        </w:trPr>
        <w:tc>
          <w:tcPr>
            <w:tcW w:type="dxa" w:w="1656"/>
          </w:tcPr>
          <w:p>
            <w:pPr>
              <w:spacing w:after="80" w:before="80" w:line="245" w:lineRule="auto"/>
            </w:pPr>
            <w:r>
              <w:rPr>
                <w:sz w:val="18"/>
              </w:rPr>
              <w:t>Keep existing stack; 8–16 hours tune-up plus 1 hour/month administration</w:t>
            </w:r>
          </w:p>
        </w:tc>
        <w:tc>
          <w:tcPr>
            <w:tcW w:type="dxa" w:w="2592"/>
          </w:tcPr>
          <w:p>
            <w:pPr>
              <w:spacing w:after="80" w:before="80" w:line="245" w:lineRule="auto"/>
            </w:pPr>
            <w:r>
              <w:rPr>
                <w:sz w:val="18"/>
              </w:rPr>
              <w:t>Existing annual bill + $1,000–$1,400</w:t>
            </w:r>
          </w:p>
        </w:tc>
        <w:tc>
          <w:tcPr>
            <w:tcW w:type="dxa" w:w="3456"/>
          </w:tcPr>
          <w:p>
            <w:pPr>
              <w:spacing w:after="80" w:before="80" w:line="245" w:lineRule="auto"/>
            </w:pPr>
            <w:r>
              <w:rPr>
                <w:sz w:val="18"/>
              </w:rPr>
              <w:t>Existing annual bill + $1,000–$1,400</w:t>
            </w:r>
          </w:p>
        </w:tc>
        <w:tc>
          <w:tcPr>
            <w:tcW w:type="dxa" w:w="2664"/>
          </w:tcPr>
          <w:p>
            <w:pPr>
              <w:spacing w:after="80" w:before="80" w:line="245" w:lineRule="auto"/>
            </w:pPr>
            <w:r>
              <w:rPr>
                <w:sz w:val="18"/>
              </w:rPr>
              <w:t>Existing annual bill + $1,000–$1,400</w:t>
            </w:r>
          </w:p>
        </w:tc>
      </w:tr>
      <w:tr>
        <w:trPr>
          <w:cantSplit/>
        </w:trPr>
        <w:tc>
          <w:tcPr>
            <w:tcW w:type="dxa" w:w="1656"/>
          </w:tcPr>
          <w:p>
            <w:pPr>
              <w:spacing w:after="80" w:before="80" w:line="245" w:lineRule="auto"/>
            </w:pPr>
            <w:r>
              <w:rPr>
                <w:sz w:val="18"/>
              </w:rPr>
              <w:t>Bigin Express; 12–24 setup hours plus 1 hour/month</w:t>
            </w:r>
          </w:p>
        </w:tc>
        <w:tc>
          <w:tcPr>
            <w:tcW w:type="dxa" w:w="2592"/>
          </w:tcPr>
          <w:p>
            <w:pPr>
              <w:spacing w:after="80" w:before="80" w:line="245" w:lineRule="auto"/>
            </w:pPr>
            <w:r>
              <w:rPr>
                <w:sz w:val="18"/>
              </w:rPr>
              <w:t>$1,284–$1,884</w:t>
            </w:r>
          </w:p>
        </w:tc>
        <w:tc>
          <w:tcPr>
            <w:tcW w:type="dxa" w:w="3456"/>
          </w:tcPr>
          <w:p>
            <w:pPr>
              <w:spacing w:after="80" w:before="80" w:line="245" w:lineRule="auto"/>
            </w:pPr>
            <w:r>
              <w:rPr>
                <w:sz w:val="18"/>
              </w:rPr>
              <w:t>$1,452–$2,052</w:t>
            </w:r>
          </w:p>
        </w:tc>
        <w:tc>
          <w:tcPr>
            <w:tcW w:type="dxa" w:w="2664"/>
          </w:tcPr>
          <w:p>
            <w:pPr>
              <w:spacing w:after="80" w:before="80" w:line="245" w:lineRule="auto"/>
            </w:pPr>
            <w:r>
              <w:rPr>
                <w:sz w:val="18"/>
              </w:rPr>
              <w:t>$1,620–$2,220</w:t>
            </w:r>
          </w:p>
        </w:tc>
      </w:tr>
      <w:tr>
        <w:trPr>
          <w:cantSplit/>
        </w:trPr>
        <w:tc>
          <w:tcPr>
            <w:tcW w:type="dxa" w:w="1656"/>
          </w:tcPr>
          <w:p>
            <w:pPr>
              <w:spacing w:after="80" w:before="80" w:line="245" w:lineRule="auto"/>
            </w:pPr>
            <w:r>
              <w:rPr>
                <w:sz w:val="18"/>
              </w:rPr>
              <w:t>CRM Standard; 16–32 setup hours plus 2 hours/month</w:t>
            </w:r>
          </w:p>
        </w:tc>
        <w:tc>
          <w:tcPr>
            <w:tcW w:type="dxa" w:w="2592"/>
          </w:tcPr>
          <w:p>
            <w:pPr>
              <w:spacing w:after="80" w:before="80" w:line="245" w:lineRule="auto"/>
            </w:pPr>
            <w:r>
              <w:rPr>
                <w:sz w:val="18"/>
              </w:rPr>
              <w:t>$2,168–$2,968</w:t>
            </w:r>
          </w:p>
        </w:tc>
        <w:tc>
          <w:tcPr>
            <w:tcW w:type="dxa" w:w="3456"/>
          </w:tcPr>
          <w:p>
            <w:pPr>
              <w:spacing w:after="80" w:before="80" w:line="245" w:lineRule="auto"/>
            </w:pPr>
            <w:r>
              <w:rPr>
                <w:sz w:val="18"/>
              </w:rPr>
              <w:t>$2,504–$3,304</w:t>
            </w:r>
          </w:p>
        </w:tc>
        <w:tc>
          <w:tcPr>
            <w:tcW w:type="dxa" w:w="2664"/>
          </w:tcPr>
          <w:p>
            <w:pPr>
              <w:spacing w:after="80" w:before="80" w:line="245" w:lineRule="auto"/>
            </w:pPr>
            <w:r>
              <w:rPr>
                <w:sz w:val="18"/>
              </w:rPr>
              <w:t>$2,840–$3,640</w:t>
            </w:r>
          </w:p>
        </w:tc>
      </w:tr>
      <w:tr>
        <w:trPr>
          <w:cantSplit/>
        </w:trPr>
        <w:tc>
          <w:tcPr>
            <w:tcW w:type="dxa" w:w="1656"/>
          </w:tcPr>
          <w:p>
            <w:pPr>
              <w:spacing w:after="80" w:before="80" w:line="245" w:lineRule="auto"/>
            </w:pPr>
            <w:r>
              <w:rPr>
                <w:sz w:val="18"/>
              </w:rPr>
              <w:t>One all employees; 32–64 setup hours plus 3 hours/month</w:t>
            </w:r>
          </w:p>
        </w:tc>
        <w:tc>
          <w:tcPr>
            <w:tcW w:type="dxa" w:w="2592"/>
          </w:tcPr>
          <w:p>
            <w:pPr>
              <w:spacing w:after="80" w:before="80" w:line="245" w:lineRule="auto"/>
            </w:pPr>
            <w:r>
              <w:rPr>
                <w:sz w:val="18"/>
              </w:rPr>
              <w:t>$3,844–$5,444</w:t>
            </w:r>
          </w:p>
        </w:tc>
        <w:tc>
          <w:tcPr>
            <w:tcW w:type="dxa" w:w="3456"/>
          </w:tcPr>
          <w:p>
            <w:pPr>
              <w:spacing w:after="80" w:before="80" w:line="245" w:lineRule="auto"/>
            </w:pPr>
            <w:r>
              <w:rPr>
                <w:sz w:val="18"/>
              </w:rPr>
              <w:t>$4,732–$6,332</w:t>
            </w:r>
          </w:p>
        </w:tc>
        <w:tc>
          <w:tcPr>
            <w:tcW w:type="dxa" w:w="2664"/>
          </w:tcPr>
          <w:p>
            <w:pPr>
              <w:spacing w:after="80" w:before="80" w:line="245" w:lineRule="auto"/>
            </w:pPr>
            <w:r>
              <w:rPr>
                <w:sz w:val="18"/>
              </w:rPr>
              <w:t>$5,620–$7,220</w:t>
            </w:r>
          </w:p>
        </w:tc>
      </w:tr>
    </w:tbl>
    <w:p>
      <w:pPr>
        <w:spacing w:after="20"/>
      </w:pPr>
    </w:p>
    <w:p>
      <w:r>
        <w:t>The same labor envelope is used across 1/3/5 users to isolate seat costs; extra training or complexity would increase it. These scenarios are alternatives. Do not add a full internal setup allowance and a full outsourced implementation allowance without identifying overlapping work. Keeping an already well-configured stack could require less time; a poorly documented integration could require substantially more.</w:t>
      </w:r>
    </w:p>
    <w:p>
      <w:r>
        <w:rPr>
          <w:b/>
        </w:rPr>
        <w:t>Cash cost example.</w:t>
      </w:r>
      <w:r>
        <w:t xml:space="preserve"> CRM Standard plus the published minimum Jumpstart service would be at least $2,168/$2,504/$2,840 for 1/3/5 users annually, before taxes, extra implementation hours and internal oversight. Jumpstart publicly lists $200/hour with a 10-hour minimum; scope is agreed separately. Its FAQ says no refund after enrollment and describes seven days of post-implementation support. This is separate from subscription refunds.</w:t>
      </w:r>
      <w:hyperlink r:id="rId22">
        <w:r>
          <w:rPr>
            <w:color w:val="303030"/>
            <w:vertAlign w:val="superscript"/>
          </w:rPr>
          <w:t>8</w:t>
        </w:r>
      </w:hyperlink>
    </w:p>
    <w:p>
      <w:r>
        <w:rPr>
          <w:b/>
        </w:rPr>
        <w:t>Other ownership costs to price explicitly.</w:t>
      </w:r>
      <w:r>
        <w:t xml:space="preserve"> Classic CRM support is included in paid editions; Premium is 20% of subscription fees. For CRM Standard annual subscriptions, that would add $33.60/$100.80/$168 for 1/3/5 users if no account-specific minimum applies. Published CRM and One Enterprise-support eligibility thresholds differ across support pages and exceed this team size; obtain written eligibility rather than treating enterprise support as an available small-team add-on. Initial response targets are not resolution guarantees, and support is not implementation.</w:t>
      </w:r>
      <w:r>
        <w:rPr>
          <w:vertAlign w:val="superscript"/>
        </w:rPr>
        <w:footnoteReference w:id="34"/>
      </w:r>
      <w:r>
        <w:rPr>
          <w:vertAlign w:val="superscript"/>
        </w:rPr>
        <w:t xml:space="preserve">, </w:t>
      </w:r>
      <w:r>
        <w:rPr>
          <w:vertAlign w:val="superscript"/>
        </w:rPr>
        <w:footnoteReference w:id="35"/>
      </w:r>
    </w:p>
    <w:p>
      <w:r>
        <w:t>Sign, Forms, payment gateways, phone numbers/minutes, SMS/WhatsApp, external AI providers, enrichment credits, Marketplace extensions, middleware, backup add-ons and extra storage can create separate bills. Some Sign automations and third-party integrations consume credits even when manual envelopes are unlimited. A director signing a document does not need a paid Sign account. Use a scoped quote or the actual account price for unverified add-on rates; none is silently included in the scenario totals.</w:t>
      </w:r>
      <w:hyperlink r:id="rId23">
        <w:r>
          <w:rPr>
            <w:color w:val="303030"/>
            <w:vertAlign w:val="superscript"/>
          </w:rPr>
          <w:t>18</w:t>
        </w:r>
      </w:hyperlink>
      <w:r>
        <w:rPr>
          <w:vertAlign w:val="superscript"/>
        </w:rPr>
        <w:t xml:space="preserve">, </w:t>
      </w:r>
      <w:hyperlink r:id="rId24">
        <w:r>
          <w:rPr>
            <w:color w:val="303030"/>
            <w:vertAlign w:val="superscript"/>
          </w:rPr>
          <w:t>17</w:t>
        </w:r>
      </w:hyperlink>
    </w:p>
    <w:p>
      <w:r>
        <w:t>Assessment: a $500 migration undertaken solely to save $21/month by moving three annual-billed CRM Standard users to Bigin Express takes about 24 months to repay, before administration differences. That is longer than the immediate event horizon. In contrast, removing a genuinely redundant subscription may save money without moving the sales records. Evaluate avoidable future cost, not sunk spending.</w:t>
      </w:r>
    </w:p>
    <w:p>
      <w:pPr>
        <w:pStyle w:val="Heading1"/>
      </w:pPr>
      <w:r>
        <w:t>Workflow map for March 3</w:t>
      </w:r>
    </w:p>
    <w:p>
      <w:r>
        <w:t xml:space="preserve">The proposed operating flow is: </w:t>
      </w:r>
      <w:r>
        <w:rPr>
          <w:b/>
        </w:rPr>
        <w:t>external research staging → verified adult relationship and permission status → qualified ensemble opportunity → approval and proposal → contract and deposit → operations handoff</w:t>
      </w:r>
      <w:r>
        <w:t>. A raw prospect, an interested director, an approved trip and a paid ensemble booking must remain distinct states.</w:t>
      </w:r>
    </w:p>
    <w:p>
      <w:r>
        <w:t>The table is a proposed use of the documented capabilities, not an assertion that Troen has implemented them. Value refers to the immediate March 3 proof of concept.</w:t>
      </w:r>
    </w:p>
    <w:tbl>
      <w:tblPr>
        <w:tblW w:type="auto" w:w="0"/>
        <w:tblLayout w:type="fixed"/>
        <w:tblLook w:firstColumn="1" w:firstRow="1" w:lastColumn="0" w:lastRow="0" w:noHBand="0" w:noVBand="1" w:val="04A0"/>
        <w:tblBorders>
          <w:top w:val="single" w:sz="4" w:color="C8C8C8"/>
          <w:left w:val="single" w:sz="4" w:color="C8C8C8"/>
          <w:bottom w:val="single" w:sz="4" w:color="C8C8C8"/>
          <w:right w:val="single" w:sz="4" w:color="C8C8C8"/>
          <w:insideH w:val="single" w:sz="4" w:color="C8C8C8"/>
          <w:insideV w:val="single" w:sz="4" w:color="C8C8C8"/>
        </w:tblBorders>
      </w:tblPr>
      <w:tblGrid>
        <w:gridCol w:w="2592"/>
        <w:gridCol w:w="2592"/>
        <w:gridCol w:w="2592"/>
        <w:gridCol w:w="2592"/>
      </w:tblGrid>
      <w:tr>
        <w:trPr>
          <w:cantSplit/>
          <w:tblHeader/>
        </w:trPr>
        <w:tc>
          <w:tcPr>
            <w:tcW w:type="dxa" w:w="1656"/>
            <w:shd w:fill="EAEAEA"/>
          </w:tcPr>
          <w:p>
            <w:pPr>
              <w:spacing w:after="80" w:before="80" w:line="245" w:lineRule="auto"/>
            </w:pPr>
            <w:r>
              <w:rPr>
                <w:b/>
                <w:sz w:val="18"/>
              </w:rPr>
              <w:t>Stage</w:t>
            </w:r>
          </w:p>
        </w:tc>
        <w:tc>
          <w:tcPr>
            <w:tcW w:type="dxa" w:w="2592"/>
            <w:shd w:fill="EAEAEA"/>
          </w:tcPr>
          <w:p>
            <w:pPr>
              <w:spacing w:after="80" w:before="80" w:line="245" w:lineRule="auto"/>
            </w:pPr>
            <w:r>
              <w:rPr>
                <w:b/>
                <w:sz w:val="18"/>
              </w:rPr>
              <w:t>Zoho contribution</w:t>
            </w:r>
          </w:p>
        </w:tc>
        <w:tc>
          <w:tcPr>
            <w:tcW w:type="dxa" w:w="3456"/>
            <w:shd w:fill="EAEAEA"/>
          </w:tcPr>
          <w:p>
            <w:pPr>
              <w:spacing w:after="80" w:before="80" w:line="245" w:lineRule="auto"/>
            </w:pPr>
            <w:r>
              <w:rPr>
                <w:b/>
                <w:sz w:val="18"/>
              </w:rPr>
              <w:t>Dependencies and human work</w:t>
            </w:r>
          </w:p>
        </w:tc>
        <w:tc>
          <w:tcPr>
            <w:tcW w:type="dxa" w:w="2664"/>
            <w:shd w:fill="EAEAEA"/>
          </w:tcPr>
          <w:p>
            <w:pPr>
              <w:spacing w:after="80" w:before="80" w:line="245" w:lineRule="auto"/>
            </w:pPr>
            <w:r>
              <w:rPr>
                <w:b/>
                <w:sz w:val="18"/>
              </w:rPr>
              <w:t>Business effect and near-term value</w:t>
            </w:r>
          </w:p>
        </w:tc>
      </w:tr>
      <w:tr>
        <w:trPr>
          <w:cantSplit/>
        </w:trPr>
        <w:tc>
          <w:tcPr>
            <w:tcW w:type="dxa" w:w="1656"/>
          </w:tcPr>
          <w:p>
            <w:pPr>
              <w:spacing w:after="80" w:before="80" w:line="245" w:lineRule="auto"/>
            </w:pPr>
            <w:r>
              <w:rPr>
                <w:sz w:val="18"/>
              </w:rPr>
              <w:t>Define event offer</w:t>
            </w:r>
          </w:p>
        </w:tc>
        <w:tc>
          <w:tcPr>
            <w:tcW w:type="dxa" w:w="2592"/>
          </w:tcPr>
          <w:p>
            <w:pPr>
              <w:spacing w:after="80" w:before="80" w:line="245" w:lineRule="auto"/>
            </w:pPr>
            <w:r>
              <w:rPr>
                <w:sz w:val="18"/>
              </w:rPr>
              <w:t>Store approved event brief and opportunity template</w:t>
            </w:r>
          </w:p>
        </w:tc>
        <w:tc>
          <w:tcPr>
            <w:tcW w:type="dxa" w:w="3456"/>
          </w:tcPr>
          <w:p>
            <w:pPr>
              <w:spacing w:after="80" w:before="80" w:line="245" w:lineRule="auto"/>
            </w:pPr>
            <w:r>
              <w:rPr>
                <w:sz w:val="18"/>
              </w:rPr>
              <w:t>Owner confirms eligible ensembles, slots, pricing, inclusions, cutoff dates and capacity units</w:t>
            </w:r>
          </w:p>
        </w:tc>
        <w:tc>
          <w:tcPr>
            <w:tcW w:type="dxa" w:w="2664"/>
          </w:tcPr>
          <w:p>
            <w:pPr>
              <w:spacing w:after="80" w:before="80" w:line="245" w:lineRule="auto"/>
            </w:pPr>
            <w:r>
              <w:rPr>
                <w:sz w:val="18"/>
              </w:rPr>
              <w:t>Foundation for conversion; critical</w:t>
            </w:r>
          </w:p>
        </w:tc>
      </w:tr>
      <w:tr>
        <w:trPr>
          <w:cantSplit/>
        </w:trPr>
        <w:tc>
          <w:tcPr>
            <w:tcW w:type="dxa" w:w="1656"/>
          </w:tcPr>
          <w:p>
            <w:pPr>
              <w:spacing w:after="80" w:before="80" w:line="245" w:lineRule="auto"/>
            </w:pPr>
            <w:r>
              <w:rPr>
                <w:sz w:val="18"/>
              </w:rPr>
              <w:t>Find schools and ensembles</w:t>
            </w:r>
          </w:p>
        </w:tc>
        <w:tc>
          <w:tcPr>
            <w:tcW w:type="dxa" w:w="2592"/>
          </w:tcPr>
          <w:p>
            <w:pPr>
              <w:spacing w:after="80" w:before="80" w:line="245" w:lineRule="auto"/>
            </w:pPr>
            <w:r>
              <w:rPr>
                <w:sz w:val="18"/>
              </w:rPr>
              <w:t>Later hold qualified records; optional external discovery/enrichment</w:t>
            </w:r>
          </w:p>
        </w:tc>
        <w:tc>
          <w:tcPr>
            <w:tcW w:type="dxa" w:w="3456"/>
          </w:tcPr>
          <w:p>
            <w:pPr>
              <w:spacing w:after="80" w:before="80" w:line="245" w:lineRule="auto"/>
            </w:pPr>
            <w:r>
              <w:rPr>
                <w:sz w:val="18"/>
              </w:rPr>
              <w:t>Existing Python research, school music pages, source URLs, dates, ensemble evidence; human artistic and travel-fit review</w:t>
            </w:r>
          </w:p>
        </w:tc>
        <w:tc>
          <w:tcPr>
            <w:tcW w:type="dxa" w:w="2664"/>
          </w:tcPr>
          <w:p>
            <w:pPr>
              <w:spacing w:after="80" w:before="80" w:line="245" w:lineRule="auto"/>
            </w:pPr>
            <w:r>
              <w:rPr>
                <w:sz w:val="18"/>
              </w:rPr>
              <w:t>New-business discovery mainly outside CRM; high</w:t>
            </w:r>
          </w:p>
        </w:tc>
      </w:tr>
      <w:tr>
        <w:trPr>
          <w:cantSplit/>
        </w:trPr>
        <w:tc>
          <w:tcPr>
            <w:tcW w:type="dxa" w:w="1656"/>
          </w:tcPr>
          <w:p>
            <w:pPr>
              <w:spacing w:after="80" w:before="80" w:line="245" w:lineRule="auto"/>
            </w:pPr>
            <w:r>
              <w:rPr>
                <w:sz w:val="18"/>
              </w:rPr>
              <w:t>Find tour-company partners</w:t>
            </w:r>
          </w:p>
        </w:tc>
        <w:tc>
          <w:tcPr>
            <w:tcW w:type="dxa" w:w="2592"/>
          </w:tcPr>
          <w:p>
            <w:pPr>
              <w:spacing w:after="80" w:before="80" w:line="245" w:lineRule="auto"/>
            </w:pPr>
            <w:r>
              <w:rPr>
                <w:sz w:val="18"/>
              </w:rPr>
              <w:t>Account/contact records and relationship tasks</w:t>
            </w:r>
          </w:p>
        </w:tc>
        <w:tc>
          <w:tcPr>
            <w:tcW w:type="dxa" w:w="3456"/>
          </w:tcPr>
          <w:p>
            <w:pPr>
              <w:spacing w:after="80" w:before="80" w:line="245" w:lineRule="auto"/>
            </w:pPr>
            <w:r>
              <w:rPr>
                <w:sz w:val="18"/>
              </w:rPr>
              <w:t>Existing relationships and research; confirm school-music specialization, territory and relevant adult role</w:t>
            </w:r>
          </w:p>
        </w:tc>
        <w:tc>
          <w:tcPr>
            <w:tcW w:type="dxa" w:w="2664"/>
          </w:tcPr>
          <w:p>
            <w:pPr>
              <w:spacing w:after="80" w:before="80" w:line="245" w:lineRule="auto"/>
            </w:pPr>
            <w:r>
              <w:rPr>
                <w:sz w:val="18"/>
              </w:rPr>
              <w:t>Discovery and channel development; high</w:t>
            </w:r>
          </w:p>
        </w:tc>
      </w:tr>
      <w:tr>
        <w:trPr>
          <w:cantSplit/>
        </w:trPr>
        <w:tc>
          <w:tcPr>
            <w:tcW w:type="dxa" w:w="1656"/>
          </w:tcPr>
          <w:p>
            <w:pPr>
              <w:spacing w:after="80" w:before="80" w:line="245" w:lineRule="auto"/>
            </w:pPr>
            <w:r>
              <w:rPr>
                <w:sz w:val="18"/>
              </w:rPr>
              <w:t>Verify adult contact</w:t>
            </w:r>
          </w:p>
        </w:tc>
        <w:tc>
          <w:tcPr>
            <w:tcW w:type="dxa" w:w="2592"/>
          </w:tcPr>
          <w:p>
            <w:pPr>
              <w:spacing w:after="80" w:before="80" w:line="245" w:lineRule="auto"/>
            </w:pPr>
            <w:r>
              <w:rPr>
                <w:sz w:val="18"/>
              </w:rPr>
              <w:t>Record role, institution, source, last check and permission state</w:t>
            </w:r>
          </w:p>
        </w:tc>
        <w:tc>
          <w:tcPr>
            <w:tcW w:type="dxa" w:w="3456"/>
          </w:tcPr>
          <w:p>
            <w:pPr>
              <w:spacing w:after="80" w:before="80" w:line="245" w:lineRule="auto"/>
            </w:pPr>
            <w:r>
              <w:rPr>
                <w:sz w:val="18"/>
              </w:rPr>
              <w:t>Official staff directory or current organization confirmation; distinguish office contact from director</w:t>
            </w:r>
          </w:p>
        </w:tc>
        <w:tc>
          <w:tcPr>
            <w:tcW w:type="dxa" w:w="2664"/>
          </w:tcPr>
          <w:p>
            <w:pPr>
              <w:spacing w:after="80" w:before="80" w:line="245" w:lineRule="auto"/>
            </w:pPr>
            <w:r>
              <w:rPr>
                <w:sz w:val="18"/>
              </w:rPr>
              <w:t>Improves contact quality; high</w:t>
            </w:r>
          </w:p>
        </w:tc>
      </w:tr>
      <w:tr>
        <w:trPr>
          <w:cantSplit/>
        </w:trPr>
        <w:tc>
          <w:tcPr>
            <w:tcW w:type="dxa" w:w="1656"/>
          </w:tcPr>
          <w:p>
            <w:pPr>
              <w:spacing w:after="80" w:before="80" w:line="245" w:lineRule="auto"/>
            </w:pPr>
            <w:r>
              <w:rPr>
                <w:sz w:val="18"/>
              </w:rPr>
              <w:t>Start or continue relationship</w:t>
            </w:r>
          </w:p>
        </w:tc>
        <w:tc>
          <w:tcPr>
            <w:tcW w:type="dxa" w:w="2592"/>
          </w:tcPr>
          <w:p>
            <w:pPr>
              <w:spacing w:after="80" w:before="80" w:line="245" w:lineRule="auto"/>
            </w:pPr>
            <w:r>
              <w:rPr>
                <w:sz w:val="18"/>
              </w:rPr>
              <w:t>Task queue, call notes and permitted email history</w:t>
            </w:r>
          </w:p>
        </w:tc>
        <w:tc>
          <w:tcPr>
            <w:tcW w:type="dxa" w:w="3456"/>
          </w:tcPr>
          <w:p>
            <w:pPr>
              <w:spacing w:after="80" w:before="80" w:line="245" w:lineRule="auto"/>
            </w:pPr>
            <w:r>
              <w:rPr>
                <w:sz w:val="18"/>
              </w:rPr>
              <w:t>Named owner, approved channel, relevant offer, school calendar, consent evidence</w:t>
            </w:r>
          </w:p>
        </w:tc>
        <w:tc>
          <w:tcPr>
            <w:tcW w:type="dxa" w:w="2664"/>
          </w:tcPr>
          <w:p>
            <w:pPr>
              <w:spacing w:after="80" w:before="80" w:line="245" w:lineRule="auto"/>
            </w:pPr>
            <w:r>
              <w:rPr>
                <w:sz w:val="18"/>
              </w:rPr>
              <w:t>Human relationship development; high</w:t>
            </w:r>
          </w:p>
        </w:tc>
      </w:tr>
      <w:tr>
        <w:trPr>
          <w:cantSplit/>
        </w:trPr>
        <w:tc>
          <w:tcPr>
            <w:tcW w:type="dxa" w:w="1656"/>
          </w:tcPr>
          <w:p>
            <w:pPr>
              <w:spacing w:after="80" w:before="80" w:line="245" w:lineRule="auto"/>
            </w:pPr>
            <w:r>
              <w:rPr>
                <w:sz w:val="18"/>
              </w:rPr>
              <w:t>Qualify direct-school interest</w:t>
            </w:r>
          </w:p>
        </w:tc>
        <w:tc>
          <w:tcPr>
            <w:tcW w:type="dxa" w:w="2592"/>
          </w:tcPr>
          <w:p>
            <w:pPr>
              <w:spacing w:after="80" w:before="80" w:line="245" w:lineRule="auto"/>
            </w:pPr>
            <w:r>
              <w:rPr>
                <w:sz w:val="18"/>
              </w:rPr>
              <w:t>Deal stages, next action, group size and approval dates</w:t>
            </w:r>
          </w:p>
        </w:tc>
        <w:tc>
          <w:tcPr>
            <w:tcW w:type="dxa" w:w="3456"/>
          </w:tcPr>
          <w:p>
            <w:pPr>
              <w:spacing w:after="80" w:before="80" w:line="245" w:lineRule="auto"/>
            </w:pPr>
            <w:r>
              <w:rPr>
                <w:sz w:val="18"/>
              </w:rPr>
              <w:t>Director confirms availability, budget range, travel readiness and school decision process</w:t>
            </w:r>
          </w:p>
        </w:tc>
        <w:tc>
          <w:tcPr>
            <w:tcW w:type="dxa" w:w="2664"/>
          </w:tcPr>
          <w:p>
            <w:pPr>
              <w:spacing w:after="80" w:before="80" w:line="245" w:lineRule="auto"/>
            </w:pPr>
            <w:r>
              <w:rPr>
                <w:sz w:val="18"/>
              </w:rPr>
              <w:t>Conversion; critical</w:t>
            </w:r>
          </w:p>
        </w:tc>
      </w:tr>
      <w:tr>
        <w:trPr>
          <w:cantSplit/>
        </w:trPr>
        <w:tc>
          <w:tcPr>
            <w:tcW w:type="dxa" w:w="1656"/>
          </w:tcPr>
          <w:p>
            <w:pPr>
              <w:spacing w:after="80" w:before="80" w:line="245" w:lineRule="auto"/>
            </w:pPr>
            <w:r>
              <w:rPr>
                <w:sz w:val="18"/>
              </w:rPr>
              <w:t>Qualify partner-led interest</w:t>
            </w:r>
          </w:p>
        </w:tc>
        <w:tc>
          <w:tcPr>
            <w:tcW w:type="dxa" w:w="2592"/>
          </w:tcPr>
          <w:p>
            <w:pPr>
              <w:spacing w:after="80" w:before="80" w:line="245" w:lineRule="auto"/>
            </w:pPr>
            <w:r>
              <w:rPr>
                <w:sz w:val="18"/>
              </w:rPr>
              <w:t>Partner account linked to specific ensemble opportunity</w:t>
            </w:r>
          </w:p>
        </w:tc>
        <w:tc>
          <w:tcPr>
            <w:tcW w:type="dxa" w:w="3456"/>
          </w:tcPr>
          <w:p>
            <w:pPr>
              <w:spacing w:after="80" w:before="80" w:line="245" w:lineRule="auto"/>
            </w:pPr>
            <w:r>
              <w:rPr>
                <w:sz w:val="18"/>
              </w:rPr>
              <w:t>Agree who contacts the school, who contracts/pays, net pricing or commission, and information-sharing rights</w:t>
            </w:r>
          </w:p>
        </w:tc>
        <w:tc>
          <w:tcPr>
            <w:tcW w:type="dxa" w:w="2664"/>
          </w:tcPr>
          <w:p>
            <w:pPr>
              <w:spacing w:after="80" w:before="80" w:line="245" w:lineRule="auto"/>
            </w:pPr>
            <w:r>
              <w:rPr>
                <w:sz w:val="18"/>
              </w:rPr>
              <w:t>Conversion; high; avoids channel conflict</w:t>
            </w:r>
          </w:p>
        </w:tc>
      </w:tr>
      <w:tr>
        <w:trPr>
          <w:cantSplit/>
        </w:trPr>
        <w:tc>
          <w:tcPr>
            <w:tcW w:type="dxa" w:w="1656"/>
          </w:tcPr>
          <w:p>
            <w:pPr>
              <w:spacing w:after="80" w:before="80" w:line="245" w:lineRule="auto"/>
            </w:pPr>
            <w:r>
              <w:rPr>
                <w:sz w:val="18"/>
              </w:rPr>
              <w:t>Prepare customized proposal</w:t>
            </w:r>
          </w:p>
        </w:tc>
        <w:tc>
          <w:tcPr>
            <w:tcW w:type="dxa" w:w="2592"/>
          </w:tcPr>
          <w:p>
            <w:pPr>
              <w:spacing w:after="80" w:before="80" w:line="245" w:lineRule="auto"/>
            </w:pPr>
            <w:r>
              <w:rPr>
                <w:sz w:val="18"/>
              </w:rPr>
              <w:t>CRM quote capability or document links; optional Sign integration</w:t>
            </w:r>
          </w:p>
        </w:tc>
        <w:tc>
          <w:tcPr>
            <w:tcW w:type="dxa" w:w="3456"/>
          </w:tcPr>
          <w:p>
            <w:pPr>
              <w:spacing w:after="80" w:before="80" w:line="245" w:lineRule="auto"/>
            </w:pPr>
            <w:r>
              <w:rPr>
                <w:sz w:val="18"/>
              </w:rPr>
              <w:t>Human itinerary design, supplier rates, margins, version review and validity period</w:t>
            </w:r>
          </w:p>
        </w:tc>
        <w:tc>
          <w:tcPr>
            <w:tcW w:type="dxa" w:w="2664"/>
          </w:tcPr>
          <w:p>
            <w:pPr>
              <w:spacing w:after="80" w:before="80" w:line="245" w:lineRule="auto"/>
            </w:pPr>
            <w:r>
              <w:rPr>
                <w:sz w:val="18"/>
              </w:rPr>
              <w:t>Conversion; high; automation optional</w:t>
            </w:r>
          </w:p>
        </w:tc>
      </w:tr>
      <w:tr>
        <w:trPr>
          <w:cantSplit/>
        </w:trPr>
        <w:tc>
          <w:tcPr>
            <w:tcW w:type="dxa" w:w="1656"/>
          </w:tcPr>
          <w:p>
            <w:pPr>
              <w:spacing w:after="80" w:before="80" w:line="245" w:lineRule="auto"/>
            </w:pPr>
            <w:r>
              <w:rPr>
                <w:sz w:val="18"/>
              </w:rPr>
              <w:t>Obtain school approval</w:t>
            </w:r>
          </w:p>
        </w:tc>
        <w:tc>
          <w:tcPr>
            <w:tcW w:type="dxa" w:w="2592"/>
          </w:tcPr>
          <w:p>
            <w:pPr>
              <w:spacing w:after="80" w:before="80" w:line="245" w:lineRule="auto"/>
            </w:pPr>
            <w:r>
              <w:rPr>
                <w:sz w:val="18"/>
              </w:rPr>
              <w:t>Dates, tasks, documents and blockers</w:t>
            </w:r>
          </w:p>
        </w:tc>
        <w:tc>
          <w:tcPr>
            <w:tcW w:type="dxa" w:w="3456"/>
          </w:tcPr>
          <w:p>
            <w:pPr>
              <w:spacing w:after="80" w:before="80" w:line="245" w:lineRule="auto"/>
            </w:pPr>
            <w:r>
              <w:rPr>
                <w:sz w:val="18"/>
              </w:rPr>
              <w:t>School/district process, fundraising and procurement decisions remain external</w:t>
            </w:r>
          </w:p>
        </w:tc>
        <w:tc>
          <w:tcPr>
            <w:tcW w:type="dxa" w:w="2664"/>
          </w:tcPr>
          <w:p>
            <w:pPr>
              <w:spacing w:after="80" w:before="80" w:line="245" w:lineRule="auto"/>
            </w:pPr>
            <w:r>
              <w:rPr>
                <w:sz w:val="18"/>
              </w:rPr>
              <w:t>Conversion; critical; CRM internal approval is not school approval</w:t>
            </w:r>
          </w:p>
        </w:tc>
      </w:tr>
      <w:tr>
        <w:trPr>
          <w:cantSplit/>
        </w:trPr>
        <w:tc>
          <w:tcPr>
            <w:tcW w:type="dxa" w:w="1656"/>
          </w:tcPr>
          <w:p>
            <w:pPr>
              <w:spacing w:after="80" w:before="80" w:line="245" w:lineRule="auto"/>
            </w:pPr>
            <w:r>
              <w:rPr>
                <w:sz w:val="18"/>
              </w:rPr>
              <w:t>Contract and deposit</w:t>
            </w:r>
          </w:p>
        </w:tc>
        <w:tc>
          <w:tcPr>
            <w:tcW w:type="dxa" w:w="2592"/>
          </w:tcPr>
          <w:p>
            <w:pPr>
              <w:spacing w:after="80" w:before="80" w:line="245" w:lineRule="auto"/>
            </w:pPr>
            <w:r>
              <w:rPr>
                <w:sz w:val="18"/>
              </w:rPr>
              <w:t>Signing status, deposit due, reminders and transaction reference</w:t>
            </w:r>
          </w:p>
        </w:tc>
        <w:tc>
          <w:tcPr>
            <w:tcW w:type="dxa" w:w="3456"/>
          </w:tcPr>
          <w:p>
            <w:pPr>
              <w:spacing w:after="80" w:before="80" w:line="245" w:lineRule="auto"/>
            </w:pPr>
            <w:r>
              <w:rPr>
                <w:sz w:val="18"/>
              </w:rPr>
              <w:t>Authorized signatory, accepted terms, gateway or finance confirmation and reconciliation</w:t>
            </w:r>
          </w:p>
        </w:tc>
        <w:tc>
          <w:tcPr>
            <w:tcW w:type="dxa" w:w="2664"/>
          </w:tcPr>
          <w:p>
            <w:pPr>
              <w:spacing w:after="80" w:before="80" w:line="245" w:lineRule="auto"/>
            </w:pPr>
            <w:r>
              <w:rPr>
                <w:sz w:val="18"/>
              </w:rPr>
              <w:t>Booking evidence; critical</w:t>
            </w:r>
          </w:p>
        </w:tc>
      </w:tr>
      <w:tr>
        <w:trPr>
          <w:cantSplit/>
        </w:trPr>
        <w:tc>
          <w:tcPr>
            <w:tcW w:type="dxa" w:w="1656"/>
          </w:tcPr>
          <w:p>
            <w:pPr>
              <w:spacing w:after="80" w:before="80" w:line="245" w:lineRule="auto"/>
            </w:pPr>
            <w:r>
              <w:rPr>
                <w:sz w:val="18"/>
              </w:rPr>
              <w:t>Registration and installments</w:t>
            </w:r>
          </w:p>
        </w:tc>
        <w:tc>
          <w:tcPr>
            <w:tcW w:type="dxa" w:w="2592"/>
          </w:tcPr>
          <w:p>
            <w:pPr>
              <w:spacing w:after="80" w:before="80" w:line="245" w:lineRule="auto"/>
            </w:pPr>
            <w:r>
              <w:rPr>
                <w:sz w:val="18"/>
              </w:rPr>
              <w:t>Forms and existing finance/payment integration</w:t>
            </w:r>
          </w:p>
        </w:tc>
        <w:tc>
          <w:tcPr>
            <w:tcW w:type="dxa" w:w="3456"/>
          </w:tcPr>
          <w:p>
            <w:pPr>
              <w:spacing w:after="80" w:before="80" w:line="245" w:lineRule="auto"/>
            </w:pPr>
            <w:r>
              <w:rPr>
                <w:sz w:val="18"/>
              </w:rPr>
              <w:t>Define group versus individual payer, changes, refunds and exception handling</w:t>
            </w:r>
          </w:p>
        </w:tc>
        <w:tc>
          <w:tcPr>
            <w:tcW w:type="dxa" w:w="2664"/>
          </w:tcPr>
          <w:p>
            <w:pPr>
              <w:spacing w:after="80" w:before="80" w:line="245" w:lineRule="auto"/>
            </w:pPr>
            <w:r>
              <w:rPr>
                <w:sz w:val="18"/>
              </w:rPr>
              <w:t>Delivery readiness; medium for acquisition, high once booked</w:t>
            </w:r>
          </w:p>
        </w:tc>
      </w:tr>
      <w:tr>
        <w:trPr>
          <w:cantSplit/>
        </w:trPr>
        <w:tc>
          <w:tcPr>
            <w:tcW w:type="dxa" w:w="1656"/>
          </w:tcPr>
          <w:p>
            <w:pPr>
              <w:spacing w:after="80" w:before="80" w:line="245" w:lineRule="auto"/>
            </w:pPr>
            <w:r>
              <w:rPr>
                <w:sz w:val="18"/>
              </w:rPr>
              <w:t>Hotels transportation and delivery</w:t>
            </w:r>
          </w:p>
        </w:tc>
        <w:tc>
          <w:tcPr>
            <w:tcW w:type="dxa" w:w="2592"/>
          </w:tcPr>
          <w:p>
            <w:pPr>
              <w:spacing w:after="80" w:before="80" w:line="245" w:lineRule="auto"/>
            </w:pPr>
            <w:r>
              <w:rPr>
                <w:sz w:val="18"/>
              </w:rPr>
              <w:t>Operations checklist, tasks, supplier references, document links</w:t>
            </w:r>
          </w:p>
        </w:tc>
        <w:tc>
          <w:tcPr>
            <w:tcW w:type="dxa" w:w="3456"/>
          </w:tcPr>
          <w:p>
            <w:pPr>
              <w:spacing w:after="80" w:before="80" w:line="245" w:lineRule="auto"/>
            </w:pPr>
            <w:r>
              <w:rPr>
                <w:sz w:val="18"/>
              </w:rPr>
              <w:t>Availability, reservations, rooming, transport, performance scheduling and live event management</w:t>
            </w:r>
          </w:p>
        </w:tc>
        <w:tc>
          <w:tcPr>
            <w:tcW w:type="dxa" w:w="2664"/>
          </w:tcPr>
          <w:p>
            <w:pPr>
              <w:spacing w:after="80" w:before="80" w:line="245" w:lineRule="auto"/>
            </w:pPr>
            <w:r>
              <w:rPr>
                <w:sz w:val="18"/>
              </w:rPr>
              <w:t>Fulfillment; preserve proven tools</w:t>
            </w:r>
          </w:p>
        </w:tc>
      </w:tr>
    </w:tbl>
    <w:p>
      <w:pPr>
        <w:spacing w:after="20"/>
      </w:pPr>
    </w:p>
    <w:p>
      <w:r>
        <w:t xml:space="preserve">Capabilities supporting this mapping are documented in CRM/Bigin </w:t>
      </w:r>
      <w:hyperlink r:id="rId9">
        <w:r>
          <w:rPr>
            <w:color w:val="303030"/>
            <w:vertAlign w:val="superscript"/>
          </w:rPr>
          <w:t>1</w:t>
        </w:r>
      </w:hyperlink>
      <w:r>
        <w:rPr>
          <w:vertAlign w:val="superscript"/>
        </w:rPr>
        <w:t xml:space="preserve">, </w:t>
      </w:r>
      <w:hyperlink r:id="rId10">
        <w:r>
          <w:rPr>
            <w:color w:val="303030"/>
            <w:vertAlign w:val="superscript"/>
          </w:rPr>
          <w:t>6</w:t>
        </w:r>
      </w:hyperlink>
      <w:r>
        <w:t xml:space="preserve">, Forms payment guidance </w:t>
      </w:r>
      <w:hyperlink r:id="rId24">
        <w:r>
          <w:rPr>
            <w:color w:val="303030"/>
            <w:vertAlign w:val="superscript"/>
          </w:rPr>
          <w:t>17</w:t>
        </w:r>
      </w:hyperlink>
      <w:r>
        <w:rPr>
          <w:vertAlign w:val="superscript"/>
        </w:rPr>
        <w:t xml:space="preserve">, </w:t>
      </w:r>
      <w:r>
        <w:rPr>
          <w:vertAlign w:val="superscript"/>
        </w:rPr>
        <w:footnoteReference w:id="36"/>
      </w:r>
      <w:r>
        <w:t xml:space="preserve">, Sign </w:t>
      </w:r>
      <w:hyperlink r:id="rId23">
        <w:r>
          <w:rPr>
            <w:color w:val="303030"/>
            <w:vertAlign w:val="superscript"/>
          </w:rPr>
          <w:t>18</w:t>
        </w:r>
      </w:hyperlink>
      <w:r>
        <w:t xml:space="preserve">, and the One application inventory </w:t>
      </w:r>
      <w:hyperlink r:id="rId21">
        <w:r>
          <w:rPr>
            <w:color w:val="303030"/>
            <w:vertAlign w:val="superscript"/>
          </w:rPr>
          <w:t>12</w:t>
        </w:r>
      </w:hyperlink>
      <w:r>
        <w:t>. No cited product is established here as a complete student group-travel reservation system. A form submission should never be treated as a settled deposit solely because the form was received.</w:t>
      </w:r>
    </w:p>
    <w:p>
      <w:pPr>
        <w:pStyle w:val="Heading2"/>
      </w:pPr>
      <w:r>
        <w:t>A minimal record structure</w:t>
      </w:r>
    </w:p>
    <w:p>
      <w:r>
        <w:t>Assessment: use the same commercial facts for schools and partners, with a channel field and clear relationship ownership. In CRM, the account represents the school or tour company, the contact represents an adult, and the deal represents a particular ensemble’s March 3 participation. A school with two independently bookable ensembles can have two deals. A partner relationship is not itself ten ensemble bookings.</w:t>
      </w:r>
    </w:p>
    <w:p>
      <w:r>
        <w:t>The minimal March 3 deal fields are event/date, channel, ensemble identifier/type, estimated participants, approval status/deadline, deposit due/status, and booking evidence. Reuse standard owner, stage, next task, close date, amount and related account/contact fields. Put source URL, verification date and permission evidence on the adult-contact record or linked research record. Confirm remaining custom-field capacity before adopting this design; use notes or a linked worksheet for secondary facts instead of immediately buying a higher tier.</w:t>
      </w:r>
    </w:p>
    <w:p>
      <w:r>
        <w:t>For partner business, distinguish the commercial customer from the performing school. Record who may approach the school, who owes payment, and the partner attribution. If multi-party links cannot be represented reliably in the existing edition, a controlled partner-to-ensemble worksheet is a valid pilot bridge. Avoid counting both the partner opportunity and its child ensembles toward the booking target.</w:t>
      </w:r>
    </w:p>
    <w:p>
      <w:r>
        <w:t>Recommended stages are Qualified opportunity, Conversation active, Proposal prepared, Approval pending, Contract pending, Deposit pending, Booked, and Lost/deferred. Track dates and blockers separately so a school’s non-linear approval process does not produce misleading stage movement. Define “Booked” using Troen’s actual policy; preferably require the contract and the specified deposit or a documented owner-authorized exception. Record pending payment and settlement separately.</w:t>
      </w:r>
    </w:p>
    <w:p>
      <w:pPr>
        <w:pStyle w:val="Heading2"/>
      </w:pPr>
      <w:r>
        <w:t>Capacity and conversion logic</w:t>
      </w:r>
    </w:p>
    <w:p>
      <w:r>
        <w:t>Before interpreting “ten more,” confirm whether capacity is constrained by ensemble count, performer count, performance minutes, instrumentation, session allocation or travel inventory. Keep tentative holds, approved groups and deposited bookings separate, with hold-expiry dates where relevant. Never equate an audience seating count with sellable ensemble capacity.</w:t>
      </w:r>
    </w:p>
    <w:p>
      <w:r>
        <w:t>The arithmetic can guide the sales workload without pretending to predict it. If ten additional bookings are required, a 10% conversion from qualified opportunities implies 100 opportunities; 20% implies 50; 33⅓% implies 30. These are illustrative scenarios, not Troen benchmarks. The model is meaningful only if “qualified” means an eligible ensemble with an adult decision contact, plausible dates and budget, and an approval path that fits the actual cutoff.</w:t>
      </w:r>
    </w:p>
    <w:p>
      <w:r>
        <w:t>Review weekly: unique qualified ensembles by channel, substantive conversations, proposals requested, upcoming approval decisions, contracts outstanding, deposits due/received, and lost reasons. Track overdue next actions and days in approval. Software usage, email opens, raw lead counts and AI scores are secondary indicators. Give partner-sourced and school-direct opportunities separate conversion denominators.</w:t>
      </w:r>
    </w:p>
    <w:p>
      <w:pPr>
        <w:pStyle w:val="Heading1"/>
      </w:pPr>
      <w:r>
        <w:t>Business practices and switching considerations</w:t>
      </w:r>
    </w:p>
    <w:p>
      <w:pPr>
        <w:pStyle w:val="Heading2"/>
      </w:pPr>
      <w:r>
        <w:t>Billing renewals and refunds</w:t>
      </w:r>
    </w:p>
    <w:p>
      <w:r>
        <w:t>Verified policy: Zoho’s general terms provide automatic renewal, require at least seven days’ notice if informing Zoho not to renew, and allow price changes after the current billing cycle. Published prices exclude applicable taxes. Subscription access and third-party integrations have separate terms. Troen should retain renewal notices and verify which entity actually bills it.</w:t>
      </w:r>
      <w:r>
        <w:rPr>
          <w:vertAlign w:val="superscript"/>
        </w:rPr>
        <w:footnoteReference w:id="37"/>
      </w:r>
    </w:p>
    <w:p>
      <w:r>
        <w:t>The refund policy provides a first-month satisfaction route for monthly subscriptions and a first-45-day route for annual subscriptions, following an attempt to address the problem. Forgotten renewals can be refunded if requested within five business days for monthly renewal or 15 days for annual renewal. Annual partial downgrades generally yield subscription-extension credits, calculated without the original discount, rather than a simple cash refund. Service failures have a separate conditional prorated-refund provision; violations leading to termination are excluded.</w:t>
      </w:r>
      <w:r>
        <w:rPr>
          <w:vertAlign w:val="superscript"/>
        </w:rPr>
        <w:footnoteReference w:id="38"/>
      </w:r>
    </w:p>
    <w:p>
      <w:r>
        <w:t>Assessment: monthly entry is sensible while fit remains unresolved, even though its annualized price is higher. Annual billing can be economical after a proven workflow and seat count. “Cancel anytime” should not be read as “unused annual time is always refunded in cash.” A reseller’s service retainer may have different terms from Zoho’s software subscription.</w:t>
      </w:r>
    </w:p>
    <w:p>
      <w:pPr>
        <w:pStyle w:val="Heading2"/>
      </w:pPr>
      <w:r>
        <w:t>Support and partner accountability</w:t>
      </w:r>
    </w:p>
    <w:p>
      <w:r>
        <w:t>CRM’s published support comparison lists Classic service during 8 hours on five days, Premium 24 hours on five days, and Enterprise 24/7, with 8/3/1-hour initial response targets. The CRM-specific page cites a 50-license Enterprise minimum, One’s page 75, while the common FAQ cites lower thresholds. This documentation conflict does not affect the 1–5-user comparison: do not budget access to an enterprise account manager without written confirmation.</w:t>
      </w:r>
      <w:hyperlink r:id="rId25">
        <w:r>
          <w:rPr>
            <w:color w:val="303030"/>
            <w:vertAlign w:val="superscript"/>
          </w:rPr>
          <w:t>34</w:t>
        </w:r>
      </w:hyperlink>
      <w:r>
        <w:rPr>
          <w:vertAlign w:val="superscript"/>
        </w:rPr>
        <w:t xml:space="preserve">, </w:t>
      </w:r>
      <w:hyperlink r:id="rId26">
        <w:r>
          <w:rPr>
            <w:color w:val="303030"/>
            <w:vertAlign w:val="superscript"/>
          </w:rPr>
          <w:t>35</w:t>
        </w:r>
      </w:hyperlink>
    </w:p>
    <w:p>
      <w:r>
        <w:t>The strongest independent evidence supports a balanced view. G2’s accessible review snapshot contained recurring praise for usability, features and integrations alongside learning-curve, integration and support complaints. Capterra’s August 26, 2026 update showed 4.3/5 overall and 4.1/5 customer service, while including individual billing complaints. These are self-selected reviews, some incentivized, not a controlled measure of incident frequency or proof of an allegation. No finding about Troen’s own provider can be inferred from them.</w:t>
      </w:r>
      <w:r>
        <w:rPr>
          <w:vertAlign w:val="superscript"/>
        </w:rPr>
        <w:footnoteReference w:id="39"/>
      </w:r>
      <w:r>
        <w:rPr>
          <w:vertAlign w:val="superscript"/>
        </w:rPr>
        <w:t xml:space="preserve">, </w:t>
      </w:r>
      <w:r>
        <w:rPr>
          <w:vertAlign w:val="superscript"/>
        </w:rPr>
        <w:footnoteReference w:id="40"/>
      </w:r>
    </w:p>
    <w:p>
      <w:r>
        <w:t>Assessment: test support with a representative operational issue when an account audit is authorized. Evaluate whether the answer resolves the issue, not merely whether a reply arrives. A consulting partner may reduce configuration effort and provide local expertise, but recurring service fees should buy defined work. Attribute a disputed promise to the entity that made it; a Marketplace vendor or reseller’s conduct should not automatically be described as Zoho’s conduct.</w:t>
      </w:r>
    </w:p>
    <w:p>
      <w:pPr>
        <w:pStyle w:val="Heading2"/>
      </w:pPr>
      <w:r>
        <w:t>Privacy ownership and AI data use</w:t>
      </w:r>
    </w:p>
    <w:p>
      <w:r>
        <w:t>Zoho’s privacy policy says it does not sell personal information and processes entrusted service data on the customer’s behalf. It also discloses operational analytics, service providers, partner information sharing and third-party integrations. Account termination does not imply immediate deletion: service data is removed from active databases within the stated six-month cleanup cycle, with backup deletion three months later. Legal and other retention exceptions also exist.</w:t>
      </w:r>
      <w:r>
        <w:rPr>
          <w:vertAlign w:val="superscript"/>
        </w:rPr>
        <w:footnoteReference w:id="41"/>
      </w:r>
    </w:p>
    <w:p>
      <w:r>
        <w:t>AI statements must be read at the product and provider level. WorkDrive’s Zia policy says customer content is not used to train or improve its AI models and describes optional third-party BYOK use. That is a WorkDrive statement, not a blanket finding about every CRM predictive model. CRM’s generative-AI architecture describes Zoho-hosted models and optional external providers; cross-product integration documentation describes content sent to external AI services with consent. Verify Troen’s enabled features, provider, data flow and terms instead of relying on a general “private AI” slogan.</w:t>
      </w:r>
      <w:r>
        <w:rPr>
          <w:vertAlign w:val="superscript"/>
        </w:rPr>
        <w:footnoteReference w:id="42"/>
      </w:r>
      <w:r>
        <w:rPr>
          <w:vertAlign w:val="superscript"/>
        </w:rPr>
        <w:t xml:space="preserve">, </w:t>
      </w:r>
      <w:r>
        <w:rPr>
          <w:vertAlign w:val="superscript"/>
        </w:rPr>
        <w:footnoteReference w:id="43"/>
      </w:r>
      <w:r>
        <w:rPr>
          <w:vertAlign w:val="superscript"/>
        </w:rPr>
        <w:t xml:space="preserve">, </w:t>
      </w:r>
      <w:r>
        <w:rPr>
          <w:vertAlign w:val="superscript"/>
        </w:rPr>
        <w:footnoteReference w:id="44"/>
      </w:r>
    </w:p>
    <w:p>
      <w:r>
        <w:t>Assessment: keep this acquisition pilot to adult professional contacts, aggregate group sizes and commercial milestones. Individual student, medical, passport and payment-card data do not improve prospect qualification. If later registration needs participant information, decide the necessary fields, access, retention and school agreements before choosing the collection workflow. This report does not certify compliance for student records.</w:t>
      </w:r>
    </w:p>
    <w:p>
      <w:pPr>
        <w:pStyle w:val="Heading2"/>
      </w:pPr>
      <w:r>
        <w:t>Export closure and practical lock-in</w:t>
      </w:r>
    </w:p>
    <w:p>
      <w:r>
        <w:t>Zoho’s terms recognize ownership of stored content. That helps portability but does not make migration automatic.</w:t>
      </w:r>
      <w:hyperlink r:id="rId27">
        <w:r>
          <w:rPr>
            <w:color w:val="303030"/>
            <w:vertAlign w:val="superscript"/>
          </w:rPr>
          <w:t>37</w:t>
        </w:r>
      </w:hyperlink>
      <w:r>
        <w:t xml:space="preserve"> CRM backup documentation describes records and attachments in separate archives and recommends preserving record identifiers. It explicitly excludes email content/attachments, Documents and data obtained through integrations from the described backup; IMAP email backup is unsupported. Links expire after seven days. Paid editions generally include two backups monthly; Ultimate four. Stopping a recurring backup schedule does not itself cancel its recurring subscription charge.</w:t>
      </w:r>
      <w:r>
        <w:rPr>
          <w:vertAlign w:val="superscript"/>
        </w:rPr>
        <w:footnoteReference w:id="45"/>
      </w:r>
    </w:p>
    <w:p>
      <w:r>
        <w:t>Assessment: before a downgrade or closure, validate a representative exported account, its contacts, deals, notes, attachments and relationships. Separately preserve email, signed documents, accounting data, custom fields, workflow definitions, templates and integration configuration. Confirm each app’s export and deletion behavior. Cancelling payment, downgrading an app, revoking an integration and closing the global Zoho account are different actions.</w:t>
      </w:r>
    </w:p>
    <w:p>
      <w:r>
        <w:t>Switching costs are chiefly reconstruction, retraining and interruption. A familiar system with a usable history may be worth more than a cheaper blank system. Conversely, unused bundles, undocumented dependencies and partner-controlled access can create avoidable costs. Public evidence does not establish deceptive billing, inappropriate upselling or data misuse in Troen’s case; those conclusions require actual records.</w:t>
      </w:r>
    </w:p>
    <w:p>
      <w:pPr>
        <w:pStyle w:val="Heading1"/>
      </w:pPr>
      <w:r>
        <w:t>Prioritized recommendations and tradeoffs</w:t>
      </w:r>
    </w:p>
    <w:tbl>
      <w:tblPr>
        <w:tblW w:type="auto" w:w="0"/>
        <w:tblLayout w:type="fixed"/>
        <w:tblLook w:firstColumn="1" w:firstRow="1" w:lastColumn="0" w:lastRow="0" w:noHBand="0" w:noVBand="1" w:val="04A0"/>
        <w:tblBorders>
          <w:top w:val="single" w:sz="4" w:color="C8C8C8"/>
          <w:left w:val="single" w:sz="4" w:color="C8C8C8"/>
          <w:bottom w:val="single" w:sz="4" w:color="C8C8C8"/>
          <w:right w:val="single" w:sz="4" w:color="C8C8C8"/>
          <w:insideH w:val="single" w:sz="4" w:color="C8C8C8"/>
          <w:insideV w:val="single" w:sz="4" w:color="C8C8C8"/>
        </w:tblBorders>
      </w:tblPr>
      <w:tblGrid>
        <w:gridCol w:w="2592"/>
        <w:gridCol w:w="2592"/>
        <w:gridCol w:w="2592"/>
        <w:gridCol w:w="2592"/>
      </w:tblGrid>
      <w:tr>
        <w:trPr>
          <w:cantSplit/>
          <w:tblHeader/>
        </w:trPr>
        <w:tc>
          <w:tcPr>
            <w:tcW w:type="dxa" w:w="1656"/>
            <w:shd w:fill="EAEAEA"/>
          </w:tcPr>
          <w:p>
            <w:pPr>
              <w:spacing w:after="80" w:before="80" w:line="245" w:lineRule="auto"/>
            </w:pPr>
            <w:r>
              <w:rPr>
                <w:b/>
                <w:sz w:val="18"/>
              </w:rPr>
              <w:t>Priority</w:t>
            </w:r>
          </w:p>
        </w:tc>
        <w:tc>
          <w:tcPr>
            <w:tcW w:type="dxa" w:w="2592"/>
            <w:shd w:fill="EAEAEA"/>
          </w:tcPr>
          <w:p>
            <w:pPr>
              <w:spacing w:after="80" w:before="80" w:line="245" w:lineRule="auto"/>
            </w:pPr>
            <w:r>
              <w:rPr>
                <w:b/>
                <w:sz w:val="18"/>
              </w:rPr>
              <w:t>Recommendation</w:t>
            </w:r>
          </w:p>
        </w:tc>
        <w:tc>
          <w:tcPr>
            <w:tcW w:type="dxa" w:w="3456"/>
            <w:shd w:fill="EAEAEA"/>
          </w:tcPr>
          <w:p>
            <w:pPr>
              <w:spacing w:after="80" w:before="80" w:line="245" w:lineRule="auto"/>
            </w:pPr>
            <w:r>
              <w:rPr>
                <w:b/>
                <w:sz w:val="18"/>
              </w:rPr>
              <w:t>Confidence</w:t>
            </w:r>
          </w:p>
        </w:tc>
        <w:tc>
          <w:tcPr>
            <w:tcW w:type="dxa" w:w="2664"/>
            <w:shd w:fill="EAEAEA"/>
          </w:tcPr>
          <w:p>
            <w:pPr>
              <w:spacing w:after="80" w:before="80" w:line="245" w:lineRule="auto"/>
            </w:pPr>
            <w:r>
              <w:rPr>
                <w:b/>
                <w:sz w:val="18"/>
              </w:rPr>
              <w:t>Tradeoff and decision trigger</w:t>
            </w:r>
          </w:p>
        </w:tc>
      </w:tr>
      <w:tr>
        <w:trPr>
          <w:cantSplit/>
        </w:trPr>
        <w:tc>
          <w:tcPr>
            <w:tcW w:type="dxa" w:w="1656"/>
          </w:tcPr>
          <w:p>
            <w:pPr>
              <w:spacing w:after="80" w:before="80" w:line="245" w:lineRule="auto"/>
            </w:pPr>
            <w:r>
              <w:rPr>
                <w:sz w:val="18"/>
              </w:rPr>
              <w:t>1</w:t>
            </w:r>
          </w:p>
        </w:tc>
        <w:tc>
          <w:tcPr>
            <w:tcW w:type="dxa" w:w="2592"/>
          </w:tcPr>
          <w:p>
            <w:pPr>
              <w:spacing w:after="80" w:before="80" w:line="245" w:lineRule="auto"/>
            </w:pPr>
            <w:r>
              <w:rPr>
                <w:sz w:val="18"/>
              </w:rPr>
              <w:t>Confirm March 3 offer, remaining capacity and booking definition</w:t>
            </w:r>
          </w:p>
        </w:tc>
        <w:tc>
          <w:tcPr>
            <w:tcW w:type="dxa" w:w="3456"/>
          </w:tcPr>
          <w:p>
            <w:pPr>
              <w:spacing w:after="80" w:before="80" w:line="245" w:lineRule="auto"/>
            </w:pPr>
            <w:r>
              <w:rPr>
                <w:sz w:val="18"/>
              </w:rPr>
              <w:t>High</w:t>
            </w:r>
          </w:p>
        </w:tc>
        <w:tc>
          <w:tcPr>
            <w:tcW w:type="dxa" w:w="2664"/>
          </w:tcPr>
          <w:p>
            <w:pPr>
              <w:spacing w:after="80" w:before="80" w:line="245" w:lineRule="auto"/>
            </w:pPr>
            <w:r>
              <w:rPr>
                <w:sz w:val="18"/>
              </w:rPr>
              <w:t>Requires owner input; prevents false promises and misleading targets</w:t>
            </w:r>
          </w:p>
        </w:tc>
      </w:tr>
      <w:tr>
        <w:trPr>
          <w:cantSplit/>
        </w:trPr>
        <w:tc>
          <w:tcPr>
            <w:tcW w:type="dxa" w:w="1656"/>
          </w:tcPr>
          <w:p>
            <w:pPr>
              <w:spacing w:after="80" w:before="80" w:line="245" w:lineRule="auto"/>
            </w:pPr>
            <w:r>
              <w:rPr>
                <w:sz w:val="18"/>
              </w:rPr>
              <w:t>2</w:t>
            </w:r>
          </w:p>
        </w:tc>
        <w:tc>
          <w:tcPr>
            <w:tcW w:type="dxa" w:w="2592"/>
          </w:tcPr>
          <w:p>
            <w:pPr>
              <w:spacing w:after="80" w:before="80" w:line="245" w:lineRule="auto"/>
            </w:pPr>
            <w:r>
              <w:rPr>
                <w:sz w:val="18"/>
              </w:rPr>
              <w:t>Identify the actual subscriptions, seller and lead deliverables</w:t>
            </w:r>
          </w:p>
        </w:tc>
        <w:tc>
          <w:tcPr>
            <w:tcW w:type="dxa" w:w="3456"/>
          </w:tcPr>
          <w:p>
            <w:pPr>
              <w:spacing w:after="80" w:before="80" w:line="245" w:lineRule="auto"/>
            </w:pPr>
            <w:r>
              <w:rPr>
                <w:sz w:val="18"/>
              </w:rPr>
              <w:t>High</w:t>
            </w:r>
          </w:p>
        </w:tc>
        <w:tc>
          <w:tcPr>
            <w:tcW w:type="dxa" w:w="2664"/>
          </w:tcPr>
          <w:p>
            <w:pPr>
              <w:spacing w:after="80" w:before="80" w:line="245" w:lineRule="auto"/>
            </w:pPr>
            <w:r>
              <w:rPr>
                <w:sz w:val="18"/>
              </w:rPr>
              <w:t>Small audit effort before savings can be quantified</w:t>
            </w:r>
          </w:p>
        </w:tc>
      </w:tr>
      <w:tr>
        <w:trPr>
          <w:cantSplit/>
        </w:trPr>
        <w:tc>
          <w:tcPr>
            <w:tcW w:type="dxa" w:w="1656"/>
          </w:tcPr>
          <w:p>
            <w:pPr>
              <w:spacing w:after="80" w:before="80" w:line="245" w:lineRule="auto"/>
            </w:pPr>
            <w:r>
              <w:rPr>
                <w:sz w:val="18"/>
              </w:rPr>
              <w:t>3</w:t>
            </w:r>
          </w:p>
        </w:tc>
        <w:tc>
          <w:tcPr>
            <w:tcW w:type="dxa" w:w="2592"/>
          </w:tcPr>
          <w:p>
            <w:pPr>
              <w:spacing w:after="80" w:before="80" w:line="245" w:lineRule="auto"/>
            </w:pPr>
            <w:r>
              <w:rPr>
                <w:sz w:val="18"/>
              </w:rPr>
              <w:t>Keep current working tools and add one event-specific view and next-action discipline</w:t>
            </w:r>
          </w:p>
        </w:tc>
        <w:tc>
          <w:tcPr>
            <w:tcW w:type="dxa" w:w="3456"/>
          </w:tcPr>
          <w:p>
            <w:pPr>
              <w:spacing w:after="80" w:before="80" w:line="245" w:lineRule="auto"/>
            </w:pPr>
            <w:r>
              <w:rPr>
                <w:sz w:val="18"/>
              </w:rPr>
              <w:t>High</w:t>
            </w:r>
          </w:p>
        </w:tc>
        <w:tc>
          <w:tcPr>
            <w:tcW w:type="dxa" w:w="2664"/>
          </w:tcPr>
          <w:p>
            <w:pPr>
              <w:spacing w:after="80" w:before="80" w:line="245" w:lineRule="auto"/>
            </w:pPr>
            <w:r>
              <w:rPr>
                <w:sz w:val="18"/>
              </w:rPr>
              <w:t>Retains existing complexity temporarily; reconsider only if a critical workflow fails</w:t>
            </w:r>
          </w:p>
        </w:tc>
      </w:tr>
      <w:tr>
        <w:trPr>
          <w:cantSplit/>
        </w:trPr>
        <w:tc>
          <w:tcPr>
            <w:tcW w:type="dxa" w:w="1656"/>
          </w:tcPr>
          <w:p>
            <w:pPr>
              <w:spacing w:after="80" w:before="80" w:line="245" w:lineRule="auto"/>
            </w:pPr>
            <w:r>
              <w:rPr>
                <w:sz w:val="18"/>
              </w:rPr>
              <w:t>4</w:t>
            </w:r>
          </w:p>
        </w:tc>
        <w:tc>
          <w:tcPr>
            <w:tcW w:type="dxa" w:w="2592"/>
          </w:tcPr>
          <w:p>
            <w:pPr>
              <w:spacing w:after="80" w:before="80" w:line="245" w:lineRule="auto"/>
            </w:pPr>
            <w:r>
              <w:rPr>
                <w:sz w:val="18"/>
              </w:rPr>
              <w:t>Preserve the Python pipeline and improve source evidence, adult-role verification and duplicate handling</w:t>
            </w:r>
          </w:p>
        </w:tc>
        <w:tc>
          <w:tcPr>
            <w:tcW w:type="dxa" w:w="3456"/>
          </w:tcPr>
          <w:p>
            <w:pPr>
              <w:spacing w:after="80" w:before="80" w:line="245" w:lineRule="auto"/>
            </w:pPr>
            <w:r>
              <w:rPr>
                <w:sz w:val="18"/>
              </w:rPr>
              <w:t>High</w:t>
            </w:r>
          </w:p>
        </w:tc>
        <w:tc>
          <w:tcPr>
            <w:tcW w:type="dxa" w:w="2664"/>
          </w:tcPr>
          <w:p>
            <w:pPr>
              <w:spacing w:after="80" w:before="80" w:line="245" w:lineRule="auto"/>
            </w:pPr>
            <w:r>
              <w:rPr>
                <w:sz w:val="18"/>
              </w:rPr>
              <w:t>Human checks remain necessary; no assumption of email permission</w:t>
            </w:r>
          </w:p>
        </w:tc>
      </w:tr>
      <w:tr>
        <w:trPr>
          <w:cantSplit/>
        </w:trPr>
        <w:tc>
          <w:tcPr>
            <w:tcW w:type="dxa" w:w="1656"/>
          </w:tcPr>
          <w:p>
            <w:pPr>
              <w:spacing w:after="80" w:before="80" w:line="245" w:lineRule="auto"/>
            </w:pPr>
            <w:r>
              <w:rPr>
                <w:sz w:val="18"/>
              </w:rPr>
              <w:t>5</w:t>
            </w:r>
          </w:p>
        </w:tc>
        <w:tc>
          <w:tcPr>
            <w:tcW w:type="dxa" w:w="2592"/>
          </w:tcPr>
          <w:p>
            <w:pPr>
              <w:spacing w:after="80" w:before="80" w:line="245" w:lineRule="auto"/>
            </w:pPr>
            <w:r>
              <w:rPr>
                <w:sz w:val="18"/>
              </w:rPr>
              <w:t>Resolve research import and outreach eligibility before connecting it to Zoho email</w:t>
            </w:r>
          </w:p>
        </w:tc>
        <w:tc>
          <w:tcPr>
            <w:tcW w:type="dxa" w:w="3456"/>
          </w:tcPr>
          <w:p>
            <w:pPr>
              <w:spacing w:after="80" w:before="80" w:line="245" w:lineRule="auto"/>
            </w:pPr>
            <w:r>
              <w:rPr>
                <w:sz w:val="18"/>
              </w:rPr>
              <w:t>High</w:t>
            </w:r>
          </w:p>
        </w:tc>
        <w:tc>
          <w:tcPr>
            <w:tcW w:type="dxa" w:w="2664"/>
          </w:tcPr>
          <w:p>
            <w:pPr>
              <w:spacing w:after="80" w:before="80" w:line="245" w:lineRule="auto"/>
            </w:pPr>
            <w:r>
              <w:rPr>
                <w:sz w:val="18"/>
              </w:rPr>
              <w:t>May limit automated acquisition; avoids designing around a prohibited use</w:t>
            </w:r>
          </w:p>
        </w:tc>
      </w:tr>
      <w:tr>
        <w:trPr>
          <w:cantSplit/>
        </w:trPr>
        <w:tc>
          <w:tcPr>
            <w:tcW w:type="dxa" w:w="1656"/>
          </w:tcPr>
          <w:p>
            <w:pPr>
              <w:spacing w:after="80" w:before="80" w:line="245" w:lineRule="auto"/>
            </w:pPr>
            <w:r>
              <w:rPr>
                <w:sz w:val="18"/>
              </w:rPr>
              <w:t>6</w:t>
            </w:r>
          </w:p>
        </w:tc>
        <w:tc>
          <w:tcPr>
            <w:tcW w:type="dxa" w:w="2592"/>
          </w:tcPr>
          <w:p>
            <w:pPr>
              <w:spacing w:after="80" w:before="80" w:line="245" w:lineRule="auto"/>
            </w:pPr>
            <w:r>
              <w:rPr>
                <w:sz w:val="18"/>
              </w:rPr>
              <w:t>Prioritize warm schools and partner channels, with separate ownership and attribution</w:t>
            </w:r>
          </w:p>
        </w:tc>
        <w:tc>
          <w:tcPr>
            <w:tcW w:type="dxa" w:w="3456"/>
          </w:tcPr>
          <w:p>
            <w:pPr>
              <w:spacing w:after="80" w:before="80" w:line="245" w:lineRule="auto"/>
            </w:pPr>
            <w:r>
              <w:rPr>
                <w:sz w:val="18"/>
              </w:rPr>
              <w:t>Medium</w:t>
            </w:r>
          </w:p>
        </w:tc>
        <w:tc>
          <w:tcPr>
            <w:tcW w:type="dxa" w:w="2664"/>
          </w:tcPr>
          <w:p>
            <w:pPr>
              <w:spacing w:after="80" w:before="80" w:line="245" w:lineRule="auto"/>
            </w:pPr>
            <w:r>
              <w:rPr>
                <w:sz w:val="18"/>
              </w:rPr>
              <w:t>Relative channel performance is unknown; compare qualified conversations and deposits</w:t>
            </w:r>
          </w:p>
        </w:tc>
      </w:tr>
      <w:tr>
        <w:trPr>
          <w:cantSplit/>
        </w:trPr>
        <w:tc>
          <w:tcPr>
            <w:tcW w:type="dxa" w:w="1656"/>
          </w:tcPr>
          <w:p>
            <w:pPr>
              <w:spacing w:after="80" w:before="80" w:line="245" w:lineRule="auto"/>
            </w:pPr>
            <w:r>
              <w:rPr>
                <w:sz w:val="18"/>
              </w:rPr>
              <w:t>7</w:t>
            </w:r>
          </w:p>
        </w:tc>
        <w:tc>
          <w:tcPr>
            <w:tcW w:type="dxa" w:w="2592"/>
          </w:tcPr>
          <w:p>
            <w:pPr>
              <w:spacing w:after="80" w:before="80" w:line="245" w:lineRule="auto"/>
            </w:pPr>
            <w:r>
              <w:rPr>
                <w:sz w:val="18"/>
              </w:rPr>
              <w:t>Remove duplicate subscriptions or unused add-ons after dependency and export checks</w:t>
            </w:r>
          </w:p>
        </w:tc>
        <w:tc>
          <w:tcPr>
            <w:tcW w:type="dxa" w:w="3456"/>
          </w:tcPr>
          <w:p>
            <w:pPr>
              <w:spacing w:after="80" w:before="80" w:line="245" w:lineRule="auto"/>
            </w:pPr>
            <w:r>
              <w:rPr>
                <w:sz w:val="18"/>
              </w:rPr>
              <w:t>Medium</w:t>
            </w:r>
          </w:p>
        </w:tc>
        <w:tc>
          <w:tcPr>
            <w:tcW w:type="dxa" w:w="2664"/>
          </w:tcPr>
          <w:p>
            <w:pPr>
              <w:spacing w:after="80" w:before="80" w:line="245" w:lineRule="auto"/>
            </w:pPr>
            <w:r>
              <w:rPr>
                <w:sz w:val="18"/>
              </w:rPr>
              <w:t>Annual downgrade credit may not reduce current cash cost; confirm renewal timing</w:t>
            </w:r>
          </w:p>
        </w:tc>
      </w:tr>
      <w:tr>
        <w:trPr>
          <w:cantSplit/>
        </w:trPr>
        <w:tc>
          <w:tcPr>
            <w:tcW w:type="dxa" w:w="1656"/>
          </w:tcPr>
          <w:p>
            <w:pPr>
              <w:spacing w:after="80" w:before="80" w:line="245" w:lineRule="auto"/>
            </w:pPr>
            <w:r>
              <w:rPr>
                <w:sz w:val="18"/>
              </w:rPr>
              <w:t>8</w:t>
            </w:r>
          </w:p>
        </w:tc>
        <w:tc>
          <w:tcPr>
            <w:tcW w:type="dxa" w:w="2592"/>
          </w:tcPr>
          <w:p>
            <w:pPr>
              <w:spacing w:after="80" w:before="80" w:line="245" w:lineRule="auto"/>
            </w:pPr>
            <w:r>
              <w:rPr>
                <w:sz w:val="18"/>
              </w:rPr>
              <w:t>Compare Bigin Premier versus CRM Standard only if a simpler/new tool is necessary</w:t>
            </w:r>
          </w:p>
        </w:tc>
        <w:tc>
          <w:tcPr>
            <w:tcW w:type="dxa" w:w="3456"/>
          </w:tcPr>
          <w:p>
            <w:pPr>
              <w:spacing w:after="80" w:before="80" w:line="245" w:lineRule="auto"/>
            </w:pPr>
            <w:r>
              <w:rPr>
                <w:sz w:val="18"/>
              </w:rPr>
              <w:t>Medium</w:t>
            </w:r>
          </w:p>
        </w:tc>
        <w:tc>
          <w:tcPr>
            <w:tcW w:type="dxa" w:w="2664"/>
          </w:tcPr>
          <w:p>
            <w:pPr>
              <w:spacing w:after="80" w:before="80" w:line="245" w:lineRule="auto"/>
            </w:pPr>
            <w:r>
              <w:rPr>
                <w:sz w:val="18"/>
              </w:rPr>
              <w:t>Bigin is simpler; CRM offers a richer data model. Test actual fields and partner links</w:t>
            </w:r>
          </w:p>
        </w:tc>
      </w:tr>
      <w:tr>
        <w:trPr>
          <w:cantSplit/>
        </w:trPr>
        <w:tc>
          <w:tcPr>
            <w:tcW w:type="dxa" w:w="1656"/>
          </w:tcPr>
          <w:p>
            <w:pPr>
              <w:spacing w:after="80" w:before="80" w:line="245" w:lineRule="auto"/>
            </w:pPr>
            <w:r>
              <w:rPr>
                <w:sz w:val="18"/>
              </w:rPr>
              <w:t>9</w:t>
            </w:r>
          </w:p>
        </w:tc>
        <w:tc>
          <w:tcPr>
            <w:tcW w:type="dxa" w:w="2592"/>
          </w:tcPr>
          <w:p>
            <w:pPr>
              <w:spacing w:after="80" w:before="80" w:line="245" w:lineRule="auto"/>
            </w:pPr>
            <w:r>
              <w:rPr>
                <w:sz w:val="18"/>
              </w:rPr>
              <w:t>Add Campaigns for an eligible audience; defer broader marketing automation and chat until justified</w:t>
            </w:r>
          </w:p>
        </w:tc>
        <w:tc>
          <w:tcPr>
            <w:tcW w:type="dxa" w:w="3456"/>
          </w:tcPr>
          <w:p>
            <w:pPr>
              <w:spacing w:after="80" w:before="80" w:line="245" w:lineRule="auto"/>
            </w:pPr>
            <w:r>
              <w:rPr>
                <w:sz w:val="18"/>
              </w:rPr>
              <w:t>Medium</w:t>
            </w:r>
          </w:p>
        </w:tc>
        <w:tc>
          <w:tcPr>
            <w:tcW w:type="dxa" w:w="2664"/>
          </w:tcPr>
          <w:p>
            <w:pPr>
              <w:spacing w:after="80" w:before="80" w:line="245" w:lineRule="auto"/>
            </w:pPr>
            <w:r>
              <w:rPr>
                <w:sz w:val="18"/>
              </w:rPr>
              <w:t>Fewer automation options now; concentrates effort on actual demand</w:t>
            </w:r>
          </w:p>
        </w:tc>
      </w:tr>
      <w:tr>
        <w:trPr>
          <w:cantSplit/>
        </w:trPr>
        <w:tc>
          <w:tcPr>
            <w:tcW w:type="dxa" w:w="1656"/>
          </w:tcPr>
          <w:p>
            <w:pPr>
              <w:spacing w:after="80" w:before="80" w:line="245" w:lineRule="auto"/>
            </w:pPr>
            <w:r>
              <w:rPr>
                <w:sz w:val="18"/>
              </w:rPr>
              <w:t>10</w:t>
            </w:r>
          </w:p>
        </w:tc>
        <w:tc>
          <w:tcPr>
            <w:tcW w:type="dxa" w:w="2592"/>
          </w:tcPr>
          <w:p>
            <w:pPr>
              <w:spacing w:after="80" w:before="80" w:line="245" w:lineRule="auto"/>
            </w:pPr>
            <w:r>
              <w:rPr>
                <w:sz w:val="18"/>
              </w:rPr>
              <w:t>Defer migration, custom travel software and autonomous sales agents until the pilot reveals a concrete gap</w:t>
            </w:r>
          </w:p>
        </w:tc>
        <w:tc>
          <w:tcPr>
            <w:tcW w:type="dxa" w:w="3456"/>
          </w:tcPr>
          <w:p>
            <w:pPr>
              <w:spacing w:after="80" w:before="80" w:line="245" w:lineRule="auto"/>
            </w:pPr>
            <w:r>
              <w:rPr>
                <w:sz w:val="18"/>
              </w:rPr>
              <w:t>High</w:t>
            </w:r>
          </w:p>
        </w:tc>
        <w:tc>
          <w:tcPr>
            <w:tcW w:type="dxa" w:w="2664"/>
          </w:tcPr>
          <w:p>
            <w:pPr>
              <w:spacing w:after="80" w:before="80" w:line="245" w:lineRule="auto"/>
            </w:pPr>
            <w:r>
              <w:rPr>
                <w:sz w:val="18"/>
              </w:rPr>
              <w:t>Some manual work continues; protects attention before the event</w:t>
            </w:r>
          </w:p>
        </w:tc>
      </w:tr>
    </w:tbl>
    <w:p>
      <w:pPr>
        <w:spacing w:after="20"/>
      </w:pPr>
    </w:p>
    <w:p>
      <w:pPr>
        <w:pStyle w:val="Heading2"/>
      </w:pPr>
      <w:r>
        <w:t>Choosing among realistic options</w:t>
      </w:r>
    </w:p>
    <w:p>
      <w:r>
        <w:rPr>
          <w:b/>
        </w:rPr>
        <w:t>Keep and configure.</w:t>
      </w:r>
      <w:r>
        <w:t xml:space="preserve"> Best default if staff already use Zoho and its records are reliable. The success test is whether every active ensemble has an owner, a current next action, an approval deadline and clear contract/deposit evidence. Keep an existing Professional or One subscription if useful dependencies would make a downgrade disruptive; audit rather than reflexively remove it.</w:t>
      </w:r>
    </w:p>
    <w:p>
      <w:r>
        <w:rPr>
          <w:b/>
        </w:rPr>
        <w:t>Simplify subscriptions.</w:t>
      </w:r>
      <w:r>
        <w:t xml:space="preserve"> Best when invoicing shows duplicate apps, unused seats or an unnecessary bundle. For example, CRM Standard may be sufficient if higher-tier functionality is unused; Campaigns and Marketing Automation may overlap. Verify that a proposed saving survives lost bundle entitlements, annual-credit rules and external replacements.</w:t>
      </w:r>
    </w:p>
    <w:p>
      <w:r>
        <w:rPr>
          <w:b/>
        </w:rPr>
        <w:t>Complement with existing research.</w:t>
      </w:r>
      <w:r>
        <w:t xml:space="preserve"> Best when the real gap is identifying suitable ensembles and current directors. Retain research URLs, timestamps, confidence, event fit, stable identifiers, and suppression/permission flags. Separate research corrections from CRM relationship notes. Start with a small permitted batch and verify updates do not create duplicates or overwrite human decisions. Automate only after this handoff is proven.</w:t>
      </w:r>
    </w:p>
    <w:p>
      <w:r>
        <w:rPr>
          <w:b/>
        </w:rPr>
        <w:t>Replace one function selectively.</w:t>
      </w:r>
      <w:r>
        <w:t xml:space="preserve"> Best when a test reveals a measurable defect, such as unusable payment reconciliation, failed document handoff or too much manual re-entry. Define the required behavior first, then compare that function’s replacement cost, export quality and ongoing maintenance. The evidence does not justify recommending an entirely new CRM, lead-data provider or travel platform today.</w:t>
      </w:r>
    </w:p>
    <w:p>
      <w:pPr>
        <w:pStyle w:val="Heading2"/>
      </w:pPr>
      <w:r>
        <w:t>Immediate and longer-term work</w:t>
      </w:r>
    </w:p>
    <w:p>
      <w:r>
        <w:t>Suggested first two weeks, subject to Troen’s actual deadlines: obtain the subscription inventory and owner-approved event brief; review the reported booked group and active opportunities; assess a small sample of school and partner research records; document the consent/import boundary; and define one pipeline and weekly review. These are recommended future actions, not work already performed.</w:t>
      </w:r>
    </w:p>
    <w:p>
      <w:r>
        <w:t>Over the following weeks, measure where opportunities stall. Add reminders for real approval and deposit deadlines. If proposal preparation is slow, improve the existing template and supplier-information handoff before buying CPQ. If qualified opportunities are scarce, invest in research quality and relationships. If qualified interest is plentiful but deposits lag, address offer, approval and follow-up barriers.</w:t>
      </w:r>
    </w:p>
    <w:p>
      <w:r>
        <w:t>Longer-term work may include consistent event records, proposal versioning, signature/payment status integration, operations handoff and retention rules. Treat each as a bounded improvement whose benefit can be observed. A booking outcome cannot be attributed to Zoho merely because its record ended in the CRM.</w:t>
      </w:r>
    </w:p>
    <w:p>
      <w:pPr>
        <w:pStyle w:val="Heading1"/>
      </w:pPr>
      <w:r>
        <w:t>Verification checklist for Troen</w:t>
      </w:r>
    </w:p>
    <w:p>
      <w:r>
        <w:t>Request redacted screenshots or summaries, not passwords, payment-card details, student data or confidential signed contracts.</w:t>
      </w:r>
    </w:p>
    <w:p>
      <w:r>
        <w:t xml:space="preserve">1. </w:t>
      </w:r>
      <w:r>
        <w:rPr>
          <w:b/>
        </w:rPr>
        <w:t>What is billed?</w:t>
      </w:r>
      <w:r>
        <w:t xml:space="preserve"> Product and edition names, monthly/annual term, paid seats, contact tier, add-ons, taxes, discounts, next renewal, and total paid over the last year. Separate Zoho, Marketplace, partner, data-provider and advertising charges.</w:t>
      </w:r>
    </w:p>
    <w:p>
      <w:r>
        <w:t xml:space="preserve">2. </w:t>
      </w:r>
      <w:r>
        <w:rPr>
          <w:b/>
        </w:rPr>
        <w:t>Who controls it?</w:t>
      </w:r>
      <w:r>
        <w:t xml:space="preserve"> Troen’s billing owner and super administrator, active staff count, payroll count relevant to One, partner affiliation, and the account’s data-center region. Confirm that authorized Troen staff can access billing and exports.</w:t>
      </w:r>
    </w:p>
    <w:p>
      <w:r>
        <w:t xml:space="preserve">3. </w:t>
      </w:r>
      <w:r>
        <w:rPr>
          <w:b/>
        </w:rPr>
        <w:t>What does “find clients” mean?</w:t>
      </w:r>
      <w:r>
        <w:t xml:space="preserve"> Three to five redacted examples of delivered prospects, their originating service, source evidence, permission evidence, dates, duplicates, relevance, response and resulting opportunity. Distinguish named contacts from qualified groups and bookings.</w:t>
      </w:r>
    </w:p>
    <w:p>
      <w:r>
        <w:t xml:space="preserve">4. </w:t>
      </w:r>
      <w:r>
        <w:rPr>
          <w:b/>
        </w:rPr>
        <w:t>What is actually used?</w:t>
      </w:r>
      <w:r>
        <w:t xml:space="preserve"> Enabled apps, recent active users, fields, workflows, forms, campaigns, integrations, scheduled jobs, API/storage usage, AI providers and paid credits. Identify workflows that would fail on downgrade.</w:t>
      </w:r>
    </w:p>
    <w:p>
      <w:r>
        <w:t xml:space="preserve">5. </w:t>
      </w:r>
      <w:r>
        <w:rPr>
          <w:b/>
        </w:rPr>
        <w:t>What is the event inventory?</w:t>
      </w:r>
      <w:r>
        <w:t xml:space="preserve"> March 3 confirmation, usable slots/performance minutes, eligible ensemble types, group-size rules, current holds/bookings, release dates, package pricing, deposit requirements and approval cutoffs. Keep March 31 separate.</w:t>
      </w:r>
    </w:p>
    <w:p>
      <w:r>
        <w:t xml:space="preserve">6. </w:t>
      </w:r>
      <w:r>
        <w:rPr>
          <w:b/>
        </w:rPr>
        <w:t>How do schools buy?</w:t>
      </w:r>
      <w:r>
        <w:t xml:space="preserve"> Decision roles, director relationship owner, district/board approval timing, fundraising dependency, signatory and payer. Record what makes a group “qualified” and “booked.”</w:t>
      </w:r>
    </w:p>
    <w:p>
      <w:r>
        <w:t xml:space="preserve">7. </w:t>
      </w:r>
      <w:r>
        <w:rPr>
          <w:b/>
        </w:rPr>
        <w:t>How do partners buy?</w:t>
      </w:r>
      <w:r>
        <w:t xml:space="preserve"> Commercial customer, school-contact ownership, commission/net rate, reserved capacity, payment responsibility and permission to share school contacts. Establish a deduplication rule across channels.</w:t>
      </w:r>
    </w:p>
    <w:p>
      <w:r>
        <w:t xml:space="preserve">8. </w:t>
      </w:r>
      <w:r>
        <w:rPr>
          <w:b/>
        </w:rPr>
        <w:t>Can data leave cleanly?</w:t>
      </w:r>
      <w:r>
        <w:t xml:space="preserve"> A sample export with relationship IDs, notes and attachments; separate email/document/finance export arrangements; partner-owned customizations; retention and account-closure implications.</w:t>
      </w:r>
    </w:p>
    <w:p>
      <w:r>
        <w:t>Unresolved public-evidence questions are Troen’s exact configuration and bill, offer eligibility/renewal pricing, school-ensemble enrichment quality, partner service effectiveness, pipeline quality, reachable eligible audience, sales conversion rates, event capacity and actual purchasing deadlines. A read-only account and invoice audit would resolve many of these; none should be guessed.</w:t>
      </w:r>
    </w:p>
    <w:p>
      <w:pPr>
        <w:pStyle w:val="Heading1"/>
      </w:pPr>
      <w:r>
        <w:t>Handoff summary</w:t>
      </w:r>
    </w:p>
    <w:p>
      <w:r>
        <w:t>Troen’s immediate proof of concept is the March 3, 2027 Carnegie Hall event. Its website also advertises March 31; keep the dates separate. One participating group and roughly ten more needed are owner reports, with exact remaining capacity unconfirmed. “Zoho finds clients” is unverified: identify subscriptions, seller, integrations and examples of leads before judging value.</w:t>
      </w:r>
    </w:p>
    <w:p>
      <w:r>
        <w:t>The recommended path is to preserve the Python research pipeline and existing working tools, then establish one event-specific process for qualified ensembles, adult contacts, next actions, school approvals, proposals, contracts and deposits. Prioritize a subscription/deliverables audit and an owner-approved event brief. Resolve Zoho’s permission-based email and researched-contact import rules before integration. Consider Bigin or a CRM downgrade only after a representative workflow and export check justify the change. No migration, purchase, outreach or system change has been performed.</w:t>
      </w:r>
    </w:p>
    <w:p>
      <w:r>
        <w:t>The report includes current published US license comparisons for 1/3/5 users, explicitly estimated ownership costs, feature limits, policy findings, channel-specific workflow recommendations and a verification checklist. Important open items are Troen’s actual spend/entitlements, One offer renewal terms, partner responsibilities, event inventory and real approval/deposit deadlines.</w:t>
      </w:r>
    </w:p>
    <w:p>
      <w:r>
        <w:br w:type="page"/>
      </w:r>
    </w:p>
    <w:p>
      <w:pPr>
        <w:pStyle w:val="Heading1"/>
      </w:pPr>
      <w:r>
        <w:t>Sources</w:t>
      </w:r>
    </w:p>
    <w:p>
      <w:r>
        <w:t>All sources accessed September 10, 2026, US Eastern time. Numbered footnotes link to the original sources; repeated superscript citations link directly to the same source. Undated pages are current public displays, not guarantees of future terms. Review-platform evidence is limited to accessible indexed snapshots as noted below.</w:t>
      </w:r>
    </w:p>
    <w:p>
      <w:pPr>
        <w:keepLines/>
        <w:spacing w:after="120"/>
      </w:pPr>
      <w:r>
        <w:rPr>
          <w:b/>
          <w:sz w:val="18"/>
        </w:rPr>
        <w:t xml:space="preserve">1. Zoho. </w:t>
      </w:r>
      <w:hyperlink r:id="rId9">
        <w:r>
          <w:rPr>
            <w:color w:val="303030"/>
            <w:u w:val="single"/>
          </w:rPr>
          <w:t>Zoho CRM Pricing and Editions</w:t>
        </w:r>
      </w:hyperlink>
      <w:r>
        <w:rPr>
          <w:sz w:val="18"/>
        </w:rPr>
        <w:t>. Live USD annual and monthly display; undated. Accessed September 10, 2026.</w:t>
      </w:r>
    </w:p>
    <w:p>
      <w:pPr>
        <w:keepLines/>
        <w:spacing w:after="120"/>
      </w:pPr>
      <w:r>
        <w:rPr>
          <w:b/>
          <w:sz w:val="18"/>
        </w:rPr>
        <w:t xml:space="preserve">2. Zoho Help. </w:t>
      </w:r>
      <w:hyperlink r:id="rId12">
        <w:r>
          <w:rPr>
            <w:color w:val="303030"/>
            <w:u w:val="single"/>
          </w:rPr>
          <w:t>FAQs Data Enrichment</w:t>
        </w:r>
      </w:hyperlink>
      <w:r>
        <w:rPr>
          <w:sz w:val="18"/>
        </w:rPr>
        <w:t>. Undated. Accessed September 10, 2026.</w:t>
      </w:r>
    </w:p>
    <w:p>
      <w:pPr>
        <w:keepLines/>
        <w:spacing w:after="120"/>
      </w:pPr>
      <w:r>
        <w:rPr>
          <w:b/>
          <w:sz w:val="18"/>
        </w:rPr>
        <w:t xml:space="preserve">3. Zoho Marketplace and Zenith Innovations. </w:t>
      </w:r>
      <w:hyperlink r:id="rId13">
        <w:r>
          <w:rPr>
            <w:color w:val="303030"/>
            <w:u w:val="single"/>
          </w:rPr>
          <w:t>Lead Finder for Zoho CRM</w:t>
        </w:r>
      </w:hyperlink>
      <w:r>
        <w:rPr>
          <w:sz w:val="18"/>
        </w:rPr>
        <w:t>. Published October 7, 2021; listed release July 25, 2024. Accessed September 10, 2026.</w:t>
      </w:r>
    </w:p>
    <w:p>
      <w:pPr>
        <w:keepLines/>
        <w:spacing w:after="120"/>
      </w:pPr>
      <w:r>
        <w:rPr>
          <w:b/>
          <w:sz w:val="18"/>
        </w:rPr>
        <w:t xml:space="preserve">4. Zoho. </w:t>
      </w:r>
      <w:hyperlink r:id="rId28">
        <w:r>
          <w:rPr>
            <w:color w:val="303030"/>
            <w:u w:val="single"/>
          </w:rPr>
          <w:t>Anti Spam Policy</w:t>
        </w:r>
      </w:hyperlink>
      <w:r>
        <w:rPr>
          <w:sz w:val="18"/>
        </w:rPr>
        <w:t>. Page states updated September 4, 2009; currently published. Accessed September 10, 2026.</w:t>
      </w:r>
    </w:p>
    <w:p>
      <w:pPr>
        <w:keepLines/>
        <w:spacing w:after="120"/>
      </w:pPr>
      <w:r>
        <w:rPr>
          <w:b/>
          <w:sz w:val="18"/>
        </w:rPr>
        <w:t xml:space="preserve">5. Zoho. </w:t>
      </w:r>
      <w:hyperlink r:id="rId29">
        <w:r>
          <w:rPr>
            <w:color w:val="303030"/>
            <w:u w:val="single"/>
          </w:rPr>
          <w:t>Zoho CRM Terms of Use</w:t>
        </w:r>
      </w:hyperlink>
      <w:r>
        <w:rPr>
          <w:sz w:val="18"/>
        </w:rPr>
        <w:t>. Updated November 1, 2024. Accessed September 10, 2026.</w:t>
      </w:r>
    </w:p>
    <w:p>
      <w:pPr>
        <w:keepLines/>
        <w:spacing w:after="120"/>
      </w:pPr>
      <w:r>
        <w:rPr>
          <w:b/>
          <w:sz w:val="18"/>
        </w:rPr>
        <w:t xml:space="preserve">6. Bigin by Zoho. </w:t>
      </w:r>
      <w:hyperlink r:id="rId10">
        <w:r>
          <w:rPr>
            <w:color w:val="303030"/>
            <w:u w:val="single"/>
          </w:rPr>
          <w:t>Bigin Pricing and Editions</w:t>
        </w:r>
      </w:hyperlink>
      <w:r>
        <w:rPr>
          <w:sz w:val="18"/>
        </w:rPr>
        <w:t>. Current USD display; undated. Accessed September 10, 2026.</w:t>
      </w:r>
    </w:p>
    <w:p>
      <w:pPr>
        <w:keepLines/>
        <w:spacing w:after="120"/>
      </w:pPr>
      <w:r>
        <w:rPr>
          <w:b/>
          <w:sz w:val="18"/>
        </w:rPr>
        <w:t xml:space="preserve">7. Zoho. </w:t>
      </w:r>
      <w:hyperlink r:id="rId11">
        <w:r>
          <w:rPr>
            <w:color w:val="303030"/>
            <w:u w:val="single"/>
          </w:rPr>
          <w:t>Zoho One Pricing</w:t>
        </w:r>
      </w:hyperlink>
      <w:r>
        <w:rPr>
          <w:sz w:val="18"/>
        </w:rPr>
        <w:t>. Live US-facing USD display including $67 annual flexible offer; undated. Accessed September 10, 2026.</w:t>
      </w:r>
    </w:p>
    <w:p>
      <w:pPr>
        <w:keepLines/>
        <w:spacing w:after="120"/>
      </w:pPr>
      <w:r>
        <w:rPr>
          <w:b/>
          <w:sz w:val="18"/>
        </w:rPr>
        <w:t xml:space="preserve">8. Zoho. </w:t>
      </w:r>
      <w:hyperlink r:id="rId22">
        <w:r>
          <w:rPr>
            <w:color w:val="303030"/>
            <w:u w:val="single"/>
          </w:rPr>
          <w:t>Zoho Jumpstart</w:t>
        </w:r>
      </w:hyperlink>
      <w:r>
        <w:rPr>
          <w:sz w:val="18"/>
        </w:rPr>
        <w:t>. Live US-facing $200/hour and 10-hour minimum; undated. Accessed September 10, 2026.</w:t>
      </w:r>
    </w:p>
    <w:p>
      <w:pPr>
        <w:keepLines/>
        <w:spacing w:after="120"/>
      </w:pPr>
      <w:r>
        <w:rPr>
          <w:b/>
          <w:sz w:val="18"/>
        </w:rPr>
        <w:t xml:space="preserve">9. Troen Student Performance Events. </w:t>
      </w:r>
      <w:hyperlink r:id="rId30">
        <w:r>
          <w:rPr>
            <w:color w:val="303030"/>
            <w:u w:val="single"/>
          </w:rPr>
          <w:t>New York Invitational Music Festival Carnegie Hall</w:t>
        </w:r>
      </w:hyperlink>
      <w:r>
        <w:rPr>
          <w:sz w:val="18"/>
        </w:rPr>
        <w:t>. Advertises March 3 and March 31, 2027; undated. Accessed September 10, 2026.</w:t>
      </w:r>
    </w:p>
    <w:p>
      <w:pPr>
        <w:keepLines/>
        <w:spacing w:after="120"/>
      </w:pPr>
      <w:r>
        <w:rPr>
          <w:b/>
          <w:sz w:val="18"/>
        </w:rPr>
        <w:t xml:space="preserve">10. Zoho. </w:t>
      </w:r>
      <w:hyperlink r:id="rId31">
        <w:r>
          <w:rPr>
            <w:color w:val="303030"/>
            <w:u w:val="single"/>
          </w:rPr>
          <w:t>Zoho Partner Directory and FAQs</w:t>
        </w:r>
      </w:hyperlink>
      <w:r>
        <w:rPr>
          <w:sz w:val="18"/>
        </w:rPr>
        <w:t>. Undated. Accessed September 10, 2026.</w:t>
      </w:r>
    </w:p>
    <w:p>
      <w:pPr>
        <w:keepLines/>
        <w:spacing w:after="120"/>
      </w:pPr>
      <w:r>
        <w:rPr>
          <w:b/>
          <w:sz w:val="18"/>
        </w:rPr>
        <w:t xml:space="preserve">11. Zoho Help. </w:t>
      </w:r>
      <w:hyperlink r:id="rId15">
        <w:r>
          <w:rPr>
            <w:color w:val="303030"/>
            <w:u w:val="single"/>
          </w:rPr>
          <w:t>Zoho CRM Specifications</w:t>
        </w:r>
      </w:hyperlink>
      <w:r>
        <w:rPr>
          <w:sz w:val="18"/>
        </w:rPr>
        <w:t>. Undated. Accessed September 10, 2026.</w:t>
      </w:r>
    </w:p>
    <w:p>
      <w:pPr>
        <w:keepLines/>
        <w:spacing w:after="120"/>
      </w:pPr>
      <w:r>
        <w:rPr>
          <w:b/>
          <w:sz w:val="18"/>
        </w:rPr>
        <w:t xml:space="preserve">12. Zoho. </w:t>
      </w:r>
      <w:hyperlink r:id="rId21">
        <w:r>
          <w:rPr>
            <w:color w:val="303030"/>
            <w:u w:val="single"/>
          </w:rPr>
          <w:t>Zoho One Plan Details</w:t>
        </w:r>
      </w:hyperlink>
      <w:r>
        <w:rPr>
          <w:sz w:val="18"/>
        </w:rPr>
        <w:t>. Application-specific limits; undated. Accessed September 10, 2026.</w:t>
      </w:r>
    </w:p>
    <w:p>
      <w:pPr>
        <w:keepLines/>
        <w:spacing w:after="120"/>
      </w:pPr>
      <w:r>
        <w:rPr>
          <w:b/>
          <w:sz w:val="18"/>
        </w:rPr>
        <w:t xml:space="preserve">13. Zoho. </w:t>
      </w:r>
      <w:hyperlink r:id="rId17">
        <w:r>
          <w:rPr>
            <w:color w:val="303030"/>
            <w:u w:val="single"/>
          </w:rPr>
          <w:t>Email Marketing Pricing and Plans Zoho Campaigns</w:t>
        </w:r>
      </w:hyperlink>
      <w:r>
        <w:rPr>
          <w:sz w:val="18"/>
        </w:rPr>
        <w:t>. Live USD 500-contact monthly and annual selections; undated. Accessed September 10, 2026.</w:t>
      </w:r>
    </w:p>
    <w:p>
      <w:pPr>
        <w:keepLines/>
        <w:spacing w:after="120"/>
      </w:pPr>
      <w:r>
        <w:rPr>
          <w:b/>
          <w:sz w:val="18"/>
        </w:rPr>
        <w:t xml:space="preserve">14. Zoho. </w:t>
      </w:r>
      <w:hyperlink r:id="rId18">
        <w:r>
          <w:rPr>
            <w:color w:val="303030"/>
            <w:u w:val="single"/>
          </w:rPr>
          <w:t>Zoho Marketing Automation Pricing</w:t>
        </w:r>
      </w:hyperlink>
      <w:r>
        <w:rPr>
          <w:sz w:val="18"/>
        </w:rPr>
        <w:t>. Live USD 1000-contact monthly and annual selections; undated. Accessed September 10, 2026.</w:t>
      </w:r>
    </w:p>
    <w:p>
      <w:pPr>
        <w:keepLines/>
        <w:spacing w:after="120"/>
      </w:pPr>
      <w:r>
        <w:rPr>
          <w:b/>
          <w:sz w:val="18"/>
        </w:rPr>
        <w:t xml:space="preserve">15. Zoho. </w:t>
      </w:r>
      <w:hyperlink r:id="rId19">
        <w:r>
          <w:rPr>
            <w:color w:val="303030"/>
            <w:u w:val="single"/>
          </w:rPr>
          <w:t>SalesIQ Pricing</w:t>
        </w:r>
      </w:hyperlink>
      <w:r>
        <w:rPr>
          <w:sz w:val="18"/>
        </w:rPr>
        <w:t>. Live USD monthly selection and published limits; undated. Accessed September 10, 2026.</w:t>
      </w:r>
    </w:p>
    <w:p>
      <w:pPr>
        <w:keepLines/>
        <w:spacing w:after="120"/>
      </w:pPr>
      <w:r>
        <w:rPr>
          <w:b/>
          <w:sz w:val="18"/>
        </w:rPr>
        <w:t xml:space="preserve">16. Zoho. </w:t>
      </w:r>
      <w:hyperlink r:id="rId14">
        <w:r>
          <w:rPr>
            <w:color w:val="303030"/>
            <w:u w:val="single"/>
          </w:rPr>
          <w:t>Zia Agents for Zoho CRM</w:t>
        </w:r>
      </w:hyperlink>
      <w:r>
        <w:rPr>
          <w:sz w:val="18"/>
        </w:rPr>
        <w:t>. Advertised capabilities; undated. Accessed September 10, 2026.</w:t>
      </w:r>
    </w:p>
    <w:p>
      <w:pPr>
        <w:keepLines/>
        <w:spacing w:after="120"/>
      </w:pPr>
      <w:r>
        <w:rPr>
          <w:b/>
          <w:sz w:val="18"/>
        </w:rPr>
        <w:t xml:space="preserve">17. Zoho Help. </w:t>
      </w:r>
      <w:hyperlink r:id="rId24">
        <w:r>
          <w:rPr>
            <w:color w:val="303030"/>
            <w:u w:val="single"/>
          </w:rPr>
          <w:t>Payment Options Overview Zoho Forms</w:t>
        </w:r>
      </w:hyperlink>
      <w:r>
        <w:rPr>
          <w:sz w:val="18"/>
        </w:rPr>
        <w:t>. Undated. Accessed September 10, 2026.</w:t>
      </w:r>
    </w:p>
    <w:p>
      <w:pPr>
        <w:keepLines/>
        <w:spacing w:after="120"/>
      </w:pPr>
      <w:r>
        <w:rPr>
          <w:b/>
          <w:sz w:val="18"/>
        </w:rPr>
        <w:t xml:space="preserve">18. Zoho. </w:t>
      </w:r>
      <w:hyperlink r:id="rId23">
        <w:r>
          <w:rPr>
            <w:color w:val="303030"/>
            <w:u w:val="single"/>
          </w:rPr>
          <w:t>Zoho Sign Pricing and Plan Comparison</w:t>
        </w:r>
      </w:hyperlink>
      <w:r>
        <w:rPr>
          <w:sz w:val="18"/>
        </w:rPr>
        <w:t>. Envelope, integration-credit and signer-account rules; undated. Accessed September 10, 2026.</w:t>
      </w:r>
    </w:p>
    <w:p>
      <w:pPr>
        <w:keepLines/>
        <w:spacing w:after="120"/>
      </w:pPr>
      <w:r>
        <w:rPr>
          <w:b/>
          <w:sz w:val="18"/>
        </w:rPr>
        <w:t xml:space="preserve">19. Zoho Help. </w:t>
      </w:r>
      <w:hyperlink r:id="rId32">
        <w:r>
          <w:rPr>
            <w:color w:val="303030"/>
            <w:u w:val="single"/>
          </w:rPr>
          <w:t>How Can SalesIQ Identify Your Visitors</w:t>
        </w:r>
      </w:hyperlink>
      <w:r>
        <w:rPr>
          <w:sz w:val="18"/>
        </w:rPr>
        <w:t>. Undated. Accessed September 10, 2026.</w:t>
      </w:r>
    </w:p>
    <w:p>
      <w:pPr>
        <w:keepLines/>
        <w:spacing w:after="120"/>
      </w:pPr>
      <w:r>
        <w:rPr>
          <w:b/>
          <w:sz w:val="18"/>
        </w:rPr>
        <w:t xml:space="preserve">20. Zoho Help. </w:t>
      </w:r>
      <w:hyperlink r:id="rId33">
        <w:r>
          <w:rPr>
            <w:color w:val="303030"/>
            <w:u w:val="single"/>
          </w:rPr>
          <w:t>Zia Profile Enrichment on Zoho SalesIQ</w:t>
        </w:r>
      </w:hyperlink>
      <w:r>
        <w:rPr>
          <w:sz w:val="18"/>
        </w:rPr>
        <w:t>. Undated. Accessed September 10, 2026.</w:t>
      </w:r>
    </w:p>
    <w:p>
      <w:pPr>
        <w:keepLines/>
        <w:spacing w:after="120"/>
      </w:pPr>
      <w:r>
        <w:rPr>
          <w:b/>
          <w:sz w:val="18"/>
        </w:rPr>
        <w:t xml:space="preserve">21. Zoho. </w:t>
      </w:r>
      <w:hyperlink r:id="rId20">
        <w:r>
          <w:rPr>
            <w:color w:val="303030"/>
            <w:u w:val="single"/>
          </w:rPr>
          <w:t>Feature Wise Comparison of Zoho CRM Editions</w:t>
        </w:r>
      </w:hyperlink>
      <w:r>
        <w:rPr>
          <w:sz w:val="18"/>
        </w:rPr>
        <w:t>. Live feature limits; undated. Accessed September 10, 2026.</w:t>
      </w:r>
    </w:p>
    <w:p>
      <w:pPr>
        <w:keepLines/>
        <w:spacing w:after="120"/>
      </w:pPr>
      <w:r>
        <w:rPr>
          <w:b/>
          <w:sz w:val="18"/>
        </w:rPr>
        <w:t xml:space="preserve">22. Zoho. </w:t>
      </w:r>
      <w:hyperlink r:id="rId34">
        <w:r>
          <w:rPr>
            <w:color w:val="303030"/>
            <w:u w:val="single"/>
          </w:rPr>
          <w:t>Compare Zoho CRM Editions USD</w:t>
        </w:r>
      </w:hyperlink>
      <w:r>
        <w:rPr>
          <w:sz w:val="18"/>
        </w:rPr>
        <w:t>. Official USD comparison; publication date not verified; Ultimate price corroborated by current comparison. Accessed September 10, 2026.</w:t>
      </w:r>
    </w:p>
    <w:p>
      <w:pPr>
        <w:keepLines/>
        <w:spacing w:after="120"/>
      </w:pPr>
      <w:r>
        <w:rPr>
          <w:b/>
          <w:sz w:val="18"/>
        </w:rPr>
        <w:t xml:space="preserve">23. Zoho. </w:t>
      </w:r>
      <w:hyperlink r:id="rId16">
        <w:r>
          <w:rPr>
            <w:color w:val="303030"/>
            <w:u w:val="single"/>
          </w:rPr>
          <w:t>Zoho One Pricing FAQ</w:t>
        </w:r>
      </w:hyperlink>
      <w:r>
        <w:rPr>
          <w:sz w:val="18"/>
        </w:rPr>
        <w:t>. Live US-facing USD display and no-minimum explanation; undated. Accessed September 10, 2026.</w:t>
      </w:r>
    </w:p>
    <w:p>
      <w:pPr>
        <w:keepLines/>
        <w:spacing w:after="120"/>
      </w:pPr>
      <w:r>
        <w:rPr>
          <w:b/>
          <w:sz w:val="18"/>
        </w:rPr>
        <w:t xml:space="preserve">24. Zoho. </w:t>
      </w:r>
      <w:hyperlink r:id="rId35">
        <w:r>
          <w:rPr>
            <w:color w:val="303030"/>
            <w:u w:val="single"/>
          </w:rPr>
          <w:t>Zoho One Terms of Use</w:t>
        </w:r>
      </w:hyperlink>
      <w:r>
        <w:rPr>
          <w:sz w:val="18"/>
        </w:rPr>
        <w:t>. All-employee requirements and audit provisions; undated. Accessed September 10, 2026.</w:t>
      </w:r>
    </w:p>
    <w:p>
      <w:pPr>
        <w:keepLines/>
        <w:spacing w:after="120"/>
      </w:pPr>
      <w:r>
        <w:rPr>
          <w:b/>
          <w:sz w:val="18"/>
        </w:rPr>
        <w:t xml:space="preserve">25. Zoho. </w:t>
      </w:r>
      <w:hyperlink r:id="rId36">
        <w:r>
          <w:rPr>
            <w:color w:val="303030"/>
            <w:u w:val="single"/>
          </w:rPr>
          <w:t>SalesIQ Plan Comparison USD</w:t>
        </w:r>
      </w:hyperlink>
      <w:r>
        <w:rPr>
          <w:sz w:val="18"/>
        </w:rPr>
        <w:t>. Official USD annual and monthly operator rates; undated. Accessed September 10, 2026.</w:t>
      </w:r>
    </w:p>
    <w:p>
      <w:pPr>
        <w:keepLines/>
        <w:spacing w:after="120"/>
      </w:pPr>
      <w:r>
        <w:rPr>
          <w:b/>
          <w:sz w:val="18"/>
        </w:rPr>
        <w:t xml:space="preserve">26. Zoho Help. </w:t>
      </w:r>
      <w:hyperlink r:id="rId37">
        <w:r>
          <w:rPr>
            <w:color w:val="303030"/>
            <w:u w:val="single"/>
          </w:rPr>
          <w:t>Manage Data Storage Space</w:t>
        </w:r>
      </w:hyperlink>
      <w:r>
        <w:rPr>
          <w:sz w:val="18"/>
        </w:rPr>
        <w:t>. Undated. Accessed September 10, 2026.</w:t>
      </w:r>
    </w:p>
    <w:p>
      <w:pPr>
        <w:keepLines/>
        <w:spacing w:after="120"/>
      </w:pPr>
      <w:r>
        <w:rPr>
          <w:b/>
          <w:sz w:val="18"/>
        </w:rPr>
        <w:t xml:space="preserve">27. Zoho Help. </w:t>
      </w:r>
      <w:hyperlink r:id="rId38">
        <w:r>
          <w:rPr>
            <w:color w:val="303030"/>
            <w:u w:val="single"/>
          </w:rPr>
          <w:t>Manage File Storage in Zoho CRM</w:t>
        </w:r>
      </w:hyperlink>
      <w:r>
        <w:rPr>
          <w:sz w:val="18"/>
        </w:rPr>
        <w:t>. WorkDrive Essentials storage model; undated. Accessed September 10, 2026.</w:t>
      </w:r>
    </w:p>
    <w:p>
      <w:pPr>
        <w:keepLines/>
        <w:spacing w:after="120"/>
      </w:pPr>
      <w:r>
        <w:rPr>
          <w:b/>
          <w:sz w:val="18"/>
        </w:rPr>
        <w:t xml:space="preserve">28. Zoho Help. </w:t>
      </w:r>
      <w:hyperlink r:id="rId39">
        <w:r>
          <w:rPr>
            <w:color w:val="303030"/>
            <w:u w:val="single"/>
          </w:rPr>
          <w:t>How Is the Bigin Record Limit Calculated</w:t>
        </w:r>
      </w:hyperlink>
      <w:r>
        <w:rPr>
          <w:sz w:val="18"/>
        </w:rPr>
        <w:t>. Undated. Accessed September 10, 2026.</w:t>
      </w:r>
    </w:p>
    <w:p>
      <w:pPr>
        <w:keepLines/>
        <w:spacing w:after="120"/>
      </w:pPr>
      <w:r>
        <w:rPr>
          <w:b/>
          <w:sz w:val="18"/>
        </w:rPr>
        <w:t xml:space="preserve">29. Bigin by Zoho. </w:t>
      </w:r>
      <w:hyperlink r:id="rId40">
        <w:r>
          <w:rPr>
            <w:color w:val="303030"/>
            <w:u w:val="single"/>
          </w:rPr>
          <w:t>Feature Availability and Limits</w:t>
        </w:r>
      </w:hyperlink>
      <w:r>
        <w:rPr>
          <w:sz w:val="18"/>
        </w:rPr>
        <w:t>. Undated. Accessed September 10, 2026.</w:t>
      </w:r>
    </w:p>
    <w:p>
      <w:pPr>
        <w:keepLines/>
        <w:spacing w:after="120"/>
      </w:pPr>
      <w:r>
        <w:rPr>
          <w:b/>
          <w:sz w:val="18"/>
        </w:rPr>
        <w:t xml:space="preserve">30. Bigin by Zoho. </w:t>
      </w:r>
      <w:hyperlink r:id="rId41">
        <w:r>
          <w:rPr>
            <w:color w:val="303030"/>
            <w:u w:val="single"/>
          </w:rPr>
          <w:t>FAQs about Bigin</w:t>
        </w:r>
      </w:hyperlink>
      <w:r>
        <w:rPr>
          <w:sz w:val="18"/>
        </w:rPr>
        <w:t>. Current daily mass email limits; undated. Accessed September 10, 2026.</w:t>
      </w:r>
    </w:p>
    <w:p>
      <w:pPr>
        <w:keepLines/>
        <w:spacing w:after="120"/>
      </w:pPr>
      <w:r>
        <w:rPr>
          <w:b/>
          <w:sz w:val="18"/>
        </w:rPr>
        <w:t xml:space="preserve">31. Zoho. </w:t>
      </w:r>
      <w:hyperlink r:id="rId42">
        <w:r>
          <w:rPr>
            <w:color w:val="303030"/>
            <w:u w:val="single"/>
          </w:rPr>
          <w:t>CRM API V8 Limits</w:t>
        </w:r>
      </w:hyperlink>
      <w:r>
        <w:rPr>
          <w:sz w:val="18"/>
        </w:rPr>
        <w:t>. Rolling credits and concurrency; undated. Accessed September 10, 2026.</w:t>
      </w:r>
    </w:p>
    <w:p>
      <w:pPr>
        <w:keepLines/>
        <w:spacing w:after="120"/>
      </w:pPr>
      <w:r>
        <w:rPr>
          <w:b/>
          <w:sz w:val="18"/>
        </w:rPr>
        <w:t xml:space="preserve">32. Zoho. </w:t>
      </w:r>
      <w:hyperlink r:id="rId43">
        <w:r>
          <w:rPr>
            <w:color w:val="303030"/>
            <w:u w:val="single"/>
          </w:rPr>
          <w:t>Increase API Credits from the Dashboard</w:t>
        </w:r>
      </w:hyperlink>
      <w:r>
        <w:rPr>
          <w:sz w:val="18"/>
        </w:rPr>
        <w:t>. Usage pricing; undated. Accessed September 10, 2026.</w:t>
      </w:r>
    </w:p>
    <w:p>
      <w:pPr>
        <w:keepLines/>
        <w:spacing w:after="120"/>
      </w:pPr>
      <w:r>
        <w:rPr>
          <w:b/>
          <w:sz w:val="18"/>
        </w:rPr>
        <w:t xml:space="preserve">33. Bigin by Zoho. </w:t>
      </w:r>
      <w:hyperlink r:id="rId44">
        <w:r>
          <w:rPr>
            <w:color w:val="303030"/>
            <w:u w:val="single"/>
          </w:rPr>
          <w:t>API Limits</w:t>
        </w:r>
      </w:hyperlink>
      <w:r>
        <w:rPr>
          <w:sz w:val="18"/>
        </w:rPr>
        <w:t>. Undated. Accessed September 10, 2026.</w:t>
      </w:r>
    </w:p>
    <w:p>
      <w:pPr>
        <w:keepLines/>
        <w:spacing w:after="120"/>
      </w:pPr>
      <w:r>
        <w:rPr>
          <w:b/>
          <w:sz w:val="18"/>
        </w:rPr>
        <w:t xml:space="preserve">34. Zoho. </w:t>
      </w:r>
      <w:hyperlink r:id="rId25">
        <w:r>
          <w:rPr>
            <w:color w:val="303030"/>
            <w:u w:val="single"/>
          </w:rPr>
          <w:t>CRM Customer Support Plans and Implementation</w:t>
        </w:r>
      </w:hyperlink>
      <w:r>
        <w:rPr>
          <w:sz w:val="18"/>
        </w:rPr>
        <w:t>. Current product-specific support terms; undated. Accessed September 10, 2026.</w:t>
      </w:r>
    </w:p>
    <w:p>
      <w:pPr>
        <w:keepLines/>
        <w:spacing w:after="120"/>
      </w:pPr>
      <w:r>
        <w:rPr>
          <w:b/>
          <w:sz w:val="18"/>
        </w:rPr>
        <w:t xml:space="preserve">35. Zoho. </w:t>
      </w:r>
      <w:hyperlink r:id="rId26">
        <w:r>
          <w:rPr>
            <w:color w:val="303030"/>
            <w:u w:val="single"/>
          </w:rPr>
          <w:t>Zoho One Support Plans</w:t>
        </w:r>
      </w:hyperlink>
      <w:r>
        <w:rPr>
          <w:sz w:val="18"/>
        </w:rPr>
        <w:t>. Current product-specific support terms; compare common FAQ https://help.zoho.com/portal/en/kb/common-faqs/articles/what-is-your-support-policy. Accessed September 10, 2026.</w:t>
      </w:r>
    </w:p>
    <w:p>
      <w:pPr>
        <w:keepLines/>
        <w:spacing w:after="120"/>
      </w:pPr>
      <w:r>
        <w:rPr>
          <w:b/>
          <w:sz w:val="18"/>
        </w:rPr>
        <w:t xml:space="preserve">36. Zoho Help. </w:t>
      </w:r>
      <w:hyperlink r:id="rId45">
        <w:r>
          <w:rPr>
            <w:color w:val="303030"/>
            <w:u w:val="single"/>
          </w:rPr>
          <w:t>Set Up Payment Field in Zoho Forms</w:t>
        </w:r>
      </w:hyperlink>
      <w:r>
        <w:rPr>
          <w:sz w:val="18"/>
        </w:rPr>
        <w:t>. Payment-success workflow conditions; undated. Accessed September 10, 2026.</w:t>
      </w:r>
    </w:p>
    <w:p>
      <w:pPr>
        <w:keepLines/>
        <w:spacing w:after="120"/>
      </w:pPr>
      <w:r>
        <w:rPr>
          <w:b/>
          <w:sz w:val="18"/>
        </w:rPr>
        <w:t xml:space="preserve">37. Zoho. </w:t>
      </w:r>
      <w:hyperlink r:id="rId27">
        <w:r>
          <w:rPr>
            <w:color w:val="303030"/>
            <w:u w:val="single"/>
          </w:rPr>
          <w:t>General Terms of Service</w:t>
        </w:r>
      </w:hyperlink>
      <w:r>
        <w:rPr>
          <w:sz w:val="18"/>
        </w:rPr>
        <w:t>. Renewal, data ownership and administration; undated. Accessed September 10, 2026.</w:t>
      </w:r>
    </w:p>
    <w:p>
      <w:pPr>
        <w:keepLines/>
        <w:spacing w:after="120"/>
      </w:pPr>
      <w:r>
        <w:rPr>
          <w:b/>
          <w:sz w:val="18"/>
        </w:rPr>
        <w:t xml:space="preserve">38. Zoho. </w:t>
      </w:r>
      <w:hyperlink r:id="rId46">
        <w:r>
          <w:rPr>
            <w:color w:val="303030"/>
            <w:u w:val="single"/>
          </w:rPr>
          <w:t>Refund Policy</w:t>
        </w:r>
      </w:hyperlink>
      <w:r>
        <w:rPr>
          <w:sz w:val="18"/>
        </w:rPr>
        <w:t>. Current subscription and renewal refund windows; undated. Accessed September 10, 2026.</w:t>
      </w:r>
    </w:p>
    <w:p>
      <w:pPr>
        <w:keepLines/>
        <w:spacing w:after="120"/>
      </w:pPr>
      <w:r>
        <w:rPr>
          <w:b/>
          <w:sz w:val="18"/>
        </w:rPr>
        <w:t xml:space="preserve">39. G2. </w:t>
      </w:r>
      <w:hyperlink r:id="rId47">
        <w:r>
          <w:rPr>
            <w:color w:val="303030"/>
            <w:u w:val="single"/>
          </w:rPr>
          <w:t>Zoho CRM Reviews and Product Details</w:t>
        </w:r>
      </w:hyperlink>
      <w:r>
        <w:rPr>
          <w:sz w:val="18"/>
        </w:rPr>
        <w:t>. Accessible indexed review snapshot, including May 2026 reviews; direct fetch unavailable. Accessed September 10, 2026.</w:t>
      </w:r>
    </w:p>
    <w:p>
      <w:pPr>
        <w:keepLines/>
        <w:spacing w:after="120"/>
      </w:pPr>
      <w:r>
        <w:rPr>
          <w:b/>
          <w:sz w:val="18"/>
        </w:rPr>
        <w:t xml:space="preserve">40. Capterra. </w:t>
      </w:r>
      <w:hyperlink r:id="rId48">
        <w:r>
          <w:rPr>
            <w:color w:val="303030"/>
            <w:u w:val="single"/>
          </w:rPr>
          <w:t>Reviews of Zoho CRM</w:t>
        </w:r>
      </w:hyperlink>
      <w:r>
        <w:rPr>
          <w:sz w:val="18"/>
        </w:rPr>
        <w:t>. Indexed page states updated August 26, 2026; direct fetch unavailable. Accessed September 10, 2026.</w:t>
      </w:r>
    </w:p>
    <w:p>
      <w:pPr>
        <w:keepLines/>
        <w:spacing w:after="120"/>
      </w:pPr>
      <w:r>
        <w:rPr>
          <w:b/>
          <w:sz w:val="18"/>
        </w:rPr>
        <w:t xml:space="preserve">41. Zoho. </w:t>
      </w:r>
      <w:hyperlink r:id="rId49">
        <w:r>
          <w:rPr>
            <w:color w:val="303030"/>
            <w:u w:val="single"/>
          </w:rPr>
          <w:t>Privacy Policy</w:t>
        </w:r>
      </w:hyperlink>
      <w:r>
        <w:rPr>
          <w:sz w:val="18"/>
        </w:rPr>
        <w:t>. Current policy, especially Parts I and II; undated. Accessed September 10, 2026.</w:t>
      </w:r>
    </w:p>
    <w:p>
      <w:pPr>
        <w:keepLines/>
        <w:spacing w:after="120"/>
      </w:pPr>
      <w:r>
        <w:rPr>
          <w:b/>
          <w:sz w:val="18"/>
        </w:rPr>
        <w:t xml:space="preserve">42. Zoho Help. </w:t>
      </w:r>
      <w:hyperlink r:id="rId50">
        <w:r>
          <w:rPr>
            <w:color w:val="303030"/>
            <w:u w:val="single"/>
          </w:rPr>
          <w:t>Zia Privacy Principles for WorkDrive</w:t>
        </w:r>
      </w:hyperlink>
      <w:r>
        <w:rPr>
          <w:sz w:val="18"/>
        </w:rPr>
        <w:t>. Product-specific scope; undated. Accessed September 10, 2026.</w:t>
      </w:r>
    </w:p>
    <w:p>
      <w:pPr>
        <w:keepLines/>
        <w:spacing w:after="120"/>
      </w:pPr>
      <w:r>
        <w:rPr>
          <w:b/>
          <w:sz w:val="18"/>
        </w:rPr>
        <w:t xml:space="preserve">43. Zoho. </w:t>
      </w:r>
      <w:hyperlink r:id="rId51">
        <w:r>
          <w:rPr>
            <w:color w:val="303030"/>
            <w:u w:val="single"/>
          </w:rPr>
          <w:t>Composite AI Architecture for Zia in Zoho CRM</w:t>
        </w:r>
      </w:hyperlink>
      <w:r>
        <w:rPr>
          <w:sz w:val="18"/>
        </w:rPr>
        <w:t>. Product architecture statements; undated. Accessed September 10, 2026.</w:t>
      </w:r>
    </w:p>
    <w:p>
      <w:pPr>
        <w:keepLines/>
        <w:spacing w:after="120"/>
      </w:pPr>
      <w:r>
        <w:rPr>
          <w:b/>
          <w:sz w:val="18"/>
        </w:rPr>
        <w:t xml:space="preserve">44. Zoho Help. </w:t>
      </w:r>
      <w:hyperlink r:id="rId52">
        <w:r>
          <w:rPr>
            <w:color w:val="303030"/>
            <w:u w:val="single"/>
          </w:rPr>
          <w:t>Data Privacy and Security for Zia Generative AI Integrations</w:t>
        </w:r>
      </w:hyperlink>
      <w:r>
        <w:rPr>
          <w:sz w:val="18"/>
        </w:rPr>
        <w:t>. Product-specific external-provider data flows; undated. Accessed September 10, 2026.</w:t>
      </w:r>
    </w:p>
    <w:p>
      <w:pPr>
        <w:keepLines/>
        <w:spacing w:after="120"/>
      </w:pPr>
      <w:r>
        <w:rPr>
          <w:b/>
          <w:sz w:val="18"/>
        </w:rPr>
        <w:t xml:space="preserve">45. Zoho Help. </w:t>
      </w:r>
      <w:hyperlink r:id="rId53">
        <w:r>
          <w:rPr>
            <w:color w:val="303030"/>
            <w:u w:val="single"/>
          </w:rPr>
          <w:t>Requesting CRM Data Backup</w:t>
        </w:r>
      </w:hyperlink>
      <w:r>
        <w:rPr>
          <w:sz w:val="18"/>
        </w:rPr>
        <w:t>. Backup inclusions, exclusions and subscription distinction; undated. Accessed September 10, 2026.</w:t>
      </w:r>
    </w:p>
    <w:sectPr w:rsidR="00FC693F" w:rsidRPr="0006063C" w:rsidSect="00034616">
      <w:footerReference w:type="default" r:id="rId54"/>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Simple w:instr="PAGE"/>
  </w:p>
</w:ftr>
</file>

<file path=word/footnotes.xml><?xml version="1.0" encoding="utf-8"?>
<w:footnotes xmlns:w="http://schemas.openxmlformats.org/wordprocessingml/2006/main" xmlns:r="http://schemas.openxmlformats.org/officeDocument/2006/relationships">
  <w:footnote w:type="separator" w:id="-1">
    <w:p>
      <w:r>
        <w:separator/>
      </w:r>
    </w:p>
  </w:footnote>
  <w:footnote w:type="continuationSeparator" w:id="0">
    <w:p>
      <w:r>
        <w:continuationSeparator/>
      </w:r>
    </w:p>
  </w:footnote>
  <w:footnote w:id="1">
    <w:p>
      <w:pPr>
        <w:spacing w:after="25" w:line="220" w:lineRule="auto"/>
      </w:pPr>
      <w:r>
        <w:footnoteRef/>
      </w:r>
      <w:hyperlink r:id="rId1">
        <w:r>
          <w:rPr>
            <w:rFonts w:ascii="Arial" w:hAnsi="Arial"/>
            <w:sz w:val="16"/>
          </w:rPr>
          <w:t xml:space="preserve"> Zoho, Zoho CRM Pricing and Editions. Source 1; accessed September 10, 2026.</w:t>
        </w:r>
      </w:hyperlink>
    </w:p>
  </w:footnote>
  <w:footnote w:id="2">
    <w:p>
      <w:pPr>
        <w:spacing w:after="25" w:line="220" w:lineRule="auto"/>
      </w:pPr>
      <w:r>
        <w:footnoteRef/>
      </w:r>
      <w:hyperlink r:id="rId2">
        <w:r>
          <w:rPr>
            <w:rFonts w:ascii="Arial" w:hAnsi="Arial"/>
            <w:sz w:val="16"/>
          </w:rPr>
          <w:t xml:space="preserve"> Zoho Help, FAQs Data Enrichment. Source 2; accessed September 10, 2026.</w:t>
        </w:r>
      </w:hyperlink>
    </w:p>
  </w:footnote>
  <w:footnote w:id="3">
    <w:p>
      <w:pPr>
        <w:spacing w:after="25" w:line="220" w:lineRule="auto"/>
      </w:pPr>
      <w:r>
        <w:footnoteRef/>
      </w:r>
      <w:hyperlink r:id="rId3">
        <w:r>
          <w:rPr>
            <w:rFonts w:ascii="Arial" w:hAnsi="Arial"/>
            <w:sz w:val="16"/>
          </w:rPr>
          <w:t xml:space="preserve"> Zoho Marketplace and Zenith Innovations, Lead Finder for Zoho CRM. Source 3; accessed September 10, 2026.</w:t>
        </w:r>
      </w:hyperlink>
    </w:p>
  </w:footnote>
  <w:footnote w:id="4">
    <w:p>
      <w:pPr>
        <w:spacing w:after="25" w:line="220" w:lineRule="auto"/>
      </w:pPr>
      <w:r>
        <w:footnoteRef/>
      </w:r>
      <w:hyperlink r:id="rId4">
        <w:r>
          <w:rPr>
            <w:rFonts w:ascii="Arial" w:hAnsi="Arial"/>
            <w:sz w:val="16"/>
          </w:rPr>
          <w:t xml:space="preserve"> Zoho, Anti Spam Policy. Source 4; accessed September 10, 2026.</w:t>
        </w:r>
      </w:hyperlink>
    </w:p>
  </w:footnote>
  <w:footnote w:id="5">
    <w:p>
      <w:pPr>
        <w:spacing w:after="25" w:line="220" w:lineRule="auto"/>
      </w:pPr>
      <w:r>
        <w:footnoteRef/>
      </w:r>
      <w:hyperlink r:id="rId5">
        <w:r>
          <w:rPr>
            <w:rFonts w:ascii="Arial" w:hAnsi="Arial"/>
            <w:sz w:val="16"/>
          </w:rPr>
          <w:t xml:space="preserve"> Zoho, Zoho CRM Terms of Use. Source 5; accessed September 10, 2026.</w:t>
        </w:r>
      </w:hyperlink>
    </w:p>
  </w:footnote>
  <w:footnote w:id="6">
    <w:p>
      <w:pPr>
        <w:spacing w:after="25" w:line="220" w:lineRule="auto"/>
      </w:pPr>
      <w:r>
        <w:footnoteRef/>
      </w:r>
      <w:hyperlink r:id="rId6">
        <w:r>
          <w:rPr>
            <w:rFonts w:ascii="Arial" w:hAnsi="Arial"/>
            <w:sz w:val="16"/>
          </w:rPr>
          <w:t xml:space="preserve"> Bigin by Zoho, Bigin Pricing and Editions. Source 6; accessed September 10, 2026.</w:t>
        </w:r>
      </w:hyperlink>
    </w:p>
  </w:footnote>
  <w:footnote w:id="7">
    <w:p>
      <w:pPr>
        <w:spacing w:after="25" w:line="220" w:lineRule="auto"/>
      </w:pPr>
      <w:r>
        <w:footnoteRef/>
      </w:r>
      <w:hyperlink r:id="rId7">
        <w:r>
          <w:rPr>
            <w:rFonts w:ascii="Arial" w:hAnsi="Arial"/>
            <w:sz w:val="16"/>
          </w:rPr>
          <w:t xml:space="preserve"> Zoho, Zoho One Pricing. Source 7; accessed September 10, 2026.</w:t>
        </w:r>
      </w:hyperlink>
    </w:p>
  </w:footnote>
  <w:footnote w:id="8">
    <w:p>
      <w:pPr>
        <w:spacing w:after="25" w:line="220" w:lineRule="auto"/>
      </w:pPr>
      <w:r>
        <w:footnoteRef/>
      </w:r>
      <w:hyperlink r:id="rId8">
        <w:r>
          <w:rPr>
            <w:rFonts w:ascii="Arial" w:hAnsi="Arial"/>
            <w:sz w:val="16"/>
          </w:rPr>
          <w:t xml:space="preserve"> Zoho, Zoho Jumpstart. Source 8; accessed September 10, 2026.</w:t>
        </w:r>
      </w:hyperlink>
    </w:p>
  </w:footnote>
  <w:footnote w:id="9">
    <w:p>
      <w:pPr>
        <w:spacing w:after="25" w:line="220" w:lineRule="auto"/>
      </w:pPr>
      <w:r>
        <w:footnoteRef/>
      </w:r>
      <w:hyperlink r:id="rId9">
        <w:r>
          <w:rPr>
            <w:rFonts w:ascii="Arial" w:hAnsi="Arial"/>
            <w:sz w:val="16"/>
          </w:rPr>
          <w:t xml:space="preserve"> Troen Student Performance Events, New York Invitational Music Festival Carnegie Hall. Source 9; accessed September 10, 2026.</w:t>
        </w:r>
      </w:hyperlink>
    </w:p>
  </w:footnote>
  <w:footnote w:id="10">
    <w:p>
      <w:pPr>
        <w:spacing w:after="25" w:line="220" w:lineRule="auto"/>
      </w:pPr>
      <w:r>
        <w:footnoteRef/>
      </w:r>
      <w:hyperlink r:id="rId10">
        <w:r>
          <w:rPr>
            <w:rFonts w:ascii="Arial" w:hAnsi="Arial"/>
            <w:sz w:val="16"/>
          </w:rPr>
          <w:t xml:space="preserve"> Zoho, Zoho Partner Directory and FAQs. Source 10; accessed September 10, 2026.</w:t>
        </w:r>
      </w:hyperlink>
    </w:p>
  </w:footnote>
  <w:footnote w:id="11">
    <w:p>
      <w:pPr>
        <w:spacing w:after="25" w:line="220" w:lineRule="auto"/>
      </w:pPr>
      <w:r>
        <w:footnoteRef/>
      </w:r>
      <w:hyperlink r:id="rId11">
        <w:r>
          <w:rPr>
            <w:rFonts w:ascii="Arial" w:hAnsi="Arial"/>
            <w:sz w:val="16"/>
          </w:rPr>
          <w:t xml:space="preserve"> Zoho Help, Zoho CRM Specifications. Source 11; accessed September 10, 2026.</w:t>
        </w:r>
      </w:hyperlink>
    </w:p>
  </w:footnote>
  <w:footnote w:id="12">
    <w:p>
      <w:pPr>
        <w:spacing w:after="25" w:line="220" w:lineRule="auto"/>
      </w:pPr>
      <w:r>
        <w:footnoteRef/>
      </w:r>
      <w:hyperlink r:id="rId12">
        <w:r>
          <w:rPr>
            <w:rFonts w:ascii="Arial" w:hAnsi="Arial"/>
            <w:sz w:val="16"/>
          </w:rPr>
          <w:t xml:space="preserve"> Zoho, Zoho One Plan Details. Source 12; accessed September 10, 2026.</w:t>
        </w:r>
      </w:hyperlink>
    </w:p>
  </w:footnote>
  <w:footnote w:id="13">
    <w:p>
      <w:pPr>
        <w:spacing w:after="25" w:line="220" w:lineRule="auto"/>
      </w:pPr>
      <w:r>
        <w:footnoteRef/>
      </w:r>
      <w:hyperlink r:id="rId13">
        <w:r>
          <w:rPr>
            <w:rFonts w:ascii="Arial" w:hAnsi="Arial"/>
            <w:sz w:val="16"/>
          </w:rPr>
          <w:t xml:space="preserve"> Zoho, Email Marketing Pricing and Plans Zoho Campaigns. Source 13; accessed September 10, 2026.</w:t>
        </w:r>
      </w:hyperlink>
    </w:p>
  </w:footnote>
  <w:footnote w:id="14">
    <w:p>
      <w:pPr>
        <w:spacing w:after="25" w:line="220" w:lineRule="auto"/>
      </w:pPr>
      <w:r>
        <w:footnoteRef/>
      </w:r>
      <w:hyperlink r:id="rId14">
        <w:r>
          <w:rPr>
            <w:rFonts w:ascii="Arial" w:hAnsi="Arial"/>
            <w:sz w:val="16"/>
          </w:rPr>
          <w:t xml:space="preserve"> Zoho, Zoho Marketing Automation Pricing. Source 14; accessed September 10, 2026.</w:t>
        </w:r>
      </w:hyperlink>
    </w:p>
  </w:footnote>
  <w:footnote w:id="15">
    <w:p>
      <w:pPr>
        <w:spacing w:after="25" w:line="220" w:lineRule="auto"/>
      </w:pPr>
      <w:r>
        <w:footnoteRef/>
      </w:r>
      <w:hyperlink r:id="rId15">
        <w:r>
          <w:rPr>
            <w:rFonts w:ascii="Arial" w:hAnsi="Arial"/>
            <w:sz w:val="16"/>
          </w:rPr>
          <w:t xml:space="preserve"> Zoho, SalesIQ Pricing. Source 15; accessed September 10, 2026.</w:t>
        </w:r>
      </w:hyperlink>
    </w:p>
  </w:footnote>
  <w:footnote w:id="16">
    <w:p>
      <w:pPr>
        <w:spacing w:after="25" w:line="220" w:lineRule="auto"/>
      </w:pPr>
      <w:r>
        <w:footnoteRef/>
      </w:r>
      <w:hyperlink r:id="rId16">
        <w:r>
          <w:rPr>
            <w:rFonts w:ascii="Arial" w:hAnsi="Arial"/>
            <w:sz w:val="16"/>
          </w:rPr>
          <w:t xml:space="preserve"> Zoho, Zia Agents for Zoho CRM. Source 16; accessed September 10, 2026.</w:t>
        </w:r>
      </w:hyperlink>
    </w:p>
  </w:footnote>
  <w:footnote w:id="17">
    <w:p>
      <w:pPr>
        <w:spacing w:after="25" w:line="220" w:lineRule="auto"/>
      </w:pPr>
      <w:r>
        <w:footnoteRef/>
      </w:r>
      <w:hyperlink r:id="rId17">
        <w:r>
          <w:rPr>
            <w:rFonts w:ascii="Arial" w:hAnsi="Arial"/>
            <w:sz w:val="16"/>
          </w:rPr>
          <w:t xml:space="preserve"> Zoho Help, Payment Options Overview Zoho Forms. Source 17; accessed September 10, 2026.</w:t>
        </w:r>
      </w:hyperlink>
    </w:p>
  </w:footnote>
  <w:footnote w:id="18">
    <w:p>
      <w:pPr>
        <w:spacing w:after="25" w:line="220" w:lineRule="auto"/>
      </w:pPr>
      <w:r>
        <w:footnoteRef/>
      </w:r>
      <w:hyperlink r:id="rId18">
        <w:r>
          <w:rPr>
            <w:rFonts w:ascii="Arial" w:hAnsi="Arial"/>
            <w:sz w:val="16"/>
          </w:rPr>
          <w:t xml:space="preserve"> Zoho, Zoho Sign Pricing and Plan Comparison. Source 18; accessed September 10, 2026.</w:t>
        </w:r>
      </w:hyperlink>
    </w:p>
  </w:footnote>
  <w:footnote w:id="19">
    <w:p>
      <w:pPr>
        <w:spacing w:after="25" w:line="220" w:lineRule="auto"/>
      </w:pPr>
      <w:r>
        <w:footnoteRef/>
      </w:r>
      <w:hyperlink r:id="rId19">
        <w:r>
          <w:rPr>
            <w:rFonts w:ascii="Arial" w:hAnsi="Arial"/>
            <w:sz w:val="16"/>
          </w:rPr>
          <w:t xml:space="preserve"> Zoho Help, How Can SalesIQ Identify Your Visitors. Source 19; accessed September 10, 2026.</w:t>
        </w:r>
      </w:hyperlink>
    </w:p>
  </w:footnote>
  <w:footnote w:id="20">
    <w:p>
      <w:pPr>
        <w:spacing w:after="25" w:line="220" w:lineRule="auto"/>
      </w:pPr>
      <w:r>
        <w:footnoteRef/>
      </w:r>
      <w:hyperlink r:id="rId20">
        <w:r>
          <w:rPr>
            <w:rFonts w:ascii="Arial" w:hAnsi="Arial"/>
            <w:sz w:val="16"/>
          </w:rPr>
          <w:t xml:space="preserve"> Zoho Help, Zia Profile Enrichment on Zoho SalesIQ. Source 20; accessed September 10, 2026.</w:t>
        </w:r>
      </w:hyperlink>
    </w:p>
  </w:footnote>
  <w:footnote w:id="21">
    <w:p>
      <w:pPr>
        <w:spacing w:after="25" w:line="220" w:lineRule="auto"/>
      </w:pPr>
      <w:r>
        <w:footnoteRef/>
      </w:r>
      <w:hyperlink r:id="rId21">
        <w:r>
          <w:rPr>
            <w:rFonts w:ascii="Arial" w:hAnsi="Arial"/>
            <w:sz w:val="16"/>
          </w:rPr>
          <w:t xml:space="preserve"> Zoho, Feature Wise Comparison of Zoho CRM Editions. Source 21; accessed September 10, 2026.</w:t>
        </w:r>
      </w:hyperlink>
    </w:p>
  </w:footnote>
  <w:footnote w:id="22">
    <w:p>
      <w:pPr>
        <w:spacing w:after="25" w:line="220" w:lineRule="auto"/>
      </w:pPr>
      <w:r>
        <w:footnoteRef/>
      </w:r>
      <w:hyperlink r:id="rId22">
        <w:r>
          <w:rPr>
            <w:rFonts w:ascii="Arial" w:hAnsi="Arial"/>
            <w:sz w:val="16"/>
          </w:rPr>
          <w:t xml:space="preserve"> Zoho, Compare Zoho CRM Editions USD. Source 22; accessed September 10, 2026.</w:t>
        </w:r>
      </w:hyperlink>
    </w:p>
  </w:footnote>
  <w:footnote w:id="23">
    <w:p>
      <w:pPr>
        <w:spacing w:after="25" w:line="220" w:lineRule="auto"/>
      </w:pPr>
      <w:r>
        <w:footnoteRef/>
      </w:r>
      <w:hyperlink r:id="rId23">
        <w:r>
          <w:rPr>
            <w:rFonts w:ascii="Arial" w:hAnsi="Arial"/>
            <w:sz w:val="16"/>
          </w:rPr>
          <w:t xml:space="preserve"> Zoho, Zoho One Pricing FAQ. Source 23; accessed September 10, 2026.</w:t>
        </w:r>
      </w:hyperlink>
    </w:p>
  </w:footnote>
  <w:footnote w:id="24">
    <w:p>
      <w:pPr>
        <w:spacing w:after="25" w:line="220" w:lineRule="auto"/>
      </w:pPr>
      <w:r>
        <w:footnoteRef/>
      </w:r>
      <w:hyperlink r:id="rId24">
        <w:r>
          <w:rPr>
            <w:rFonts w:ascii="Arial" w:hAnsi="Arial"/>
            <w:sz w:val="16"/>
          </w:rPr>
          <w:t xml:space="preserve"> Zoho, Zoho One Terms of Use. Source 24; accessed September 10, 2026.</w:t>
        </w:r>
      </w:hyperlink>
    </w:p>
  </w:footnote>
  <w:footnote w:id="25">
    <w:p>
      <w:pPr>
        <w:spacing w:after="25" w:line="220" w:lineRule="auto"/>
      </w:pPr>
      <w:r>
        <w:footnoteRef/>
      </w:r>
      <w:hyperlink r:id="rId25">
        <w:r>
          <w:rPr>
            <w:rFonts w:ascii="Arial" w:hAnsi="Arial"/>
            <w:sz w:val="16"/>
          </w:rPr>
          <w:t xml:space="preserve"> Zoho, SalesIQ Plan Comparison USD. Source 25; accessed September 10, 2026.</w:t>
        </w:r>
      </w:hyperlink>
    </w:p>
  </w:footnote>
  <w:footnote w:id="26">
    <w:p>
      <w:pPr>
        <w:spacing w:after="25" w:line="220" w:lineRule="auto"/>
      </w:pPr>
      <w:r>
        <w:footnoteRef/>
      </w:r>
      <w:hyperlink r:id="rId26">
        <w:r>
          <w:rPr>
            <w:rFonts w:ascii="Arial" w:hAnsi="Arial"/>
            <w:sz w:val="16"/>
          </w:rPr>
          <w:t xml:space="preserve"> Zoho Help, Manage Data Storage Space. Source 26; accessed September 10, 2026.</w:t>
        </w:r>
      </w:hyperlink>
    </w:p>
  </w:footnote>
  <w:footnote w:id="27">
    <w:p>
      <w:pPr>
        <w:spacing w:after="25" w:line="220" w:lineRule="auto"/>
      </w:pPr>
      <w:r>
        <w:footnoteRef/>
      </w:r>
      <w:hyperlink r:id="rId27">
        <w:r>
          <w:rPr>
            <w:rFonts w:ascii="Arial" w:hAnsi="Arial"/>
            <w:sz w:val="16"/>
          </w:rPr>
          <w:t xml:space="preserve"> Zoho Help, Manage File Storage in Zoho CRM. Source 27; accessed September 10, 2026.</w:t>
        </w:r>
      </w:hyperlink>
    </w:p>
  </w:footnote>
  <w:footnote w:id="28">
    <w:p>
      <w:pPr>
        <w:spacing w:after="25" w:line="220" w:lineRule="auto"/>
      </w:pPr>
      <w:r>
        <w:footnoteRef/>
      </w:r>
      <w:hyperlink r:id="rId28">
        <w:r>
          <w:rPr>
            <w:rFonts w:ascii="Arial" w:hAnsi="Arial"/>
            <w:sz w:val="16"/>
          </w:rPr>
          <w:t xml:space="preserve"> Zoho Help, How Is the Bigin Record Limit Calculated. Source 28; accessed September 10, 2026.</w:t>
        </w:r>
      </w:hyperlink>
    </w:p>
  </w:footnote>
  <w:footnote w:id="29">
    <w:p>
      <w:pPr>
        <w:spacing w:after="25" w:line="220" w:lineRule="auto"/>
      </w:pPr>
      <w:r>
        <w:footnoteRef/>
      </w:r>
      <w:hyperlink r:id="rId29">
        <w:r>
          <w:rPr>
            <w:rFonts w:ascii="Arial" w:hAnsi="Arial"/>
            <w:sz w:val="16"/>
          </w:rPr>
          <w:t xml:space="preserve"> Bigin by Zoho, Feature Availability and Limits. Source 29; accessed September 10, 2026.</w:t>
        </w:r>
      </w:hyperlink>
    </w:p>
  </w:footnote>
  <w:footnote w:id="30">
    <w:p>
      <w:pPr>
        <w:spacing w:after="25" w:line="220" w:lineRule="auto"/>
      </w:pPr>
      <w:r>
        <w:footnoteRef/>
      </w:r>
      <w:hyperlink r:id="rId30">
        <w:r>
          <w:rPr>
            <w:rFonts w:ascii="Arial" w:hAnsi="Arial"/>
            <w:sz w:val="16"/>
          </w:rPr>
          <w:t xml:space="preserve"> Bigin by Zoho, FAQs about Bigin. Source 30; accessed September 10, 2026.</w:t>
        </w:r>
      </w:hyperlink>
    </w:p>
  </w:footnote>
  <w:footnote w:id="31">
    <w:p>
      <w:pPr>
        <w:spacing w:after="25" w:line="220" w:lineRule="auto"/>
      </w:pPr>
      <w:r>
        <w:footnoteRef/>
      </w:r>
      <w:hyperlink r:id="rId31">
        <w:r>
          <w:rPr>
            <w:rFonts w:ascii="Arial" w:hAnsi="Arial"/>
            <w:sz w:val="16"/>
          </w:rPr>
          <w:t xml:space="preserve"> Zoho, CRM API V8 Limits. Source 31; accessed September 10, 2026.</w:t>
        </w:r>
      </w:hyperlink>
    </w:p>
  </w:footnote>
  <w:footnote w:id="32">
    <w:p>
      <w:pPr>
        <w:spacing w:after="25" w:line="220" w:lineRule="auto"/>
      </w:pPr>
      <w:r>
        <w:footnoteRef/>
      </w:r>
      <w:hyperlink r:id="rId32">
        <w:r>
          <w:rPr>
            <w:rFonts w:ascii="Arial" w:hAnsi="Arial"/>
            <w:sz w:val="16"/>
          </w:rPr>
          <w:t xml:space="preserve"> Zoho, Increase API Credits from the Dashboard. Source 32; accessed September 10, 2026.</w:t>
        </w:r>
      </w:hyperlink>
    </w:p>
  </w:footnote>
  <w:footnote w:id="33">
    <w:p>
      <w:pPr>
        <w:spacing w:after="25" w:line="220" w:lineRule="auto"/>
      </w:pPr>
      <w:r>
        <w:footnoteRef/>
      </w:r>
      <w:hyperlink r:id="rId33">
        <w:r>
          <w:rPr>
            <w:rFonts w:ascii="Arial" w:hAnsi="Arial"/>
            <w:sz w:val="16"/>
          </w:rPr>
          <w:t xml:space="preserve"> Bigin by Zoho, API Limits. Source 33; accessed September 10, 2026.</w:t>
        </w:r>
      </w:hyperlink>
    </w:p>
  </w:footnote>
  <w:footnote w:id="34">
    <w:p>
      <w:pPr>
        <w:spacing w:after="25" w:line="220" w:lineRule="auto"/>
      </w:pPr>
      <w:r>
        <w:footnoteRef/>
      </w:r>
      <w:hyperlink r:id="rId34">
        <w:r>
          <w:rPr>
            <w:rFonts w:ascii="Arial" w:hAnsi="Arial"/>
            <w:sz w:val="16"/>
          </w:rPr>
          <w:t xml:space="preserve"> Zoho, CRM Customer Support Plans and Implementation. Source 34; accessed September 10, 2026.</w:t>
        </w:r>
      </w:hyperlink>
    </w:p>
  </w:footnote>
  <w:footnote w:id="35">
    <w:p>
      <w:pPr>
        <w:spacing w:after="25" w:line="220" w:lineRule="auto"/>
      </w:pPr>
      <w:r>
        <w:footnoteRef/>
      </w:r>
      <w:hyperlink r:id="rId35">
        <w:r>
          <w:rPr>
            <w:rFonts w:ascii="Arial" w:hAnsi="Arial"/>
            <w:sz w:val="16"/>
          </w:rPr>
          <w:t xml:space="preserve"> Zoho, Zoho One Support Plans. Source 35; accessed September 10, 2026.</w:t>
        </w:r>
      </w:hyperlink>
    </w:p>
  </w:footnote>
  <w:footnote w:id="36">
    <w:p>
      <w:pPr>
        <w:spacing w:after="25" w:line="220" w:lineRule="auto"/>
      </w:pPr>
      <w:r>
        <w:footnoteRef/>
      </w:r>
      <w:hyperlink r:id="rId36">
        <w:r>
          <w:rPr>
            <w:rFonts w:ascii="Arial" w:hAnsi="Arial"/>
            <w:sz w:val="16"/>
          </w:rPr>
          <w:t xml:space="preserve"> Zoho Help, Set Up Payment Field in Zoho Forms. Source 36; accessed September 10, 2026.</w:t>
        </w:r>
      </w:hyperlink>
    </w:p>
  </w:footnote>
  <w:footnote w:id="37">
    <w:p>
      <w:pPr>
        <w:spacing w:after="25" w:line="220" w:lineRule="auto"/>
      </w:pPr>
      <w:r>
        <w:footnoteRef/>
      </w:r>
      <w:hyperlink r:id="rId37">
        <w:r>
          <w:rPr>
            <w:rFonts w:ascii="Arial" w:hAnsi="Arial"/>
            <w:sz w:val="16"/>
          </w:rPr>
          <w:t xml:space="preserve"> Zoho, General Terms of Service. Source 37; accessed September 10, 2026.</w:t>
        </w:r>
      </w:hyperlink>
    </w:p>
  </w:footnote>
  <w:footnote w:id="38">
    <w:p>
      <w:pPr>
        <w:spacing w:after="25" w:line="220" w:lineRule="auto"/>
      </w:pPr>
      <w:r>
        <w:footnoteRef/>
      </w:r>
      <w:hyperlink r:id="rId38">
        <w:r>
          <w:rPr>
            <w:rFonts w:ascii="Arial" w:hAnsi="Arial"/>
            <w:sz w:val="16"/>
          </w:rPr>
          <w:t xml:space="preserve"> Zoho, Refund Policy. Source 38; accessed September 10, 2026.</w:t>
        </w:r>
      </w:hyperlink>
    </w:p>
  </w:footnote>
  <w:footnote w:id="39">
    <w:p>
      <w:pPr>
        <w:spacing w:after="25" w:line="220" w:lineRule="auto"/>
      </w:pPr>
      <w:r>
        <w:footnoteRef/>
      </w:r>
      <w:hyperlink r:id="rId39">
        <w:r>
          <w:rPr>
            <w:rFonts w:ascii="Arial" w:hAnsi="Arial"/>
            <w:sz w:val="16"/>
          </w:rPr>
          <w:t xml:space="preserve"> G2, Zoho CRM Reviews and Product Details. Source 39; accessed September 10, 2026.</w:t>
        </w:r>
      </w:hyperlink>
    </w:p>
  </w:footnote>
  <w:footnote w:id="40">
    <w:p>
      <w:pPr>
        <w:spacing w:after="25" w:line="220" w:lineRule="auto"/>
      </w:pPr>
      <w:r>
        <w:footnoteRef/>
      </w:r>
      <w:hyperlink r:id="rId40">
        <w:r>
          <w:rPr>
            <w:rFonts w:ascii="Arial" w:hAnsi="Arial"/>
            <w:sz w:val="16"/>
          </w:rPr>
          <w:t xml:space="preserve"> Capterra, Reviews of Zoho CRM. Source 40; accessed September 10, 2026.</w:t>
        </w:r>
      </w:hyperlink>
    </w:p>
  </w:footnote>
  <w:footnote w:id="41">
    <w:p>
      <w:pPr>
        <w:spacing w:after="25" w:line="220" w:lineRule="auto"/>
      </w:pPr>
      <w:r>
        <w:footnoteRef/>
      </w:r>
      <w:hyperlink r:id="rId41">
        <w:r>
          <w:rPr>
            <w:rFonts w:ascii="Arial" w:hAnsi="Arial"/>
            <w:sz w:val="16"/>
          </w:rPr>
          <w:t xml:space="preserve"> Zoho, Privacy Policy. Source 41; accessed September 10, 2026.</w:t>
        </w:r>
      </w:hyperlink>
    </w:p>
  </w:footnote>
  <w:footnote w:id="42">
    <w:p>
      <w:pPr>
        <w:spacing w:after="25" w:line="220" w:lineRule="auto"/>
      </w:pPr>
      <w:r>
        <w:footnoteRef/>
      </w:r>
      <w:hyperlink r:id="rId42">
        <w:r>
          <w:rPr>
            <w:rFonts w:ascii="Arial" w:hAnsi="Arial"/>
            <w:sz w:val="16"/>
          </w:rPr>
          <w:t xml:space="preserve"> Zoho Help, Zia Privacy Principles for WorkDrive. Source 42; accessed September 10, 2026.</w:t>
        </w:r>
      </w:hyperlink>
    </w:p>
  </w:footnote>
  <w:footnote w:id="43">
    <w:p>
      <w:pPr>
        <w:spacing w:after="25" w:line="220" w:lineRule="auto"/>
      </w:pPr>
      <w:r>
        <w:footnoteRef/>
      </w:r>
      <w:hyperlink r:id="rId43">
        <w:r>
          <w:rPr>
            <w:rFonts w:ascii="Arial" w:hAnsi="Arial"/>
            <w:sz w:val="16"/>
          </w:rPr>
          <w:t xml:space="preserve"> Zoho, Composite AI Architecture for Zia in Zoho CRM. Source 43; accessed September 10, 2026.</w:t>
        </w:r>
      </w:hyperlink>
    </w:p>
  </w:footnote>
  <w:footnote w:id="44">
    <w:p>
      <w:pPr>
        <w:spacing w:after="25" w:line="220" w:lineRule="auto"/>
      </w:pPr>
      <w:r>
        <w:footnoteRef/>
      </w:r>
      <w:hyperlink r:id="rId44">
        <w:r>
          <w:rPr>
            <w:rFonts w:ascii="Arial" w:hAnsi="Arial"/>
            <w:sz w:val="16"/>
          </w:rPr>
          <w:t xml:space="preserve"> Zoho Help, Data Privacy and Security for Zia Generative AI Integrations. Source 44; accessed September 10, 2026.</w:t>
        </w:r>
      </w:hyperlink>
    </w:p>
  </w:footnote>
  <w:footnote w:id="45">
    <w:p>
      <w:pPr>
        <w:spacing w:after="25" w:line="220" w:lineRule="auto"/>
      </w:pPr>
      <w:r>
        <w:footnoteRef/>
      </w:r>
      <w:hyperlink r:id="rId45">
        <w:r>
          <w:rPr>
            <w:rFonts w:ascii="Arial" w:hAnsi="Arial"/>
            <w:sz w:val="16"/>
          </w:rPr>
          <w:t xml:space="preserve"> Zoho Help, Requesting CRM Data Backup. Source 45; accessed September 10, 2026.</w:t>
        </w:r>
      </w:hyperlink>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rial" w:hAnsi="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rial" w:hAnsi="Arial"/>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before="0"/>
      <w:contextualSpacing/>
    </w:pPr>
    <w:rPr>
      <w:rFonts w:asciiTheme="majorHAnsi" w:eastAsiaTheme="majorEastAsia" w:hAnsiTheme="majorHAnsi" w:cstheme="majorBidi" w:ascii="Arial" w:hAnsi="Arial"/>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after="140" w:line="259" w:lineRule="auto"/>
      <w:ind w:left="720"/>
      <w:contextualSpacing/>
    </w:pPr>
    <w:rPr>
      <w:rFonts w:ascii="Arial" w:hAnsi="Arial"/>
      <w:sz w:val="21"/>
    </w:rPr>
  </w:style>
  <w:style w:type="paragraph" w:styleId="BodyText">
    <w:name w:val="Body Text"/>
    <w:basedOn w:val="Normal"/>
    <w:link w:val="BodyTextChar"/>
    <w:uiPriority w:val="99"/>
    <w:unhideWhenUsed/>
    <w:rsid w:val="00AA1D8D"/>
    <w:pPr>
      <w:spacing w:after="140" w:line="259" w:lineRule="auto"/>
    </w:pPr>
    <w:rPr>
      <w:rFonts w:ascii="Arial" w:hAnsi="Arial"/>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zoho.com/en-us/crm/zohocrm-pricing.html" TargetMode="External"/><Relationship Id="rId10" Type="http://schemas.openxmlformats.org/officeDocument/2006/relationships/hyperlink" Target="https://www.bigin.com/pricing.html" TargetMode="External"/><Relationship Id="rId11" Type="http://schemas.openxmlformats.org/officeDocument/2006/relationships/hyperlink" Target="https://www.zoho.com/one/pricing/" TargetMode="External"/><Relationship Id="rId12" Type="http://schemas.openxmlformats.org/officeDocument/2006/relationships/hyperlink" Target="https://help.zoho.com/portal/en/kb/crm/faqs/zia/articles/faqs-data-enrichment" TargetMode="External"/><Relationship Id="rId13" Type="http://schemas.openxmlformats.org/officeDocument/2006/relationships/hyperlink" Target="https://marketplace.zoho.com/app/crm/lead-finder-for-zoho-crm" TargetMode="External"/><Relationship Id="rId14" Type="http://schemas.openxmlformats.org/officeDocument/2006/relationships/hyperlink" Target="https://www.zoho.com/crm/zia/agents.html" TargetMode="External"/><Relationship Id="rId15" Type="http://schemas.openxmlformats.org/officeDocument/2006/relationships/hyperlink" Target="https://help.zoho.com/portal/en/kb/crm/crm-reference/introduction-to-zoho-crm/articles/specifications-zoho-crm" TargetMode="External"/><Relationship Id="rId16" Type="http://schemas.openxmlformats.org/officeDocument/2006/relationships/hyperlink" Target="https://www.zoho.com/one/pricing/faq.html" TargetMode="External"/><Relationship Id="rId17" Type="http://schemas.openxmlformats.org/officeDocument/2006/relationships/hyperlink" Target="https://www.zoho.com/campaigns/pricing.html" TargetMode="External"/><Relationship Id="rId18" Type="http://schemas.openxmlformats.org/officeDocument/2006/relationships/hyperlink" Target="https://www.zoho.com/marketingautomation/pricing.html" TargetMode="External"/><Relationship Id="rId19" Type="http://schemas.openxmlformats.org/officeDocument/2006/relationships/hyperlink" Target="https://www.zoho.com/salesiq/pricing.html" TargetMode="External"/><Relationship Id="rId20" Type="http://schemas.openxmlformats.org/officeDocument/2006/relationships/hyperlink" Target="https://www.zoho.com/crm/complete-feature-list.html" TargetMode="External"/><Relationship Id="rId21" Type="http://schemas.openxmlformats.org/officeDocument/2006/relationships/hyperlink" Target="https://www.zoho.com/one/plan-details.html" TargetMode="External"/><Relationship Id="rId22" Type="http://schemas.openxmlformats.org/officeDocument/2006/relationships/hyperlink" Target="https://www.zoho.com/jumpstart/" TargetMode="External"/><Relationship Id="rId23" Type="http://schemas.openxmlformats.org/officeDocument/2006/relationships/hyperlink" Target="https://www.zoho.com/sign/pricing.html" TargetMode="External"/><Relationship Id="rId24" Type="http://schemas.openxmlformats.org/officeDocument/2006/relationships/hyperlink" Target="https://help.zoho.com/portal/en/kb/forms/payment-options/articles/payment-options-overview" TargetMode="External"/><Relationship Id="rId25" Type="http://schemas.openxmlformats.org/officeDocument/2006/relationships/hyperlink" Target="https://www.zoho.com/crm/support-plans.html" TargetMode="External"/><Relationship Id="rId26" Type="http://schemas.openxmlformats.org/officeDocument/2006/relationships/hyperlink" Target="https://www.zoho.com/one/pricing/support-plans.html" TargetMode="External"/><Relationship Id="rId27" Type="http://schemas.openxmlformats.org/officeDocument/2006/relationships/hyperlink" Target="https://www.zoho.com/terms.html" TargetMode="External"/><Relationship Id="rId28" Type="http://schemas.openxmlformats.org/officeDocument/2006/relationships/hyperlink" Target="https://www.zoho.com/policy.html" TargetMode="External"/><Relationship Id="rId29" Type="http://schemas.openxmlformats.org/officeDocument/2006/relationships/hyperlink" Target="https://www.zoho.com/crm/terms.html" TargetMode="External"/><Relationship Id="rId30" Type="http://schemas.openxmlformats.org/officeDocument/2006/relationships/hyperlink" Target="https://troenspe.com/carnegie-hall" TargetMode="External"/><Relationship Id="rId31" Type="http://schemas.openxmlformats.org/officeDocument/2006/relationships/hyperlink" Target="https://www.zoho.com/partners/find-zoho-partner.html" TargetMode="External"/><Relationship Id="rId32" Type="http://schemas.openxmlformats.org/officeDocument/2006/relationships/hyperlink" Target="https://help.zoho.com/portal/en/kb/salesiq-2-0/for-administrators/tracking-visitors/articles/how-can-salesiq-identify-your-visitors" TargetMode="External"/><Relationship Id="rId33" Type="http://schemas.openxmlformats.org/officeDocument/2006/relationships/hyperlink" Target="https://help.zoho.com/portal/en/kb/salesiq-2-0/integration-guides/data-enrichment/articles/zia-profile-enrichment" TargetMode="External"/><Relationship Id="rId34" Type="http://schemas.openxmlformats.org/officeDocument/2006/relationships/hyperlink" Target="https://www.zoho.com/sites/default/files/crm/zohocrm-edition-comparison-usd.pdf" TargetMode="External"/><Relationship Id="rId35" Type="http://schemas.openxmlformats.org/officeDocument/2006/relationships/hyperlink" Target="https://www.zoho.com/one/terms.html" TargetMode="External"/><Relationship Id="rId36" Type="http://schemas.openxmlformats.org/officeDocument/2006/relationships/hyperlink" Target="https://www.zoho.com/sites/default/files/salesiq/zoho-salesiq-usd.pdf" TargetMode="External"/><Relationship Id="rId37" Type="http://schemas.openxmlformats.org/officeDocument/2006/relationships/hyperlink" Target="https://help.zoho.com/portal/en/kb/crm/manage-crm-data/storage-space/articles/manage-data-storage" TargetMode="External"/><Relationship Id="rId38" Type="http://schemas.openxmlformats.org/officeDocument/2006/relationships/hyperlink" Target="https://help.zoho.com/portal/en/kb/crm/manage-crm-data/storage-space/articles/managing-file-storage" TargetMode="External"/><Relationship Id="rId39" Type="http://schemas.openxmlformats.org/officeDocument/2006/relationships/hyperlink" Target="https://help.zoho.com/portal/en/kb/bigin/faqs/record-management/articles/how-is-the-record-limit-calculated" TargetMode="External"/><Relationship Id="rId40" Type="http://schemas.openxmlformats.org/officeDocument/2006/relationships/hyperlink" Target="https://www.bigin.com/help/feature-availability.html" TargetMode="External"/><Relationship Id="rId41" Type="http://schemas.openxmlformats.org/officeDocument/2006/relationships/hyperlink" Target="https://www.bigin.com/articles/faqs-about-bigin.html" TargetMode="External"/><Relationship Id="rId42" Type="http://schemas.openxmlformats.org/officeDocument/2006/relationships/hyperlink" Target="https://www.zoho.com/crm/developer/docs/api/v8/api-limits.html" TargetMode="External"/><Relationship Id="rId43" Type="http://schemas.openxmlformats.org/officeDocument/2006/relationships/hyperlink" Target="https://www.zoho.com/crm/developer/docs/api/v8/purchase-from-dashboard.html" TargetMode="External"/><Relationship Id="rId44" Type="http://schemas.openxmlformats.org/officeDocument/2006/relationships/hyperlink" Target="https://www.bigin.com/developer/docs/apis/api-limits.html" TargetMode="External"/><Relationship Id="rId45" Type="http://schemas.openxmlformats.org/officeDocument/2006/relationships/hyperlink" Target="https://help.zoho.com/portal/en/kb/forms/payment-options/articles/setting-up-payment-field" TargetMode="External"/><Relationship Id="rId46" Type="http://schemas.openxmlformats.org/officeDocument/2006/relationships/hyperlink" Target="https://www.zoho.com/refundpolicy.html" TargetMode="External"/><Relationship Id="rId47" Type="http://schemas.openxmlformats.org/officeDocument/2006/relationships/hyperlink" Target="https://www.g2.com/products/zoho-crm/reviews" TargetMode="External"/><Relationship Id="rId48" Type="http://schemas.openxmlformats.org/officeDocument/2006/relationships/hyperlink" Target="https://www.capterra.com/p/155928/Zoho-CRM/reviews/" TargetMode="External"/><Relationship Id="rId49" Type="http://schemas.openxmlformats.org/officeDocument/2006/relationships/hyperlink" Target="https://www.zoho.com/privacy.html" TargetMode="External"/><Relationship Id="rId50" Type="http://schemas.openxmlformats.org/officeDocument/2006/relationships/hyperlink" Target="https://help.zoho.com/portal/en/kb/workdrive/zia-ai/articles/zia-privacy-principles" TargetMode="External"/><Relationship Id="rId51" Type="http://schemas.openxmlformats.org/officeDocument/2006/relationships/hyperlink" Target="https://www.zoho.com/agents/resources/help/conceptual-articles/zia-generative-ai.html" TargetMode="External"/><Relationship Id="rId52" Type="http://schemas.openxmlformats.org/officeDocument/2006/relationships/hyperlink" Target="https://help.zoho.com/portal/en/kb/zia/generative-ai/articles/zia-integration-with-openai-data-privacy-and-security" TargetMode="External"/><Relationship Id="rId53" Type="http://schemas.openxmlformats.org/officeDocument/2006/relationships/hyperlink" Target="https://help.zoho.com/portal/en/kb/crm/data-administration/data-backup/articles/requesting-data-backup" TargetMode="External"/><Relationship Id="rId54" Type="http://schemas.openxmlformats.org/officeDocument/2006/relationships/footer" Target="footer1.xml"/><Relationship Id="rIdFootnotes" Type="http://schemas.openxmlformats.org/officeDocument/2006/relationships/footnotes" Target="footnotes.xml"/></Relationships>
</file>

<file path=word/_rels/footnotes.xml.rels><?xml version='1.0' encoding='UTF-8' standalone='yes'?>
<Relationships xmlns="http://schemas.openxmlformats.org/package/2006/relationships"><Relationship Id="rId1" Type="http://schemas.openxmlformats.org/officeDocument/2006/relationships/hyperlink" Target="https://www.zoho.com/en-us/crm/zohocrm-pricing.html" TargetMode="External"/><Relationship Id="rId2" Type="http://schemas.openxmlformats.org/officeDocument/2006/relationships/hyperlink" Target="https://help.zoho.com/portal/en/kb/crm/faqs/zia/articles/faqs-data-enrichment" TargetMode="External"/><Relationship Id="rId3" Type="http://schemas.openxmlformats.org/officeDocument/2006/relationships/hyperlink" Target="https://marketplace.zoho.com/app/crm/lead-finder-for-zoho-crm" TargetMode="External"/><Relationship Id="rId4" Type="http://schemas.openxmlformats.org/officeDocument/2006/relationships/hyperlink" Target="https://www.zoho.com/policy.html" TargetMode="External"/><Relationship Id="rId5" Type="http://schemas.openxmlformats.org/officeDocument/2006/relationships/hyperlink" Target="https://www.zoho.com/crm/terms.html" TargetMode="External"/><Relationship Id="rId6" Type="http://schemas.openxmlformats.org/officeDocument/2006/relationships/hyperlink" Target="https://www.bigin.com/pricing.html" TargetMode="External"/><Relationship Id="rId7" Type="http://schemas.openxmlformats.org/officeDocument/2006/relationships/hyperlink" Target="https://www.zoho.com/one/pricing/" TargetMode="External"/><Relationship Id="rId8" Type="http://schemas.openxmlformats.org/officeDocument/2006/relationships/hyperlink" Target="https://www.zoho.com/jumpstart/" TargetMode="External"/><Relationship Id="rId9" Type="http://schemas.openxmlformats.org/officeDocument/2006/relationships/hyperlink" Target="https://troenspe.com/carnegie-hall" TargetMode="External"/><Relationship Id="rId10" Type="http://schemas.openxmlformats.org/officeDocument/2006/relationships/hyperlink" Target="https://www.zoho.com/partners/find-zoho-partner.html" TargetMode="External"/><Relationship Id="rId11" Type="http://schemas.openxmlformats.org/officeDocument/2006/relationships/hyperlink" Target="https://help.zoho.com/portal/en/kb/crm/crm-reference/introduction-to-zoho-crm/articles/specifications-zoho-crm" TargetMode="External"/><Relationship Id="rId12" Type="http://schemas.openxmlformats.org/officeDocument/2006/relationships/hyperlink" Target="https://www.zoho.com/one/plan-details.html" TargetMode="External"/><Relationship Id="rId13" Type="http://schemas.openxmlformats.org/officeDocument/2006/relationships/hyperlink" Target="https://www.zoho.com/campaigns/pricing.html" TargetMode="External"/><Relationship Id="rId14" Type="http://schemas.openxmlformats.org/officeDocument/2006/relationships/hyperlink" Target="https://www.zoho.com/marketingautomation/pricing.html" TargetMode="External"/><Relationship Id="rId15" Type="http://schemas.openxmlformats.org/officeDocument/2006/relationships/hyperlink" Target="https://www.zoho.com/salesiq/pricing.html" TargetMode="External"/><Relationship Id="rId16" Type="http://schemas.openxmlformats.org/officeDocument/2006/relationships/hyperlink" Target="https://www.zoho.com/crm/zia/agents.html" TargetMode="External"/><Relationship Id="rId17" Type="http://schemas.openxmlformats.org/officeDocument/2006/relationships/hyperlink" Target="https://help.zoho.com/portal/en/kb/forms/payment-options/articles/payment-options-overview" TargetMode="External"/><Relationship Id="rId18" Type="http://schemas.openxmlformats.org/officeDocument/2006/relationships/hyperlink" Target="https://www.zoho.com/sign/pricing.html" TargetMode="External"/><Relationship Id="rId19" Type="http://schemas.openxmlformats.org/officeDocument/2006/relationships/hyperlink" Target="https://help.zoho.com/portal/en/kb/salesiq-2-0/for-administrators/tracking-visitors/articles/how-can-salesiq-identify-your-visitors" TargetMode="External"/><Relationship Id="rId20" Type="http://schemas.openxmlformats.org/officeDocument/2006/relationships/hyperlink" Target="https://help.zoho.com/portal/en/kb/salesiq-2-0/integration-guides/data-enrichment/articles/zia-profile-enrichment" TargetMode="External"/><Relationship Id="rId21" Type="http://schemas.openxmlformats.org/officeDocument/2006/relationships/hyperlink" Target="https://www.zoho.com/crm/complete-feature-list.html" TargetMode="External"/><Relationship Id="rId22" Type="http://schemas.openxmlformats.org/officeDocument/2006/relationships/hyperlink" Target="https://www.zoho.com/sites/default/files/crm/zohocrm-edition-comparison-usd.pdf" TargetMode="External"/><Relationship Id="rId23" Type="http://schemas.openxmlformats.org/officeDocument/2006/relationships/hyperlink" Target="https://www.zoho.com/one/pricing/faq.html" TargetMode="External"/><Relationship Id="rId24" Type="http://schemas.openxmlformats.org/officeDocument/2006/relationships/hyperlink" Target="https://www.zoho.com/one/terms.html" TargetMode="External"/><Relationship Id="rId25" Type="http://schemas.openxmlformats.org/officeDocument/2006/relationships/hyperlink" Target="https://www.zoho.com/sites/default/files/salesiq/zoho-salesiq-usd.pdf" TargetMode="External"/><Relationship Id="rId26" Type="http://schemas.openxmlformats.org/officeDocument/2006/relationships/hyperlink" Target="https://help.zoho.com/portal/en/kb/crm/manage-crm-data/storage-space/articles/manage-data-storage" TargetMode="External"/><Relationship Id="rId27" Type="http://schemas.openxmlformats.org/officeDocument/2006/relationships/hyperlink" Target="https://help.zoho.com/portal/en/kb/crm/manage-crm-data/storage-space/articles/managing-file-storage" TargetMode="External"/><Relationship Id="rId28" Type="http://schemas.openxmlformats.org/officeDocument/2006/relationships/hyperlink" Target="https://help.zoho.com/portal/en/kb/bigin/faqs/record-management/articles/how-is-the-record-limit-calculated" TargetMode="External"/><Relationship Id="rId29" Type="http://schemas.openxmlformats.org/officeDocument/2006/relationships/hyperlink" Target="https://www.bigin.com/help/feature-availability.html" TargetMode="External"/><Relationship Id="rId30" Type="http://schemas.openxmlformats.org/officeDocument/2006/relationships/hyperlink" Target="https://www.bigin.com/articles/faqs-about-bigin.html" TargetMode="External"/><Relationship Id="rId31" Type="http://schemas.openxmlformats.org/officeDocument/2006/relationships/hyperlink" Target="https://www.zoho.com/crm/developer/docs/api/v8/api-limits.html" TargetMode="External"/><Relationship Id="rId32" Type="http://schemas.openxmlformats.org/officeDocument/2006/relationships/hyperlink" Target="https://www.zoho.com/crm/developer/docs/api/v8/purchase-from-dashboard.html" TargetMode="External"/><Relationship Id="rId33" Type="http://schemas.openxmlformats.org/officeDocument/2006/relationships/hyperlink" Target="https://www.bigin.com/developer/docs/apis/api-limits.html" TargetMode="External"/><Relationship Id="rId34" Type="http://schemas.openxmlformats.org/officeDocument/2006/relationships/hyperlink" Target="https://www.zoho.com/crm/support-plans.html" TargetMode="External"/><Relationship Id="rId35" Type="http://schemas.openxmlformats.org/officeDocument/2006/relationships/hyperlink" Target="https://www.zoho.com/one/pricing/support-plans.html" TargetMode="External"/><Relationship Id="rId36" Type="http://schemas.openxmlformats.org/officeDocument/2006/relationships/hyperlink" Target="https://help.zoho.com/portal/en/kb/forms/payment-options/articles/setting-up-payment-field" TargetMode="External"/><Relationship Id="rId37" Type="http://schemas.openxmlformats.org/officeDocument/2006/relationships/hyperlink" Target="https://www.zoho.com/terms.html" TargetMode="External"/><Relationship Id="rId38" Type="http://schemas.openxmlformats.org/officeDocument/2006/relationships/hyperlink" Target="https://www.zoho.com/refundpolicy.html" TargetMode="External"/><Relationship Id="rId39" Type="http://schemas.openxmlformats.org/officeDocument/2006/relationships/hyperlink" Target="https://www.g2.com/products/zoho-crm/reviews" TargetMode="External"/><Relationship Id="rId40" Type="http://schemas.openxmlformats.org/officeDocument/2006/relationships/hyperlink" Target="https://www.capterra.com/p/155928/Zoho-CRM/reviews/" TargetMode="External"/><Relationship Id="rId41" Type="http://schemas.openxmlformats.org/officeDocument/2006/relationships/hyperlink" Target="https://www.zoho.com/privacy.html" TargetMode="External"/><Relationship Id="rId42" Type="http://schemas.openxmlformats.org/officeDocument/2006/relationships/hyperlink" Target="https://help.zoho.com/portal/en/kb/workdrive/zia-ai/articles/zia-privacy-principles" TargetMode="External"/><Relationship Id="rId43" Type="http://schemas.openxmlformats.org/officeDocument/2006/relationships/hyperlink" Target="https://www.zoho.com/agents/resources/help/conceptual-articles/zia-generative-ai.html" TargetMode="External"/><Relationship Id="rId44" Type="http://schemas.openxmlformats.org/officeDocument/2006/relationships/hyperlink" Target="https://help.zoho.com/portal/en/kb/zia/generative-ai/articles/zia-integration-with-openai-data-privacy-and-security" TargetMode="External"/><Relationship Id="rId45" Type="http://schemas.openxmlformats.org/officeDocument/2006/relationships/hyperlink" Target="https://help.zoho.com/portal/en/kb/crm/data-administration/data-backup/articles/requesting-data-backu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Zoho Assessment for Troen Student Performance Events</dc:title>
  <dc:subject>March 3 2027 Carnegie Hall event and Zoho software assessment</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