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99" w:rsidRDefault="00C25799" w:rsidP="006D69F5">
      <w:pPr>
        <w:ind w:left="720"/>
        <w:jc w:val="center"/>
        <w:rPr>
          <w:b/>
          <w:sz w:val="22"/>
          <w:szCs w:val="22"/>
        </w:rPr>
      </w:pPr>
      <w:r w:rsidRPr="00D86EF2">
        <w:rPr>
          <w:b/>
          <w:sz w:val="22"/>
          <w:szCs w:val="22"/>
        </w:rPr>
        <w:t>DNA to Free Energy</w:t>
      </w:r>
    </w:p>
    <w:p w:rsidR="004A2FAF" w:rsidRPr="00D86EF2" w:rsidRDefault="004A2FAF" w:rsidP="006D69F5">
      <w:pPr>
        <w:ind w:left="720"/>
        <w:jc w:val="center"/>
        <w:rPr>
          <w:b/>
          <w:sz w:val="22"/>
          <w:szCs w:val="22"/>
        </w:rPr>
      </w:pPr>
    </w:p>
    <w:p w:rsidR="00C33823" w:rsidRDefault="00C33823"/>
    <w:p w:rsidR="00616727" w:rsidRPr="00A60FCF" w:rsidRDefault="00A60FCF">
      <w:pPr>
        <w:rPr>
          <w:b/>
          <w:sz w:val="28"/>
          <w:u w:val="single"/>
        </w:rPr>
      </w:pPr>
      <w:r w:rsidRPr="00A60FCF">
        <w:rPr>
          <w:b/>
          <w:sz w:val="28"/>
          <w:u w:val="single"/>
        </w:rPr>
        <w:t>Practice</w:t>
      </w:r>
    </w:p>
    <w:p w:rsidR="00616727" w:rsidRDefault="00357D90">
      <w:r>
        <w:t>P</w:t>
      </w:r>
      <w:r w:rsidR="00E122BE">
        <w:t>romoter</w:t>
      </w:r>
      <w:r w:rsidR="00616727">
        <w:t>1: “ACT</w:t>
      </w:r>
      <w:r w:rsidR="00616727" w:rsidRPr="00357D90">
        <w:rPr>
          <w:b/>
          <w:u w:val="single"/>
        </w:rPr>
        <w:t>G</w:t>
      </w:r>
      <w:r w:rsidR="00616727">
        <w:t>A</w:t>
      </w:r>
      <w:r>
        <w:t>A</w:t>
      </w:r>
      <w:r w:rsidR="00616727">
        <w:t>”</w:t>
      </w:r>
    </w:p>
    <w:p w:rsidR="00616727" w:rsidRDefault="00357D90">
      <w:r>
        <w:t>P</w:t>
      </w:r>
      <w:r w:rsidR="00E122BE">
        <w:t>romoter</w:t>
      </w:r>
      <w:r w:rsidR="00616727">
        <w:t>2: “CAT</w:t>
      </w:r>
      <w:r w:rsidR="00616727" w:rsidRPr="00357D90">
        <w:rPr>
          <w:b/>
          <w:u w:val="single"/>
        </w:rPr>
        <w:t>T</w:t>
      </w:r>
      <w:r w:rsidR="00616727">
        <w:t>A</w:t>
      </w:r>
      <w:r>
        <w:t>T</w:t>
      </w:r>
      <w:r w:rsidR="00616727">
        <w:t>”</w:t>
      </w:r>
    </w:p>
    <w:p w:rsidR="00616727" w:rsidRDefault="00357D90">
      <w:r>
        <w:t>P</w:t>
      </w:r>
      <w:r w:rsidR="00E122BE">
        <w:t>romoter</w:t>
      </w:r>
      <w:r w:rsidR="00616727">
        <w:t>3: “CGT</w:t>
      </w:r>
      <w:r w:rsidR="00616727" w:rsidRPr="00357D90">
        <w:rPr>
          <w:b/>
          <w:u w:val="single"/>
        </w:rPr>
        <w:t>A</w:t>
      </w:r>
      <w:r w:rsidR="00616727">
        <w:t>C</w:t>
      </w:r>
      <w:r>
        <w:t>G</w:t>
      </w:r>
      <w:r w:rsidR="00616727">
        <w:t>”</w:t>
      </w:r>
    </w:p>
    <w:p w:rsidR="00616727" w:rsidRDefault="00357D90">
      <w:r>
        <w:t>The bold underlined letters represent the position that represents the transcription site. The length-6 sequence is the promoter region that is 3 nucleotides upstream and 2 nucleotides downstream of that position.</w:t>
      </w:r>
    </w:p>
    <w:p w:rsidR="00616727" w:rsidRDefault="00616727" w:rsidP="00616727">
      <w:pPr>
        <w:pStyle w:val="ListParagraph"/>
        <w:numPr>
          <w:ilvl w:val="0"/>
          <w:numId w:val="3"/>
        </w:numPr>
      </w:pPr>
      <w:r>
        <w:t xml:space="preserve">List the dinucleotides for each sequence; there should be </w:t>
      </w:r>
      <w:r w:rsidR="00357D90">
        <w:t>five</w:t>
      </w:r>
      <w:r>
        <w:t xml:space="preserve"> of them:</w:t>
      </w:r>
    </w:p>
    <w:p w:rsidR="00616727" w:rsidRDefault="00E122BE" w:rsidP="00616727">
      <w:pPr>
        <w:pStyle w:val="ListParagraph"/>
        <w:numPr>
          <w:ilvl w:val="1"/>
          <w:numId w:val="3"/>
        </w:numPr>
      </w:pPr>
      <w:r>
        <w:t>Promoter</w:t>
      </w:r>
      <w:r w:rsidR="00616727">
        <w:t>1:</w:t>
      </w:r>
      <w:r w:rsidR="00281116">
        <w:t xml:space="preserve"> AC, CT</w:t>
      </w:r>
      <w:r w:rsidR="00A45363">
        <w:t xml:space="preserve">, </w:t>
      </w:r>
    </w:p>
    <w:p w:rsidR="00616727" w:rsidRDefault="00E122BE" w:rsidP="00616727">
      <w:pPr>
        <w:pStyle w:val="ListParagraph"/>
        <w:numPr>
          <w:ilvl w:val="1"/>
          <w:numId w:val="3"/>
        </w:numPr>
      </w:pPr>
      <w:r>
        <w:t>Promoter</w:t>
      </w:r>
      <w:r w:rsidR="00616727">
        <w:t>2:</w:t>
      </w:r>
    </w:p>
    <w:p w:rsidR="00616727" w:rsidRDefault="00E122BE" w:rsidP="00616727">
      <w:pPr>
        <w:pStyle w:val="ListParagraph"/>
        <w:numPr>
          <w:ilvl w:val="1"/>
          <w:numId w:val="3"/>
        </w:numPr>
      </w:pPr>
      <w:r>
        <w:t>Promoter</w:t>
      </w:r>
      <w:r w:rsidR="00616727">
        <w:t>3:</w:t>
      </w:r>
    </w:p>
    <w:p w:rsidR="00616727" w:rsidRDefault="00616727" w:rsidP="00616727">
      <w:pPr>
        <w:pStyle w:val="ListParagraph"/>
        <w:numPr>
          <w:ilvl w:val="0"/>
          <w:numId w:val="3"/>
        </w:numPr>
      </w:pPr>
      <w:r>
        <w:t>Find the free energy value for each dinucleotide</w:t>
      </w:r>
      <w:r w:rsidR="004B01D4">
        <w:t>. See table on the next page. Look at the first column, the dinucleotides to the left of the backslash. Each dinucleotide is either on that list, or its reverse complement is. Write down the first value that appears in the last column of the table</w:t>
      </w:r>
      <w:r w:rsidR="00A45363">
        <w:t>.</w:t>
      </w:r>
    </w:p>
    <w:p w:rsidR="00357D90" w:rsidRDefault="004E46FF" w:rsidP="00357D90">
      <w:r>
        <w:t>Promoter</w:t>
      </w:r>
      <w:r w:rsidR="00357D90">
        <w:t>1:</w:t>
      </w:r>
    </w:p>
    <w:tbl>
      <w:tblPr>
        <w:tblStyle w:val="TableGrid"/>
        <w:tblW w:w="0" w:type="auto"/>
        <w:tblLook w:val="04A0" w:firstRow="1" w:lastRow="0" w:firstColumn="1" w:lastColumn="0" w:noHBand="0" w:noVBand="1"/>
      </w:tblPr>
      <w:tblGrid>
        <w:gridCol w:w="1765"/>
        <w:gridCol w:w="1523"/>
        <w:gridCol w:w="1522"/>
        <w:gridCol w:w="1522"/>
        <w:gridCol w:w="1522"/>
        <w:gridCol w:w="1496"/>
      </w:tblGrid>
      <w:tr w:rsidR="00616727" w:rsidTr="00616727">
        <w:tc>
          <w:tcPr>
            <w:tcW w:w="1765" w:type="dxa"/>
          </w:tcPr>
          <w:p w:rsidR="00616727" w:rsidRDefault="00616727" w:rsidP="00357D90">
            <w:pPr>
              <w:jc w:val="right"/>
            </w:pPr>
            <w:r>
              <w:t>Position</w:t>
            </w:r>
          </w:p>
        </w:tc>
        <w:tc>
          <w:tcPr>
            <w:tcW w:w="1523" w:type="dxa"/>
          </w:tcPr>
          <w:p w:rsidR="00616727" w:rsidRDefault="00616727" w:rsidP="00357D90">
            <w:pPr>
              <w:jc w:val="right"/>
            </w:pPr>
            <w:r>
              <w:t>-3</w:t>
            </w:r>
          </w:p>
        </w:tc>
        <w:tc>
          <w:tcPr>
            <w:tcW w:w="1522" w:type="dxa"/>
          </w:tcPr>
          <w:p w:rsidR="00616727" w:rsidRDefault="00616727" w:rsidP="00357D90">
            <w:pPr>
              <w:jc w:val="right"/>
            </w:pPr>
            <w:r>
              <w:t>-2</w:t>
            </w:r>
          </w:p>
        </w:tc>
        <w:tc>
          <w:tcPr>
            <w:tcW w:w="1522" w:type="dxa"/>
          </w:tcPr>
          <w:p w:rsidR="00616727" w:rsidRDefault="00616727" w:rsidP="00357D90">
            <w:pPr>
              <w:jc w:val="right"/>
            </w:pPr>
            <w:r>
              <w:t>-1</w:t>
            </w:r>
          </w:p>
        </w:tc>
        <w:tc>
          <w:tcPr>
            <w:tcW w:w="1522" w:type="dxa"/>
          </w:tcPr>
          <w:p w:rsidR="00616727" w:rsidRDefault="00616727" w:rsidP="00357D90">
            <w:pPr>
              <w:jc w:val="right"/>
            </w:pPr>
            <w:r>
              <w:t>1</w:t>
            </w:r>
          </w:p>
        </w:tc>
        <w:tc>
          <w:tcPr>
            <w:tcW w:w="1496" w:type="dxa"/>
          </w:tcPr>
          <w:p w:rsidR="00616727" w:rsidRDefault="00616727" w:rsidP="00357D90">
            <w:pPr>
              <w:jc w:val="right"/>
            </w:pPr>
            <w:r>
              <w:t>2</w:t>
            </w:r>
          </w:p>
        </w:tc>
      </w:tr>
      <w:tr w:rsidR="00616727" w:rsidTr="00616727">
        <w:tc>
          <w:tcPr>
            <w:tcW w:w="1765" w:type="dxa"/>
          </w:tcPr>
          <w:p w:rsidR="00616727" w:rsidRDefault="00616727" w:rsidP="00616727">
            <w:r>
              <w:t>dinucleotide</w:t>
            </w:r>
          </w:p>
        </w:tc>
        <w:tc>
          <w:tcPr>
            <w:tcW w:w="1523" w:type="dxa"/>
          </w:tcPr>
          <w:p w:rsidR="00616727" w:rsidRDefault="00281116" w:rsidP="00616727">
            <w:r>
              <w:t>AC</w:t>
            </w:r>
          </w:p>
        </w:tc>
        <w:tc>
          <w:tcPr>
            <w:tcW w:w="1522" w:type="dxa"/>
          </w:tcPr>
          <w:p w:rsidR="00616727" w:rsidRDefault="001F2361" w:rsidP="00616727">
            <w:r>
              <w:t>CT</w:t>
            </w:r>
          </w:p>
        </w:tc>
        <w:tc>
          <w:tcPr>
            <w:tcW w:w="1522" w:type="dxa"/>
          </w:tcPr>
          <w:p w:rsidR="00616727" w:rsidRDefault="00616727" w:rsidP="00616727"/>
        </w:tc>
        <w:tc>
          <w:tcPr>
            <w:tcW w:w="1522" w:type="dxa"/>
          </w:tcPr>
          <w:p w:rsidR="00616727" w:rsidRDefault="00616727" w:rsidP="00616727"/>
        </w:tc>
        <w:tc>
          <w:tcPr>
            <w:tcW w:w="1496" w:type="dxa"/>
          </w:tcPr>
          <w:p w:rsidR="00616727" w:rsidRDefault="00616727" w:rsidP="00616727"/>
        </w:tc>
      </w:tr>
      <w:tr w:rsidR="001F2361" w:rsidTr="00616727">
        <w:tc>
          <w:tcPr>
            <w:tcW w:w="1765" w:type="dxa"/>
          </w:tcPr>
          <w:p w:rsidR="001F2361" w:rsidRDefault="001F2361" w:rsidP="00616727">
            <w:r>
              <w:t>(reverse complement)</w:t>
            </w:r>
          </w:p>
        </w:tc>
        <w:tc>
          <w:tcPr>
            <w:tcW w:w="1523" w:type="dxa"/>
          </w:tcPr>
          <w:p w:rsidR="001F2361" w:rsidRDefault="00686C9C" w:rsidP="00616727">
            <w:r>
              <w:t>GT</w:t>
            </w:r>
          </w:p>
        </w:tc>
        <w:tc>
          <w:tcPr>
            <w:tcW w:w="1522" w:type="dxa"/>
          </w:tcPr>
          <w:p w:rsidR="001F2361" w:rsidRDefault="001F2361" w:rsidP="00616727"/>
        </w:tc>
        <w:tc>
          <w:tcPr>
            <w:tcW w:w="1522" w:type="dxa"/>
          </w:tcPr>
          <w:p w:rsidR="001F2361" w:rsidRDefault="001F2361" w:rsidP="00616727"/>
        </w:tc>
        <w:tc>
          <w:tcPr>
            <w:tcW w:w="1522" w:type="dxa"/>
          </w:tcPr>
          <w:p w:rsidR="001F2361" w:rsidRDefault="001F2361" w:rsidP="00616727"/>
        </w:tc>
        <w:tc>
          <w:tcPr>
            <w:tcW w:w="1496" w:type="dxa"/>
          </w:tcPr>
          <w:p w:rsidR="001F2361" w:rsidRDefault="001F2361" w:rsidP="00616727"/>
        </w:tc>
      </w:tr>
      <w:tr w:rsidR="00616727" w:rsidTr="00616727">
        <w:tc>
          <w:tcPr>
            <w:tcW w:w="1765" w:type="dxa"/>
          </w:tcPr>
          <w:p w:rsidR="00616727" w:rsidRDefault="00616727" w:rsidP="00616727">
            <w:r>
              <w:t>free energy value</w:t>
            </w:r>
          </w:p>
        </w:tc>
        <w:tc>
          <w:tcPr>
            <w:tcW w:w="1523" w:type="dxa"/>
          </w:tcPr>
          <w:p w:rsidR="00616727" w:rsidRDefault="00686C9C" w:rsidP="00616727">
            <w:r>
              <w:t>-1.44</w:t>
            </w:r>
          </w:p>
        </w:tc>
        <w:tc>
          <w:tcPr>
            <w:tcW w:w="1522" w:type="dxa"/>
          </w:tcPr>
          <w:p w:rsidR="00616727" w:rsidRDefault="004B01D4" w:rsidP="00616727">
            <w:r>
              <w:t>-1.28</w:t>
            </w:r>
          </w:p>
        </w:tc>
        <w:tc>
          <w:tcPr>
            <w:tcW w:w="1522" w:type="dxa"/>
          </w:tcPr>
          <w:p w:rsidR="00616727" w:rsidRDefault="00616727" w:rsidP="00616727"/>
        </w:tc>
        <w:tc>
          <w:tcPr>
            <w:tcW w:w="1522" w:type="dxa"/>
          </w:tcPr>
          <w:p w:rsidR="00616727" w:rsidRDefault="00616727" w:rsidP="00616727"/>
        </w:tc>
        <w:tc>
          <w:tcPr>
            <w:tcW w:w="1496" w:type="dxa"/>
          </w:tcPr>
          <w:p w:rsidR="00616727" w:rsidRDefault="00616727" w:rsidP="00616727"/>
        </w:tc>
      </w:tr>
    </w:tbl>
    <w:p w:rsidR="00421A55" w:rsidRDefault="00421A55" w:rsidP="00421A55">
      <w:r>
        <w:t>Promoter</w:t>
      </w:r>
      <w:r>
        <w:t>2</w:t>
      </w:r>
      <w:r>
        <w:t>:</w:t>
      </w:r>
    </w:p>
    <w:tbl>
      <w:tblPr>
        <w:tblStyle w:val="TableGrid"/>
        <w:tblW w:w="0" w:type="auto"/>
        <w:tblLook w:val="04A0" w:firstRow="1" w:lastRow="0" w:firstColumn="1" w:lastColumn="0" w:noHBand="0" w:noVBand="1"/>
      </w:tblPr>
      <w:tblGrid>
        <w:gridCol w:w="1765"/>
        <w:gridCol w:w="1523"/>
        <w:gridCol w:w="1522"/>
        <w:gridCol w:w="1522"/>
        <w:gridCol w:w="1522"/>
        <w:gridCol w:w="1496"/>
      </w:tblGrid>
      <w:tr w:rsidR="00421A55" w:rsidTr="00CD525D">
        <w:tc>
          <w:tcPr>
            <w:tcW w:w="1765" w:type="dxa"/>
          </w:tcPr>
          <w:p w:rsidR="00421A55" w:rsidRDefault="00421A55" w:rsidP="00CD525D">
            <w:pPr>
              <w:jc w:val="right"/>
            </w:pPr>
            <w:r>
              <w:t>Position</w:t>
            </w:r>
          </w:p>
        </w:tc>
        <w:tc>
          <w:tcPr>
            <w:tcW w:w="1523" w:type="dxa"/>
          </w:tcPr>
          <w:p w:rsidR="00421A55" w:rsidRDefault="00421A55" w:rsidP="00CD525D">
            <w:pPr>
              <w:jc w:val="right"/>
            </w:pPr>
            <w:r>
              <w:t>-3</w:t>
            </w:r>
          </w:p>
        </w:tc>
        <w:tc>
          <w:tcPr>
            <w:tcW w:w="1522" w:type="dxa"/>
          </w:tcPr>
          <w:p w:rsidR="00421A55" w:rsidRDefault="00421A55" w:rsidP="00CD525D">
            <w:pPr>
              <w:jc w:val="right"/>
            </w:pPr>
            <w:r>
              <w:t>-2</w:t>
            </w:r>
          </w:p>
        </w:tc>
        <w:tc>
          <w:tcPr>
            <w:tcW w:w="1522" w:type="dxa"/>
          </w:tcPr>
          <w:p w:rsidR="00421A55" w:rsidRDefault="00421A55" w:rsidP="00CD525D">
            <w:pPr>
              <w:jc w:val="right"/>
            </w:pPr>
            <w:r>
              <w:t>-1</w:t>
            </w:r>
          </w:p>
        </w:tc>
        <w:tc>
          <w:tcPr>
            <w:tcW w:w="1522" w:type="dxa"/>
          </w:tcPr>
          <w:p w:rsidR="00421A55" w:rsidRDefault="00421A55" w:rsidP="00CD525D">
            <w:pPr>
              <w:jc w:val="right"/>
            </w:pPr>
            <w:r>
              <w:t>1</w:t>
            </w:r>
          </w:p>
        </w:tc>
        <w:tc>
          <w:tcPr>
            <w:tcW w:w="1496" w:type="dxa"/>
          </w:tcPr>
          <w:p w:rsidR="00421A55" w:rsidRDefault="00421A55" w:rsidP="00CD525D">
            <w:pPr>
              <w:jc w:val="right"/>
            </w:pPr>
            <w:r>
              <w:t>2</w:t>
            </w:r>
          </w:p>
        </w:tc>
      </w:tr>
      <w:tr w:rsidR="00421A55" w:rsidTr="00CD525D">
        <w:tc>
          <w:tcPr>
            <w:tcW w:w="1765" w:type="dxa"/>
          </w:tcPr>
          <w:p w:rsidR="00421A55" w:rsidRDefault="00421A55" w:rsidP="00CD525D">
            <w:r>
              <w:t>dinucleotide</w:t>
            </w:r>
          </w:p>
        </w:tc>
        <w:tc>
          <w:tcPr>
            <w:tcW w:w="1523"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496" w:type="dxa"/>
          </w:tcPr>
          <w:p w:rsidR="00421A55" w:rsidRDefault="00421A55" w:rsidP="00CD525D"/>
        </w:tc>
      </w:tr>
      <w:tr w:rsidR="001F2361" w:rsidTr="00CD525D">
        <w:tc>
          <w:tcPr>
            <w:tcW w:w="1765" w:type="dxa"/>
          </w:tcPr>
          <w:p w:rsidR="001F2361" w:rsidRDefault="001F2361" w:rsidP="00CD525D">
            <w:r>
              <w:t>(reverse complement)</w:t>
            </w:r>
          </w:p>
        </w:tc>
        <w:tc>
          <w:tcPr>
            <w:tcW w:w="1523" w:type="dxa"/>
          </w:tcPr>
          <w:p w:rsidR="001F2361" w:rsidRDefault="001F2361" w:rsidP="00CD525D"/>
        </w:tc>
        <w:tc>
          <w:tcPr>
            <w:tcW w:w="1522" w:type="dxa"/>
          </w:tcPr>
          <w:p w:rsidR="001F2361" w:rsidRDefault="001F2361" w:rsidP="00CD525D"/>
        </w:tc>
        <w:tc>
          <w:tcPr>
            <w:tcW w:w="1522" w:type="dxa"/>
          </w:tcPr>
          <w:p w:rsidR="001F2361" w:rsidRDefault="001F2361" w:rsidP="00CD525D"/>
        </w:tc>
        <w:tc>
          <w:tcPr>
            <w:tcW w:w="1522" w:type="dxa"/>
          </w:tcPr>
          <w:p w:rsidR="001F2361" w:rsidRDefault="001F2361" w:rsidP="00CD525D"/>
        </w:tc>
        <w:tc>
          <w:tcPr>
            <w:tcW w:w="1496" w:type="dxa"/>
          </w:tcPr>
          <w:p w:rsidR="001F2361" w:rsidRDefault="001F2361" w:rsidP="00CD525D"/>
        </w:tc>
      </w:tr>
      <w:tr w:rsidR="00421A55" w:rsidTr="00CD525D">
        <w:tc>
          <w:tcPr>
            <w:tcW w:w="1765" w:type="dxa"/>
          </w:tcPr>
          <w:p w:rsidR="00421A55" w:rsidRDefault="00421A55" w:rsidP="00CD525D">
            <w:r>
              <w:t>free energy value</w:t>
            </w:r>
          </w:p>
        </w:tc>
        <w:tc>
          <w:tcPr>
            <w:tcW w:w="1523"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496" w:type="dxa"/>
          </w:tcPr>
          <w:p w:rsidR="00421A55" w:rsidRDefault="00421A55" w:rsidP="00CD525D"/>
        </w:tc>
      </w:tr>
    </w:tbl>
    <w:p w:rsidR="00421A55" w:rsidRDefault="00421A55" w:rsidP="00421A55">
      <w:r>
        <w:t>Promoter</w:t>
      </w:r>
      <w:r>
        <w:t>3</w:t>
      </w:r>
      <w:r>
        <w:t>:</w:t>
      </w:r>
    </w:p>
    <w:tbl>
      <w:tblPr>
        <w:tblStyle w:val="TableGrid"/>
        <w:tblW w:w="0" w:type="auto"/>
        <w:tblLook w:val="04A0" w:firstRow="1" w:lastRow="0" w:firstColumn="1" w:lastColumn="0" w:noHBand="0" w:noVBand="1"/>
      </w:tblPr>
      <w:tblGrid>
        <w:gridCol w:w="1765"/>
        <w:gridCol w:w="1523"/>
        <w:gridCol w:w="1522"/>
        <w:gridCol w:w="1522"/>
        <w:gridCol w:w="1522"/>
        <w:gridCol w:w="1496"/>
      </w:tblGrid>
      <w:tr w:rsidR="00421A55" w:rsidTr="00CD525D">
        <w:tc>
          <w:tcPr>
            <w:tcW w:w="1765" w:type="dxa"/>
          </w:tcPr>
          <w:p w:rsidR="00421A55" w:rsidRDefault="00421A55" w:rsidP="00CD525D">
            <w:pPr>
              <w:jc w:val="right"/>
            </w:pPr>
            <w:r>
              <w:t>Position</w:t>
            </w:r>
          </w:p>
        </w:tc>
        <w:tc>
          <w:tcPr>
            <w:tcW w:w="1523" w:type="dxa"/>
          </w:tcPr>
          <w:p w:rsidR="00421A55" w:rsidRDefault="00421A55" w:rsidP="00CD525D">
            <w:pPr>
              <w:jc w:val="right"/>
            </w:pPr>
            <w:r>
              <w:t>-3</w:t>
            </w:r>
          </w:p>
        </w:tc>
        <w:tc>
          <w:tcPr>
            <w:tcW w:w="1522" w:type="dxa"/>
          </w:tcPr>
          <w:p w:rsidR="00421A55" w:rsidRDefault="00421A55" w:rsidP="00CD525D">
            <w:pPr>
              <w:jc w:val="right"/>
            </w:pPr>
            <w:r>
              <w:t>-2</w:t>
            </w:r>
          </w:p>
        </w:tc>
        <w:tc>
          <w:tcPr>
            <w:tcW w:w="1522" w:type="dxa"/>
          </w:tcPr>
          <w:p w:rsidR="00421A55" w:rsidRDefault="00421A55" w:rsidP="00CD525D">
            <w:pPr>
              <w:jc w:val="right"/>
            </w:pPr>
            <w:r>
              <w:t>-1</w:t>
            </w:r>
          </w:p>
        </w:tc>
        <w:tc>
          <w:tcPr>
            <w:tcW w:w="1522" w:type="dxa"/>
          </w:tcPr>
          <w:p w:rsidR="00421A55" w:rsidRDefault="00421A55" w:rsidP="00CD525D">
            <w:pPr>
              <w:jc w:val="right"/>
            </w:pPr>
            <w:r>
              <w:t>1</w:t>
            </w:r>
          </w:p>
        </w:tc>
        <w:tc>
          <w:tcPr>
            <w:tcW w:w="1496" w:type="dxa"/>
          </w:tcPr>
          <w:p w:rsidR="00421A55" w:rsidRDefault="00421A55" w:rsidP="00CD525D">
            <w:pPr>
              <w:jc w:val="right"/>
            </w:pPr>
            <w:r>
              <w:t>2</w:t>
            </w:r>
          </w:p>
        </w:tc>
      </w:tr>
      <w:tr w:rsidR="00421A55" w:rsidTr="00CD525D">
        <w:tc>
          <w:tcPr>
            <w:tcW w:w="1765" w:type="dxa"/>
          </w:tcPr>
          <w:p w:rsidR="00421A55" w:rsidRDefault="00421A55" w:rsidP="00CD525D">
            <w:r>
              <w:t>dinucleotide</w:t>
            </w:r>
          </w:p>
        </w:tc>
        <w:tc>
          <w:tcPr>
            <w:tcW w:w="1523"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496" w:type="dxa"/>
          </w:tcPr>
          <w:p w:rsidR="00421A55" w:rsidRDefault="00421A55" w:rsidP="00CD525D"/>
        </w:tc>
      </w:tr>
      <w:tr w:rsidR="001F2361" w:rsidTr="00CD525D">
        <w:tc>
          <w:tcPr>
            <w:tcW w:w="1765" w:type="dxa"/>
          </w:tcPr>
          <w:p w:rsidR="001F2361" w:rsidRDefault="001F2361" w:rsidP="00CD525D">
            <w:r>
              <w:t>(reverse complement)</w:t>
            </w:r>
          </w:p>
        </w:tc>
        <w:tc>
          <w:tcPr>
            <w:tcW w:w="1523" w:type="dxa"/>
          </w:tcPr>
          <w:p w:rsidR="001F2361" w:rsidRDefault="001F2361" w:rsidP="00CD525D"/>
        </w:tc>
        <w:tc>
          <w:tcPr>
            <w:tcW w:w="1522" w:type="dxa"/>
          </w:tcPr>
          <w:p w:rsidR="001F2361" w:rsidRDefault="001F2361" w:rsidP="00CD525D"/>
        </w:tc>
        <w:tc>
          <w:tcPr>
            <w:tcW w:w="1522" w:type="dxa"/>
          </w:tcPr>
          <w:p w:rsidR="001F2361" w:rsidRDefault="001F2361" w:rsidP="00CD525D"/>
        </w:tc>
        <w:tc>
          <w:tcPr>
            <w:tcW w:w="1522" w:type="dxa"/>
          </w:tcPr>
          <w:p w:rsidR="001F2361" w:rsidRDefault="001F2361" w:rsidP="00CD525D"/>
        </w:tc>
        <w:tc>
          <w:tcPr>
            <w:tcW w:w="1496" w:type="dxa"/>
          </w:tcPr>
          <w:p w:rsidR="001F2361" w:rsidRDefault="001F2361" w:rsidP="00CD525D"/>
        </w:tc>
      </w:tr>
      <w:tr w:rsidR="00421A55" w:rsidTr="00CD525D">
        <w:tc>
          <w:tcPr>
            <w:tcW w:w="1765" w:type="dxa"/>
          </w:tcPr>
          <w:p w:rsidR="00421A55" w:rsidRDefault="00421A55" w:rsidP="00CD525D">
            <w:r>
              <w:t>free energy value</w:t>
            </w:r>
          </w:p>
        </w:tc>
        <w:tc>
          <w:tcPr>
            <w:tcW w:w="1523"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522" w:type="dxa"/>
          </w:tcPr>
          <w:p w:rsidR="00421A55" w:rsidRDefault="00421A55" w:rsidP="00CD525D"/>
        </w:tc>
        <w:tc>
          <w:tcPr>
            <w:tcW w:w="1496" w:type="dxa"/>
          </w:tcPr>
          <w:p w:rsidR="00421A55" w:rsidRDefault="00421A55" w:rsidP="00CD525D"/>
        </w:tc>
      </w:tr>
    </w:tbl>
    <w:p w:rsidR="00616727" w:rsidRDefault="00616727" w:rsidP="00616727"/>
    <w:p w:rsidR="000D4D0A" w:rsidRDefault="006D69F5" w:rsidP="006D69F5">
      <w:r>
        <w:t>Calculate the</w:t>
      </w:r>
      <w:r w:rsidR="00AE1F9C">
        <w:t xml:space="preserve"> average free energy for each column</w:t>
      </w:r>
      <w:r w:rsidR="000D4D0A">
        <w:t>.</w:t>
      </w:r>
    </w:p>
    <w:p w:rsidR="00CA5E1E" w:rsidRDefault="00CA5E1E"/>
    <w:tbl>
      <w:tblPr>
        <w:tblStyle w:val="TableGrid"/>
        <w:tblW w:w="0" w:type="auto"/>
        <w:tblLook w:val="04A0" w:firstRow="1" w:lastRow="0" w:firstColumn="1" w:lastColumn="0" w:noHBand="0" w:noVBand="1"/>
      </w:tblPr>
      <w:tblGrid>
        <w:gridCol w:w="1870"/>
        <w:gridCol w:w="1870"/>
        <w:gridCol w:w="1870"/>
        <w:gridCol w:w="1870"/>
        <w:gridCol w:w="1870"/>
      </w:tblGrid>
      <w:tr w:rsidR="00CA5E1E" w:rsidTr="00A246FF">
        <w:tc>
          <w:tcPr>
            <w:tcW w:w="1870" w:type="dxa"/>
          </w:tcPr>
          <w:p w:rsidR="00CA5E1E" w:rsidRDefault="00CA5E1E" w:rsidP="00A246FF">
            <w:r>
              <w:t>Avg(</w:t>
            </w:r>
            <w:r w:rsidR="00AE1F9C">
              <w:t>-3</w:t>
            </w:r>
            <w:r>
              <w:t>)</w:t>
            </w:r>
          </w:p>
        </w:tc>
        <w:tc>
          <w:tcPr>
            <w:tcW w:w="1870" w:type="dxa"/>
            <w:shd w:val="clear" w:color="auto" w:fill="DEEAF6" w:themeFill="accent1" w:themeFillTint="33"/>
          </w:tcPr>
          <w:p w:rsidR="00CA5E1E" w:rsidRDefault="00AE1F9C" w:rsidP="00A246FF">
            <w:r>
              <w:t>Avg(-</w:t>
            </w:r>
            <w:r w:rsidR="00CA5E1E">
              <w:t>2)</w:t>
            </w:r>
          </w:p>
        </w:tc>
        <w:tc>
          <w:tcPr>
            <w:tcW w:w="1870" w:type="dxa"/>
          </w:tcPr>
          <w:p w:rsidR="00CA5E1E" w:rsidRDefault="00AE1F9C" w:rsidP="00A246FF">
            <w:r>
              <w:t>Avg(-1</w:t>
            </w:r>
            <w:r w:rsidR="00CA5E1E">
              <w:t>)</w:t>
            </w:r>
          </w:p>
        </w:tc>
        <w:tc>
          <w:tcPr>
            <w:tcW w:w="1870" w:type="dxa"/>
            <w:shd w:val="clear" w:color="auto" w:fill="FBE4D5" w:themeFill="accent2" w:themeFillTint="33"/>
          </w:tcPr>
          <w:p w:rsidR="00CA5E1E" w:rsidRDefault="00AE1F9C" w:rsidP="00A246FF">
            <w:r>
              <w:t>Avg(1</w:t>
            </w:r>
            <w:r w:rsidR="00CA5E1E">
              <w:t>)</w:t>
            </w:r>
          </w:p>
        </w:tc>
        <w:tc>
          <w:tcPr>
            <w:tcW w:w="1870" w:type="dxa"/>
          </w:tcPr>
          <w:p w:rsidR="00CA5E1E" w:rsidRDefault="00AE1F9C" w:rsidP="00A246FF">
            <w:r>
              <w:t>Avg(2</w:t>
            </w:r>
            <w:r w:rsidR="00CA5E1E">
              <w:t>)</w:t>
            </w:r>
          </w:p>
        </w:tc>
      </w:tr>
      <w:tr w:rsidR="000D4D0A" w:rsidTr="00A246FF">
        <w:tc>
          <w:tcPr>
            <w:tcW w:w="1870" w:type="dxa"/>
          </w:tcPr>
          <w:p w:rsidR="000D4D0A" w:rsidRDefault="000D4D0A" w:rsidP="00A246FF"/>
        </w:tc>
        <w:tc>
          <w:tcPr>
            <w:tcW w:w="1870" w:type="dxa"/>
            <w:shd w:val="clear" w:color="auto" w:fill="DEEAF6" w:themeFill="accent1" w:themeFillTint="33"/>
          </w:tcPr>
          <w:p w:rsidR="000D4D0A" w:rsidRDefault="000D4D0A" w:rsidP="00A246FF"/>
        </w:tc>
        <w:tc>
          <w:tcPr>
            <w:tcW w:w="1870" w:type="dxa"/>
          </w:tcPr>
          <w:p w:rsidR="000D4D0A" w:rsidRDefault="000D4D0A" w:rsidP="00A246FF"/>
          <w:p w:rsidR="000D4D0A" w:rsidRDefault="000D4D0A" w:rsidP="00A246FF"/>
          <w:p w:rsidR="000D4D0A" w:rsidRDefault="000D4D0A" w:rsidP="00A246FF"/>
        </w:tc>
        <w:tc>
          <w:tcPr>
            <w:tcW w:w="1870" w:type="dxa"/>
            <w:shd w:val="clear" w:color="auto" w:fill="FBE4D5" w:themeFill="accent2" w:themeFillTint="33"/>
          </w:tcPr>
          <w:p w:rsidR="000D4D0A" w:rsidRDefault="000D4D0A" w:rsidP="00A246FF"/>
        </w:tc>
        <w:tc>
          <w:tcPr>
            <w:tcW w:w="1870" w:type="dxa"/>
          </w:tcPr>
          <w:p w:rsidR="000D4D0A" w:rsidRDefault="000D4D0A" w:rsidP="00A246FF"/>
        </w:tc>
      </w:tr>
    </w:tbl>
    <w:p w:rsidR="00CA5E1E" w:rsidRDefault="00CA5E1E"/>
    <w:p w:rsidR="00CA5E1E" w:rsidRDefault="00CA5E1E"/>
    <w:p w:rsidR="009F4FA1" w:rsidRDefault="009F4FA1"/>
    <w:p w:rsidR="00AE1F9C" w:rsidRDefault="00AE1F9C">
      <w:r>
        <w:rPr>
          <w:noProof/>
        </w:rPr>
        <w:drawing>
          <wp:inline distT="0" distB="0" distL="0" distR="0">
            <wp:extent cx="4476750" cy="2740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740025"/>
                    </a:xfrm>
                    <a:prstGeom prst="rect">
                      <a:avLst/>
                    </a:prstGeom>
                    <a:noFill/>
                    <a:ln>
                      <a:noFill/>
                    </a:ln>
                  </pic:spPr>
                </pic:pic>
              </a:graphicData>
            </a:graphic>
          </wp:inline>
        </w:drawing>
      </w:r>
    </w:p>
    <w:p w:rsidR="00F9463B" w:rsidRDefault="00F9463B"/>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Default="00F9463B" w:rsidP="00F9463B">
      <w:pPr>
        <w:rPr>
          <w:i/>
          <w:sz w:val="22"/>
          <w:szCs w:val="22"/>
        </w:rPr>
      </w:pPr>
    </w:p>
    <w:p w:rsidR="00F9463B" w:rsidRPr="00D86EF2" w:rsidRDefault="00F9463B" w:rsidP="00F9463B">
      <w:pPr>
        <w:rPr>
          <w:sz w:val="22"/>
          <w:szCs w:val="22"/>
        </w:rPr>
      </w:pPr>
      <w:r w:rsidRPr="004A2FAF">
        <w:rPr>
          <w:i/>
          <w:sz w:val="22"/>
          <w:szCs w:val="22"/>
        </w:rPr>
        <w:t>Goal</w:t>
      </w:r>
      <w:r>
        <w:rPr>
          <w:sz w:val="22"/>
          <w:szCs w:val="22"/>
        </w:rPr>
        <w:t xml:space="preserve">: </w:t>
      </w:r>
      <w:r w:rsidRPr="004A2FAF">
        <w:rPr>
          <w:sz w:val="22"/>
          <w:szCs w:val="22"/>
        </w:rPr>
        <w:t>Use</w:t>
      </w:r>
      <w:r>
        <w:rPr>
          <w:sz w:val="22"/>
          <w:szCs w:val="22"/>
        </w:rPr>
        <w:t xml:space="preserve"> the method describe in the referenced papers [1, 2] to compute the average free energy for each position in the E. coli genome.  </w:t>
      </w:r>
      <w:r w:rsidRPr="00D86EF2">
        <w:rPr>
          <w:sz w:val="22"/>
          <w:szCs w:val="22"/>
        </w:rPr>
        <w:t>Write results to a separate file.</w:t>
      </w:r>
      <w:r>
        <w:rPr>
          <w:sz w:val="22"/>
          <w:szCs w:val="22"/>
        </w:rPr>
        <w:t xml:space="preserve"> (See Figure 1 below for a listing of free energy values.) </w:t>
      </w:r>
      <w:r w:rsidRPr="00D86EF2">
        <w:rPr>
          <w:sz w:val="22"/>
          <w:szCs w:val="22"/>
        </w:rPr>
        <w:t xml:space="preserve"> </w:t>
      </w:r>
    </w:p>
    <w:p w:rsidR="00F9463B" w:rsidRDefault="00F9463B" w:rsidP="00F9463B">
      <w:r>
        <w:t>Input: datafile</w:t>
      </w:r>
    </w:p>
    <w:p w:rsidR="00F9463B" w:rsidRDefault="00F9463B" w:rsidP="00F9463B"/>
    <w:tbl>
      <w:tblPr>
        <w:tblStyle w:val="TableGrid"/>
        <w:tblW w:w="9355" w:type="dxa"/>
        <w:tblLayout w:type="fixed"/>
        <w:tblLook w:val="04A0" w:firstRow="1" w:lastRow="0" w:firstColumn="1" w:lastColumn="0" w:noHBand="0" w:noVBand="1"/>
      </w:tblPr>
      <w:tblGrid>
        <w:gridCol w:w="1885"/>
        <w:gridCol w:w="1890"/>
        <w:gridCol w:w="1800"/>
        <w:gridCol w:w="1890"/>
        <w:gridCol w:w="1890"/>
      </w:tblGrid>
      <w:tr w:rsidR="00F9463B" w:rsidTr="00CD525D">
        <w:tc>
          <w:tcPr>
            <w:tcW w:w="1885" w:type="dxa"/>
          </w:tcPr>
          <w:p w:rsidR="00F9463B" w:rsidRPr="00C25799" w:rsidRDefault="00F9463B" w:rsidP="00CD525D">
            <w:pPr>
              <w:rPr>
                <w:i/>
              </w:rPr>
            </w:pPr>
            <w:r>
              <w:rPr>
                <w:i/>
              </w:rPr>
              <w:t>Position -3</w:t>
            </w:r>
          </w:p>
        </w:tc>
        <w:tc>
          <w:tcPr>
            <w:tcW w:w="1890" w:type="dxa"/>
            <w:shd w:val="clear" w:color="auto" w:fill="DEEAF6" w:themeFill="accent1" w:themeFillTint="33"/>
          </w:tcPr>
          <w:p w:rsidR="00F9463B" w:rsidRPr="00C25799" w:rsidRDefault="00F9463B" w:rsidP="00CD525D">
            <w:pPr>
              <w:rPr>
                <w:i/>
              </w:rPr>
            </w:pPr>
            <w:r>
              <w:rPr>
                <w:i/>
              </w:rPr>
              <w:t>Position -2</w:t>
            </w:r>
          </w:p>
        </w:tc>
        <w:tc>
          <w:tcPr>
            <w:tcW w:w="1800" w:type="dxa"/>
          </w:tcPr>
          <w:p w:rsidR="00F9463B" w:rsidRPr="00C25799" w:rsidRDefault="00F9463B" w:rsidP="00CD525D">
            <w:pPr>
              <w:rPr>
                <w:i/>
              </w:rPr>
            </w:pPr>
            <w:r>
              <w:rPr>
                <w:i/>
              </w:rPr>
              <w:t>Position -1</w:t>
            </w:r>
          </w:p>
        </w:tc>
        <w:tc>
          <w:tcPr>
            <w:tcW w:w="1890" w:type="dxa"/>
            <w:shd w:val="clear" w:color="auto" w:fill="FBE4D5" w:themeFill="accent2" w:themeFillTint="33"/>
          </w:tcPr>
          <w:p w:rsidR="00F9463B" w:rsidRPr="00C25799" w:rsidRDefault="00F9463B" w:rsidP="00CD525D">
            <w:pPr>
              <w:rPr>
                <w:i/>
              </w:rPr>
            </w:pPr>
            <w:r>
              <w:rPr>
                <w:i/>
              </w:rPr>
              <w:t>Position 1</w:t>
            </w:r>
          </w:p>
        </w:tc>
        <w:tc>
          <w:tcPr>
            <w:tcW w:w="1890" w:type="dxa"/>
          </w:tcPr>
          <w:p w:rsidR="00F9463B" w:rsidRPr="00C25799" w:rsidRDefault="00F9463B" w:rsidP="00CD525D">
            <w:pPr>
              <w:rPr>
                <w:i/>
              </w:rPr>
            </w:pPr>
            <w:r>
              <w:rPr>
                <w:i/>
              </w:rPr>
              <w:t>Position 2</w:t>
            </w:r>
          </w:p>
        </w:tc>
      </w:tr>
      <w:tr w:rsidR="00F9463B" w:rsidTr="00CD525D">
        <w:tc>
          <w:tcPr>
            <w:tcW w:w="1885" w:type="dxa"/>
          </w:tcPr>
          <w:p w:rsidR="00F9463B" w:rsidRDefault="00F9463B" w:rsidP="00CD525D">
            <w:r>
              <w:t>-2.30</w:t>
            </w:r>
          </w:p>
        </w:tc>
        <w:tc>
          <w:tcPr>
            <w:tcW w:w="1890" w:type="dxa"/>
            <w:shd w:val="clear" w:color="auto" w:fill="DEEAF6" w:themeFill="accent1" w:themeFillTint="33"/>
          </w:tcPr>
          <w:p w:rsidR="00F9463B" w:rsidRDefault="00F9463B" w:rsidP="00CD525D">
            <w:r>
              <w:t>-5.61</w:t>
            </w:r>
          </w:p>
        </w:tc>
        <w:tc>
          <w:tcPr>
            <w:tcW w:w="1800" w:type="dxa"/>
          </w:tcPr>
          <w:p w:rsidR="00F9463B" w:rsidRDefault="00F9463B" w:rsidP="00CD525D">
            <w:r>
              <w:t>-1.00</w:t>
            </w:r>
          </w:p>
        </w:tc>
        <w:tc>
          <w:tcPr>
            <w:tcW w:w="1890" w:type="dxa"/>
            <w:shd w:val="clear" w:color="auto" w:fill="FBE4D5" w:themeFill="accent2" w:themeFillTint="33"/>
          </w:tcPr>
          <w:p w:rsidR="00F9463B" w:rsidRDefault="00F9463B" w:rsidP="00CD525D">
            <w:r>
              <w:t>-2.82</w:t>
            </w:r>
          </w:p>
        </w:tc>
        <w:tc>
          <w:tcPr>
            <w:tcW w:w="1890" w:type="dxa"/>
          </w:tcPr>
          <w:p w:rsidR="00F9463B" w:rsidRDefault="00F9463B" w:rsidP="00CD525D">
            <w:r>
              <w:t>-4.32</w:t>
            </w:r>
          </w:p>
        </w:tc>
      </w:tr>
      <w:tr w:rsidR="00F9463B" w:rsidTr="00CD525D">
        <w:tc>
          <w:tcPr>
            <w:tcW w:w="1885" w:type="dxa"/>
          </w:tcPr>
          <w:p w:rsidR="00F9463B" w:rsidRDefault="00F9463B" w:rsidP="00CD525D">
            <w:r>
              <w:t>-1.43</w:t>
            </w:r>
          </w:p>
        </w:tc>
        <w:tc>
          <w:tcPr>
            <w:tcW w:w="1890" w:type="dxa"/>
            <w:shd w:val="clear" w:color="auto" w:fill="DEEAF6" w:themeFill="accent1" w:themeFillTint="33"/>
          </w:tcPr>
          <w:p w:rsidR="00F9463B" w:rsidRDefault="00F9463B" w:rsidP="00CD525D">
            <w:r>
              <w:t>-7.56</w:t>
            </w:r>
          </w:p>
        </w:tc>
        <w:tc>
          <w:tcPr>
            <w:tcW w:w="1800" w:type="dxa"/>
          </w:tcPr>
          <w:p w:rsidR="00F9463B" w:rsidRDefault="00F9463B" w:rsidP="00CD525D">
            <w:r>
              <w:t>-0.53</w:t>
            </w:r>
          </w:p>
        </w:tc>
        <w:tc>
          <w:tcPr>
            <w:tcW w:w="1890" w:type="dxa"/>
            <w:shd w:val="clear" w:color="auto" w:fill="FBE4D5" w:themeFill="accent2" w:themeFillTint="33"/>
          </w:tcPr>
          <w:p w:rsidR="00F9463B" w:rsidRDefault="00F9463B" w:rsidP="00CD525D">
            <w:r>
              <w:t>-1.44</w:t>
            </w:r>
          </w:p>
        </w:tc>
        <w:tc>
          <w:tcPr>
            <w:tcW w:w="1890" w:type="dxa"/>
          </w:tcPr>
          <w:p w:rsidR="00F9463B" w:rsidRDefault="00F9463B" w:rsidP="00CD525D">
            <w:r>
              <w:t>-3.89</w:t>
            </w:r>
          </w:p>
        </w:tc>
      </w:tr>
      <w:tr w:rsidR="00F9463B" w:rsidTr="00CD525D">
        <w:tc>
          <w:tcPr>
            <w:tcW w:w="1885" w:type="dxa"/>
          </w:tcPr>
          <w:p w:rsidR="00F9463B" w:rsidRDefault="00F9463B" w:rsidP="00CD525D">
            <w:r>
              <w:t>-0.56</w:t>
            </w:r>
          </w:p>
        </w:tc>
        <w:tc>
          <w:tcPr>
            <w:tcW w:w="1890" w:type="dxa"/>
            <w:shd w:val="clear" w:color="auto" w:fill="DEEAF6" w:themeFill="accent1" w:themeFillTint="33"/>
          </w:tcPr>
          <w:p w:rsidR="00F9463B" w:rsidRDefault="00F9463B" w:rsidP="00CD525D">
            <w:r>
              <w:t>-4.83</w:t>
            </w:r>
          </w:p>
        </w:tc>
        <w:tc>
          <w:tcPr>
            <w:tcW w:w="1800" w:type="dxa"/>
          </w:tcPr>
          <w:p w:rsidR="00F9463B" w:rsidRDefault="00F9463B" w:rsidP="00CD525D">
            <w:r>
              <w:t>-0.98</w:t>
            </w:r>
          </w:p>
        </w:tc>
        <w:tc>
          <w:tcPr>
            <w:tcW w:w="1890" w:type="dxa"/>
            <w:shd w:val="clear" w:color="auto" w:fill="FBE4D5" w:themeFill="accent2" w:themeFillTint="33"/>
          </w:tcPr>
          <w:p w:rsidR="00F9463B" w:rsidRDefault="00F9463B" w:rsidP="00CD525D">
            <w:r>
              <w:t>-2.09</w:t>
            </w:r>
          </w:p>
        </w:tc>
        <w:tc>
          <w:tcPr>
            <w:tcW w:w="1890" w:type="dxa"/>
          </w:tcPr>
          <w:p w:rsidR="00F9463B" w:rsidRDefault="00F9463B" w:rsidP="00CD525D">
            <w:r>
              <w:t>-5.01</w:t>
            </w:r>
          </w:p>
        </w:tc>
      </w:tr>
    </w:tbl>
    <w:p w:rsidR="00F9463B" w:rsidRDefault="00F9463B" w:rsidP="00F9463B"/>
    <w:p w:rsidR="00F9463B" w:rsidRDefault="00F9463B" w:rsidP="00F9463B">
      <w:r>
        <w:t>Output: Array of free energy values for each position</w:t>
      </w:r>
    </w:p>
    <w:tbl>
      <w:tblPr>
        <w:tblStyle w:val="TableGrid"/>
        <w:tblW w:w="0" w:type="auto"/>
        <w:tblLook w:val="04A0" w:firstRow="1" w:lastRow="0" w:firstColumn="1" w:lastColumn="0" w:noHBand="0" w:noVBand="1"/>
      </w:tblPr>
      <w:tblGrid>
        <w:gridCol w:w="1870"/>
        <w:gridCol w:w="1870"/>
        <w:gridCol w:w="1870"/>
        <w:gridCol w:w="1870"/>
        <w:gridCol w:w="1870"/>
      </w:tblGrid>
      <w:tr w:rsidR="00F9463B" w:rsidTr="00CD525D">
        <w:tc>
          <w:tcPr>
            <w:tcW w:w="1870" w:type="dxa"/>
          </w:tcPr>
          <w:p w:rsidR="00F9463B" w:rsidRDefault="00F9463B" w:rsidP="00CD525D">
            <w:r>
              <w:t>Avg(energy1)</w:t>
            </w:r>
          </w:p>
        </w:tc>
        <w:tc>
          <w:tcPr>
            <w:tcW w:w="1870" w:type="dxa"/>
            <w:shd w:val="clear" w:color="auto" w:fill="DEEAF6" w:themeFill="accent1" w:themeFillTint="33"/>
          </w:tcPr>
          <w:p w:rsidR="00F9463B" w:rsidRDefault="00F9463B" w:rsidP="00CD525D">
            <w:r>
              <w:t>Avg(energy2)</w:t>
            </w:r>
          </w:p>
        </w:tc>
        <w:tc>
          <w:tcPr>
            <w:tcW w:w="1870" w:type="dxa"/>
          </w:tcPr>
          <w:p w:rsidR="00F9463B" w:rsidRDefault="00F9463B" w:rsidP="00CD525D">
            <w:r>
              <w:t>Avg(energy3)</w:t>
            </w:r>
          </w:p>
        </w:tc>
        <w:tc>
          <w:tcPr>
            <w:tcW w:w="1870" w:type="dxa"/>
            <w:shd w:val="clear" w:color="auto" w:fill="FBE4D5" w:themeFill="accent2" w:themeFillTint="33"/>
          </w:tcPr>
          <w:p w:rsidR="00F9463B" w:rsidRDefault="00F9463B" w:rsidP="00CD525D">
            <w:r>
              <w:t>Avg(energy4)</w:t>
            </w:r>
          </w:p>
        </w:tc>
        <w:tc>
          <w:tcPr>
            <w:tcW w:w="1870" w:type="dxa"/>
          </w:tcPr>
          <w:p w:rsidR="00F9463B" w:rsidRDefault="00F9463B" w:rsidP="00CD525D">
            <w:r>
              <w:t>Avg(energy5)</w:t>
            </w:r>
          </w:p>
        </w:tc>
      </w:tr>
    </w:tbl>
    <w:p w:rsidR="00F9463B" w:rsidRDefault="00F9463B" w:rsidP="00F9463B">
      <w:pPr>
        <w:rPr>
          <w:b/>
          <w:sz w:val="22"/>
          <w:szCs w:val="22"/>
        </w:rPr>
      </w:pPr>
    </w:p>
    <w:p w:rsidR="00F9463B" w:rsidRPr="007D62E9" w:rsidRDefault="00F9463B" w:rsidP="00F9463B">
      <w:pPr>
        <w:rPr>
          <w:b/>
          <w:sz w:val="22"/>
          <w:szCs w:val="22"/>
        </w:rPr>
      </w:pPr>
      <w:r w:rsidRPr="007D62E9">
        <w:rPr>
          <w:b/>
          <w:sz w:val="22"/>
          <w:szCs w:val="22"/>
        </w:rPr>
        <w:t>References</w:t>
      </w:r>
      <w:r w:rsidR="00CF7C5A">
        <w:rPr>
          <w:b/>
          <w:sz w:val="22"/>
          <w:szCs w:val="22"/>
        </w:rPr>
        <w:t xml:space="preserve"> (both found in my Github account under folder “Articles”)</w:t>
      </w:r>
      <w:bookmarkStart w:id="0" w:name="_GoBack"/>
      <w:bookmarkEnd w:id="0"/>
    </w:p>
    <w:p w:rsidR="00F9463B" w:rsidRDefault="00F9463B" w:rsidP="00F9463B">
      <w:pPr>
        <w:ind w:left="1080"/>
        <w:rPr>
          <w:sz w:val="20"/>
          <w:szCs w:val="20"/>
        </w:rPr>
      </w:pPr>
    </w:p>
    <w:p w:rsidR="00F9463B" w:rsidRDefault="00F9463B" w:rsidP="00F9463B">
      <w:pPr>
        <w:numPr>
          <w:ilvl w:val="0"/>
          <w:numId w:val="4"/>
        </w:numPr>
        <w:rPr>
          <w:sz w:val="20"/>
          <w:szCs w:val="20"/>
        </w:rPr>
      </w:pPr>
      <w:r w:rsidRPr="00482E74">
        <w:rPr>
          <w:sz w:val="20"/>
          <w:szCs w:val="20"/>
        </w:rPr>
        <w:t>Allawi, H. T., SantaLucia, J. Jr. (1997). Thermodynamics and NMR of internal G.T mismatches in    DNA.  Biochemistry, 36, 10581–10594.</w:t>
      </w:r>
    </w:p>
    <w:p w:rsidR="00F9463B" w:rsidRDefault="00F9463B" w:rsidP="00F9463B">
      <w:pPr>
        <w:ind w:left="720"/>
        <w:rPr>
          <w:sz w:val="20"/>
          <w:szCs w:val="20"/>
        </w:rPr>
      </w:pPr>
    </w:p>
    <w:p w:rsidR="00CF7C5A" w:rsidRPr="00CF7C5A" w:rsidRDefault="00F9463B" w:rsidP="00CF7C5A">
      <w:pPr>
        <w:numPr>
          <w:ilvl w:val="0"/>
          <w:numId w:val="4"/>
        </w:numPr>
        <w:rPr>
          <w:sz w:val="20"/>
          <w:szCs w:val="20"/>
        </w:rPr>
      </w:pPr>
      <w:r w:rsidRPr="00CF16B8">
        <w:rPr>
          <w:sz w:val="20"/>
          <w:szCs w:val="20"/>
        </w:rPr>
        <w:t>Kanhere, A., Bansal, M. (2005). A novel method for prokaryotic promoter prediction based on DNA stability. BMC Bioinformatics, 6, 1471–2105.</w:t>
      </w:r>
    </w:p>
    <w:sectPr w:rsidR="00CF7C5A" w:rsidRPr="00CF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CFC"/>
    <w:multiLevelType w:val="hybridMultilevel"/>
    <w:tmpl w:val="AAC84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B1045"/>
    <w:multiLevelType w:val="hybridMultilevel"/>
    <w:tmpl w:val="D88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B8434A"/>
    <w:multiLevelType w:val="hybridMultilevel"/>
    <w:tmpl w:val="BA920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C6DD9"/>
    <w:multiLevelType w:val="hybridMultilevel"/>
    <w:tmpl w:val="5BA0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99"/>
    <w:rsid w:val="00054074"/>
    <w:rsid w:val="00073C99"/>
    <w:rsid w:val="00082BCD"/>
    <w:rsid w:val="00090D46"/>
    <w:rsid w:val="000D3A81"/>
    <w:rsid w:val="000D4D0A"/>
    <w:rsid w:val="000F7121"/>
    <w:rsid w:val="00102FBB"/>
    <w:rsid w:val="00122096"/>
    <w:rsid w:val="00136228"/>
    <w:rsid w:val="001639AE"/>
    <w:rsid w:val="00164788"/>
    <w:rsid w:val="00175B82"/>
    <w:rsid w:val="00176225"/>
    <w:rsid w:val="00193858"/>
    <w:rsid w:val="00197EDA"/>
    <w:rsid w:val="001E3456"/>
    <w:rsid w:val="001F2361"/>
    <w:rsid w:val="00201B27"/>
    <w:rsid w:val="00227DE2"/>
    <w:rsid w:val="002303F3"/>
    <w:rsid w:val="002325F2"/>
    <w:rsid w:val="00273420"/>
    <w:rsid w:val="00281116"/>
    <w:rsid w:val="00287926"/>
    <w:rsid w:val="002A1AEC"/>
    <w:rsid w:val="002B3E4E"/>
    <w:rsid w:val="002D2749"/>
    <w:rsid w:val="002E103E"/>
    <w:rsid w:val="002F07CB"/>
    <w:rsid w:val="003028B5"/>
    <w:rsid w:val="00357D90"/>
    <w:rsid w:val="00381016"/>
    <w:rsid w:val="00393586"/>
    <w:rsid w:val="0039371E"/>
    <w:rsid w:val="00394806"/>
    <w:rsid w:val="003D3AFE"/>
    <w:rsid w:val="003F0550"/>
    <w:rsid w:val="003F47C0"/>
    <w:rsid w:val="00421A55"/>
    <w:rsid w:val="004271E2"/>
    <w:rsid w:val="00451DCC"/>
    <w:rsid w:val="00467B86"/>
    <w:rsid w:val="0047545F"/>
    <w:rsid w:val="004777B8"/>
    <w:rsid w:val="004A2FAF"/>
    <w:rsid w:val="004B01D4"/>
    <w:rsid w:val="004B1BED"/>
    <w:rsid w:val="004B4B87"/>
    <w:rsid w:val="004C36AC"/>
    <w:rsid w:val="004E46FF"/>
    <w:rsid w:val="004F2F26"/>
    <w:rsid w:val="00532FDE"/>
    <w:rsid w:val="005417C9"/>
    <w:rsid w:val="005431DA"/>
    <w:rsid w:val="00563209"/>
    <w:rsid w:val="005A6CB4"/>
    <w:rsid w:val="005B1534"/>
    <w:rsid w:val="005F742B"/>
    <w:rsid w:val="00600AB8"/>
    <w:rsid w:val="00601F47"/>
    <w:rsid w:val="00604F28"/>
    <w:rsid w:val="00616727"/>
    <w:rsid w:val="00616CA4"/>
    <w:rsid w:val="0062413A"/>
    <w:rsid w:val="00630B7C"/>
    <w:rsid w:val="006652B6"/>
    <w:rsid w:val="006739B7"/>
    <w:rsid w:val="0067679B"/>
    <w:rsid w:val="00676CF6"/>
    <w:rsid w:val="006800E6"/>
    <w:rsid w:val="00686177"/>
    <w:rsid w:val="00686C9C"/>
    <w:rsid w:val="00694B0A"/>
    <w:rsid w:val="0069621A"/>
    <w:rsid w:val="006C193A"/>
    <w:rsid w:val="006D69F5"/>
    <w:rsid w:val="006F44DC"/>
    <w:rsid w:val="00727031"/>
    <w:rsid w:val="00733B64"/>
    <w:rsid w:val="00765CDA"/>
    <w:rsid w:val="00796D28"/>
    <w:rsid w:val="007D0AA5"/>
    <w:rsid w:val="007D4532"/>
    <w:rsid w:val="007D7C04"/>
    <w:rsid w:val="007E371B"/>
    <w:rsid w:val="008209FA"/>
    <w:rsid w:val="00834708"/>
    <w:rsid w:val="00855D18"/>
    <w:rsid w:val="008667E5"/>
    <w:rsid w:val="00897447"/>
    <w:rsid w:val="008C2B69"/>
    <w:rsid w:val="008C62E9"/>
    <w:rsid w:val="00902634"/>
    <w:rsid w:val="0097534A"/>
    <w:rsid w:val="009B2824"/>
    <w:rsid w:val="009C61E9"/>
    <w:rsid w:val="009D2D25"/>
    <w:rsid w:val="009D456A"/>
    <w:rsid w:val="009F4FA1"/>
    <w:rsid w:val="00A04BB8"/>
    <w:rsid w:val="00A10DD2"/>
    <w:rsid w:val="00A33EB9"/>
    <w:rsid w:val="00A34CB2"/>
    <w:rsid w:val="00A45363"/>
    <w:rsid w:val="00A51C2A"/>
    <w:rsid w:val="00A60D84"/>
    <w:rsid w:val="00A60FCF"/>
    <w:rsid w:val="00AB3CDF"/>
    <w:rsid w:val="00AB7679"/>
    <w:rsid w:val="00AB7CE3"/>
    <w:rsid w:val="00AE1F9C"/>
    <w:rsid w:val="00AF42F8"/>
    <w:rsid w:val="00B236A0"/>
    <w:rsid w:val="00B3081B"/>
    <w:rsid w:val="00B74AAD"/>
    <w:rsid w:val="00B86CCD"/>
    <w:rsid w:val="00BA4A6B"/>
    <w:rsid w:val="00BA63D3"/>
    <w:rsid w:val="00BE1841"/>
    <w:rsid w:val="00C21570"/>
    <w:rsid w:val="00C25799"/>
    <w:rsid w:val="00C33823"/>
    <w:rsid w:val="00C767B5"/>
    <w:rsid w:val="00C77BD4"/>
    <w:rsid w:val="00CA5E1E"/>
    <w:rsid w:val="00CB270B"/>
    <w:rsid w:val="00CC1A2F"/>
    <w:rsid w:val="00CF1644"/>
    <w:rsid w:val="00CF7C5A"/>
    <w:rsid w:val="00D42ED1"/>
    <w:rsid w:val="00D54D75"/>
    <w:rsid w:val="00D7790C"/>
    <w:rsid w:val="00D93037"/>
    <w:rsid w:val="00DB4304"/>
    <w:rsid w:val="00DC6A82"/>
    <w:rsid w:val="00E122BE"/>
    <w:rsid w:val="00E207E4"/>
    <w:rsid w:val="00E251C2"/>
    <w:rsid w:val="00E666E3"/>
    <w:rsid w:val="00E81A68"/>
    <w:rsid w:val="00EC55ED"/>
    <w:rsid w:val="00ED3202"/>
    <w:rsid w:val="00F11380"/>
    <w:rsid w:val="00F1140F"/>
    <w:rsid w:val="00F34130"/>
    <w:rsid w:val="00F4000A"/>
    <w:rsid w:val="00F91FA2"/>
    <w:rsid w:val="00F9463B"/>
    <w:rsid w:val="00FA23D1"/>
    <w:rsid w:val="00FA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238A"/>
  <w15:chartTrackingRefBased/>
  <w15:docId w15:val="{DB3AC10F-A550-4632-BC9C-061F1B24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57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Wright</dc:creator>
  <cp:keywords/>
  <dc:description/>
  <cp:lastModifiedBy>Carmen Wright</cp:lastModifiedBy>
  <cp:revision>13</cp:revision>
  <dcterms:created xsi:type="dcterms:W3CDTF">2017-03-01T04:38:00Z</dcterms:created>
  <dcterms:modified xsi:type="dcterms:W3CDTF">2017-03-01T04:55:00Z</dcterms:modified>
</cp:coreProperties>
</file>