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Arial" w:hAnsi="Arial" w:eastAsia="Arial"/>
          <w:b/>
          <w:color w:val="1A365D"/>
          <w:sz w:val="36"/>
        </w:rPr>
        <w:t>PuzzleForge: Response to Reviewer Comment 4</w:t>
      </w:r>
    </w:p>
    <w:p>
      <w:pPr>
        <w:spacing w:after="240"/>
        <w:pBdr>
          <w:bottom w:val="single" w:sz="8" w:space="6" w:color="CBD5E0"/>
        </w:pBdr>
      </w:pPr>
      <w:r>
        <w:rPr>
          <w:rFonts w:ascii="Arial" w:hAnsi="Arial" w:eastAsia="Arial"/>
          <w:color w:val="718096"/>
          <w:sz w:val="19"/>
        </w:rPr>
        <w:t>Illustrated rebuttal  ·  97 seeds / 1,440 blind items  ·  29 October 2026</w:t>
      </w:r>
    </w:p>
    <w:tbl>
      <w:tblPr>
        <w:tblW w:type="auto" w:w="0"/>
        <w:jc w:val="center"/>
        <w:tblLayout w:type="fixed"/>
        <w:tblLook w:firstColumn="1" w:firstRow="1" w:lastColumn="0" w:lastRow="0" w:noHBand="0" w:noVBand="1" w:val="04A0"/>
        <w:tblBorders>
          <w:top w:val="single" w:sz="10" w:space="0" w:color="90CDF4"/>
          <w:left w:val="single" w:sz="10" w:space="0" w:color="90CDF4"/>
          <w:bottom w:val="single" w:sz="10" w:space="0" w:color="90CDF4"/>
          <w:right w:val="single" w:sz="10" w:space="0" w:color="90CDF4"/>
        </w:tblBorders>
      </w:tblPr>
      <w:tblGrid>
        <w:gridCol w:w="9184"/>
      </w:tblGrid>
      <w:tr>
        <w:trPr>
          <w:cantSplit/>
        </w:trPr>
        <w:tc>
          <w:tcPr>
            <w:tcW w:type="dxa" w:w="9184"/>
            <w:shd w:val="clear" w:color="auto" w:fill="EBF8FF"/>
            <w:tcMar>
              <w:top w:w="120" w:type="dxa"/>
              <w:bottom w:w="120" w:type="dxa"/>
              <w:left w:w="180" w:type="dxa"/>
              <w:right w:w="180" w:type="dxa"/>
            </w:tcMar>
          </w:tcPr>
          <w:p>
            <w:pPr>
              <w:spacing w:after="80"/>
            </w:pPr>
            <w:r>
              <w:rPr>
                <w:rFonts w:ascii="Arial" w:hAnsi="Arial" w:eastAsia="Arial"/>
                <w:b/>
                <w:color w:val="1A365D"/>
                <w:sz w:val="20"/>
              </w:rPr>
              <w:t>At a glance</w:t>
            </w:r>
          </w:p>
          <w:p>
            <w:pPr>
              <w:spacing w:after="60" w:line="288" w:lineRule="auto"/>
            </w:pPr>
            <w:r>
              <w:rPr>
                <w:rFonts w:ascii="Arial" w:hAnsi="Arial" w:eastAsia="Arial"/>
                <w:sz w:val="18"/>
              </w:rPr>
              <w:t>B1 (direct): 27.9% valid; PF is +48.4 pp.</w:t>
            </w:r>
          </w:p>
          <w:p>
            <w:pPr>
              <w:spacing w:after="60" w:line="288" w:lineRule="auto"/>
            </w:pPr>
            <w:r>
              <w:rPr>
                <w:rFonts w:ascii="Arial" w:hAnsi="Arial" w:eastAsia="Arial"/>
                <w:sz w:val="18"/>
              </w:rPr>
              <w:t>B2 (one-pass generator): 73.3% valid, statistically tied with PF (76.3%).</w:t>
            </w:r>
          </w:p>
          <w:p>
            <w:pPr>
              <w:spacing w:after="60" w:line="288" w:lineRule="auto"/>
            </w:pPr>
            <w:r>
              <w:rPr>
                <w:rFonts w:ascii="Arial" w:hAnsi="Arial" w:eastAsia="Arial"/>
                <w:sz w:val="18"/>
              </w:rPr>
              <w:t>PF yields 1.86x more valid &gt;=3-step items per slot (62.7% vs 33.8%).</w:t>
            </w:r>
          </w:p>
          <w:p>
            <w:pPr>
              <w:spacing w:after="60" w:line="288" w:lineRule="auto"/>
            </w:pPr>
            <w:r>
              <w:rPr>
                <w:rFonts w:ascii="Arial" w:hAnsi="Arial" w:eastAsia="Arial"/>
                <w:sz w:val="18"/>
              </w:rPr>
              <w:t>Two judge families agree on 83.4% of verdicts; the B1 gap holds and the PF-B2 tie holds.</w:t>
            </w:r>
          </w:p>
        </w:tc>
      </w:tr>
    </w:tbl>
    <w:p>
      <w:pPr>
        <w:spacing w:after="40"/>
      </w:pPr>
    </w:p>
    <w:p>
      <w:pPr>
        <w:spacing w:before="80" w:after="60"/>
      </w:pPr>
      <w:r>
        <w:rPr>
          <w:rFonts w:ascii="Arial" w:hAnsi="Arial" w:eastAsia="Arial"/>
          <w:b/>
          <w:color w:val="718096"/>
          <w:sz w:val="16"/>
        </w:rPr>
        <w:t>REVIEWER COMMENT</w:t>
      </w:r>
    </w:p>
    <w:tbl>
      <w:tblPr>
        <w:tblW w:type="auto" w:w="0"/>
        <w:jc w:val="center"/>
        <w:tblLayout w:type="fixed"/>
        <w:tblLook w:firstColumn="1" w:firstRow="1" w:lastColumn="0" w:lastRow="0" w:noHBand="0" w:noVBand="1" w:val="04A0"/>
        <w:tblBorders>
          <w:top w:val="single" w:sz="10" w:space="0" w:color="CBD5E0"/>
          <w:left w:val="single" w:sz="10" w:space="0" w:color="CBD5E0"/>
          <w:bottom w:val="single" w:sz="10" w:space="0" w:color="CBD5E0"/>
          <w:right w:val="single" w:sz="10" w:space="0" w:color="CBD5E0"/>
        </w:tblBorders>
      </w:tblPr>
      <w:tblGrid>
        <w:gridCol w:w="9184"/>
      </w:tblGrid>
      <w:tr>
        <w:trPr>
          <w:cantSplit/>
        </w:trPr>
        <w:tc>
          <w:tcPr>
            <w:tcW w:type="dxa" w:w="9184"/>
            <w:shd w:val="clear" w:color="auto" w:fill="F7FAFC"/>
            <w:tcMar>
              <w:top w:w="120" w:type="dxa"/>
              <w:bottom w:w="120" w:type="dxa"/>
              <w:left w:w="180" w:type="dxa"/>
              <w:right w:w="180" w:type="dxa"/>
            </w:tcMar>
          </w:tcPr>
          <w:p>
            <w:pPr>
              <w:spacing w:after="60" w:line="288" w:lineRule="auto"/>
            </w:pPr>
            <w:r>
              <w:rPr>
                <w:rFonts w:ascii="Arial" w:hAnsi="Arial" w:eastAsia="Arial"/>
                <w:i/>
                <w:sz w:val="18"/>
              </w:rPr>
              <w:t>4. The experiments primarily demonstrate the usefulness of PF-86K rather than the effectiveness of PuzzleForge as a framework.</w:t>
            </w:r>
          </w:p>
          <w:p>
            <w:pPr>
              <w:spacing w:after="60" w:line="288" w:lineRule="auto"/>
            </w:pPr>
            <w:r>
              <w:rPr>
                <w:rFonts w:ascii="Arial" w:hAnsi="Arial" w:eastAsia="Arial"/>
                <w:i/>
                <w:sz w:val="18"/>
              </w:rPr>
              <w:t>Much of the experimental section evaluates the difficulty of PF-86K and the downstream improvements. These results support PF-86K as a useful dataset, but provide less evidence that PuzzleForge is a superior data-generation framework.</w:t>
            </w:r>
          </w:p>
          <w:p>
            <w:pPr>
              <w:spacing w:after="60" w:line="288" w:lineRule="auto"/>
            </w:pPr>
            <w:r>
              <w:rPr>
                <w:rFonts w:ascii="Arial" w:hAnsi="Arial" w:eastAsia="Arial"/>
                <w:i/>
                <w:sz w:val="18"/>
              </w:rPr>
              <w:t>Important framework-level baselines are missing, such as direct LLM-based instance synthesis and direct LLM generation of executable generators without the proposed multi-stage decomposition. Otherwise, the paper may be more appropriately framed primarily as a benchmark/data contribution rather than a methodological framework contribution.</w:t>
            </w:r>
          </w:p>
        </w:tc>
      </w:tr>
    </w:tbl>
    <w:p>
      <w:pPr>
        <w:spacing w:after="40"/>
      </w:pPr>
    </w:p>
    <w:p>
      <w:pPr>
        <w:keepNext/>
        <w:spacing w:before="280" w:after="120"/>
      </w:pPr>
      <w:r>
        <w:rPr>
          <w:rFonts w:ascii="Arial" w:hAnsi="Arial" w:eastAsia="Arial"/>
          <w:b/>
          <w:color w:val="1A365D"/>
          <w:sz w:val="30"/>
        </w:rPr>
        <w:t>Response</w:t>
      </w:r>
    </w:p>
    <w:p>
      <w:pPr>
        <w:spacing w:after="100" w:line="276" w:lineRule="auto"/>
        <w:jc w:val="both"/>
      </w:pPr>
      <w:r>
        <w:rPr>
          <w:rFonts w:ascii="Arial" w:hAnsi="Arial" w:eastAsia="Arial"/>
          <w:sz w:val="20"/>
        </w:rPr>
        <w:t>We ran both baselines the comment names: direct instance synthesis (B1) and one-pass synthesis of a reusable generator with no multi-stage decomposition (B2), against the full pipeline (PF), on 97 shared seeds, blind-judging 1,440 items (480 per condition).</w:t>
      </w:r>
    </w:p>
    <w:p>
      <w:pPr>
        <w:spacing w:after="100" w:line="276" w:lineRule="auto"/>
        <w:jc w:val="both"/>
      </w:pPr>
      <w:r>
        <w:rPr>
          <w:rFonts w:ascii="Arial" w:hAnsi="Arial" w:eastAsia="Arial"/>
          <w:b/>
          <w:sz w:val="20"/>
        </w:rPr>
        <w:t>Design.</w:t>
      </w:r>
      <w:r>
        <w:rPr>
          <w:rFonts w:ascii="Arial" w:hAnsi="Arial" w:eastAsia="Arial"/>
          <w:sz w:val="20"/>
        </w:rPr>
        <w:t xml:space="preserve"> All three conditions use GPT-5.2. PF is the paper's released test split: a 2% random holdout per generator, after the pipeline's own deduplication and generator filtering; the holdout itself is not quality-selected. B1 and B2 share model, decoding and a 20-item quota. B2 gets three execution-debug attempts with real errors, but no expansion agent, DSL, semantic verification or solve-based filtering, which makes it the stronger baseline. The judge sees only the problem, a canonical answer and anonymous certificates; method and seed are stripped.</w:t>
      </w:r>
    </w:p>
    <w:p>
      <w:pPr>
        <w:spacing w:before="60" w:after="200"/>
        <w:jc w:val="center"/>
      </w:pPr>
      <w:r>
        <w:rPr>
          <w:rFonts w:ascii="Arial" w:hAnsi="Arial" w:eastAsia="Arial"/>
          <w:i/>
          <w:color w:val="718096"/>
          <w:sz w:val="16"/>
        </w:rPr>
        <w:t>Table 1. What each pipeline yields per requested slot (480 slots per condition; token row at 20 instances/unit).</w:t>
      </w:r>
    </w:p>
    <w:tbl>
      <w:tblPr>
        <w:tblW w:type="auto" w:w="0"/>
        <w:jc w:val="center"/>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53"/>
        <w:gridCol w:w="2353"/>
        <w:gridCol w:w="2353"/>
        <w:gridCol w:w="2353"/>
      </w:tblGrid>
      <w:tr>
        <w:trPr>
          <w:cantSplit/>
          <w:tblHeader/>
        </w:trPr>
        <w:tc>
          <w:tcPr>
            <w:tcW w:type="dxa" w:w="3515"/>
            <w:shd w:val="clear" w:color="auto" w:fill="2B6CB0"/>
            <w:tcMar>
              <w:top w:w="60" w:type="dxa"/>
              <w:bottom w:w="60" w:type="dxa"/>
              <w:left w:w="90" w:type="dxa"/>
              <w:right w:w="90" w:type="dxa"/>
            </w:tcMar>
          </w:tcPr>
          <w:p>
            <w:pPr>
              <w:jc w:val="left"/>
            </w:pPr>
            <w:r>
              <w:rPr>
                <w:rFonts w:ascii="Arial" w:hAnsi="Arial" w:eastAsia="Arial"/>
                <w:b/>
                <w:color w:val="FFFFFF"/>
                <w:sz w:val="17"/>
              </w:rPr>
            </w:r>
          </w:p>
        </w:tc>
        <w:tc>
          <w:tcPr>
            <w:tcW w:type="dxa" w:w="1928"/>
            <w:shd w:val="clear" w:color="auto" w:fill="2B6CB0"/>
            <w:tcMar>
              <w:top w:w="60" w:type="dxa"/>
              <w:bottom w:w="60" w:type="dxa"/>
              <w:left w:w="90" w:type="dxa"/>
              <w:right w:w="90" w:type="dxa"/>
            </w:tcMar>
          </w:tcPr>
          <w:p>
            <w:pPr>
              <w:jc w:val="center"/>
            </w:pPr>
            <w:r>
              <w:rPr>
                <w:rFonts w:ascii="Arial" w:hAnsi="Arial" w:eastAsia="Arial"/>
                <w:b/>
                <w:color w:val="FFFFFF"/>
                <w:sz w:val="17"/>
              </w:rPr>
              <w:t>PF</w:t>
            </w:r>
          </w:p>
        </w:tc>
        <w:tc>
          <w:tcPr>
            <w:tcW w:type="dxa" w:w="1928"/>
            <w:shd w:val="clear" w:color="auto" w:fill="2B6CB0"/>
            <w:tcMar>
              <w:top w:w="60" w:type="dxa"/>
              <w:bottom w:w="60" w:type="dxa"/>
              <w:left w:w="90" w:type="dxa"/>
              <w:right w:w="90" w:type="dxa"/>
            </w:tcMar>
          </w:tcPr>
          <w:p>
            <w:pPr>
              <w:jc w:val="center"/>
            </w:pPr>
            <w:r>
              <w:rPr>
                <w:rFonts w:ascii="Arial" w:hAnsi="Arial" w:eastAsia="Arial"/>
                <w:b/>
                <w:color w:val="FFFFFF"/>
                <w:sz w:val="17"/>
              </w:rPr>
              <w:t>B2</w:t>
            </w:r>
          </w:p>
        </w:tc>
        <w:tc>
          <w:tcPr>
            <w:tcW w:type="dxa" w:w="1928"/>
            <w:shd w:val="clear" w:color="auto" w:fill="2B6CB0"/>
            <w:tcMar>
              <w:top w:w="60" w:type="dxa"/>
              <w:bottom w:w="60" w:type="dxa"/>
              <w:left w:w="90" w:type="dxa"/>
              <w:right w:w="90" w:type="dxa"/>
            </w:tcMar>
          </w:tcPr>
          <w:p>
            <w:pPr>
              <w:jc w:val="center"/>
            </w:pPr>
            <w:r>
              <w:rPr>
                <w:rFonts w:ascii="Arial" w:hAnsi="Arial" w:eastAsia="Arial"/>
                <w:b/>
                <w:color w:val="FFFFFF"/>
                <w:sz w:val="17"/>
              </w:rPr>
              <w:t>B1</w:t>
            </w:r>
          </w:p>
        </w:tc>
      </w:tr>
      <w:tr>
        <w:trPr>
          <w:cantSplit/>
        </w:trPr>
        <w:tc>
          <w:tcPr>
            <w:tcW w:type="dxa" w:w="3515"/>
            <w:tcMar>
              <w:top w:w="28" w:type="dxa"/>
              <w:bottom w:w="28" w:type="dxa"/>
              <w:left w:w="90" w:type="dxa"/>
              <w:right w:w="90" w:type="dxa"/>
            </w:tcMar>
          </w:tcPr>
          <w:p>
            <w:pPr>
              <w:jc w:val="left"/>
            </w:pPr>
            <w:r>
              <w:rPr>
                <w:rFonts w:ascii="Arial" w:hAnsi="Arial" w:eastAsia="Arial"/>
                <w:sz w:val="17"/>
              </w:rPr>
              <w:t>valid items (of 480 slots)</w:t>
            </w:r>
          </w:p>
        </w:tc>
        <w:tc>
          <w:tcPr>
            <w:tcW w:type="dxa" w:w="1928"/>
            <w:tcMar>
              <w:top w:w="28" w:type="dxa"/>
              <w:bottom w:w="28" w:type="dxa"/>
              <w:left w:w="90" w:type="dxa"/>
              <w:right w:w="90" w:type="dxa"/>
            </w:tcMar>
          </w:tcPr>
          <w:p>
            <w:pPr>
              <w:jc w:val="center"/>
            </w:pPr>
            <w:r>
              <w:rPr>
                <w:rFonts w:ascii="Arial" w:hAnsi="Arial" w:eastAsia="Arial"/>
                <w:sz w:val="17"/>
              </w:rPr>
              <w:t>366 (76.3%)</w:t>
            </w:r>
          </w:p>
        </w:tc>
        <w:tc>
          <w:tcPr>
            <w:tcW w:type="dxa" w:w="1928"/>
            <w:tcMar>
              <w:top w:w="28" w:type="dxa"/>
              <w:bottom w:w="28" w:type="dxa"/>
              <w:left w:w="90" w:type="dxa"/>
              <w:right w:w="90" w:type="dxa"/>
            </w:tcMar>
          </w:tcPr>
          <w:p>
            <w:pPr>
              <w:jc w:val="center"/>
            </w:pPr>
            <w:r>
              <w:rPr>
                <w:rFonts w:ascii="Arial" w:hAnsi="Arial" w:eastAsia="Arial"/>
                <w:sz w:val="17"/>
              </w:rPr>
              <w:t>352 (73.3%)</w:t>
            </w:r>
          </w:p>
        </w:tc>
        <w:tc>
          <w:tcPr>
            <w:tcW w:type="dxa" w:w="1928"/>
            <w:tcMar>
              <w:top w:w="28" w:type="dxa"/>
              <w:bottom w:w="28" w:type="dxa"/>
              <w:left w:w="90" w:type="dxa"/>
              <w:right w:w="90" w:type="dxa"/>
            </w:tcMar>
          </w:tcPr>
          <w:p>
            <w:pPr>
              <w:jc w:val="center"/>
            </w:pPr>
            <w:r>
              <w:rPr>
                <w:rFonts w:ascii="Arial" w:hAnsi="Arial" w:eastAsia="Arial"/>
                <w:sz w:val="17"/>
              </w:rPr>
              <w:t>134 (27.9%)</w:t>
            </w:r>
          </w:p>
        </w:tc>
      </w:tr>
      <w:tr>
        <w:trPr>
          <w:cantSplit/>
        </w:trPr>
        <w:tc>
          <w:tcPr>
            <w:tcW w:type="dxa" w:w="3515"/>
            <w:tcMar>
              <w:top w:w="28" w:type="dxa"/>
              <w:bottom w:w="28" w:type="dxa"/>
              <w:left w:w="90" w:type="dxa"/>
              <w:right w:w="90" w:type="dxa"/>
            </w:tcMar>
            <w:shd w:val="clear" w:color="auto" w:fill="F7FAFC"/>
          </w:tcPr>
          <w:p>
            <w:pPr>
              <w:jc w:val="left"/>
            </w:pPr>
            <w:r>
              <w:rPr>
                <w:rFonts w:ascii="Arial" w:hAnsi="Arial" w:eastAsia="Arial"/>
                <w:sz w:val="17"/>
              </w:rPr>
              <w:t>valid, &gt;=3 dependent steps</w:t>
            </w:r>
          </w:p>
        </w:tc>
        <w:tc>
          <w:tcPr>
            <w:tcW w:type="dxa" w:w="1928"/>
            <w:tcMar>
              <w:top w:w="28" w:type="dxa"/>
              <w:bottom w:w="28" w:type="dxa"/>
              <w:left w:w="90" w:type="dxa"/>
              <w:right w:w="90" w:type="dxa"/>
            </w:tcMar>
            <w:shd w:val="clear" w:color="auto" w:fill="F7FAFC"/>
          </w:tcPr>
          <w:p>
            <w:pPr>
              <w:jc w:val="center"/>
            </w:pPr>
            <w:r>
              <w:rPr>
                <w:rFonts w:ascii="Arial" w:hAnsi="Arial" w:eastAsia="Arial"/>
                <w:sz w:val="17"/>
              </w:rPr>
              <w:t>301 (62.7%)</w:t>
            </w:r>
          </w:p>
        </w:tc>
        <w:tc>
          <w:tcPr>
            <w:tcW w:type="dxa" w:w="1928"/>
            <w:tcMar>
              <w:top w:w="28" w:type="dxa"/>
              <w:bottom w:w="28" w:type="dxa"/>
              <w:left w:w="90" w:type="dxa"/>
              <w:right w:w="90" w:type="dxa"/>
            </w:tcMar>
            <w:shd w:val="clear" w:color="auto" w:fill="F7FAFC"/>
          </w:tcPr>
          <w:p>
            <w:pPr>
              <w:jc w:val="center"/>
            </w:pPr>
            <w:r>
              <w:rPr>
                <w:rFonts w:ascii="Arial" w:hAnsi="Arial" w:eastAsia="Arial"/>
                <w:sz w:val="17"/>
              </w:rPr>
              <w:t>162 (33.8%)</w:t>
            </w:r>
          </w:p>
        </w:tc>
        <w:tc>
          <w:tcPr>
            <w:tcW w:type="dxa" w:w="1928"/>
            <w:tcMar>
              <w:top w:w="28" w:type="dxa"/>
              <w:bottom w:w="28" w:type="dxa"/>
              <w:left w:w="90" w:type="dxa"/>
              <w:right w:w="90" w:type="dxa"/>
            </w:tcMar>
            <w:shd w:val="clear" w:color="auto" w:fill="F7FAFC"/>
          </w:tcPr>
          <w:p>
            <w:pPr>
              <w:jc w:val="center"/>
            </w:pPr>
            <w:r>
              <w:rPr>
                <w:rFonts w:ascii="Arial" w:hAnsi="Arial" w:eastAsia="Arial"/>
                <w:sz w:val="17"/>
              </w:rPr>
              <w:t>28 (5.8%)</w:t>
            </w:r>
          </w:p>
        </w:tc>
      </w:tr>
      <w:tr>
        <w:trPr>
          <w:cantSplit/>
        </w:trPr>
        <w:tc>
          <w:tcPr>
            <w:tcW w:type="dxa" w:w="3515"/>
            <w:tcMar>
              <w:top w:w="28" w:type="dxa"/>
              <w:bottom w:w="28" w:type="dxa"/>
              <w:left w:w="90" w:type="dxa"/>
              <w:right w:w="90" w:type="dxa"/>
            </w:tcMar>
          </w:tcPr>
          <w:p>
            <w:pPr>
              <w:jc w:val="left"/>
            </w:pPr>
            <w:r>
              <w:rPr>
                <w:rFonts w:ascii="Arial" w:hAnsi="Arial" w:eastAsia="Arial"/>
                <w:sz w:val="17"/>
              </w:rPr>
              <w:t>reasoning depth, mean (0-4)</w:t>
            </w:r>
          </w:p>
        </w:tc>
        <w:tc>
          <w:tcPr>
            <w:tcW w:type="dxa" w:w="1928"/>
            <w:tcMar>
              <w:top w:w="28" w:type="dxa"/>
              <w:bottom w:w="28" w:type="dxa"/>
              <w:left w:w="90" w:type="dxa"/>
              <w:right w:w="90" w:type="dxa"/>
            </w:tcMar>
          </w:tcPr>
          <w:p>
            <w:pPr>
              <w:jc w:val="center"/>
            </w:pPr>
            <w:r>
              <w:rPr>
                <w:rFonts w:ascii="Arial" w:hAnsi="Arial" w:eastAsia="Arial"/>
                <w:sz w:val="17"/>
              </w:rPr>
              <w:t>2.94</w:t>
            </w:r>
          </w:p>
        </w:tc>
        <w:tc>
          <w:tcPr>
            <w:tcW w:type="dxa" w:w="1928"/>
            <w:tcMar>
              <w:top w:w="28" w:type="dxa"/>
              <w:bottom w:w="28" w:type="dxa"/>
              <w:left w:w="90" w:type="dxa"/>
              <w:right w:w="90" w:type="dxa"/>
            </w:tcMar>
          </w:tcPr>
          <w:p>
            <w:pPr>
              <w:jc w:val="center"/>
            </w:pPr>
            <w:r>
              <w:rPr>
                <w:rFonts w:ascii="Arial" w:hAnsi="Arial" w:eastAsia="Arial"/>
                <w:sz w:val="17"/>
              </w:rPr>
              <w:t>2.34</w:t>
            </w:r>
          </w:p>
        </w:tc>
        <w:tc>
          <w:tcPr>
            <w:tcW w:type="dxa" w:w="1928"/>
            <w:tcMar>
              <w:top w:w="28" w:type="dxa"/>
              <w:bottom w:w="28" w:type="dxa"/>
              <w:left w:w="90" w:type="dxa"/>
              <w:right w:w="90" w:type="dxa"/>
            </w:tcMar>
          </w:tcPr>
          <w:p>
            <w:pPr>
              <w:jc w:val="center"/>
            </w:pPr>
            <w:r>
              <w:rPr>
                <w:rFonts w:ascii="Arial" w:hAnsi="Arial" w:eastAsia="Arial"/>
                <w:sz w:val="17"/>
              </w:rPr>
              <w:t>1.93</w:t>
            </w:r>
          </w:p>
        </w:tc>
      </w:tr>
      <w:tr>
        <w:trPr>
          <w:cantSplit/>
        </w:trPr>
        <w:tc>
          <w:tcPr>
            <w:tcW w:type="dxa" w:w="3515"/>
            <w:tcMar>
              <w:top w:w="28" w:type="dxa"/>
              <w:bottom w:w="28" w:type="dxa"/>
              <w:left w:w="90" w:type="dxa"/>
              <w:right w:w="90" w:type="dxa"/>
            </w:tcMar>
            <w:shd w:val="clear" w:color="auto" w:fill="F7FAFC"/>
          </w:tcPr>
          <w:p>
            <w:pPr>
              <w:jc w:val="left"/>
            </w:pPr>
            <w:r>
              <w:rPr>
                <w:rFonts w:ascii="Arial" w:hAnsi="Arial" w:eastAsia="Arial"/>
                <w:sz w:val="17"/>
              </w:rPr>
              <w:t>median length (chars)</w:t>
            </w:r>
          </w:p>
        </w:tc>
        <w:tc>
          <w:tcPr>
            <w:tcW w:type="dxa" w:w="1928"/>
            <w:tcMar>
              <w:top w:w="28" w:type="dxa"/>
              <w:bottom w:w="28" w:type="dxa"/>
              <w:left w:w="90" w:type="dxa"/>
              <w:right w:w="90" w:type="dxa"/>
            </w:tcMar>
            <w:shd w:val="clear" w:color="auto" w:fill="F7FAFC"/>
          </w:tcPr>
          <w:p>
            <w:pPr>
              <w:jc w:val="center"/>
            </w:pPr>
            <w:r>
              <w:rPr>
                <w:rFonts w:ascii="Arial" w:hAnsi="Arial" w:eastAsia="Arial"/>
                <w:sz w:val="17"/>
              </w:rPr>
              <w:t>692</w:t>
            </w:r>
          </w:p>
        </w:tc>
        <w:tc>
          <w:tcPr>
            <w:tcW w:type="dxa" w:w="1928"/>
            <w:tcMar>
              <w:top w:w="28" w:type="dxa"/>
              <w:bottom w:w="28" w:type="dxa"/>
              <w:left w:w="90" w:type="dxa"/>
              <w:right w:w="90" w:type="dxa"/>
            </w:tcMar>
            <w:shd w:val="clear" w:color="auto" w:fill="F7FAFC"/>
          </w:tcPr>
          <w:p>
            <w:pPr>
              <w:jc w:val="center"/>
            </w:pPr>
            <w:r>
              <w:rPr>
                <w:rFonts w:ascii="Arial" w:hAnsi="Arial" w:eastAsia="Arial"/>
                <w:sz w:val="17"/>
              </w:rPr>
              <w:t>321</w:t>
            </w:r>
          </w:p>
        </w:tc>
        <w:tc>
          <w:tcPr>
            <w:tcW w:type="dxa" w:w="1928"/>
            <w:tcMar>
              <w:top w:w="28" w:type="dxa"/>
              <w:bottom w:w="28" w:type="dxa"/>
              <w:left w:w="90" w:type="dxa"/>
              <w:right w:w="90" w:type="dxa"/>
            </w:tcMar>
            <w:shd w:val="clear" w:color="auto" w:fill="F7FAFC"/>
          </w:tcPr>
          <w:p>
            <w:pPr>
              <w:jc w:val="center"/>
            </w:pPr>
            <w:r>
              <w:rPr>
                <w:rFonts w:ascii="Arial" w:hAnsi="Arial" w:eastAsia="Arial"/>
                <w:sz w:val="17"/>
              </w:rPr>
              <w:t>297</w:t>
            </w:r>
          </w:p>
        </w:tc>
      </w:tr>
      <w:tr>
        <w:trPr>
          <w:cantSplit/>
        </w:trPr>
        <w:tc>
          <w:tcPr>
            <w:tcW w:type="dxa" w:w="3515"/>
            <w:tcMar>
              <w:top w:w="28" w:type="dxa"/>
              <w:bottom w:w="28" w:type="dxa"/>
              <w:left w:w="90" w:type="dxa"/>
              <w:right w:w="90" w:type="dxa"/>
            </w:tcMar>
          </w:tcPr>
          <w:p>
            <w:pPr>
              <w:jc w:val="left"/>
            </w:pPr>
            <w:r>
              <w:rPr>
                <w:rFonts w:ascii="Arial" w:hAnsi="Arial" w:eastAsia="Arial"/>
                <w:sz w:val="17"/>
              </w:rPr>
              <w:t>near-dup @0.8</w:t>
            </w:r>
          </w:p>
        </w:tc>
        <w:tc>
          <w:tcPr>
            <w:tcW w:type="dxa" w:w="1928"/>
            <w:tcMar>
              <w:top w:w="28" w:type="dxa"/>
              <w:bottom w:w="28" w:type="dxa"/>
              <w:left w:w="90" w:type="dxa"/>
              <w:right w:w="90" w:type="dxa"/>
            </w:tcMar>
          </w:tcPr>
          <w:p>
            <w:pPr>
              <w:jc w:val="center"/>
            </w:pPr>
            <w:r>
              <w:rPr>
                <w:rFonts w:ascii="Arial" w:hAnsi="Arial" w:eastAsia="Arial"/>
                <w:sz w:val="17"/>
              </w:rPr>
              <w:t>3.0%</w:t>
            </w:r>
          </w:p>
        </w:tc>
        <w:tc>
          <w:tcPr>
            <w:tcW w:type="dxa" w:w="1928"/>
            <w:tcMar>
              <w:top w:w="28" w:type="dxa"/>
              <w:bottom w:w="28" w:type="dxa"/>
              <w:left w:w="90" w:type="dxa"/>
              <w:right w:w="90" w:type="dxa"/>
            </w:tcMar>
          </w:tcPr>
          <w:p>
            <w:pPr>
              <w:jc w:val="center"/>
            </w:pPr>
            <w:r>
              <w:rPr>
                <w:rFonts w:ascii="Arial" w:hAnsi="Arial" w:eastAsia="Arial"/>
                <w:sz w:val="17"/>
              </w:rPr>
              <w:t>24.9%</w:t>
            </w:r>
          </w:p>
        </w:tc>
        <w:tc>
          <w:tcPr>
            <w:tcW w:type="dxa" w:w="1928"/>
            <w:tcMar>
              <w:top w:w="28" w:type="dxa"/>
              <w:bottom w:w="28" w:type="dxa"/>
              <w:left w:w="90" w:type="dxa"/>
              <w:right w:w="90" w:type="dxa"/>
            </w:tcMar>
          </w:tcPr>
          <w:p>
            <w:pPr>
              <w:jc w:val="center"/>
            </w:pPr>
            <w:r>
              <w:rPr>
                <w:rFonts w:ascii="Arial" w:hAnsi="Arial" w:eastAsia="Arial"/>
                <w:sz w:val="17"/>
              </w:rPr>
              <w:t>6.2%</w:t>
            </w:r>
          </w:p>
        </w:tc>
      </w:tr>
      <w:tr>
        <w:trPr>
          <w:cantSplit/>
        </w:trPr>
        <w:tc>
          <w:tcPr>
            <w:tcW w:type="dxa" w:w="3515"/>
            <w:tcMar>
              <w:top w:w="28" w:type="dxa"/>
              <w:bottom w:w="28" w:type="dxa"/>
              <w:left w:w="90" w:type="dxa"/>
              <w:right w:w="90" w:type="dxa"/>
            </w:tcMar>
            <w:shd w:val="clear" w:color="auto" w:fill="F7FAFC"/>
          </w:tcPr>
          <w:p>
            <w:pPr>
              <w:jc w:val="left"/>
            </w:pPr>
            <w:r>
              <w:rPr>
                <w:rFonts w:ascii="Arial" w:hAnsi="Arial" w:eastAsia="Arial"/>
                <w:sz w:val="17"/>
              </w:rPr>
              <w:t>tokens / valid item (20/u)</w:t>
            </w:r>
          </w:p>
        </w:tc>
        <w:tc>
          <w:tcPr>
            <w:tcW w:type="dxa" w:w="1928"/>
            <w:tcMar>
              <w:top w:w="28" w:type="dxa"/>
              <w:bottom w:w="28" w:type="dxa"/>
              <w:left w:w="90" w:type="dxa"/>
              <w:right w:w="90" w:type="dxa"/>
            </w:tcMar>
            <w:shd w:val="clear" w:color="auto" w:fill="F7FAFC"/>
          </w:tcPr>
          <w:p>
            <w:pPr>
              <w:jc w:val="center"/>
            </w:pPr>
            <w:r>
              <w:rPr>
                <w:rFonts w:ascii="Arial" w:hAnsi="Arial" w:eastAsia="Arial"/>
                <w:sz w:val="17"/>
              </w:rPr>
              <w:t>12,267</w:t>
            </w:r>
          </w:p>
        </w:tc>
        <w:tc>
          <w:tcPr>
            <w:tcW w:type="dxa" w:w="1928"/>
            <w:tcMar>
              <w:top w:w="28" w:type="dxa"/>
              <w:bottom w:w="28" w:type="dxa"/>
              <w:left w:w="90" w:type="dxa"/>
              <w:right w:w="90" w:type="dxa"/>
            </w:tcMar>
            <w:shd w:val="clear" w:color="auto" w:fill="F7FAFC"/>
          </w:tcPr>
          <w:p>
            <w:pPr>
              <w:jc w:val="center"/>
            </w:pPr>
            <w:r>
              <w:rPr>
                <w:rFonts w:ascii="Arial" w:hAnsi="Arial" w:eastAsia="Arial"/>
                <w:sz w:val="17"/>
              </w:rPr>
              <w:t>527</w:t>
            </w:r>
          </w:p>
        </w:tc>
        <w:tc>
          <w:tcPr>
            <w:tcW w:type="dxa" w:w="1928"/>
            <w:tcMar>
              <w:top w:w="28" w:type="dxa"/>
              <w:bottom w:w="28" w:type="dxa"/>
              <w:left w:w="90" w:type="dxa"/>
              <w:right w:w="90" w:type="dxa"/>
            </w:tcMar>
            <w:shd w:val="clear" w:color="auto" w:fill="F7FAFC"/>
          </w:tcPr>
          <w:p>
            <w:pPr>
              <w:jc w:val="center"/>
            </w:pPr>
            <w:r>
              <w:rPr>
                <w:rFonts w:ascii="Arial" w:hAnsi="Arial" w:eastAsia="Arial"/>
                <w:sz w:val="17"/>
              </w:rPr>
              <w:t>4,571</w:t>
            </w:r>
          </w:p>
        </w:tc>
      </w:tr>
    </w:tbl>
    <w:p>
      <w:pPr>
        <w:spacing w:before="60" w:after="200"/>
        <w:jc w:val="center"/>
      </w:pPr>
      <w:r>
        <w:rPr>
          <w:rFonts w:ascii="Arial" w:hAnsi="Arial" w:eastAsia="Arial"/>
          <w:i/>
          <w:color w:val="718096"/>
          <w:sz w:val="16"/>
        </w:rPr>
        <w:t>Percentages per slot (denominator 480); near-dup is over the 1,284 matched items per condition, not the 480 judged slots. Paired differences are seed-macro; inference is seed-paired (Wilcoxon, Holm across 21 tests, 2,000 seed bootstrap).</w:t>
      </w:r>
    </w:p>
    <w:p>
      <w:pPr>
        <w:spacing w:after="100" w:line="276" w:lineRule="auto"/>
        <w:jc w:val="both"/>
      </w:pPr>
      <w:r>
        <w:rPr>
          <w:rFonts w:ascii="Arial" w:hAnsi="Arial" w:eastAsia="Arial"/>
          <w:b/>
          <w:sz w:val="20"/>
        </w:rPr>
        <w:t>Against B1</w:t>
      </w:r>
      <w:r>
        <w:rPr>
          <w:rFonts w:ascii="Arial" w:hAnsi="Arial" w:eastAsia="Arial"/>
          <w:sz w:val="20"/>
        </w:rPr>
        <w:t>, PF is far better on validity (+0.484 [+0.406, +0.556], p = 5.0e-14) and depth (+0.844). B1's failure is silent: 71.7% of items are invalid, yet only one has no output, and 331 of the 344 invalid items carry a wrong canonical answer. Execution grounding is the decisive factor, and B1 is not the strong baseline.</w:t>
      </w:r>
    </w:p>
    <w:p>
      <w:pPr>
        <w:spacing w:after="100" w:line="276" w:lineRule="auto"/>
        <w:jc w:val="both"/>
      </w:pPr>
      <w:r>
        <w:rPr>
          <w:rFonts w:ascii="Arial" w:hAnsi="Arial" w:eastAsia="Arial"/>
          <w:b/>
          <w:sz w:val="20"/>
        </w:rPr>
        <w:t>Against B2</w:t>
      </w:r>
      <w:r>
        <w:rPr>
          <w:rFonts w:ascii="Arial" w:hAnsi="Arial" w:eastAsia="Arial"/>
          <w:sz w:val="20"/>
        </w:rPr>
        <w:t>, validity is a tie: generator-level 0.775 vs 0.774; seed-level +0.027 [-0.054, +0.114], which becomes -0.010 when B2's five zero-output seeds are dropped. PF's advantage is yield: 62.7% vs 33.8% of slots produce a valid &gt;=3-step item (1.86x; unit-matched 63.8% [56.6, 70.5] vs 33.8%).</w:t>
      </w:r>
    </w:p>
    <w:p>
      <w:pPr>
        <w:keepNext/>
        <w:spacing w:before="160" w:after="40"/>
        <w:jc w:val="center"/>
      </w:pPr>
      <w:r>
        <w:drawing>
          <wp:inline xmlns:a="http://schemas.openxmlformats.org/drawingml/2006/main" xmlns:pic="http://schemas.openxmlformats.org/drawingml/2006/picture">
            <wp:extent cx="4608000" cy="3446596"/>
            <wp:docPr id="1" name="Picture 1"/>
            <wp:cNvGraphicFramePr>
              <a:graphicFrameLocks noChangeAspect="1"/>
            </wp:cNvGraphicFramePr>
            <a:graphic>
              <a:graphicData uri="http://schemas.openxmlformats.org/drawingml/2006/picture">
                <pic:pic>
                  <pic:nvPicPr>
                    <pic:cNvPr id="0" name="fig1_validity.png"/>
                    <pic:cNvPicPr/>
                  </pic:nvPicPr>
                  <pic:blipFill>
                    <a:blip r:embed="rId11"/>
                    <a:stretch>
                      <a:fillRect/>
                    </a:stretch>
                  </pic:blipFill>
                  <pic:spPr>
                    <a:xfrm>
                      <a:off x="0" y="0"/>
                      <a:ext cx="4608000" cy="3446596"/>
                    </a:xfrm>
                    <a:prstGeom prst="rect"/>
                  </pic:spPr>
                </pic:pic>
              </a:graphicData>
            </a:graphic>
          </wp:inline>
        </w:drawing>
      </w:r>
    </w:p>
    <w:p>
      <w:pPr>
        <w:spacing w:before="60" w:after="200"/>
        <w:jc w:val="center"/>
      </w:pPr>
      <w:r>
        <w:rPr>
          <w:rFonts w:ascii="Arial" w:hAnsi="Arial" w:eastAsia="Arial"/>
          <w:i/>
          <w:color w:val="718096"/>
          <w:sz w:val="16"/>
        </w:rPr>
        <w:t>Figure 1. Blind validity by pipeline (480 items each; bars are seed-macro means, whiskers are 95% bootstrap intervals over seeds).</w:t>
      </w:r>
    </w:p>
    <w:p>
      <w:pPr>
        <w:spacing w:after="100" w:line="276" w:lineRule="auto"/>
        <w:jc w:val="both"/>
      </w:pPr>
      <w:r>
        <w:rPr>
          <w:rFonts w:ascii="Arial" w:hAnsi="Arial" w:eastAsia="Arial"/>
          <w:sz w:val="20"/>
        </w:rPr>
        <w:t xml:space="preserve">Because PF items are also about twice as long (median 692 vs 321 chars), we tested the length confound directly rather than relying on one model. The raw depth gap is +0.602; OLS with log length gives +0.418, while strict matching is more conservative: nearest length (caliper 0.5) gives +0.439 [+0.150, +0.764]; coarsened exact matching on seed x length quintile gives +0.207 [-0.020, +0.443], and the top length quintile is essentially flat (-0.14). Single-subquestion items, which rule out "PF just bundles sub-questions", give +0.541 [+0.353, +0.827] raw and +0.548 [+0.120, +0.900] length-matched. </w:t>
      </w:r>
      <w:r>
        <w:rPr>
          <w:rFonts w:ascii="Arial" w:hAnsi="Arial" w:eastAsia="Arial"/>
          <w:b/>
          <w:sz w:val="20"/>
        </w:rPr>
        <w:t>We therefore use depth as supporting evidence and anchor the main claim on the &gt;=3-step yield:</w:t>
      </w:r>
      <w:r>
        <w:rPr>
          <w:rFonts w:ascii="Arial" w:hAnsi="Arial" w:eastAsia="Arial"/>
          <w:sz w:val="20"/>
        </w:rPr>
        <w:t xml:space="preserve"> +24.6 pp [+11.6, +35.9] after standardising B2 to PF's length distribution, and +15.8 pp [-1.2, +33.7] under strict nearest-length matching. The direction is stable in every specification; the strict matched estimate is smaller because the length overlap is thin, but it remains positive.</w:t>
      </w:r>
    </w:p>
    <w:p>
      <w:pPr>
        <w:keepNext/>
        <w:spacing w:before="160" w:after="40"/>
        <w:jc w:val="center"/>
      </w:pPr>
      <w:r>
        <w:drawing>
          <wp:inline xmlns:a="http://schemas.openxmlformats.org/drawingml/2006/main" xmlns:pic="http://schemas.openxmlformats.org/drawingml/2006/picture">
            <wp:extent cx="5760000" cy="2714400"/>
            <wp:docPr id="2" name="Picture 2"/>
            <wp:cNvGraphicFramePr>
              <a:graphicFrameLocks noChangeAspect="1"/>
            </wp:cNvGraphicFramePr>
            <a:graphic>
              <a:graphicData uri="http://schemas.openxmlformats.org/drawingml/2006/picture">
                <pic:pic>
                  <pic:nvPicPr>
                    <pic:cNvPr id="0" name="fig3_length.png"/>
                    <pic:cNvPicPr/>
                  </pic:nvPicPr>
                  <pic:blipFill>
                    <a:blip r:embed="rId12"/>
                    <a:stretch>
                      <a:fillRect/>
                    </a:stretch>
                  </pic:blipFill>
                  <pic:spPr>
                    <a:xfrm>
                      <a:off x="0" y="0"/>
                      <a:ext cx="5760000" cy="2714400"/>
                    </a:xfrm>
                    <a:prstGeom prst="rect"/>
                  </pic:spPr>
                </pic:pic>
              </a:graphicData>
            </a:graphic>
          </wp:inline>
        </w:drawing>
      </w:r>
    </w:p>
    <w:p>
      <w:pPr>
        <w:spacing w:before="60" w:after="200"/>
        <w:jc w:val="center"/>
      </w:pPr>
      <w:r>
        <w:rPr>
          <w:rFonts w:ascii="Arial" w:hAnsi="Arial" w:eastAsia="Arial"/>
          <w:i/>
          <w:color w:val="718096"/>
          <w:sz w:val="16"/>
        </w:rPr>
        <w:t>Figure 2. Depth among valid items and &gt;=3-step yield per requested slot, by pooled problem-length quintile. PF is higher on yield in every quintile; B2 matches PF on depth only in Q5, where B2 has 16 valid items.</w:t>
      </w:r>
    </w:p>
    <w:p>
      <w:pPr>
        <w:spacing w:after="100" w:line="276" w:lineRule="auto"/>
        <w:jc w:val="both"/>
      </w:pPr>
      <w:r>
        <w:rPr>
          <w:rFonts w:ascii="Arial" w:hAnsi="Arial" w:eastAsia="Arial"/>
          <w:b/>
          <w:sz w:val="20"/>
        </w:rPr>
        <w:t>Diversity.</w:t>
      </w:r>
      <w:r>
        <w:rPr>
          <w:rFonts w:ascii="Arial" w:hAnsi="Arial" w:eastAsia="Arial"/>
          <w:sz w:val="20"/>
        </w:rPr>
        <w:t xml:space="preserve"> Unit-matched (PF generator, B2/B1 seed) near-duplicate @0.8 is 13.2% vs 24.9%; identical constraint-tag sets 30.2% vs 53.1%; reasoning-tag sets 46.1% vs 56.8%. PF's seed-level 3.0% is partly a mixing effect (five items from three generators), which we correct. Against B1, PF has more near-duplicates (13.2% vs 6.2%) but fewer identical tag sets; B1's items are also shorter.</w:t>
      </w:r>
    </w:p>
    <w:p>
      <w:pPr>
        <w:spacing w:after="100" w:line="276" w:lineRule="auto"/>
        <w:jc w:val="both"/>
      </w:pPr>
      <w:r>
        <w:rPr>
          <w:rFonts w:ascii="Arial" w:hAnsi="Arial" w:eastAsia="Arial"/>
          <w:b/>
          <w:sz w:val="20"/>
        </w:rPr>
        <w:t>Cost.</w:t>
      </w:r>
      <w:r>
        <w:rPr>
          <w:rFonts w:ascii="Arial" w:hAnsi="Arial" w:eastAsia="Arial"/>
          <w:sz w:val="20"/>
        </w:rPr>
        <w:t xml:space="preserve"> At the paper's 200-instance scale, PF is 1,227 tokens per valid item vs 50 for B2 and 4,571 for B1; at 20 instances, 12,267 vs 527 and 4,571. PF/B2 is ~23-25x at either scale, and PF's spec cost is 0.34-0.55M tokens per seed vs B2's 7.7k (45-70x). Cost is the trade-off: PF's extra budget buys &gt;=3-step yield and structural diversity. We report it explicitly rather than claim a cost advantage; the earlier draft compared PF at 200 instances/generator with B2 at 20/seed, and the corrected table puts both on the same basis.</w:t>
      </w:r>
    </w:p>
    <w:p>
      <w:pPr>
        <w:keepNext/>
        <w:spacing w:before="160" w:after="40"/>
        <w:jc w:val="center"/>
      </w:pPr>
      <w:r>
        <w:drawing>
          <wp:inline xmlns:a="http://schemas.openxmlformats.org/drawingml/2006/main" xmlns:pic="http://schemas.openxmlformats.org/drawingml/2006/picture">
            <wp:extent cx="5400000" cy="2667162"/>
            <wp:docPr id="3" name="Picture 3"/>
            <wp:cNvGraphicFramePr>
              <a:graphicFrameLocks noChangeAspect="1"/>
            </wp:cNvGraphicFramePr>
            <a:graphic>
              <a:graphicData uri="http://schemas.openxmlformats.org/drawingml/2006/picture">
                <pic:pic>
                  <pic:nvPicPr>
                    <pic:cNvPr id="0" name="fig4_cost.png"/>
                    <pic:cNvPicPr/>
                  </pic:nvPicPr>
                  <pic:blipFill>
                    <a:blip r:embed="rId13"/>
                    <a:stretch>
                      <a:fillRect/>
                    </a:stretch>
                  </pic:blipFill>
                  <pic:spPr>
                    <a:xfrm>
                      <a:off x="0" y="0"/>
                      <a:ext cx="5400000" cy="2667162"/>
                    </a:xfrm>
                    <a:prstGeom prst="rect"/>
                  </pic:spPr>
                </pic:pic>
              </a:graphicData>
            </a:graphic>
          </wp:inline>
        </w:drawing>
      </w:r>
    </w:p>
    <w:p>
      <w:pPr>
        <w:spacing w:before="60" w:after="200"/>
        <w:jc w:val="center"/>
      </w:pPr>
      <w:r>
        <w:rPr>
          <w:rFonts w:ascii="Arial" w:hAnsi="Arial" w:eastAsia="Arial"/>
          <w:i/>
          <w:color w:val="718096"/>
          <w:sz w:val="16"/>
        </w:rPr>
        <w:t>Figure 3. Generation tokens per valid item at two amortisation scales. PF/B2 is ~25x at either scale; B2's 50 at 200 instances/unit is the design-scale number.</w:t>
      </w:r>
    </w:p>
    <w:p>
      <w:pPr>
        <w:spacing w:after="100" w:line="276" w:lineRule="auto"/>
        <w:jc w:val="both"/>
      </w:pPr>
      <w:r>
        <w:rPr>
          <w:rFonts w:ascii="Arial" w:hAnsi="Arial" w:eastAsia="Arial"/>
          <w:b/>
          <w:sz w:val="20"/>
        </w:rPr>
        <w:t>Judge reliability.</w:t>
      </w:r>
      <w:r>
        <w:rPr>
          <w:rFonts w:ascii="Arial" w:hAnsi="Arial" w:eastAsia="Arial"/>
          <w:sz w:val="20"/>
        </w:rPr>
        <w:t xml:space="preserve"> On a 560-item cross-family subsample (both models see the same three solver attempts; one verdict per model), exact verdict agreement is 83.4% (Cohen's kappa 0.67). The two families differ in strictness: PF's invalid rate is 30.9% under </w:t>
      </w:r>
      <w:r>
        <w:rPr>
          <w:rFonts w:ascii="Consolas" w:hAnsi="Consolas" w:eastAsia="Arial"/>
          <w:color w:val="2D3748"/>
          <w:sz w:val="19"/>
        </w:rPr>
        <w:t>gpt-5.6-luna</w:t>
      </w:r>
      <w:r>
        <w:rPr>
          <w:rFonts w:ascii="Arial" w:hAnsi="Arial" w:eastAsia="Arial"/>
          <w:sz w:val="20"/>
        </w:rPr>
        <w:t xml:space="preserve"> but 12.6% under </w:t>
      </w:r>
      <w:r>
        <w:rPr>
          <w:rFonts w:ascii="Consolas" w:hAnsi="Consolas" w:eastAsia="Arial"/>
          <w:color w:val="2D3748"/>
          <w:sz w:val="19"/>
        </w:rPr>
        <w:t>gemini-3.1-pro-preview</w:t>
      </w:r>
      <w:r>
        <w:rPr>
          <w:rFonts w:ascii="Arial" w:hAnsi="Arial" w:eastAsia="Arial"/>
          <w:sz w:val="20"/>
        </w:rPr>
        <w:t>, and the PF-B2 validity difference flips sign (luna 0.686 vs 0.730; gemini 0.863 vs 0.789). B1 is 25.5% vs 27.5% valid, i.e. 72-74% invalid under both. The PF-B2 validity difference is therefore within judge noise; the B1 gap is not. The depth gap is +0.729 (luna) and +0.536 (gemini) on items both call valid.</w:t>
      </w:r>
    </w:p>
    <w:p>
      <w:pPr>
        <w:keepNext/>
        <w:spacing w:before="160" w:after="40"/>
        <w:jc w:val="center"/>
      </w:pPr>
      <w:r>
        <w:drawing>
          <wp:inline xmlns:a="http://schemas.openxmlformats.org/drawingml/2006/main" xmlns:pic="http://schemas.openxmlformats.org/drawingml/2006/picture">
            <wp:extent cx="5400000" cy="2831068"/>
            <wp:docPr id="4" name="Picture 4"/>
            <wp:cNvGraphicFramePr>
              <a:graphicFrameLocks noChangeAspect="1"/>
            </wp:cNvGraphicFramePr>
            <a:graphic>
              <a:graphicData uri="http://schemas.openxmlformats.org/drawingml/2006/picture">
                <pic:pic>
                  <pic:nvPicPr>
                    <pic:cNvPr id="0" name="fig2_judges.png"/>
                    <pic:cNvPicPr/>
                  </pic:nvPicPr>
                  <pic:blipFill>
                    <a:blip r:embed="rId14"/>
                    <a:stretch>
                      <a:fillRect/>
                    </a:stretch>
                  </pic:blipFill>
                  <pic:spPr>
                    <a:xfrm>
                      <a:off x="0" y="0"/>
                      <a:ext cx="5400000" cy="2831068"/>
                    </a:xfrm>
                    <a:prstGeom prst="rect"/>
                  </pic:spPr>
                </pic:pic>
              </a:graphicData>
            </a:graphic>
          </wp:inline>
        </w:drawing>
      </w:r>
    </w:p>
    <w:p>
      <w:pPr>
        <w:spacing w:before="60" w:after="200"/>
        <w:jc w:val="center"/>
      </w:pPr>
      <w:r>
        <w:rPr>
          <w:rFonts w:ascii="Arial" w:hAnsi="Arial" w:eastAsia="Arial"/>
          <w:i/>
          <w:color w:val="718096"/>
          <w:sz w:val="16"/>
        </w:rPr>
        <w:t>Figure 4. Validity under two judge families on the 560-item overlap. The bar spans strict (both valid) to liberal (either valid); points are the two families. B1 stays far below PF/B2 under both.</w:t>
      </w:r>
    </w:p>
    <w:tbl>
      <w:tblPr>
        <w:tblW w:type="auto" w:w="0"/>
        <w:jc w:val="center"/>
        <w:tblLayout w:type="fixed"/>
        <w:tblLook w:firstColumn="1" w:firstRow="1" w:lastColumn="0" w:lastRow="0" w:noHBand="0" w:noVBand="1" w:val="04A0"/>
        <w:tblBorders>
          <w:top w:val="single" w:sz="10" w:space="0" w:color="DD6B20"/>
          <w:left w:val="single" w:sz="10" w:space="0" w:color="DD6B20"/>
          <w:bottom w:val="single" w:sz="10" w:space="0" w:color="DD6B20"/>
          <w:right w:val="single" w:sz="10" w:space="0" w:color="DD6B20"/>
        </w:tblBorders>
      </w:tblPr>
      <w:tblGrid>
        <w:gridCol w:w="9184"/>
      </w:tblGrid>
      <w:tr>
        <w:trPr>
          <w:cantSplit/>
        </w:trPr>
        <w:tc>
          <w:tcPr>
            <w:tcW w:type="dxa" w:w="9184"/>
            <w:shd w:val="clear" w:color="auto" w:fill="FFFAF0"/>
            <w:tcMar>
              <w:top w:w="120" w:type="dxa"/>
              <w:bottom w:w="120" w:type="dxa"/>
              <w:left w:w="180" w:type="dxa"/>
              <w:right w:w="180" w:type="dxa"/>
            </w:tcMar>
          </w:tcPr>
          <w:p>
            <w:pPr>
              <w:spacing w:after="80"/>
            </w:pPr>
            <w:r>
              <w:rPr>
                <w:rFonts w:ascii="Arial" w:hAnsi="Arial" w:eastAsia="Arial"/>
                <w:b/>
                <w:color w:val="C05621"/>
                <w:sz w:val="20"/>
              </w:rPr>
              <w:t>Two real items behind the 23.1%</w:t>
            </w:r>
          </w:p>
          <w:p>
            <w:pPr>
              <w:spacing w:after="60" w:line="288" w:lineRule="auto"/>
            </w:pPr>
            <w:r>
              <w:rPr>
                <w:rFonts w:ascii="Arial" w:hAnsi="Arial" w:eastAsia="Arial"/>
                <w:sz w:val="18"/>
              </w:rPr>
              <w:t xml:space="preserve">The judge marks 111/480 (23.1%) of PF's released test items invalid, 89 for a wrong canonical answer. Two real items show why this figure needs care. In </w:t>
            </w:r>
            <w:r>
              <w:rPr>
                <w:rFonts w:ascii="Consolas" w:hAnsi="Consolas" w:eastAsia="Arial"/>
                <w:color w:val="2D3748"/>
                <w:sz w:val="17"/>
              </w:rPr>
              <w:t>PF / operation_21/08</w:t>
            </w:r>
            <w:r>
              <w:rPr>
                <w:rFonts w:ascii="Arial" w:hAnsi="Arial" w:eastAsia="Arial"/>
                <w:sz w:val="18"/>
              </w:rPr>
              <w:t xml:space="preserve">, the double integral of a separable trigonometric polynomial, the released answer is </w:t>
            </w:r>
            <w:r>
              <w:rPr>
                <w:rFonts w:ascii="Consolas" w:hAnsi="Consolas" w:eastAsia="Arial"/>
                <w:color w:val="2D3748"/>
                <w:sz w:val="17"/>
              </w:rPr>
              <w:t>[[0.133046]]</w:t>
            </w:r>
            <w:r>
              <w:rPr>
                <w:rFonts w:ascii="Arial" w:hAnsi="Arial" w:eastAsia="Arial"/>
                <w:sz w:val="18"/>
              </w:rPr>
              <w:t xml:space="preserve"> while an independent evaluation gives </w:t>
            </w:r>
            <w:r>
              <w:rPr>
                <w:rFonts w:ascii="Consolas" w:hAnsi="Consolas" w:eastAsia="Arial"/>
                <w:color w:val="2D3748"/>
                <w:sz w:val="17"/>
              </w:rPr>
              <w:t>[[-0.133046]]</w:t>
            </w:r>
            <w:r>
              <w:rPr>
                <w:rFonts w:ascii="Arial" w:hAnsi="Arial" w:eastAsia="Arial"/>
                <w:sz w:val="18"/>
              </w:rPr>
              <w:t xml:space="preserve">: a sign error, a genuinely invalid item. In </w:t>
            </w:r>
            <w:r>
              <w:rPr>
                <w:rFonts w:ascii="Consolas" w:hAnsi="Consolas" w:eastAsia="Arial"/>
                <w:color w:val="2D3748"/>
                <w:sz w:val="17"/>
              </w:rPr>
              <w:t>PF / number_wall/14</w:t>
            </w:r>
            <w:r>
              <w:rPr>
                <w:rFonts w:ascii="Arial" w:hAnsi="Arial" w:eastAsia="Arial"/>
                <w:sz w:val="18"/>
              </w:rPr>
              <w:t xml:space="preserve">, a compound-interest problem (2433 at 3% quarterly for 3 years, then +3723 at 6% quarterly for 4 years), the released answer is </w:t>
            </w:r>
            <w:r>
              <w:rPr>
                <w:rFonts w:ascii="Consolas" w:hAnsi="Consolas" w:eastAsia="Arial"/>
                <w:color w:val="2D3748"/>
                <w:sz w:val="17"/>
              </w:rPr>
              <w:t>7946.95</w:t>
            </w:r>
            <w:r>
              <w:rPr>
                <w:rFonts w:ascii="Arial" w:hAnsi="Arial" w:eastAsia="Arial"/>
                <w:sz w:val="18"/>
              </w:rPr>
              <w:t xml:space="preserve"> while the computation gives </w:t>
            </w:r>
            <w:r>
              <w:rPr>
                <w:rFonts w:ascii="Consolas" w:hAnsi="Consolas" w:eastAsia="Arial"/>
                <w:color w:val="2D3748"/>
                <w:sz w:val="17"/>
              </w:rPr>
              <w:t>7946.9444</w:t>
            </w:r>
            <w:r>
              <w:rPr>
                <w:rFonts w:ascii="Arial" w:hAnsi="Arial" w:eastAsia="Arial"/>
                <w:sz w:val="18"/>
              </w:rPr>
              <w:t xml:space="preserve">, which rounds to </w:t>
            </w:r>
            <w:r>
              <w:rPr>
                <w:rFonts w:ascii="Consolas" w:hAnsi="Consolas" w:eastAsia="Arial"/>
                <w:color w:val="2D3748"/>
                <w:sz w:val="17"/>
              </w:rPr>
              <w:t>7946.94</w:t>
            </w:r>
            <w:r>
              <w:rPr>
                <w:rFonts w:ascii="Arial" w:hAnsi="Arial" w:eastAsia="Arial"/>
                <w:sz w:val="18"/>
              </w:rPr>
              <w:t>: a 0.01 rounding difference, cosmetic rather than a broken puzzle. Both count as invalid, so 23.1% is an upper-end proxy that mixes substantive and cosmetic errors. The cross-family panel shows the same sensitivity: PF's invalid rate is 30.9% under luna and 12.6% under gemini, while B1 is 72-74% under both. The revision will report the two categories separately and correct the released labels.</w:t>
            </w:r>
          </w:p>
        </w:tc>
      </w:tr>
    </w:tbl>
    <w:p>
      <w:pPr>
        <w:spacing w:after="40"/>
      </w:pPr>
    </w:p>
    <w:p>
      <w:pPr>
        <w:spacing w:after="100" w:line="276" w:lineRule="auto"/>
        <w:jc w:val="both"/>
      </w:pPr>
      <w:r>
        <w:rPr>
          <w:rFonts w:ascii="Arial" w:hAnsi="Arial" w:eastAsia="Arial"/>
          <w:b/>
          <w:sz w:val="20"/>
        </w:rPr>
        <w:t>Framing.</w:t>
      </w:r>
      <w:r>
        <w:rPr>
          <w:rFonts w:ascii="Arial" w:hAnsi="Arial" w:eastAsia="Arial"/>
          <w:sz w:val="20"/>
        </w:rPr>
        <w:t xml:space="preserve"> We agree the framing should be explicit, and the added comparisons let us state it precisely. The framework's contribution is the yield of &gt;=3-step items and structural diversity per seed; the trade-off is ~25x generation tokens, with validity on par with the strongest one-pass baseline. The revision will present this as a framework-level contribution alongside the dataset contribution, add the generator-level and length-matched tables, and rewrite the abstract and introduction to match. This is a more precise claim than an unqualified "superior framework".</w:t>
      </w:r>
    </w:p>
    <w:p>
      <w:pPr>
        <w:spacing w:after="100" w:line="276" w:lineRule="auto"/>
        <w:jc w:val="both"/>
      </w:pPr>
      <w:r>
        <w:rPr>
          <w:rFonts w:ascii="Arial" w:hAnsi="Arial" w:eastAsia="Arial"/>
          <w:sz w:val="20"/>
        </w:rPr>
        <w:t>Prompts, generators, traces, blind keys and the per-request token ledger are released with the paper and the revision.</w:t>
      </w:r>
    </w:p>
    <w:p>
      <w:r>
        <w:br w:type="page"/>
      </w:r>
    </w:p>
    <w:p>
      <w:pPr>
        <w:keepNext/>
        <w:spacing w:before="280" w:after="120"/>
      </w:pPr>
      <w:r>
        <w:rPr>
          <w:rFonts w:ascii="Arial" w:hAnsi="Arial" w:eastAsia="PingFang SC"/>
          <w:b/>
          <w:color w:val="1A365D"/>
          <w:sz w:val="30"/>
        </w:rPr>
        <w:t>中文翻译</w:t>
      </w:r>
    </w:p>
    <w:p>
      <w:pPr>
        <w:spacing w:after="100" w:line="300" w:lineRule="auto"/>
        <w:jc w:val="both"/>
      </w:pPr>
      <w:r>
        <w:rPr>
          <w:rFonts w:ascii="Arial" w:hAnsi="Arial" w:eastAsia="PingFang SC"/>
          <w:sz w:val="19"/>
        </w:rPr>
        <w:t>我们补上了审稿人点名的两个框架级基线：直接造题（B1）与不做多阶段分解、直接生成可复用生成器（B2），在 97 个共享 seed 上与完整流水线（PF）做盲评比较，1,440 道题，每组 480 道。</w:t>
      </w:r>
    </w:p>
    <w:p>
      <w:pPr>
        <w:spacing w:after="100" w:line="300" w:lineRule="auto"/>
        <w:jc w:val="both"/>
      </w:pPr>
      <w:r>
        <w:rPr>
          <w:rFonts w:ascii="Arial" w:hAnsi="Arial" w:eastAsia="PingFang SC"/>
          <w:b/>
          <w:sz w:val="19"/>
        </w:rPr>
        <w:t>设置。</w:t>
      </w:r>
      <w:r>
        <w:rPr>
          <w:rFonts w:ascii="Arial" w:hAnsi="Arial" w:eastAsia="PingFang SC"/>
          <w:sz w:val="19"/>
        </w:rPr>
        <w:t xml:space="preserve"> 三组都用 GPT-5.2。PF 是论文发布的 test split：每个生成器 2% 的随机 holdout，已经过流水线自己的去重与生成器过滤；holdout 本身不是按质量挑的。B1/B2 同模型、同解码参数、同 20 题配额。B2 有三次带真实执行报错的调试机会，但没有 expansion agent、DSL、语义验证或 solve-based filtering，因此是更强的基线。评审只看题面、规范答案与匿名证书，方法和 seed 已剥离。</w:t>
      </w:r>
    </w:p>
    <w:p>
      <w:pPr>
        <w:spacing w:before="60" w:after="200"/>
        <w:jc w:val="center"/>
      </w:pPr>
      <w:r>
        <w:rPr>
          <w:rFonts w:ascii="Arial" w:hAnsi="Arial" w:eastAsia="PingFang SC"/>
          <w:i/>
          <w:color w:val="718096"/>
          <w:sz w:val="16"/>
        </w:rPr>
        <w:t>表 1. 三条流水线每个请求槽位的产出（每条件 480 槽位；token 行为 20 实例/单位）。</w:t>
      </w:r>
    </w:p>
    <w:tbl>
      <w:tblPr>
        <w:tblW w:type="auto" w:w="0"/>
        <w:jc w:val="center"/>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353"/>
        <w:gridCol w:w="2353"/>
        <w:gridCol w:w="2353"/>
        <w:gridCol w:w="2353"/>
      </w:tblGrid>
      <w:tr>
        <w:trPr>
          <w:cantSplit/>
          <w:tblHeader/>
        </w:trPr>
        <w:tc>
          <w:tcPr>
            <w:tcW w:type="dxa" w:w="3515"/>
            <w:shd w:val="clear" w:color="auto" w:fill="2B6CB0"/>
            <w:tcMar>
              <w:top w:w="60" w:type="dxa"/>
              <w:bottom w:w="60" w:type="dxa"/>
              <w:left w:w="90" w:type="dxa"/>
              <w:right w:w="90" w:type="dxa"/>
            </w:tcMar>
          </w:tcPr>
          <w:p>
            <w:pPr>
              <w:jc w:val="left"/>
            </w:pPr>
            <w:r>
              <w:rPr>
                <w:rFonts w:ascii="Arial" w:hAnsi="Arial" w:eastAsia="PingFang SC"/>
                <w:b/>
                <w:color w:val="FFFFFF"/>
                <w:sz w:val="17"/>
              </w:rPr>
            </w:r>
          </w:p>
        </w:tc>
        <w:tc>
          <w:tcPr>
            <w:tcW w:type="dxa" w:w="1928"/>
            <w:shd w:val="clear" w:color="auto" w:fill="2B6CB0"/>
            <w:tcMar>
              <w:top w:w="60" w:type="dxa"/>
              <w:bottom w:w="60" w:type="dxa"/>
              <w:left w:w="90" w:type="dxa"/>
              <w:right w:w="90" w:type="dxa"/>
            </w:tcMar>
          </w:tcPr>
          <w:p>
            <w:pPr>
              <w:jc w:val="center"/>
            </w:pPr>
            <w:r>
              <w:rPr>
                <w:rFonts w:ascii="Arial" w:hAnsi="Arial" w:eastAsia="PingFang SC"/>
                <w:b/>
                <w:color w:val="FFFFFF"/>
                <w:sz w:val="17"/>
              </w:rPr>
              <w:t>PF</w:t>
            </w:r>
          </w:p>
        </w:tc>
        <w:tc>
          <w:tcPr>
            <w:tcW w:type="dxa" w:w="1928"/>
            <w:shd w:val="clear" w:color="auto" w:fill="2B6CB0"/>
            <w:tcMar>
              <w:top w:w="60" w:type="dxa"/>
              <w:bottom w:w="60" w:type="dxa"/>
              <w:left w:w="90" w:type="dxa"/>
              <w:right w:w="90" w:type="dxa"/>
            </w:tcMar>
          </w:tcPr>
          <w:p>
            <w:pPr>
              <w:jc w:val="center"/>
            </w:pPr>
            <w:r>
              <w:rPr>
                <w:rFonts w:ascii="Arial" w:hAnsi="Arial" w:eastAsia="PingFang SC"/>
                <w:b/>
                <w:color w:val="FFFFFF"/>
                <w:sz w:val="17"/>
              </w:rPr>
              <w:t>B2</w:t>
            </w:r>
          </w:p>
        </w:tc>
        <w:tc>
          <w:tcPr>
            <w:tcW w:type="dxa" w:w="1928"/>
            <w:shd w:val="clear" w:color="auto" w:fill="2B6CB0"/>
            <w:tcMar>
              <w:top w:w="60" w:type="dxa"/>
              <w:bottom w:w="60" w:type="dxa"/>
              <w:left w:w="90" w:type="dxa"/>
              <w:right w:w="90" w:type="dxa"/>
            </w:tcMar>
          </w:tcPr>
          <w:p>
            <w:pPr>
              <w:jc w:val="center"/>
            </w:pPr>
            <w:r>
              <w:rPr>
                <w:rFonts w:ascii="Arial" w:hAnsi="Arial" w:eastAsia="PingFang SC"/>
                <w:b/>
                <w:color w:val="FFFFFF"/>
                <w:sz w:val="17"/>
              </w:rPr>
              <w:t>B1</w:t>
            </w:r>
          </w:p>
        </w:tc>
      </w:tr>
      <w:tr>
        <w:trPr>
          <w:cantSplit/>
        </w:trPr>
        <w:tc>
          <w:tcPr>
            <w:tcW w:type="dxa" w:w="3515"/>
            <w:tcMar>
              <w:top w:w="28" w:type="dxa"/>
              <w:bottom w:w="28" w:type="dxa"/>
              <w:left w:w="90" w:type="dxa"/>
              <w:right w:w="90" w:type="dxa"/>
            </w:tcMar>
          </w:tcPr>
          <w:p>
            <w:pPr>
              <w:jc w:val="left"/>
            </w:pPr>
            <w:r>
              <w:rPr>
                <w:rFonts w:ascii="Arial" w:hAnsi="Arial" w:eastAsia="PingFang SC"/>
                <w:sz w:val="17"/>
              </w:rPr>
              <w:t>有效题（480 槽位）</w:t>
            </w:r>
          </w:p>
        </w:tc>
        <w:tc>
          <w:tcPr>
            <w:tcW w:type="dxa" w:w="1928"/>
            <w:tcMar>
              <w:top w:w="28" w:type="dxa"/>
              <w:bottom w:w="28" w:type="dxa"/>
              <w:left w:w="90" w:type="dxa"/>
              <w:right w:w="90" w:type="dxa"/>
            </w:tcMar>
          </w:tcPr>
          <w:p>
            <w:pPr>
              <w:jc w:val="center"/>
            </w:pPr>
            <w:r>
              <w:rPr>
                <w:rFonts w:ascii="Arial" w:hAnsi="Arial" w:eastAsia="PingFang SC"/>
                <w:sz w:val="17"/>
              </w:rPr>
              <w:t>366 (76.3%)</w:t>
            </w:r>
          </w:p>
        </w:tc>
        <w:tc>
          <w:tcPr>
            <w:tcW w:type="dxa" w:w="1928"/>
            <w:tcMar>
              <w:top w:w="28" w:type="dxa"/>
              <w:bottom w:w="28" w:type="dxa"/>
              <w:left w:w="90" w:type="dxa"/>
              <w:right w:w="90" w:type="dxa"/>
            </w:tcMar>
          </w:tcPr>
          <w:p>
            <w:pPr>
              <w:jc w:val="center"/>
            </w:pPr>
            <w:r>
              <w:rPr>
                <w:rFonts w:ascii="Arial" w:hAnsi="Arial" w:eastAsia="PingFang SC"/>
                <w:sz w:val="17"/>
              </w:rPr>
              <w:t>352 (73.3%)</w:t>
            </w:r>
          </w:p>
        </w:tc>
        <w:tc>
          <w:tcPr>
            <w:tcW w:type="dxa" w:w="1928"/>
            <w:tcMar>
              <w:top w:w="28" w:type="dxa"/>
              <w:bottom w:w="28" w:type="dxa"/>
              <w:left w:w="90" w:type="dxa"/>
              <w:right w:w="90" w:type="dxa"/>
            </w:tcMar>
          </w:tcPr>
          <w:p>
            <w:pPr>
              <w:jc w:val="center"/>
            </w:pPr>
            <w:r>
              <w:rPr>
                <w:rFonts w:ascii="Arial" w:hAnsi="Arial" w:eastAsia="PingFang SC"/>
                <w:sz w:val="17"/>
              </w:rPr>
              <w:t>134 (27.9%)</w:t>
            </w:r>
          </w:p>
        </w:tc>
      </w:tr>
      <w:tr>
        <w:trPr>
          <w:cantSplit/>
        </w:trPr>
        <w:tc>
          <w:tcPr>
            <w:tcW w:type="dxa" w:w="3515"/>
            <w:tcMar>
              <w:top w:w="28" w:type="dxa"/>
              <w:bottom w:w="28" w:type="dxa"/>
              <w:left w:w="90" w:type="dxa"/>
              <w:right w:w="90" w:type="dxa"/>
            </w:tcMar>
            <w:shd w:val="clear" w:color="auto" w:fill="F7FAFC"/>
          </w:tcPr>
          <w:p>
            <w:pPr>
              <w:jc w:val="left"/>
            </w:pPr>
            <w:r>
              <w:rPr>
                <w:rFonts w:ascii="Arial" w:hAnsi="Arial" w:eastAsia="PingFang SC"/>
                <w:sz w:val="17"/>
              </w:rPr>
              <w:t>有效且 &gt;=3 步</w:t>
            </w:r>
          </w:p>
        </w:tc>
        <w:tc>
          <w:tcPr>
            <w:tcW w:type="dxa" w:w="1928"/>
            <w:tcMar>
              <w:top w:w="28" w:type="dxa"/>
              <w:bottom w:w="28" w:type="dxa"/>
              <w:left w:w="90" w:type="dxa"/>
              <w:right w:w="90" w:type="dxa"/>
            </w:tcMar>
            <w:shd w:val="clear" w:color="auto" w:fill="F7FAFC"/>
          </w:tcPr>
          <w:p>
            <w:pPr>
              <w:jc w:val="center"/>
            </w:pPr>
            <w:r>
              <w:rPr>
                <w:rFonts w:ascii="Arial" w:hAnsi="Arial" w:eastAsia="PingFang SC"/>
                <w:sz w:val="17"/>
              </w:rPr>
              <w:t>301 (62.7%)</w:t>
            </w:r>
          </w:p>
        </w:tc>
        <w:tc>
          <w:tcPr>
            <w:tcW w:type="dxa" w:w="1928"/>
            <w:tcMar>
              <w:top w:w="28" w:type="dxa"/>
              <w:bottom w:w="28" w:type="dxa"/>
              <w:left w:w="90" w:type="dxa"/>
              <w:right w:w="90" w:type="dxa"/>
            </w:tcMar>
            <w:shd w:val="clear" w:color="auto" w:fill="F7FAFC"/>
          </w:tcPr>
          <w:p>
            <w:pPr>
              <w:jc w:val="center"/>
            </w:pPr>
            <w:r>
              <w:rPr>
                <w:rFonts w:ascii="Arial" w:hAnsi="Arial" w:eastAsia="PingFang SC"/>
                <w:sz w:val="17"/>
              </w:rPr>
              <w:t>162 (33.8%)</w:t>
            </w:r>
          </w:p>
        </w:tc>
        <w:tc>
          <w:tcPr>
            <w:tcW w:type="dxa" w:w="1928"/>
            <w:tcMar>
              <w:top w:w="28" w:type="dxa"/>
              <w:bottom w:w="28" w:type="dxa"/>
              <w:left w:w="90" w:type="dxa"/>
              <w:right w:w="90" w:type="dxa"/>
            </w:tcMar>
            <w:shd w:val="clear" w:color="auto" w:fill="F7FAFC"/>
          </w:tcPr>
          <w:p>
            <w:pPr>
              <w:jc w:val="center"/>
            </w:pPr>
            <w:r>
              <w:rPr>
                <w:rFonts w:ascii="Arial" w:hAnsi="Arial" w:eastAsia="PingFang SC"/>
                <w:sz w:val="17"/>
              </w:rPr>
              <w:t>28 (5.8%)</w:t>
            </w:r>
          </w:p>
        </w:tc>
      </w:tr>
      <w:tr>
        <w:trPr>
          <w:cantSplit/>
        </w:trPr>
        <w:tc>
          <w:tcPr>
            <w:tcW w:type="dxa" w:w="3515"/>
            <w:tcMar>
              <w:top w:w="28" w:type="dxa"/>
              <w:bottom w:w="28" w:type="dxa"/>
              <w:left w:w="90" w:type="dxa"/>
              <w:right w:w="90" w:type="dxa"/>
            </w:tcMar>
          </w:tcPr>
          <w:p>
            <w:pPr>
              <w:jc w:val="left"/>
            </w:pPr>
            <w:r>
              <w:rPr>
                <w:rFonts w:ascii="Arial" w:hAnsi="Arial" w:eastAsia="PingFang SC"/>
                <w:sz w:val="17"/>
              </w:rPr>
              <w:t>推理深度均值 (0-4)</w:t>
            </w:r>
          </w:p>
        </w:tc>
        <w:tc>
          <w:tcPr>
            <w:tcW w:type="dxa" w:w="1928"/>
            <w:tcMar>
              <w:top w:w="28" w:type="dxa"/>
              <w:bottom w:w="28" w:type="dxa"/>
              <w:left w:w="90" w:type="dxa"/>
              <w:right w:w="90" w:type="dxa"/>
            </w:tcMar>
          </w:tcPr>
          <w:p>
            <w:pPr>
              <w:jc w:val="center"/>
            </w:pPr>
            <w:r>
              <w:rPr>
                <w:rFonts w:ascii="Arial" w:hAnsi="Arial" w:eastAsia="PingFang SC"/>
                <w:sz w:val="17"/>
              </w:rPr>
              <w:t>2.94</w:t>
            </w:r>
          </w:p>
        </w:tc>
        <w:tc>
          <w:tcPr>
            <w:tcW w:type="dxa" w:w="1928"/>
            <w:tcMar>
              <w:top w:w="28" w:type="dxa"/>
              <w:bottom w:w="28" w:type="dxa"/>
              <w:left w:w="90" w:type="dxa"/>
              <w:right w:w="90" w:type="dxa"/>
            </w:tcMar>
          </w:tcPr>
          <w:p>
            <w:pPr>
              <w:jc w:val="center"/>
            </w:pPr>
            <w:r>
              <w:rPr>
                <w:rFonts w:ascii="Arial" w:hAnsi="Arial" w:eastAsia="PingFang SC"/>
                <w:sz w:val="17"/>
              </w:rPr>
              <w:t>2.34</w:t>
            </w:r>
          </w:p>
        </w:tc>
        <w:tc>
          <w:tcPr>
            <w:tcW w:type="dxa" w:w="1928"/>
            <w:tcMar>
              <w:top w:w="28" w:type="dxa"/>
              <w:bottom w:w="28" w:type="dxa"/>
              <w:left w:w="90" w:type="dxa"/>
              <w:right w:w="90" w:type="dxa"/>
            </w:tcMar>
          </w:tcPr>
          <w:p>
            <w:pPr>
              <w:jc w:val="center"/>
            </w:pPr>
            <w:r>
              <w:rPr>
                <w:rFonts w:ascii="Arial" w:hAnsi="Arial" w:eastAsia="PingFang SC"/>
                <w:sz w:val="17"/>
              </w:rPr>
              <w:t>1.93</w:t>
            </w:r>
          </w:p>
        </w:tc>
      </w:tr>
      <w:tr>
        <w:trPr>
          <w:cantSplit/>
        </w:trPr>
        <w:tc>
          <w:tcPr>
            <w:tcW w:type="dxa" w:w="3515"/>
            <w:tcMar>
              <w:top w:w="28" w:type="dxa"/>
              <w:bottom w:w="28" w:type="dxa"/>
              <w:left w:w="90" w:type="dxa"/>
              <w:right w:w="90" w:type="dxa"/>
            </w:tcMar>
            <w:shd w:val="clear" w:color="auto" w:fill="F7FAFC"/>
          </w:tcPr>
          <w:p>
            <w:pPr>
              <w:jc w:val="left"/>
            </w:pPr>
            <w:r>
              <w:rPr>
                <w:rFonts w:ascii="Arial" w:hAnsi="Arial" w:eastAsia="PingFang SC"/>
                <w:sz w:val="17"/>
              </w:rPr>
              <w:t>题面长度中位（字符）</w:t>
            </w:r>
          </w:p>
        </w:tc>
        <w:tc>
          <w:tcPr>
            <w:tcW w:type="dxa" w:w="1928"/>
            <w:tcMar>
              <w:top w:w="28" w:type="dxa"/>
              <w:bottom w:w="28" w:type="dxa"/>
              <w:left w:w="90" w:type="dxa"/>
              <w:right w:w="90" w:type="dxa"/>
            </w:tcMar>
            <w:shd w:val="clear" w:color="auto" w:fill="F7FAFC"/>
          </w:tcPr>
          <w:p>
            <w:pPr>
              <w:jc w:val="center"/>
            </w:pPr>
            <w:r>
              <w:rPr>
                <w:rFonts w:ascii="Arial" w:hAnsi="Arial" w:eastAsia="PingFang SC"/>
                <w:sz w:val="17"/>
              </w:rPr>
              <w:t>692</w:t>
            </w:r>
          </w:p>
        </w:tc>
        <w:tc>
          <w:tcPr>
            <w:tcW w:type="dxa" w:w="1928"/>
            <w:tcMar>
              <w:top w:w="28" w:type="dxa"/>
              <w:bottom w:w="28" w:type="dxa"/>
              <w:left w:w="90" w:type="dxa"/>
              <w:right w:w="90" w:type="dxa"/>
            </w:tcMar>
            <w:shd w:val="clear" w:color="auto" w:fill="F7FAFC"/>
          </w:tcPr>
          <w:p>
            <w:pPr>
              <w:jc w:val="center"/>
            </w:pPr>
            <w:r>
              <w:rPr>
                <w:rFonts w:ascii="Arial" w:hAnsi="Arial" w:eastAsia="PingFang SC"/>
                <w:sz w:val="17"/>
              </w:rPr>
              <w:t>321</w:t>
            </w:r>
          </w:p>
        </w:tc>
        <w:tc>
          <w:tcPr>
            <w:tcW w:type="dxa" w:w="1928"/>
            <w:tcMar>
              <w:top w:w="28" w:type="dxa"/>
              <w:bottom w:w="28" w:type="dxa"/>
              <w:left w:w="90" w:type="dxa"/>
              <w:right w:w="90" w:type="dxa"/>
            </w:tcMar>
            <w:shd w:val="clear" w:color="auto" w:fill="F7FAFC"/>
          </w:tcPr>
          <w:p>
            <w:pPr>
              <w:jc w:val="center"/>
            </w:pPr>
            <w:r>
              <w:rPr>
                <w:rFonts w:ascii="Arial" w:hAnsi="Arial" w:eastAsia="PingFang SC"/>
                <w:sz w:val="17"/>
              </w:rPr>
              <w:t>297</w:t>
            </w:r>
          </w:p>
        </w:tc>
      </w:tr>
      <w:tr>
        <w:trPr>
          <w:cantSplit/>
        </w:trPr>
        <w:tc>
          <w:tcPr>
            <w:tcW w:type="dxa" w:w="3515"/>
            <w:tcMar>
              <w:top w:w="28" w:type="dxa"/>
              <w:bottom w:w="28" w:type="dxa"/>
              <w:left w:w="90" w:type="dxa"/>
              <w:right w:w="90" w:type="dxa"/>
            </w:tcMar>
          </w:tcPr>
          <w:p>
            <w:pPr>
              <w:jc w:val="left"/>
            </w:pPr>
            <w:r>
              <w:rPr>
                <w:rFonts w:ascii="Arial" w:hAnsi="Arial" w:eastAsia="PingFang SC"/>
                <w:sz w:val="17"/>
              </w:rPr>
              <w:t>near-dup @0.8</w:t>
            </w:r>
          </w:p>
        </w:tc>
        <w:tc>
          <w:tcPr>
            <w:tcW w:type="dxa" w:w="1928"/>
            <w:tcMar>
              <w:top w:w="28" w:type="dxa"/>
              <w:bottom w:w="28" w:type="dxa"/>
              <w:left w:w="90" w:type="dxa"/>
              <w:right w:w="90" w:type="dxa"/>
            </w:tcMar>
          </w:tcPr>
          <w:p>
            <w:pPr>
              <w:jc w:val="center"/>
            </w:pPr>
            <w:r>
              <w:rPr>
                <w:rFonts w:ascii="Arial" w:hAnsi="Arial" w:eastAsia="PingFang SC"/>
                <w:sz w:val="17"/>
              </w:rPr>
              <w:t>3.0%</w:t>
            </w:r>
          </w:p>
        </w:tc>
        <w:tc>
          <w:tcPr>
            <w:tcW w:type="dxa" w:w="1928"/>
            <w:tcMar>
              <w:top w:w="28" w:type="dxa"/>
              <w:bottom w:w="28" w:type="dxa"/>
              <w:left w:w="90" w:type="dxa"/>
              <w:right w:w="90" w:type="dxa"/>
            </w:tcMar>
          </w:tcPr>
          <w:p>
            <w:pPr>
              <w:jc w:val="center"/>
            </w:pPr>
            <w:r>
              <w:rPr>
                <w:rFonts w:ascii="Arial" w:hAnsi="Arial" w:eastAsia="PingFang SC"/>
                <w:sz w:val="17"/>
              </w:rPr>
              <w:t>24.9%</w:t>
            </w:r>
          </w:p>
        </w:tc>
        <w:tc>
          <w:tcPr>
            <w:tcW w:type="dxa" w:w="1928"/>
            <w:tcMar>
              <w:top w:w="28" w:type="dxa"/>
              <w:bottom w:w="28" w:type="dxa"/>
              <w:left w:w="90" w:type="dxa"/>
              <w:right w:w="90" w:type="dxa"/>
            </w:tcMar>
          </w:tcPr>
          <w:p>
            <w:pPr>
              <w:jc w:val="center"/>
            </w:pPr>
            <w:r>
              <w:rPr>
                <w:rFonts w:ascii="Arial" w:hAnsi="Arial" w:eastAsia="PingFang SC"/>
                <w:sz w:val="17"/>
              </w:rPr>
              <w:t>6.2%</w:t>
            </w:r>
          </w:p>
        </w:tc>
      </w:tr>
      <w:tr>
        <w:trPr>
          <w:cantSplit/>
        </w:trPr>
        <w:tc>
          <w:tcPr>
            <w:tcW w:type="dxa" w:w="3515"/>
            <w:tcMar>
              <w:top w:w="28" w:type="dxa"/>
              <w:bottom w:w="28" w:type="dxa"/>
              <w:left w:w="90" w:type="dxa"/>
              <w:right w:w="90" w:type="dxa"/>
            </w:tcMar>
            <w:shd w:val="clear" w:color="auto" w:fill="F7FAFC"/>
          </w:tcPr>
          <w:p>
            <w:pPr>
              <w:jc w:val="left"/>
            </w:pPr>
            <w:r>
              <w:rPr>
                <w:rFonts w:ascii="Arial" w:hAnsi="Arial" w:eastAsia="PingFang SC"/>
                <w:sz w:val="17"/>
              </w:rPr>
              <w:t>每有效题 token（20/单位）</w:t>
            </w:r>
          </w:p>
        </w:tc>
        <w:tc>
          <w:tcPr>
            <w:tcW w:type="dxa" w:w="1928"/>
            <w:tcMar>
              <w:top w:w="28" w:type="dxa"/>
              <w:bottom w:w="28" w:type="dxa"/>
              <w:left w:w="90" w:type="dxa"/>
              <w:right w:w="90" w:type="dxa"/>
            </w:tcMar>
            <w:shd w:val="clear" w:color="auto" w:fill="F7FAFC"/>
          </w:tcPr>
          <w:p>
            <w:pPr>
              <w:jc w:val="center"/>
            </w:pPr>
            <w:r>
              <w:rPr>
                <w:rFonts w:ascii="Arial" w:hAnsi="Arial" w:eastAsia="PingFang SC"/>
                <w:sz w:val="17"/>
              </w:rPr>
              <w:t>12,267</w:t>
            </w:r>
          </w:p>
        </w:tc>
        <w:tc>
          <w:tcPr>
            <w:tcW w:type="dxa" w:w="1928"/>
            <w:tcMar>
              <w:top w:w="28" w:type="dxa"/>
              <w:bottom w:w="28" w:type="dxa"/>
              <w:left w:w="90" w:type="dxa"/>
              <w:right w:w="90" w:type="dxa"/>
            </w:tcMar>
            <w:shd w:val="clear" w:color="auto" w:fill="F7FAFC"/>
          </w:tcPr>
          <w:p>
            <w:pPr>
              <w:jc w:val="center"/>
            </w:pPr>
            <w:r>
              <w:rPr>
                <w:rFonts w:ascii="Arial" w:hAnsi="Arial" w:eastAsia="PingFang SC"/>
                <w:sz w:val="17"/>
              </w:rPr>
              <w:t>527</w:t>
            </w:r>
          </w:p>
        </w:tc>
        <w:tc>
          <w:tcPr>
            <w:tcW w:type="dxa" w:w="1928"/>
            <w:tcMar>
              <w:top w:w="28" w:type="dxa"/>
              <w:bottom w:w="28" w:type="dxa"/>
              <w:left w:w="90" w:type="dxa"/>
              <w:right w:w="90" w:type="dxa"/>
            </w:tcMar>
            <w:shd w:val="clear" w:color="auto" w:fill="F7FAFC"/>
          </w:tcPr>
          <w:p>
            <w:pPr>
              <w:jc w:val="center"/>
            </w:pPr>
            <w:r>
              <w:rPr>
                <w:rFonts w:ascii="Arial" w:hAnsi="Arial" w:eastAsia="PingFang SC"/>
                <w:sz w:val="17"/>
              </w:rPr>
              <w:t>4,571</w:t>
            </w:r>
          </w:p>
        </w:tc>
      </w:tr>
    </w:tbl>
    <w:p>
      <w:pPr>
        <w:spacing w:before="60" w:after="200"/>
        <w:jc w:val="center"/>
      </w:pPr>
      <w:r>
        <w:rPr>
          <w:rFonts w:ascii="Arial" w:hAnsi="Arial" w:eastAsia="PingFang SC"/>
          <w:i/>
          <w:color w:val="718096"/>
          <w:sz w:val="16"/>
        </w:rPr>
        <w:t>百分比按槽位计（分母 480）；near-dup 是在每条件 1,284 个 matched 题上算的，不是 480 个盲评槽位。配对差为 seed 宏平均；推断按 seed 配对（Wilcoxon，21 项 Holm，2,000 次 seed bootstrap）。</w:t>
      </w:r>
    </w:p>
    <w:p>
      <w:pPr>
        <w:spacing w:after="100" w:line="300" w:lineRule="auto"/>
        <w:jc w:val="both"/>
      </w:pPr>
      <w:r>
        <w:rPr>
          <w:rFonts w:ascii="Arial" w:hAnsi="Arial" w:eastAsia="PingFang SC"/>
          <w:b/>
          <w:sz w:val="19"/>
        </w:rPr>
        <w:t>对 B1</w:t>
      </w:r>
      <w:r>
        <w:rPr>
          <w:rFonts w:ascii="Arial" w:hAnsi="Arial" w:eastAsia="PingFang SC"/>
          <w:sz w:val="19"/>
        </w:rPr>
        <w:t>，PF 在有效率（+0.484 [+0.406, +0.556]，p = 5.0e-14）与深度（+0.844）上明显更好。B1 的失败是静默的：71.7% 的题无效，却只有 1 题无输出，344 道无效题里 331 道规范答案错误。执行接地是决定性因素，B1 不是强基线。</w:t>
      </w:r>
    </w:p>
    <w:p>
      <w:pPr>
        <w:spacing w:after="100" w:line="300" w:lineRule="auto"/>
        <w:jc w:val="both"/>
      </w:pPr>
      <w:r>
        <w:rPr>
          <w:rFonts w:ascii="Arial" w:hAnsi="Arial" w:eastAsia="PingFang SC"/>
          <w:b/>
          <w:sz w:val="19"/>
        </w:rPr>
        <w:t>对 B2</w:t>
      </w:r>
      <w:r>
        <w:rPr>
          <w:rFonts w:ascii="Arial" w:hAnsi="Arial" w:eastAsia="PingFang SC"/>
          <w:sz w:val="19"/>
        </w:rPr>
        <w:t>，有效率持平：生成器级 0.775 vs 0.774；seed 级 +0.027 [-0.054, +0.114]，去掉 B2 五个零产出 seed 后变为 -0.010。PF 的优势在产出率：62.7% vs 33.8% 的槽位产出一道有效且 &gt;=3 步的题（1.86 倍；单位匹配后 63.8% [56.6, 70.5] vs 33.8%）。</w:t>
      </w:r>
    </w:p>
    <w:p>
      <w:pPr>
        <w:keepNext/>
        <w:spacing w:before="160" w:after="40"/>
        <w:jc w:val="center"/>
      </w:pPr>
      <w:r>
        <w:drawing>
          <wp:inline xmlns:a="http://schemas.openxmlformats.org/drawingml/2006/main" xmlns:pic="http://schemas.openxmlformats.org/drawingml/2006/picture">
            <wp:extent cx="4608000" cy="3446596"/>
            <wp:docPr id="5" name="Picture 5"/>
            <wp:cNvGraphicFramePr>
              <a:graphicFrameLocks noChangeAspect="1"/>
            </wp:cNvGraphicFramePr>
            <a:graphic>
              <a:graphicData uri="http://schemas.openxmlformats.org/drawingml/2006/picture">
                <pic:pic>
                  <pic:nvPicPr>
                    <pic:cNvPr id="0" name="fig1_validity.png"/>
                    <pic:cNvPicPr/>
                  </pic:nvPicPr>
                  <pic:blipFill>
                    <a:blip r:embed="rId11"/>
                    <a:stretch>
                      <a:fillRect/>
                    </a:stretch>
                  </pic:blipFill>
                  <pic:spPr>
                    <a:xfrm>
                      <a:off x="0" y="0"/>
                      <a:ext cx="4608000" cy="3446596"/>
                    </a:xfrm>
                    <a:prstGeom prst="rect"/>
                  </pic:spPr>
                </pic:pic>
              </a:graphicData>
            </a:graphic>
          </wp:inline>
        </w:drawing>
      </w:r>
    </w:p>
    <w:p>
      <w:pPr>
        <w:spacing w:before="60" w:after="200"/>
        <w:jc w:val="center"/>
      </w:pPr>
      <w:r>
        <w:rPr>
          <w:rFonts w:ascii="Arial" w:hAnsi="Arial" w:eastAsia="PingFang SC"/>
          <w:i/>
          <w:color w:val="718096"/>
          <w:sz w:val="16"/>
        </w:rPr>
        <w:t>图 1. 三条流水线的盲评有效率（每组 480 题；柱为 seed 宏平均，须为 2,000 次 seed bootstrap 的 95% 区间）。</w:t>
      </w:r>
    </w:p>
    <w:p>
      <w:pPr>
        <w:spacing w:after="100" w:line="300" w:lineRule="auto"/>
        <w:jc w:val="both"/>
      </w:pPr>
      <w:r>
        <w:rPr>
          <w:rFonts w:ascii="Arial" w:hAnsi="Arial" w:eastAsia="PingFang SC"/>
          <w:sz w:val="19"/>
        </w:rPr>
        <w:t>PF 的题面也约长一倍（中位 692 vs 321 字符），所以我们直接检验长度混杂，而不是只依赖一个模型。原始深度差 +0.602；OLS 加 log(length) 为 +0.418；严格匹配更保守：最近邻（caliper 0.5）+0.439 [+0.150, +0.764]；按 seed × 长度五分位的 CEM +0.207 [-0.020, +0.443]，最高长度分位基本持平（-0.14）。单小问子组（排除"PF 只是把小问拼在一起"）给出 +0.541 [+0.353, +0.827]（原始）与 +0.548 [+0.120, +0.900]（长度匹配）。</w:t>
      </w:r>
      <w:r>
        <w:rPr>
          <w:rFonts w:ascii="Arial" w:hAnsi="Arial" w:eastAsia="PingFang SC"/>
          <w:b/>
          <w:sz w:val="19"/>
        </w:rPr>
        <w:t>因此我们以 depth 作为支持性证据，主主张落在 &gt;=3 步产出率上：</w:t>
      </w:r>
      <w:r>
        <w:rPr>
          <w:rFonts w:ascii="Arial" w:hAnsi="Arial" w:eastAsia="PingFang SC"/>
          <w:sz w:val="19"/>
        </w:rPr>
        <w:t xml:space="preserve"> 把 B2 按 PF 的长度分布标准化后 +24.6 pp [+11.6, +35.9]；严格最近邻匹配后 +15.8 pp [-1.2, +33.7]。方向在所有设定下一致；严格匹配的重叠较少、估计更小，但方向不变。</w:t>
      </w:r>
    </w:p>
    <w:p>
      <w:pPr>
        <w:keepNext/>
        <w:spacing w:before="160" w:after="40"/>
        <w:jc w:val="center"/>
      </w:pPr>
      <w:r>
        <w:drawing>
          <wp:inline xmlns:a="http://schemas.openxmlformats.org/drawingml/2006/main" xmlns:pic="http://schemas.openxmlformats.org/drawingml/2006/picture">
            <wp:extent cx="5760000" cy="2714400"/>
            <wp:docPr id="6" name="Picture 6"/>
            <wp:cNvGraphicFramePr>
              <a:graphicFrameLocks noChangeAspect="1"/>
            </wp:cNvGraphicFramePr>
            <a:graphic>
              <a:graphicData uri="http://schemas.openxmlformats.org/drawingml/2006/picture">
                <pic:pic>
                  <pic:nvPicPr>
                    <pic:cNvPr id="0" name="fig3_length.png"/>
                    <pic:cNvPicPr/>
                  </pic:nvPicPr>
                  <pic:blipFill>
                    <a:blip r:embed="rId12"/>
                    <a:stretch>
                      <a:fillRect/>
                    </a:stretch>
                  </pic:blipFill>
                  <pic:spPr>
                    <a:xfrm>
                      <a:off x="0" y="0"/>
                      <a:ext cx="5760000" cy="2714400"/>
                    </a:xfrm>
                    <a:prstGeom prst="rect"/>
                  </pic:spPr>
                </pic:pic>
              </a:graphicData>
            </a:graphic>
          </wp:inline>
        </w:drawing>
      </w:r>
    </w:p>
    <w:p>
      <w:pPr>
        <w:spacing w:before="60" w:after="200"/>
        <w:jc w:val="center"/>
      </w:pPr>
      <w:r>
        <w:rPr>
          <w:rFonts w:ascii="Arial" w:hAnsi="Arial" w:eastAsia="PingFang SC"/>
          <w:i/>
          <w:color w:val="718096"/>
          <w:sz w:val="16"/>
        </w:rPr>
        <w:t>图 2. 按题面长度五分位分层的 depth（仅有效题）与每槽位 &gt;=3 步产出率。PF 在每个分位的产出率都更高；B2 只在 Q5 的 depth 追平，而 Q5 的 B2 只有 16 道有效题。</w:t>
      </w:r>
    </w:p>
    <w:p>
      <w:pPr>
        <w:spacing w:after="100" w:line="300" w:lineRule="auto"/>
        <w:jc w:val="both"/>
      </w:pPr>
      <w:r>
        <w:rPr>
          <w:rFonts w:ascii="Arial" w:hAnsi="Arial" w:eastAsia="PingFang SC"/>
          <w:b/>
          <w:sz w:val="19"/>
        </w:rPr>
        <w:t>多样性。</w:t>
      </w:r>
      <w:r>
        <w:rPr>
          <w:rFonts w:ascii="Arial" w:hAnsi="Arial" w:eastAsia="PingFang SC"/>
          <w:sz w:val="19"/>
        </w:rPr>
        <w:t xml:space="preserve"> 单位匹配（PF = 生成器，B2/B1 = seed）后，near-dup @0.8 是 13.2% vs 24.9%；约束标签集合相同 30.2% vs 53.1%；推理标签集合相同 46.1% vs 56.8%。PF 的 seed 级 3.0% 部分是"5 道题来自 3 个生成器"的混合效应，我们做了校正。对 B1，PF 的 near-dup 更高（13.2% vs 6.2%），但两个 tag 集指标都更好；B1 的题面也更短。</w:t>
      </w:r>
    </w:p>
    <w:p>
      <w:pPr>
        <w:spacing w:after="100" w:line="300" w:lineRule="auto"/>
        <w:jc w:val="both"/>
      </w:pPr>
      <w:r>
        <w:rPr>
          <w:rFonts w:ascii="Arial" w:hAnsi="Arial" w:eastAsia="PingFang SC"/>
          <w:b/>
          <w:sz w:val="19"/>
        </w:rPr>
        <w:t>成本。</w:t>
      </w:r>
      <w:r>
        <w:rPr>
          <w:rFonts w:ascii="Arial" w:hAnsi="Arial" w:eastAsia="PingFang SC"/>
          <w:sz w:val="19"/>
        </w:rPr>
        <w:t xml:space="preserve"> 按论文的 200 实例/单位尺度，PF 每有效题 1,227 token，B2 是 50，B1 是 4,571；按 20 实例/单位，分别是 12,267、527、4,571。PF/B2 在两个尺度上都是 ~23-25 倍；PF 的 spec 成本是 0.34-0.55M token/seed，B2 是 7.7k（45-70 倍）。成本是 trade-off：PF 多出的预算买到的是 &gt;=3 步产出与结构多样性。我们明确报告这一点，不声称成本优势；上一版把 PF 的 200 实例/generator 与 B2 的 20 实例/seed 放在同一行，修正后的表把两者放在同一摊销尺度。</w:t>
      </w:r>
    </w:p>
    <w:p>
      <w:pPr>
        <w:keepNext/>
        <w:spacing w:before="160" w:after="40"/>
        <w:jc w:val="center"/>
      </w:pPr>
      <w:r>
        <w:drawing>
          <wp:inline xmlns:a="http://schemas.openxmlformats.org/drawingml/2006/main" xmlns:pic="http://schemas.openxmlformats.org/drawingml/2006/picture">
            <wp:extent cx="5400000" cy="2667162"/>
            <wp:docPr id="7" name="Picture 7"/>
            <wp:cNvGraphicFramePr>
              <a:graphicFrameLocks noChangeAspect="1"/>
            </wp:cNvGraphicFramePr>
            <a:graphic>
              <a:graphicData uri="http://schemas.openxmlformats.org/drawingml/2006/picture">
                <pic:pic>
                  <pic:nvPicPr>
                    <pic:cNvPr id="0" name="fig4_cost.png"/>
                    <pic:cNvPicPr/>
                  </pic:nvPicPr>
                  <pic:blipFill>
                    <a:blip r:embed="rId13"/>
                    <a:stretch>
                      <a:fillRect/>
                    </a:stretch>
                  </pic:blipFill>
                  <pic:spPr>
                    <a:xfrm>
                      <a:off x="0" y="0"/>
                      <a:ext cx="5400000" cy="2667162"/>
                    </a:xfrm>
                    <a:prstGeom prst="rect"/>
                  </pic:spPr>
                </pic:pic>
              </a:graphicData>
            </a:graphic>
          </wp:inline>
        </w:drawing>
      </w:r>
    </w:p>
    <w:p>
      <w:pPr>
        <w:spacing w:before="60" w:after="200"/>
        <w:jc w:val="center"/>
      </w:pPr>
      <w:r>
        <w:rPr>
          <w:rFonts w:ascii="Arial" w:hAnsi="Arial" w:eastAsia="PingFang SC"/>
          <w:i/>
          <w:color w:val="718096"/>
          <w:sz w:val="16"/>
        </w:rPr>
        <w:t>图 3. 两个摊销尺度下每道有效题的生成 token。PF/B2 在两个尺度上都是 ~25 倍；B2 在 200 实例/单位下是 50，这是设计尺度的数字。</w:t>
      </w:r>
    </w:p>
    <w:p>
      <w:pPr>
        <w:spacing w:after="100" w:line="300" w:lineRule="auto"/>
        <w:jc w:val="both"/>
      </w:pPr>
      <w:r>
        <w:rPr>
          <w:rFonts w:ascii="Arial" w:hAnsi="Arial" w:eastAsia="PingFang SC"/>
          <w:b/>
          <w:sz w:val="19"/>
        </w:rPr>
        <w:t>评审可靠性。</w:t>
      </w:r>
      <w:r>
        <w:rPr>
          <w:rFonts w:ascii="Arial" w:hAnsi="Arial" w:eastAsia="PingFang SC"/>
          <w:sz w:val="19"/>
        </w:rPr>
        <w:t xml:space="preserve"> 在 560 道交叉子样本上（两个家族看到同样的 3 个 solver 尝试，每个模型一个 verdict），exact agreement 83.4%，Cohen's kappa 0.67。两个家族的严格度不同：PF 的 invalid 率在 </w:t>
      </w:r>
      <w:r>
        <w:rPr>
          <w:rFonts w:ascii="Consolas" w:hAnsi="Consolas" w:eastAsia="PingFang SC"/>
          <w:color w:val="2D3748"/>
          <w:sz w:val="18"/>
        </w:rPr>
        <w:t>gpt-5.6-luna</w:t>
      </w:r>
      <w:r>
        <w:rPr>
          <w:rFonts w:ascii="Arial" w:hAnsi="Arial" w:eastAsia="PingFang SC"/>
          <w:sz w:val="19"/>
        </w:rPr>
        <w:t xml:space="preserve"> 下是 30.9%，在 </w:t>
      </w:r>
      <w:r>
        <w:rPr>
          <w:rFonts w:ascii="Consolas" w:hAnsi="Consolas" w:eastAsia="PingFang SC"/>
          <w:color w:val="2D3748"/>
          <w:sz w:val="18"/>
        </w:rPr>
        <w:t>gemini-3.1-pro-preview</w:t>
      </w:r>
      <w:r>
        <w:rPr>
          <w:rFonts w:ascii="Arial" w:hAnsi="Arial" w:eastAsia="PingFang SC"/>
          <w:sz w:val="19"/>
        </w:rPr>
        <w:t xml:space="preserve"> 下是 12.6%；PF−B2 的有效率差随 judge 翻符号（luna 0.686 vs 0.730；gemini 0.863 vs 0.789）。B1 在两个家族下分别是 25.5% 与 27.5% valid，即 72-74% invalid。</w:t>
      </w:r>
      <w:r>
        <w:rPr>
          <w:rFonts w:ascii="Arial" w:hAnsi="Arial" w:eastAsia="PingFang SC"/>
          <w:b/>
          <w:sz w:val="19"/>
        </w:rPr>
        <w:t>因此 PF−B2 的有效率差在 judge 噪声内，B1 的差距不在。</w:t>
      </w:r>
      <w:r>
        <w:rPr>
          <w:rFonts w:ascii="Arial" w:hAnsi="Arial" w:eastAsia="PingFang SC"/>
          <w:sz w:val="19"/>
        </w:rPr>
        <w:t xml:space="preserve"> 两家都判 valid 的题上，depth 差是 +0.729（luna）与 +0.536（gemini）。</w:t>
      </w:r>
    </w:p>
    <w:p>
      <w:pPr>
        <w:keepNext/>
        <w:spacing w:before="160" w:after="40"/>
        <w:jc w:val="center"/>
      </w:pPr>
      <w:r>
        <w:drawing>
          <wp:inline xmlns:a="http://schemas.openxmlformats.org/drawingml/2006/main" xmlns:pic="http://schemas.openxmlformats.org/drawingml/2006/picture">
            <wp:extent cx="5400000" cy="2831068"/>
            <wp:docPr id="8" name="Picture 8"/>
            <wp:cNvGraphicFramePr>
              <a:graphicFrameLocks noChangeAspect="1"/>
            </wp:cNvGraphicFramePr>
            <a:graphic>
              <a:graphicData uri="http://schemas.openxmlformats.org/drawingml/2006/picture">
                <pic:pic>
                  <pic:nvPicPr>
                    <pic:cNvPr id="0" name="fig2_judges.png"/>
                    <pic:cNvPicPr/>
                  </pic:nvPicPr>
                  <pic:blipFill>
                    <a:blip r:embed="rId14"/>
                    <a:stretch>
                      <a:fillRect/>
                    </a:stretch>
                  </pic:blipFill>
                  <pic:spPr>
                    <a:xfrm>
                      <a:off x="0" y="0"/>
                      <a:ext cx="5400000" cy="2831068"/>
                    </a:xfrm>
                    <a:prstGeom prst="rect"/>
                  </pic:spPr>
                </pic:pic>
              </a:graphicData>
            </a:graphic>
          </wp:inline>
        </w:drawing>
      </w:r>
    </w:p>
    <w:p>
      <w:pPr>
        <w:spacing w:before="60" w:after="200"/>
        <w:jc w:val="center"/>
      </w:pPr>
      <w:r>
        <w:rPr>
          <w:rFonts w:ascii="Arial" w:hAnsi="Arial" w:eastAsia="PingFang SC"/>
          <w:i/>
          <w:color w:val="718096"/>
          <w:sz w:val="16"/>
        </w:rPr>
        <w:t>图 4. 560 题重叠样本上两个评审家族的有效率。横条从 strict（两家都判 valid）到 liberal（任一家判 valid）；点是两个家族。B1 在两个家族下都远低于 PF/B2。</w:t>
      </w:r>
    </w:p>
    <w:tbl>
      <w:tblPr>
        <w:tblW w:type="auto" w:w="0"/>
        <w:jc w:val="center"/>
        <w:tblLayout w:type="fixed"/>
        <w:tblLook w:firstColumn="1" w:firstRow="1" w:lastColumn="0" w:lastRow="0" w:noHBand="0" w:noVBand="1" w:val="04A0"/>
        <w:tblBorders>
          <w:top w:val="single" w:sz="10" w:space="0" w:color="DD6B20"/>
          <w:left w:val="single" w:sz="10" w:space="0" w:color="DD6B20"/>
          <w:bottom w:val="single" w:sz="10" w:space="0" w:color="DD6B20"/>
          <w:right w:val="single" w:sz="10" w:space="0" w:color="DD6B20"/>
        </w:tblBorders>
      </w:tblPr>
      <w:tblGrid>
        <w:gridCol w:w="9184"/>
      </w:tblGrid>
      <w:tr>
        <w:trPr>
          <w:cantSplit/>
        </w:trPr>
        <w:tc>
          <w:tcPr>
            <w:tcW w:type="dxa" w:w="9184"/>
            <w:shd w:val="clear" w:color="auto" w:fill="FFFAF0"/>
            <w:tcMar>
              <w:top w:w="120" w:type="dxa"/>
              <w:bottom w:w="120" w:type="dxa"/>
              <w:left w:w="180" w:type="dxa"/>
              <w:right w:w="180" w:type="dxa"/>
            </w:tcMar>
          </w:tcPr>
          <w:p>
            <w:pPr>
              <w:spacing w:after="80"/>
            </w:pPr>
            <w:r>
              <w:rPr>
                <w:rFonts w:ascii="Arial" w:hAnsi="Arial" w:eastAsia="PingFang SC"/>
                <w:b/>
                <w:color w:val="C05621"/>
                <w:sz w:val="20"/>
              </w:rPr>
              <w:t>23.1% 背后的两个真实例子</w:t>
            </w:r>
          </w:p>
          <w:p>
            <w:pPr>
              <w:spacing w:after="60" w:line="288" w:lineRule="auto"/>
            </w:pPr>
            <w:r>
              <w:rPr>
                <w:rFonts w:ascii="Arial" w:hAnsi="Arial" w:eastAsia="PingFang SC"/>
                <w:sz w:val="18"/>
              </w:rPr>
              <w:t>judge 判 PF 发布 test set 的 111/480（23.1%）为 invalid，其中 89 道是规范答案错误。两个真实例子说明这个数字需要拆开看。</w:t>
            </w:r>
            <w:r>
              <w:rPr>
                <w:rFonts w:ascii="Consolas" w:hAnsi="Consolas" w:eastAsia="PingFang SC"/>
                <w:color w:val="2D3748"/>
                <w:sz w:val="17"/>
              </w:rPr>
              <w:t>PF / operation_21/08</w:t>
            </w:r>
            <w:r>
              <w:rPr>
                <w:rFonts w:ascii="Arial" w:hAnsi="Arial" w:eastAsia="PingFang SC"/>
                <w:sz w:val="18"/>
              </w:rPr>
              <w:t xml:space="preserve"> 是一道可分离三角多项式在矩形区域上的二重积分题，发布答案是 </w:t>
            </w:r>
            <w:r>
              <w:rPr>
                <w:rFonts w:ascii="Consolas" w:hAnsi="Consolas" w:eastAsia="PingFang SC"/>
                <w:color w:val="2D3748"/>
                <w:sz w:val="17"/>
              </w:rPr>
              <w:t>[[0.133046]]</w:t>
            </w:r>
            <w:r>
              <w:rPr>
                <w:rFonts w:ascii="Arial" w:hAnsi="Arial" w:eastAsia="PingFang SC"/>
                <w:sz w:val="18"/>
              </w:rPr>
              <w:t xml:space="preserve">，独立计算是 </w:t>
            </w:r>
            <w:r>
              <w:rPr>
                <w:rFonts w:ascii="Consolas" w:hAnsi="Consolas" w:eastAsia="PingFang SC"/>
                <w:color w:val="2D3748"/>
                <w:sz w:val="17"/>
              </w:rPr>
              <w:t>[[-0.133046]]</w:t>
            </w:r>
            <w:r>
              <w:rPr>
                <w:rFonts w:ascii="Arial" w:hAnsi="Arial" w:eastAsia="PingFang SC"/>
                <w:sz w:val="18"/>
              </w:rPr>
              <w:t>：符号错误，真正无效的题。</w:t>
            </w:r>
            <w:r>
              <w:rPr>
                <w:rFonts w:ascii="Consolas" w:hAnsi="Consolas" w:eastAsia="PingFang SC"/>
                <w:color w:val="2D3748"/>
                <w:sz w:val="17"/>
              </w:rPr>
              <w:t>PF / number_wall/14</w:t>
            </w:r>
            <w:r>
              <w:rPr>
                <w:rFonts w:ascii="Arial" w:hAnsi="Arial" w:eastAsia="PingFang SC"/>
                <w:sz w:val="18"/>
              </w:rPr>
              <w:t xml:space="preserve"> 是一道复利题（2433 元按 3% 季度复利存 3 年，再加 3723 元按 6% 季度复利存 4 年），发布答案是 </w:t>
            </w:r>
            <w:r>
              <w:rPr>
                <w:rFonts w:ascii="Consolas" w:hAnsi="Consolas" w:eastAsia="PingFang SC"/>
                <w:color w:val="2D3748"/>
                <w:sz w:val="17"/>
              </w:rPr>
              <w:t>7946.95</w:t>
            </w:r>
            <w:r>
              <w:rPr>
                <w:rFonts w:ascii="Arial" w:hAnsi="Arial" w:eastAsia="PingFang SC"/>
                <w:sz w:val="18"/>
              </w:rPr>
              <w:t xml:space="preserve">，计算值是 </w:t>
            </w:r>
            <w:r>
              <w:rPr>
                <w:rFonts w:ascii="Consolas" w:hAnsi="Consolas" w:eastAsia="PingFang SC"/>
                <w:color w:val="2D3748"/>
                <w:sz w:val="17"/>
              </w:rPr>
              <w:t>7946.9444</w:t>
            </w:r>
            <w:r>
              <w:rPr>
                <w:rFonts w:ascii="Arial" w:hAnsi="Arial" w:eastAsia="PingFang SC"/>
                <w:sz w:val="18"/>
              </w:rPr>
              <w:t xml:space="preserve">，四舍五入应为 </w:t>
            </w:r>
            <w:r>
              <w:rPr>
                <w:rFonts w:ascii="Consolas" w:hAnsi="Consolas" w:eastAsia="PingFang SC"/>
                <w:color w:val="2D3748"/>
                <w:sz w:val="17"/>
              </w:rPr>
              <w:t>7946.94</w:t>
            </w:r>
            <w:r>
              <w:rPr>
                <w:rFonts w:ascii="Arial" w:hAnsi="Arial" w:eastAsia="PingFang SC"/>
                <w:sz w:val="18"/>
              </w:rPr>
              <w:t>：0.01 的舍入差，属于瑕疵，不是坏题。两者都被算作 invalid，所以 23.1% 是混合了"实质错误"与"瑕疵"的偏高代理。跨家族 panel 显示同样的敏感性：PF 的 invalid 率在 luna 下 30.9%、gemini 下 12.6%，而 B1 在两个家族下都是 72-74%。修订版会把两类错误分开报告，并修正发布标签。</w:t>
            </w:r>
          </w:p>
        </w:tc>
      </w:tr>
    </w:tbl>
    <w:p>
      <w:pPr>
        <w:spacing w:after="40"/>
      </w:pPr>
    </w:p>
    <w:p>
      <w:pPr>
        <w:spacing w:after="100" w:line="300" w:lineRule="auto"/>
        <w:jc w:val="both"/>
      </w:pPr>
      <w:r>
        <w:rPr>
          <w:rFonts w:ascii="Arial" w:hAnsi="Arial" w:eastAsia="PingFang SC"/>
          <w:b/>
          <w:sz w:val="19"/>
        </w:rPr>
        <w:t>定位。</w:t>
      </w:r>
      <w:r>
        <w:rPr>
          <w:rFonts w:ascii="Arial" w:hAnsi="Arial" w:eastAsia="PingFang SC"/>
          <w:sz w:val="19"/>
        </w:rPr>
        <w:t xml:space="preserve"> 我们同意定位要写清楚，新增的比较让我们可以写得更精确。框架的贡献是每 seed 产出的 &gt;=3 步题比例与结构多样性；代价是 ~25 倍生成 token，有效率与最强的一遍生成器基线持平。修订版会把这条作为框架级贡献与数据集贡献并列，补上生成器级与长度匹配的表，并同步改写 abstract 与 intro。这比笼统的"框架更优"更精确、也更站得住。</w:t>
      </w:r>
    </w:p>
    <w:p>
      <w:pPr>
        <w:spacing w:after="100" w:line="300" w:lineRule="auto"/>
        <w:jc w:val="both"/>
      </w:pPr>
      <w:r>
        <w:rPr>
          <w:rFonts w:ascii="Arial" w:hAnsi="Arial" w:eastAsia="PingFang SC"/>
          <w:sz w:val="19"/>
        </w:rPr>
        <w:t>prompt、生成器、trace、盲评 key 与逐请求 token 账本随论文与修订版释放。</w:t>
      </w:r>
    </w:p>
    <w:sectPr w:rsidR="00FC693F" w:rsidRPr="0006063C" w:rsidSect="00034616">
      <w:headerReference w:type="default" r:id="rId9"/>
      <w:footerReference w:type="default" r:id="rId10"/>
      <w:pgSz w:w="11906" w:h="16838"/>
      <w:pgMar w:top="1134" w:right="1247" w:bottom="1020" w:left="124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18096"/>
        <w:sz w:val="16"/>
      </w:rPr>
      <w:t xml:space="preserve">Page </w:t>
    </w:r>
    <w:r>
      <w:rPr>
        <w:rFonts w:ascii="Arial" w:hAnsi="Arial" w:eastAsia="Arial"/>
        <w:color w:val="71809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718096"/>
        <w:sz w:val="16"/>
      </w:rPr>
      <w:t>PuzzleForge  ·  Response to Reviewer Comment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PingFang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PuzzleForge: Response to Reviewer Comment 4</dc:title>
  <dc:subject>Illustrated rebuttal</dc:subject>
  <dc:creator>PuzzleForge 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