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b/>
          <w:bCs/>
        </w:rPr>
        <w:t xml:space="preserve">All-Possibility Hierarchical Filtering Simulation (APHFS):</w:t>
      </w:r>
      <w:r>
        <w:br/>
      </w:r>
      <w:r>
        <w:rPr>
          <w:b/>
          <w:bCs/>
        </w:rPr>
        <w:t xml:space="preserve">A Resource-Bounded Framework from Executable Rules</w:t>
      </w:r>
      <w:r>
        <w:br/>
      </w:r>
      <w:r>
        <w:rPr>
          <w:b/>
          <w:bCs/>
        </w:rPr>
        <w:t xml:space="preserve">toward Multiscale Biology, Aging, and</w:t>
      </w:r>
      <w:r>
        <w:br/>
      </w:r>
      <w:r>
        <w:rPr>
          <w:b/>
          <w:bCs/>
        </w:rPr>
        <w:t xml:space="preserve">Rejuvenation Research</w:t>
      </w:r>
      <w:r>
        <w:rPr>
          <w:rFonts w:ascii="Calibri" w:hAnsi="Calibri" w:eastAsia="Calibri" w:cs="Calibri"/>
          <w:b w:val="0"/>
          <w:i/>
          <w:color w:val="1F4D78"/>
          <w:sz w:val="23"/>
        </w:rPr>
      </w:r>
    </w:p>
    <w:p>
      <w:pPr>
        <w:pStyle w:val="Author"/>
        <w:widowControl/>
      </w:pPr>
      <w:r>
        <w:rPr>
          <w:b/>
          <w:bCs/>
        </w:rPr>
        <w:t xml:space="preserve">Mingyuan Chen</w:t>
      </w:r>
      <w:r>
        <w:br/>
      </w:r>
      <w:r>
        <w:t xml:space="preserve">Department of Biochemistry and Molecular Biology, Johns Hopkins Bloomberg School of Public Health,</w:t>
      </w:r>
      <w:r>
        <w:br/>
      </w:r>
      <w:r>
        <w:t xml:space="preserve">Johns Hopkins University, Baltimore, Maryland, USA</w:t>
      </w:r>
      <w:r>
        <w:br/>
      </w:r>
      <w:r>
        <w:t xml:space="preserve">Correspondence:</w:t>
      </w:r>
      <w:r>
        <w:t xml:space="preserve"> </w:t>
      </w:r>
      <w:hyperlink r:id="rId9">
        <w:r>
          <w:rPr>
            <w:rStyle w:val="VerbatimChar"/>
          </w:rPr>
          <w:t xml:space="preserve">a515006420@gmail.com</w:t>
        </w:r>
      </w:hyperlink>
    </w:p>
    <w:p>
      <w:pPr>
        <w:pStyle w:val="Date"/>
        <w:widowControl/>
      </w:pPr>
      <w:r>
        <w:t xml:space="preserve">3 September 2026</w:t>
      </w:r>
    </w:p>
    <w:p>
      <w:pPr>
        <w:pStyle w:val="AbstractTitle"/>
        <w:keepNext/>
        <w:widowControl/>
        <w:spacing w:before="80" w:after="60"/>
        <w:jc w:val="center"/>
      </w:pPr>
      <w:r>
        <w:rPr>
          <w:rFonts w:ascii="Calibri" w:hAnsi="Calibri" w:eastAsia="Calibri" w:cs="Calibri"/>
          <w:b/>
          <w:color w:val="142337"/>
          <w:sz w:val="20"/>
        </w:rPr>
        <w:t xml:space="preserve">Abstract</w:t>
      </w:r>
    </w:p>
    <w:p>
      <w:pPr>
        <w:pStyle w:val="Abstract"/>
        <w:widowControl/>
      </w:pPr>
      <w:r>
        <w:t xml:space="preserve">Scientific models begin as imagined explanations; mathematics makes them executable, whereas</w:t>
      </w:r>
      <w:r>
        <w:t xml:space="preserve"> </w:t>
      </w:r>
      <w:r>
        <w:t xml:space="preserve">evidence determines which remain tenable. All-Possibility Hierarchical Filtering Simulation</w:t>
      </w:r>
      <w:r>
        <w:t xml:space="preserve"> </w:t>
      </w:r>
      <w:r>
        <w:t xml:space="preserve">(APHFS) joins bottom-up candidate generation to top-down reality constraints.</w:t>
      </w:r>
      <w:r>
        <w:t xml:space="preserve"> </w:t>
      </w:r>
      <w:r>
        <w:t xml:space="preserve">“All”</w:t>
      </w:r>
      <w:r>
        <w:t xml:space="preserve"> </w:t>
      </w:r>
      <w:r>
        <w:t xml:space="preserve">is local:</w:t>
      </w:r>
      <w:r>
        <w:t xml:space="preserve"> </w:t>
      </w:r>
      <w:r>
        <w:t xml:space="preserve">within a declared finite grammar, resource envelope, and precision policy, every address receives</w:t>
      </w:r>
      <w:r>
        <w:t xml:space="preserve"> </w:t>
      </w:r>
      <w:r>
        <w:t xml:space="preserve">a terminal account. The framework preserves observational ambiguity, rejects an inadequate class</w:t>
      </w:r>
      <w:r>
        <w:t xml:space="preserve"> </w:t>
      </w:r>
      <w:r>
        <w:t xml:space="preserve">only under complete simultaneous bounds, and otherwise permits an indeterminate result. It</w:t>
      </w:r>
      <w:r>
        <w:t xml:space="preserve"> </w:t>
      </w:r>
      <w:r>
        <w:t xml:space="preserve">withholds coarse-graining until specified upper-level observables and decisions remain stable</w:t>
      </w:r>
      <w:r>
        <w:t xml:space="preserve"> </w:t>
      </w:r>
      <w:r>
        <w:t xml:space="preserve">under refinement. Future fault-tolerant quantum computers could enlarge executable dynamics, but</w:t>
      </w:r>
      <w:r>
        <w:t xml:space="preserve"> </w:t>
      </w:r>
      <w:r>
        <w:t xml:space="preserve">would be an execution substrate rather than evidence.</w:t>
      </w:r>
    </w:p>
    <w:p>
      <w:pPr>
        <w:pStyle w:val="Abstract"/>
        <w:widowControl/>
      </w:pPr>
      <w:r>
        <w:t xml:space="preserve">We evaluated this machinery once in the complete 256-rule elementary-cellular-automaton grammar.</w:t>
      </w:r>
      <w:r>
        <w:t xml:space="preserve"> </w:t>
      </w:r>
      <w:r>
        <w:t xml:space="preserve">The generating rule and operational signature class were retained in all 64 A1 blocks, although</w:t>
      </w:r>
      <w:r>
        <w:t xml:space="preserve"> </w:t>
      </w:r>
      <w:r>
        <w:t xml:space="preserve">five blocks retained two rules and three retained two classes. A deliberately distinguishable</w:t>
      </w:r>
      <w:r>
        <w:t xml:space="preserve"> </w:t>
      </w:r>
      <w:r>
        <w:t xml:space="preserve">radius-two construction returned model-class inadequacy in all 64 B1 blocks. D2-CERT used the</w:t>
      </w:r>
      <w:r>
        <w:t xml:space="preserve"> </w:t>
      </w:r>
      <w:r>
        <w:t xml:space="preserve">provably density-preserving periodic Rule 170 shift: 0/64 calibration and 0/64 held-out violations</w:t>
      </w:r>
      <w:r>
        <w:t xml:space="preserve"> </w:t>
      </w:r>
      <w:r>
        <w:t xml:space="preserve">checked certificate-pipeline conformance for a constructed closed map, not uncertain coarse-law</w:t>
      </w:r>
      <w:r>
        <w:t xml:space="preserve"> </w:t>
      </w:r>
      <w:r>
        <w:t xml:space="preserve">accuracy. Four resource policies reached identical decisions. One prespecified salted</w:t>
      </w:r>
      <w:r>
        <w:t xml:space="preserve"> </w:t>
      </w:r>
      <w:r>
        <w:t xml:space="preserve">pseudo-random early-stopping order was least costly on this constructed workload (75,080 units),</w:t>
      </w:r>
      <w:r>
        <w:t xml:space="preserve"> </w:t>
      </w:r>
      <w:r>
        <w:t xml:space="preserve">versus 89,816 for the other order, 92,592 for adaptive fidelity, and 132,096 for exhaustive search.</w:t>
      </w:r>
    </w:p>
    <w:p>
      <w:pPr>
        <w:pStyle w:val="Abstract"/>
        <w:widowControl/>
      </w:pPr>
      <w:r>
        <w:t xml:space="preserve">These results establish bounded, failure-capable behavior only for this synthetic finite grammar,</w:t>
      </w:r>
      <w:r>
        <w:t xml:space="preserve"> </w:t>
      </w:r>
      <w:r>
        <w:t xml:space="preserve">not physical or biological validation. A separately prespecified enzyme-kinetics study is the</w:t>
      </w:r>
      <w:r>
        <w:t xml:space="preserve"> </w:t>
      </w:r>
      <w:r>
        <w:t xml:space="preserve">next empirical bridge toward multiscale biology; aging and safety-constrained rejuvenation remain</w:t>
      </w:r>
      <w:r>
        <w:t xml:space="preserve"> </w:t>
      </w:r>
      <w:r>
        <w:t xml:space="preserve">longer-term destinations.</w:t>
      </w:r>
    </w:p>
    <w:bookmarkStart w:id="11" w:name="introduction"/>
    <w:p>
      <w:pPr>
        <w:pStyle w:val="Heading1"/>
        <w:keepNext/>
        <w:keepLines/>
        <w:widowControl/>
      </w:pPr>
      <w:r>
        <w:t xml:space="preserve">Introduction</w:t>
      </w:r>
    </w:p>
    <w:p>
      <w:pPr>
        <w:pStyle w:val="FirstParagraph"/>
        <w:widowControl/>
      </w:pPr>
      <w:r>
        <w:t xml:space="preserve">Model discovery faces a problem that extends beyond search accuracy. A procedure may find the</w:t>
      </w:r>
      <w:r>
        <w:t xml:space="preserve"> </w:t>
      </w:r>
      <w:r>
        <w:t xml:space="preserve">best model it was allowed to consider while the whole language is wrong; sparse observations may</w:t>
      </w:r>
      <w:r>
        <w:t xml:space="preserve"> </w:t>
      </w:r>
      <w:r>
        <w:t xml:space="preserve">support several mechanisms; and a numerical approximation may preserve low-level values yet alter</w:t>
      </w:r>
      <w:r>
        <w:t xml:space="preserve"> </w:t>
      </w:r>
      <w:r>
        <w:t xml:space="preserve">the upper-level conclusion. A credible search method must expose all three possibilities.</w:t>
      </w:r>
    </w:p>
    <w:p>
      <w:pPr>
        <w:pStyle w:val="BodyText"/>
        <w:widowControl/>
      </w:pPr>
      <w:r>
        <w:t xml:space="preserve">Imagine a person ten thousand years ago who sees the round Sun and proposes that Earth might also</w:t>
      </w:r>
      <w:r>
        <w:t xml:space="preserve"> </w:t>
      </w:r>
      <w:r>
        <w:t xml:space="preserve">be round, only to be mocked by companions. The round Sun does not prove a spherical Earth, and</w:t>
      </w:r>
      <w:r>
        <w:t xml:space="preserve"> </w:t>
      </w:r>
      <w:r>
        <w:t xml:space="preserve">ridicule does not refute it. The episode serves one purpose here: to separate hypothesis</w:t>
      </w:r>
      <w:r>
        <w:t xml:space="preserve"> </w:t>
      </w:r>
      <w:r>
        <w:t xml:space="preserve">generation from evidential validation. An imagined rule must first be expressed precisely enough</w:t>
      </w:r>
      <w:r>
        <w:t xml:space="preserve"> </w:t>
      </w:r>
      <w:r>
        <w:t xml:space="preserve">to generate consequences and then confronted with observations independent of its formulation.</w:t>
      </w:r>
    </w:p>
    <w:bookmarkStart w:id="10" w:name="core-thesis."/>
    <w:p>
      <w:pPr>
        <w:pStyle w:val="ScientificLabel"/>
        <w:widowControl/>
      </w:pPr>
      <w:r>
        <w:t xml:space="preserve">Core thesis.</w:t>
      </w:r>
    </w:p>
    <w:p>
      <w:pPr>
        <w:pStyle w:val="FirstParagraph"/>
        <w:widowControl/>
      </w:pPr>
      <w:r>
        <w:t xml:space="preserve">APHFS connects imagination, executable mathematics, and evidence through a resource-bounded</w:t>
      </w:r>
      <w:r>
        <w:t xml:space="preserve"> </w:t>
      </w:r>
      <w:r>
        <w:t xml:space="preserve">sequence of decisions. Bottom-up generation explores a declared language; top-down observations</w:t>
      </w:r>
      <w:r>
        <w:t xml:space="preserve"> </w:t>
      </w:r>
      <w:r>
        <w:t xml:space="preserve">constrain each bridge toward higher-level descriptions. Within a fixed finite grammar, resource</w:t>
      </w:r>
      <w:r>
        <w:t xml:space="preserve"> </w:t>
      </w:r>
      <w:r>
        <w:t xml:space="preserve">envelope, and precision policy, every executable candidate is enumerated or explicitly accounted</w:t>
      </w:r>
      <w:r>
        <w:t xml:space="preserve"> </w:t>
      </w:r>
      <w:r>
        <w:t xml:space="preserve">for. Observationally equivalent candidates remain ambiguous, a valid simultaneous test may find</w:t>
      </w:r>
      <w:r>
        <w:t xml:space="preserve"> </w:t>
      </w:r>
      <w:r>
        <w:t xml:space="preserve">the entire class inadequate, and missing support produces an indeterminate result rather than a</w:t>
      </w:r>
      <w:r>
        <w:t xml:space="preserve"> </w:t>
      </w:r>
      <w:r>
        <w:t xml:space="preserve">convenient conclusion. Coarse-graining is not accepted before its domain, memory, and error</w:t>
      </w:r>
      <w:r>
        <w:t xml:space="preserve"> </w:t>
      </w:r>
      <w:r>
        <w:t xml:space="preserve">conditions are checked. Lower-level fidelity is sufficient only when prespecified refinements</w:t>
      </w:r>
      <w:r>
        <w:t xml:space="preserve"> </w:t>
      </w:r>
      <w:r>
        <w:t xml:space="preserve">preserve registered upper-level observables and decisions. Computation can expand what is</w:t>
      </w:r>
      <w:r>
        <w:t xml:space="preserve"> </w:t>
      </w:r>
      <w:r>
        <w:t xml:space="preserve">evaluated; evidence constrains what can be justified. A future fault-tolerant quantum execution</w:t>
      </w:r>
      <w:r>
        <w:t xml:space="preserve"> </w:t>
      </w:r>
      <w:r>
        <w:t xml:space="preserve">layer could make some quantum-native candidate dynamics tractable, while adding explicit</w:t>
      </w:r>
      <w:r>
        <w:t xml:space="preserve"> </w:t>
      </w:r>
      <w:r>
        <w:t xml:space="preserve">state-preparation, error-correction, measurement, and classical-post-processing obligations. It</w:t>
      </w:r>
      <w:r>
        <w:t xml:space="preserve"> </w:t>
      </w:r>
      <w:r>
        <w:t xml:space="preserve">would not relax complete accounting or turn computation into empirical support. Biology, aging,</w:t>
      </w:r>
      <w:r>
        <w:t xml:space="preserve"> </w:t>
      </w:r>
      <w:r>
        <w:t xml:space="preserve">and rejuvenation remain downstream empirical destinations.</w:t>
      </w:r>
    </w:p>
    <w:p>
      <w:pPr>
        <w:pStyle w:val="BodyText"/>
        <w:widowControl/>
      </w:pPr>
      <w:r>
        <w:t xml:space="preserve">The motivating intuition is conditional rather than ontological: if progressively expanded</w:t>
      </w:r>
      <w:r>
        <w:t xml:space="preserve"> </w:t>
      </w:r>
      <w:r>
        <w:t xml:space="preserve">candidate languages are sufficiently expressive for the registered observables, generation and</w:t>
      </w:r>
      <w:r>
        <w:t xml:space="preserve"> </w:t>
      </w:r>
      <w:r>
        <w:t xml:space="preserve">search reach relevant candidates, independent evidence is sufficiently discriminating, and</w:t>
      </w:r>
      <w:r>
        <w:t xml:space="preserve"> </w:t>
      </w:r>
      <w:r>
        <w:t xml:space="preserve">estimation, numerical, dynamical, and coarse-graining errors are controlled, then the retained set</w:t>
      </w:r>
      <w:r>
        <w:t xml:space="preserve"> </w:t>
      </w:r>
      <w:r>
        <w:t xml:space="preserve">may approach the lowest observable risk attainable within the declared comparison envelope. This</w:t>
      </w:r>
      <w:r>
        <w:t xml:space="preserve"> </w:t>
      </w:r>
      <w:r>
        <w:t xml:space="preserve">does not guarantee recovery of nature’s ontology. A grammar may omit the relevant mechanism,</w:t>
      </w:r>
      <w:r>
        <w:t xml:space="preserve"> </w:t>
      </w:r>
      <w:r>
        <w:t xml:space="preserve">finite observations may retain a set, an entire class may be inadequate, and each new domain</w:t>
      </w:r>
      <w:r>
        <w:t xml:space="preserve"> </w:t>
      </w:r>
      <w:r>
        <w:t xml:space="preserve">requires new evidence.</w:t>
      </w:r>
    </w:p>
    <w:p>
      <w:pPr>
        <w:pStyle w:val="BodyText"/>
        <w:widowControl/>
      </w:pPr>
      <w:r>
        <w:t xml:space="preserve">The phrase</w:t>
      </w:r>
      <w:r>
        <w:t xml:space="preserve"> </w:t>
      </w:r>
      <w:r>
        <w:rPr>
          <w:i/>
          <w:iCs/>
        </w:rPr>
        <w:t xml:space="preserve">All-Possibility</w:t>
      </w:r>
      <w:r>
        <w:t xml:space="preserve"> </w:t>
      </w:r>
      <w:r>
        <w:t xml:space="preserve">is therefore local. It means complete accounting within a stated</w:t>
      </w:r>
      <w:r>
        <w:t xml:space="preserve"> </w:t>
      </w:r>
      <w:r>
        <w:t xml:space="preserve">grammar, encoding, bit budget, resource envelope, and precision policy—not enumeration of every</w:t>
      </w:r>
      <w:r>
        <w:t xml:space="preserve"> </w:t>
      </w:r>
      <w:r>
        <w:t xml:space="preserve">law or ontology in nature. Enlarging the language creates a new claim. This boundary separates a</w:t>
      </w:r>
      <w:r>
        <w:t xml:space="preserve"> </w:t>
      </w:r>
      <w:r>
        <w:t xml:space="preserve">finite scientific object that can be audited from an unrestricted metaphysical assertion.</w:t>
      </w:r>
    </w:p>
    <w:p>
      <w:pPr>
        <w:pStyle w:val="BodyText"/>
        <w:widowControl/>
      </w:pPr>
      <w:r>
        <w:t xml:space="preserve">The framework also separates questions that leaderboards merge. Candidate ranking asks which</w:t>
      </w:r>
      <w:r>
        <w:t xml:space="preserve"> </w:t>
      </w:r>
      <w:r>
        <w:t xml:space="preserve">member fits best. Operational signatures ask which members the observation interface can</w:t>
      </w:r>
      <w:r>
        <w:t xml:space="preserve"> </w:t>
      </w:r>
      <w:r>
        <w:t xml:space="preserve">distinguish. A class-level gate asks whether even the best-supported class is inadequate. If a</w:t>
      </w:r>
      <w:r>
        <w:t xml:space="preserve"> </w:t>
      </w:r>
      <w:r>
        <w:t xml:space="preserve">candidate, bound, or error-budget entry is missing, the class decision is</w:t>
      </w:r>
      <w:r>
        <w:t xml:space="preserve"> </w:t>
      </w:r>
      <w:r>
        <w:rPr>
          <w:rStyle w:val="VerbatimChar"/>
        </w:rPr>
        <w:t xml:space="preserve">INDETERMINATE</w:t>
      </w:r>
      <w:r>
        <w:t xml:space="preserve">;</w:t>
      </w:r>
      <w:r>
        <w:t xml:space="preserve"> </w:t>
      </w:r>
      <w:r>
        <w:t xml:space="preserve">absence is never imputed as evidence against the class.</w:t>
      </w:r>
    </w:p>
    <w:p>
      <w:pPr>
        <w:pStyle w:val="BodyText"/>
        <w:widowControl/>
      </w:pPr>
      <w:r>
        <w:t xml:space="preserve">The long-term destination is biological. The proposed route starts with executable rules below</w:t>
      </w:r>
      <w:r>
        <w:t xml:space="preserve"> </w:t>
      </w:r>
      <w:r>
        <w:t xml:space="preserve">fixed particle labels and advances only through empirical bridges to physical, chemical,</w:t>
      </w:r>
      <w:r>
        <w:t xml:space="preserve"> </w:t>
      </w:r>
      <w:r>
        <w:t xml:space="preserve">molecular, and cellular organization. Particle-like candidates must face physical and scattering</w:t>
      </w:r>
      <w:r>
        <w:t xml:space="preserve"> </w:t>
      </w:r>
      <w:r>
        <w:t xml:space="preserve">constraints; atom-like candidates must face atomic spectra; and molecule-like candidates must</w:t>
      </w:r>
      <w:r>
        <w:t xml:space="preserve"> </w:t>
      </w:r>
      <w:r>
        <w:t xml:space="preserve">face molecular structure, energy, and reaction data. Whole-cell studies illustrate both the reach of integrated</w:t>
      </w:r>
      <w:r>
        <w:t xml:space="preserve"> </w:t>
      </w:r>
      <w:r>
        <w:t xml:space="preserve">mechanistic models and the difficulty of validating emergent predictions</w:t>
      </w:r>
      <w:r>
        <w:t xml:space="preserve"> </w:t>
      </w:r>
      <w:r>
        <w:t xml:space="preserve">(Karr et al. 2012;</w:t>
      </w:r>
      <w:r>
        <w:t xml:space="preserve"> </w:t>
      </w:r>
      <w:r>
        <w:t xml:space="preserve">Thornburg et al.</w:t>
      </w:r>
      <w:r>
        <w:t xml:space="preserve"> </w:t>
      </w:r>
      <w:r>
        <w:t xml:space="preserve">2022, 2026a, 2026b)</w:t>
      </w:r>
      <w:r>
        <w:t xml:space="preserve">. Aging would enter when a model</w:t>
      </w:r>
      <w:r>
        <w:t xml:space="preserve"> </w:t>
      </w:r>
      <w:r>
        <w:t xml:space="preserve">can predict long-horizon homeostatic drift and declining resilience under appropriate longitudinal</w:t>
      </w:r>
      <w:r>
        <w:t xml:space="preserve"> </w:t>
      </w:r>
      <w:r>
        <w:t xml:space="preserve">and perturbational data</w:t>
      </w:r>
      <w:r>
        <w:t xml:space="preserve"> </w:t>
      </w:r>
      <w:r>
        <w:t xml:space="preserve">(López-Otín et al. 2013, 2023)</w:t>
      </w:r>
      <w:r>
        <w:t xml:space="preserve">. Rejuvenation research would require</w:t>
      </w:r>
      <w:r>
        <w:t xml:space="preserve"> </w:t>
      </w:r>
      <w:r>
        <w:t xml:space="preserve">causal interventions with efficacy, persistence, toxicity, off-target effects, uncontrolled</w:t>
      </w:r>
      <w:r>
        <w:t xml:space="preserve"> </w:t>
      </w:r>
      <w:r>
        <w:t xml:space="preserve">proliferation, and cancer risk</w:t>
      </w:r>
      <w:r>
        <w:t xml:space="preserve"> </w:t>
      </w:r>
      <w:r>
        <w:t xml:space="preserve">made explicit. These are downstream research goals, not interpretations of cellular automata.</w:t>
      </w:r>
    </w:p>
    <w:p>
      <w:pPr>
        <w:pStyle w:val="BodyText"/>
        <w:widowControl/>
      </w:pPr>
      <w:r>
        <w:t xml:space="preserve">Here,</w:t>
      </w:r>
      <w:r>
        <w:t xml:space="preserve"> </w:t>
      </w:r>
      <w:r>
        <w:rPr>
          <w:i/>
          <w:iCs/>
        </w:rPr>
        <w:t xml:space="preserve">pre-particle</w:t>
      </w:r>
      <w:r>
        <w:t xml:space="preserve"> </w:t>
      </w:r>
      <w:r>
        <w:t xml:space="preserve">is a modeling stance, not an empirical claim of a newly discovered</w:t>
      </w:r>
      <w:r>
        <w:t xml:space="preserve"> </w:t>
      </w:r>
      <w:r>
        <w:t xml:space="preserve">subparticle ontology. Candidate rules may precede fixed particle labels in the generative</w:t>
      </w:r>
      <w:r>
        <w:t xml:space="preserve"> </w:t>
      </w:r>
      <w:r>
        <w:t xml:space="preserve">description, but particle-like status must be earned through stable observables and independently</w:t>
      </w:r>
      <w:r>
        <w:t xml:space="preserve"> </w:t>
      </w:r>
      <w:r>
        <w:t xml:space="preserve">specified physical constraints. Quantum cellular automata are an important future candidate</w:t>
      </w:r>
      <w:r>
        <w:t xml:space="preserve"> </w:t>
      </w:r>
      <w:r>
        <w:t xml:space="preserve">family, not a conclusion forced by the current ECA study.</w:t>
      </w:r>
    </w:p>
    <w:p>
      <w:pPr>
        <w:pStyle w:val="BodyText"/>
        <w:widowControl/>
      </w:pPr>
      <w:r>
        <w:t xml:space="preserve">Beyond the finite ECA demonstration, candidate languages may vary dimension, geometry, locality,</w:t>
      </w:r>
      <w:r>
        <w:t xml:space="preserve"> </w:t>
      </w:r>
      <w:r>
        <w:t xml:space="preserve">symmetry, interaction rules, motion, stochasticity, composition, and response to perturbation.</w:t>
      </w:r>
      <w:r>
        <w:t xml:space="preserve"> </w:t>
      </w:r>
      <w:r>
        <w:t xml:space="preserve">When a declared finite grammar is affordable, APHFS requires genuine enumeration and complete</w:t>
      </w:r>
      <w:r>
        <w:t xml:space="preserve"> </w:t>
      </w:r>
      <w:r>
        <w:t xml:space="preserve">terminal accounting. When it is not, stratified, randomized, sampled, or adaptive generation may</w:t>
      </w:r>
      <w:r>
        <w:t xml:space="preserve"> </w:t>
      </w:r>
      <w:r>
        <w:t xml:space="preserve">be used only with its coverage frame and missing mass stated; such a search is not relabeled as</w:t>
      </w:r>
      <w:r>
        <w:t xml:space="preserve"> </w:t>
      </w:r>
      <w:r>
        <w:t xml:space="preserve">local-All enumeration.</w:t>
      </w:r>
    </w:p>
    <w:p>
      <w:pPr>
        <w:pStyle w:val="BodyText"/>
        <w:widowControl/>
      </w:pPr>
      <w:r>
        <w:t xml:space="preserve">This paper integrates six capabilities needed for such model search: advance definition of the</w:t>
      </w:r>
      <w:r>
        <w:t xml:space="preserve"> </w:t>
      </w:r>
      <w:r>
        <w:t xml:space="preserve">candidate language, complete accounting, ambiguity-preserving signatures, a whole-class</w:t>
      </w:r>
      <w:r>
        <w:t xml:space="preserve"> </w:t>
      </w:r>
      <w:r>
        <w:t xml:space="preserve">inadequacy gate, observable-level error and fidelity controls, and a one-time held-out evaluation.</w:t>
      </w:r>
      <w:r>
        <w:t xml:space="preserve"> </w:t>
      </w:r>
      <w:r>
        <w:t xml:space="preserve">Systems biology provides the motivating decision structure because it must compare mechanistic</w:t>
      </w:r>
      <w:r>
        <w:t xml:space="preserve"> </w:t>
      </w:r>
      <w:r>
        <w:t xml:space="preserve">explanations under partial observation, misspecification, coarse-graining, and finite compute. The</w:t>
      </w:r>
      <w:r>
        <w:t xml:space="preserve"> </w:t>
      </w:r>
      <w:r>
        <w:t xml:space="preserve">current experiment uses all 256 elementary cellular automata (ECA) as an inspectable testbed in</w:t>
      </w:r>
      <w:r>
        <w:t xml:space="preserve"> </w:t>
      </w:r>
      <w:r>
        <w:t xml:space="preserve">which every candidate can receive a terminal account. It evaluates the machinery, not biology.</w:t>
      </w:r>
    </w:p>
    <w:bookmarkEnd w:id="10"/>
    <w:bookmarkEnd w:id="11"/>
    <w:bookmarkStart w:id="16" w:name="sec:program"/>
    <w:p>
      <w:pPr>
        <w:pStyle w:val="Heading1"/>
        <w:keepNext/>
        <w:keepLines/>
        <w:widowControl/>
      </w:pPr>
      <w:r>
        <w:t xml:space="preserve">The APHFS research program</w:t>
      </w:r>
    </w:p>
    <w:p>
      <w:pPr>
        <w:pStyle w:val="FirstParagraph"/>
        <w:widowControl/>
      </w:pPr>
      <w:r>
        <w:t xml:space="preserve">Figure </w:t>
      </w:r>
      <w:hyperlink w:anchor="fig:research-ladder">
        <w:r>
          <w:rPr>
            <w:rStyle w:val="Hyperlink"/>
          </w:rPr>
          <w:t xml:space="preserve">1</w:t>
        </w:r>
      </w:hyperlink>
      <w:r>
        <w:t xml:space="preserve"> </w:t>
      </w:r>
      <w:r>
        <w:t xml:space="preserve">places the current experiment inside the larger research program.</w:t>
      </w:r>
      <w:r>
        <w:t xml:space="preserve"> </w:t>
      </w:r>
      <w:r>
        <w:t xml:space="preserve">Candidate construction proceeds bottom-up, beginning with executable rules rather than assuming</w:t>
      </w:r>
      <w:r>
        <w:t xml:space="preserve"> </w:t>
      </w:r>
      <w:r>
        <w:t xml:space="preserve">the higher-level objects it ultimately seeks to explain. Constraints enter top-down as empirical</w:t>
      </w:r>
      <w:r>
        <w:t xml:space="preserve"> </w:t>
      </w:r>
      <w:r>
        <w:t xml:space="preserve">anchors. Each transition—to persistent structures, particle-like signatures, molecular systems,</w:t>
      </w:r>
      <w:r>
        <w:t xml:space="preserve"> </w:t>
      </w:r>
      <w:r>
        <w:t xml:space="preserve">cellular dynamics, aging, or intervention—is a new scientific question that can fail.</w:t>
      </w:r>
    </w:p>
    <w:bookmarkStart w:id="15" w:name="fig:research-ladder"/>
    <w:p>
      <w:pPr>
        <w:pStyle w:val="CaptionedFigure"/>
        <w:keepNext/>
        <w:keepLines/>
        <w:widowControl/>
        <w:spacing w:before="80" w:after="20"/>
        <w:jc w:val="center"/>
      </w:pPr>
      <w:r>
        <w:drawing>
          <wp:inline>
            <wp:extent cx="4800600" cy="4445000"/>
            <wp:effectExtent b="0" l="0" r="0" t="0"/>
            <wp:docPr descr="A bottom-up ladder runs from pre-particle executable rules toward physical, chemical, cellular, aging, and safety-constrained rejuvenation questions. Top-down observations constrain each bridge. A separate statement identifies the present evidence as a complete 256-rule ECA machinery test and quantum computing as a future execution substrate rather than evidence." title="Figure 1: APHFS research ladder and evidential constraints" id="13" name="Picture"/>
            <a:graphic>
              <a:graphicData uri="http://schemas.openxmlformats.org/drawingml/2006/picture">
                <pic:pic>
                  <pic:nvPicPr>
                    <pic:cNvPr descr="framework_research_ladder_v3_5.png" id="14" name="Picture"/>
                    <pic:cNvPicPr>
                      <a:picLocks noChangeArrowheads="1" noChangeAspect="1"/>
                    </pic:cNvPicPr>
                  </pic:nvPicPr>
                  <pic:blipFill>
                    <a:blip r:embed="rId12"/>
                    <a:stretch>
                      <a:fillRect/>
                    </a:stretch>
                  </pic:blipFill>
                  <pic:spPr bwMode="auto">
                    <a:xfrm>
                      <a:off x="0" y="0"/>
                      <a:ext cx="4800600" cy="4445000"/>
                    </a:xfrm>
                    <a:prstGeom prst="rect">
                      <a:avLst/>
                    </a:prstGeom>
                    <a:noFill/>
                    <a:ln w="9525">
                      <a:noFill/>
                      <a:headEnd/>
                      <a:tailEnd/>
                    </a:ln>
                  </pic:spPr>
                </pic:pic>
              </a:graphicData>
            </a:graphic>
          </wp:inline>
        </w:drawing>
      </w:r>
    </w:p>
    <w:p>
      <w:pPr>
        <w:pStyle w:val="ImageCaption"/>
        <w:widowControl/>
      </w:pPr>
      <w:r>
        <w:t>Figure 1. The APHFS research program. Imagination is encoded as executable candidates, complete finite-grammar accounting makes the search auditable, and empirical constraints determine which claims survive. Operational ambiguity, model-class inadequacy, and indeterminacy remain distinct. Higher-level objects require validated coarse-graining and protected upper-observable fidelity. Future fault-tolerant quantum hardware could expand executable candidate dynamics but would not supply evidence. The present evidence concerns only the 256-rule ECA machinery test; biology, aging, and rejuvenation remain downstream destinations.</w:t>
      </w:r>
    </w:p>
    <w:bookmarkEnd w:id="15"/>
    <w:p>
      <w:pPr>
        <w:pStyle w:val="BodyText"/>
        <w:widowControl/>
      </w:pPr>
      <w:r>
        <w:t xml:space="preserve">Two controls govern movement up the ladder. First, a coarse description is accepted only when</w:t>
      </w:r>
      <w:r>
        <w:t xml:space="preserve"> </w:t>
      </w:r>
      <w:r>
        <w:t xml:space="preserve">its domain, memory, and error conditions support the proposed</w:t>
      </w:r>
      <w:r>
        <w:t xml:space="preserve"> </w:t>
      </w:r>
      <w:r>
        <w:t xml:space="preserve">upper-level inference. Second, numerical resolution is decision-relative. A fidelity that</w:t>
      </w:r>
      <w:r>
        <w:t xml:space="preserve"> </w:t>
      </w:r>
      <w:r>
        <w:t xml:space="preserve">preserves water density may not preserve a vibrational spectrum; one that preserves a ball’s</w:t>
      </w:r>
      <w:r>
        <w:t xml:space="preserve"> </w:t>
      </w:r>
      <w:r>
        <w:t xml:space="preserve">center-of-mass trajectory may not preserve surface turbulence. More microscopic precision is</w:t>
      </w:r>
      <w:r>
        <w:t xml:space="preserve"> </w:t>
      </w:r>
      <w:r>
        <w:t xml:space="preserve">useful only when it can change a registered observable, classification, decision, or certificate.</w:t>
      </w:r>
    </w:p>
    <w:p>
      <w:pPr>
        <w:pStyle w:val="BodyText"/>
        <w:widowControl/>
      </w:pPr>
      <w:r>
        <w:t xml:space="preserve">Aging and rejuvenation therefore occupy the far end of the path. Aging could be represented by</w:t>
      </w:r>
      <w:r>
        <w:t xml:space="preserve"> </w:t>
      </w:r>
      <w:r>
        <w:t xml:space="preserve">long-horizon distributions of recovery, viable-state return, functional persistence, and entry</w:t>
      </w:r>
      <w:r>
        <w:t xml:space="preserve"> </w:t>
      </w:r>
      <w:r>
        <w:t xml:space="preserve">into dangerous attractors. Rejuvenation would become a safety-constrained control problem over</w:t>
      </w:r>
      <w:r>
        <w:t xml:space="preserve"> </w:t>
      </w:r>
      <w:r>
        <w:t xml:space="preserve">combination, order, timing, dose, persistence, and adverse effects, drawing on robust-control</w:t>
      </w:r>
      <w:r>
        <w:t xml:space="preserve"> </w:t>
      </w:r>
      <w:r>
        <w:t xml:space="preserve">precedents</w:t>
      </w:r>
      <w:r>
        <w:t xml:space="preserve"> </w:t>
      </w:r>
      <w:r>
        <w:t xml:space="preserve">(Iyengar 2005; Nilim and El Ghaoui 2005)</w:t>
      </w:r>
      <w:r>
        <w:t xml:space="preserve">. Neither interface is implemented here. Progress depends</w:t>
      </w:r>
      <w:r>
        <w:t xml:space="preserve"> </w:t>
      </w:r>
      <w:r>
        <w:t xml:space="preserve">on new domain models and observations, not on computational scale alone.</w:t>
      </w:r>
    </w:p>
    <w:bookmarkEnd w:id="16"/>
    <w:bookmarkStart w:id="27" w:name="sec:six-steps"/>
    <w:p>
      <w:pPr>
        <w:pStyle w:val="Heading1"/>
        <w:keepNext/>
        <w:keepLines/>
        <w:widowControl/>
      </w:pPr>
      <w:r>
        <w:t xml:space="preserve">How APHFS works</w:t>
      </w:r>
    </w:p>
    <w:p>
      <w:pPr>
        <w:pStyle w:val="FirstParagraph"/>
        <w:widowControl/>
      </w:pPr>
      <w:r>
        <w:t xml:space="preserve">The six decisions in Figure </w:t>
      </w:r>
      <w:hyperlink w:anchor="fig:six-steps">
        <w:r>
          <w:rPr>
            <w:rStyle w:val="Hyperlink"/>
          </w:rPr>
          <w:t xml:space="preserve">2</w:t>
        </w:r>
      </w:hyperlink>
      <w:r>
        <w:t xml:space="preserve"> </w:t>
      </w:r>
      <w:r>
        <w:t xml:space="preserve">form a dependency chain: each supplies a premise</w:t>
      </w:r>
      <w:r>
        <w:t xml:space="preserve"> </w:t>
      </w:r>
      <w:r>
        <w:t xml:space="preserve">for the next, and each has a distinct failure meaning.</w:t>
      </w:r>
    </w:p>
    <w:bookmarkStart w:id="20" w:name="fig:six-steps"/>
    <w:p>
      <w:pPr>
        <w:pStyle w:val="CaptionedFigure"/>
        <w:keepNext/>
        <w:keepLines/>
        <w:widowControl/>
        <w:spacing w:before="80" w:after="20"/>
        <w:jc w:val="center"/>
      </w:pPr>
      <w:r>
        <w:drawing>
          <wp:inline>
            <wp:extent cx="5013960" cy="2414128"/>
            <wp:effectExtent b="0" l="0" r="0" t="0"/>
            <wp:docPr descr="Six decisions define scope, account for every declared address, identify operational equivalence, test class adequacy, protect conclusions across scale and fidelity, and evaluate the fixed pipeline on role-separated held-out data." title="Figure 2: Six linked APHFS scientific decisions" id="18" name="Picture"/>
            <a:graphic>
              <a:graphicData uri="http://schemas.openxmlformats.org/drawingml/2006/picture">
                <pic:pic>
                  <pic:nvPicPr>
                    <pic:cNvPr descr="aphfs_six_step_workflow_v3_5.png" id="19" name="Picture"/>
                    <pic:cNvPicPr>
                      <a:picLocks noChangeArrowheads="1" noChangeAspect="1"/>
                    </pic:cNvPicPr>
                  </pic:nvPicPr>
                  <pic:blipFill>
                    <a:blip r:embed="rId17"/>
                    <a:stretch>
                      <a:fillRect/>
                    </a:stretch>
                  </pic:blipFill>
                  <pic:spPr bwMode="auto">
                    <a:xfrm>
                      <a:off x="0" y="0"/>
                      <a:ext cx="5013960" cy="2414128"/>
                    </a:xfrm>
                    <a:prstGeom prst="rect">
                      <a:avLst/>
                    </a:prstGeom>
                    <a:noFill/>
                    <a:ln w="9525">
                      <a:noFill/>
                      <a:headEnd/>
                      <a:tailEnd/>
                    </a:ln>
                  </pic:spPr>
                </pic:pic>
              </a:graphicData>
            </a:graphic>
          </wp:inline>
        </w:drawing>
      </w:r>
    </w:p>
    <w:p>
      <w:pPr>
        <w:pStyle w:val="ImageCaption"/>
        <w:widowControl/>
      </w:pPr>
      <w:r>
        <w:t>Figure 2. Six linked decisions in APHFS. Scope precedes complete accounting; operational equivalence precedes class-adequacy testing; scale and fidelity checks protect the inference; and held-out evaluation judges the fixed pipeline. Failure narrows the claim, returns an indeterminate result, or motivates a newly specified study.</w:t>
      </w:r>
    </w:p>
    <w:bookmarkEnd w:id="20"/>
    <w:bookmarkStart w:id="21" w:name="step-1-define-scope"/>
    <w:p>
      <w:pPr>
        <w:pStyle w:val="Heading2"/>
        <w:keepNext/>
        <w:keepLines/>
        <w:widowControl/>
      </w:pPr>
      <w:r>
        <w:t xml:space="preserve">Step 1: Define scope</w:t>
      </w:r>
    </w:p>
    <w:p>
      <w:pPr>
        <w:pStyle w:val="FirstParagraph"/>
        <w:widowControl/>
      </w:pPr>
      <w:r>
        <w:t xml:space="preserve">The address alphabet, finite address set, single-valued parser, execution semantics, invalid-state</w:t>
      </w:r>
      <w:r>
        <w:t xml:space="preserve"> </w:t>
      </w:r>
      <w:r>
        <w:t xml:space="preserve">rules, resources, precision policy, probes, and failure actions are fixed before evaluation. This</w:t>
      </w:r>
      <w:r>
        <w:t xml:space="preserve"> </w:t>
      </w:r>
      <w:r>
        <w:t xml:space="preserve">turns an open-ended idea into a finite scientific object and reveals its expressive limits.</w:t>
      </w:r>
      <w:r>
        <w:t xml:space="preserve"> </w:t>
      </w:r>
      <w:r>
        <w:t xml:space="preserve">Ledger identity is the declared address (or a predeclared canonical address), so syntactic aliases</w:t>
      </w:r>
      <w:r>
        <w:t xml:space="preserve"> </w:t>
      </w:r>
      <w:r>
        <w:t xml:space="preserve">remain separate rows unless canonicalization was fixed in advance. Post-outcome changes create a</w:t>
      </w:r>
      <w:r>
        <w:t xml:space="preserve"> </w:t>
      </w:r>
      <w:r>
        <w:t xml:space="preserve">new study; they cannot expand the old completeness claim.</w:t>
      </w:r>
    </w:p>
    <w:p>
      <w:pPr>
        <w:pStyle w:val="BodyText"/>
        <w:widowControl/>
      </w:pPr>
      <w:r>
        <w:t xml:space="preserve">The declaration therefore answers two questions before any ranking begins: which mechanisms are</w:t>
      </w:r>
      <w:r>
        <w:t xml:space="preserve"> </w:t>
      </w:r>
      <w:r>
        <w:t xml:space="preserve">expressible, and which executions are affordable. Invalid syntax, invalid semantics, and exhausted</w:t>
      </w:r>
      <w:r>
        <w:t xml:space="preserve"> </w:t>
      </w:r>
      <w:r>
        <w:t xml:space="preserve">resources remain visible outcomes. If a relevant mechanism cannot be represented, the limitation</w:t>
      </w:r>
      <w:r>
        <w:t xml:space="preserve"> </w:t>
      </w:r>
      <w:r>
        <w:t xml:space="preserve">belongs to the candidate class; retained models do not become exhaustive over nature.</w:t>
      </w:r>
    </w:p>
    <w:bookmarkEnd w:id="21"/>
    <w:bookmarkStart w:id="22" w:name="step-2-complete-accounting"/>
    <w:p>
      <w:pPr>
        <w:pStyle w:val="Heading2"/>
        <w:keepNext/>
        <w:keepLines/>
        <w:widowControl/>
      </w:pPr>
      <w:r>
        <w:t xml:space="preserve">Step 2: Complete accounting</w:t>
      </w:r>
    </w:p>
    <w:p>
      <w:pPr>
        <w:pStyle w:val="FirstParagraph"/>
        <w:widowControl/>
      </w:pPr>
      <w:r>
        <w:t xml:space="preserve">Every addressable candidate must be executed or receive an explicit terminal record, including</w:t>
      </w:r>
      <w:r>
        <w:t xml:space="preserve"> </w:t>
      </w:r>
      <w:r>
        <w:t xml:space="preserve">invalid syntax, numerical failure, and resource exhaustion. Here all 256 ECA rule IDs were</w:t>
      </w:r>
      <w:r>
        <w:t xml:space="preserve"> </w:t>
      </w:r>
      <w:r>
        <w:t xml:space="preserve">accounted for. A0 compared rule tables and trajectories under periodic, fixed-zero,</w:t>
      </w:r>
      <w:r>
        <w:t xml:space="preserve"> </w:t>
      </w:r>
      <w:r>
        <w:t xml:space="preserve">fixed-one, and edge-replicate boundaries (historical code token:</w:t>
      </w:r>
      <w:r>
        <w:t xml:space="preserve"> </w:t>
      </w:r>
      <w:r>
        <w:rPr>
          <w:rStyle w:val="VerbatimChar"/>
        </w:rPr>
        <w:t xml:space="preserve">reflect</w:t>
      </w:r>
      <w:r>
        <w:t xml:space="preserve">); A1 used its</w:t>
      </w:r>
      <w:r>
        <w:t xml:space="preserve"> </w:t>
      </w:r>
      <w:r>
        <w:t xml:space="preserve">separate block-level interface. The edge-replicate convention sets each out-of-range neighbor to</w:t>
      </w:r>
      <w:r>
        <w:t xml:space="preserve"> </w:t>
      </w:r>
      <w:r>
        <w:t xml:space="preserve">the nearest boundary cell, rather than reflecting the next interior cell. A0’s scalar</w:t>
      </w:r>
      <w:r>
        <w:t xml:space="preserve"> </w:t>
      </w:r>
      <w:r>
        <w:t xml:space="preserve">reference and NumPy-vectorized production paths were separately implemented within the same</w:t>
      </w:r>
      <w:r>
        <w:t xml:space="preserve"> </w:t>
      </w:r>
      <w:r>
        <w:t xml:space="preserve">AI-assisted project and do not share their rule-lookup or one-step update functions. Their</w:t>
      </w:r>
      <w:r>
        <w:t xml:space="preserve"> </w:t>
      </w:r>
      <w:r>
        <w:t xml:space="preserve">agreement is an internal implementation-conformance check, not a separately authored</w:t>
      </w:r>
      <w:r>
        <w:t xml:space="preserve"> </w:t>
      </w:r>
      <w:r>
        <w:t xml:space="preserve">implementation or external replication.</w:t>
      </w:r>
      <w:r>
        <w:t xml:space="preserve"> </w:t>
      </w:r>
      <w:r>
        <w:t xml:space="preserve">An absent candidate</w:t>
      </w:r>
      <w:r>
        <w:t xml:space="preserve"> </w:t>
      </w:r>
      <w:r>
        <w:t xml:space="preserve">breaks whole-class inference. A partial run may still be useful, but its sampling frame must be</w:t>
      </w:r>
      <w:r>
        <w:t xml:space="preserve"> </w:t>
      </w:r>
      <w:r>
        <w:t xml:space="preserve">stated.</w:t>
      </w:r>
    </w:p>
    <w:p>
      <w:pPr>
        <w:pStyle w:val="BodyText"/>
        <w:widowControl/>
      </w:pPr>
      <w:r>
        <w:t xml:space="preserve">This accounting is the premise for every later statement about the declared class. An unrecorded</w:t>
      </w:r>
      <w:r>
        <w:t xml:space="preserve"> </w:t>
      </w:r>
      <w:r>
        <w:t xml:space="preserve">timeout or silently imputed failure breaks that premise because an unseen candidate could change</w:t>
      </w:r>
      <w:r>
        <w:t xml:space="preserve"> </w:t>
      </w:r>
      <w:r>
        <w:t xml:space="preserve">the conclusion. Computational scarcity may narrow the searchable scope; it cannot assign a</w:t>
      </w:r>
      <w:r>
        <w:t xml:space="preserve"> </w:t>
      </w:r>
      <w:r>
        <w:t xml:space="preserve">favorable value to missing evidence.</w:t>
      </w:r>
    </w:p>
    <w:bookmarkEnd w:id="22"/>
    <w:bookmarkStart w:id="23" w:name="step-3-identify-operational-equivalence"/>
    <w:p>
      <w:pPr>
        <w:pStyle w:val="Heading2"/>
        <w:keepNext/>
        <w:keepLines/>
        <w:widowControl/>
      </w:pPr>
      <w:r>
        <w:t xml:space="preserve">Step 3: Identify operational equivalence</w:t>
      </w:r>
    </w:p>
    <w:p>
      <w:pPr>
        <w:pStyle w:val="FirstParagraph"/>
        <w:widowControl/>
      </w:pPr>
      <w:r>
        <w:t xml:space="preserve">Fixed probes and deterministic quantizers map each candidate to a canonical signature. Exact</w:t>
      </w:r>
      <w:r>
        <w:t xml:space="preserve"> </w:t>
      </w:r>
      <w:r>
        <w:t xml:space="preserve">serialized equality partitions candidates that the observation interface cannot distinguish;</w:t>
      </w:r>
      <w:r>
        <w:t xml:space="preserve"> </w:t>
      </w:r>
      <w:r>
        <w:t xml:space="preserve">candidate losses remain separate unless equality holds across the full evaluation interface.</w:t>
      </w:r>
      <w:r>
        <w:t xml:space="preserve"> </w:t>
      </w:r>
      <w:r>
        <w:t xml:space="preserve">The result is set-valued identification, not ontological identity. A changed probe, tolerance, or</w:t>
      </w:r>
      <w:r>
        <w:t xml:space="preserve"> </w:t>
      </w:r>
      <w:r>
        <w:t xml:space="preserve">serialization rule defines a new partition.</w:t>
      </w:r>
    </w:p>
    <w:p>
      <w:pPr>
        <w:pStyle w:val="BodyText"/>
        <w:widowControl/>
      </w:pPr>
      <w:r>
        <w:t xml:space="preserve">Operational equivalence makes ambiguity measurable. More informative observations may split a</w:t>
      </w:r>
      <w:r>
        <w:t xml:space="preserve"> </w:t>
      </w:r>
      <w:r>
        <w:t xml:space="preserve">signature class, but an arbitrary representative cannot make the unresolved alternatives</w:t>
      </w:r>
      <w:r>
        <w:t xml:space="preserve"> </w:t>
      </w:r>
      <w:r>
        <w:t xml:space="preserve">disappear. Equality under finitely many probes therefore supports claims about that interface</w:t>
      </w:r>
      <w:r>
        <w:t xml:space="preserve"> </w:t>
      </w:r>
      <w:r>
        <w:t xml:space="preserve">alone, not agreement on unseen inputs or a unique underlying mechanism.</w:t>
      </w:r>
    </w:p>
    <w:bookmarkEnd w:id="23"/>
    <w:bookmarkStart w:id="24" w:name="step-4-test-class-adequacy"/>
    <w:p>
      <w:pPr>
        <w:pStyle w:val="Heading2"/>
        <w:keepNext/>
        <w:keepLines/>
        <w:widowControl/>
      </w:pPr>
      <w:r>
        <w:t xml:space="preserve">Step 4: Test class adequacy</w:t>
      </w:r>
    </w:p>
    <w:p>
      <w:pPr>
        <w:pStyle w:val="FirstParagraph"/>
        <w:widowControl/>
      </w:pPr>
      <w:r>
        <w:t xml:space="preserve">Ranking always produces a least-bad member, so APHFS asks whether simultaneous lower loss bounds</w:t>
      </w:r>
      <w:r>
        <w:t xml:space="preserve"> </w:t>
      </w:r>
      <w:r>
        <w:t xml:space="preserve">place every candidate above a prespecified threshold. Bounds are formed at candidate level and</w:t>
      </w:r>
      <w:r>
        <w:t xml:space="preserve"> </w:t>
      </w:r>
      <w:r>
        <w:t xml:space="preserve">aggregated conservatively through signature classes. Whole-class inadequacy is reported only with</w:t>
      </w:r>
      <w:r>
        <w:t xml:space="preserve"> </w:t>
      </w:r>
      <w:r>
        <w:t xml:space="preserve">complete candidate or class coverage and a complete alpha ledger. A missing run, invalid bound,</w:t>
      </w:r>
      <w:r>
        <w:t xml:space="preserve"> </w:t>
      </w:r>
      <w:r>
        <w:t xml:space="preserve">unsafe deduplication, or incomplete ledger returns</w:t>
      </w:r>
      <w:r>
        <w:t xml:space="preserve"> </w:t>
      </w:r>
      <w:r>
        <w:rPr>
          <w:rStyle w:val="VerbatimChar"/>
        </w:rPr>
        <w:t xml:space="preserve">INDETERMINATE</w:t>
      </w:r>
      <w:r>
        <w:t xml:space="preserve">, never evidence against</w:t>
      </w:r>
      <w:r>
        <w:t xml:space="preserve"> </w:t>
      </w:r>
      <w:r>
        <w:t xml:space="preserve">the class.</w:t>
      </w:r>
    </w:p>
    <w:p>
      <w:pPr>
        <w:pStyle w:val="BodyText"/>
        <w:widowControl/>
      </w:pPr>
      <w:r>
        <w:t xml:space="preserve">In the present B0/B1 workload every class was a singleton and every loss was computed on complete</w:t>
      </w:r>
      <w:r>
        <w:t xml:space="preserve"> </w:t>
      </w:r>
      <w:r>
        <w:t xml:space="preserve">finite support. Thus the class minimum and the general repeated-look allocation were definitions</w:t>
      </w:r>
      <w:r>
        <w:t xml:space="preserve"> </w:t>
      </w:r>
      <w:r>
        <w:t xml:space="preserve">of the wider framework, not empirically exercised features of these endpoints. The observed B</w:t>
      </w:r>
      <w:r>
        <w:t xml:space="preserve"> </w:t>
      </w:r>
      <w:r>
        <w:t xml:space="preserve">outcomes test exact-loss decision and completeness machinery for their constructed cases.</w:t>
      </w:r>
    </w:p>
    <w:p>
      <w:pPr>
        <w:pStyle w:val="BodyText"/>
        <w:widowControl/>
      </w:pPr>
      <w:r>
        <w:t xml:space="preserve">A valid inadequacy result has a different consequence from a poor winner: it sends the search back</w:t>
      </w:r>
      <w:r>
        <w:t xml:space="preserve"> </w:t>
      </w:r>
      <w:r>
        <w:t xml:space="preserve">to the language or resource envelope before further ranking is useful. Conversely, incomplete</w:t>
      </w:r>
      <w:r>
        <w:t xml:space="preserve"> </w:t>
      </w:r>
      <w:r>
        <w:t xml:space="preserve">uncertainty control requires abstention. The procedure is designed to distinguish a bad model</w:t>
      </w:r>
      <w:r>
        <w:t xml:space="preserve"> </w:t>
      </w:r>
      <w:r>
        <w:t xml:space="preserve">from a bad language and both from insufficient evidence.</w:t>
      </w:r>
    </w:p>
    <w:bookmarkEnd w:id="24"/>
    <w:bookmarkStart w:id="25" w:name="step-5-verify-scale-and-fidelity"/>
    <w:p>
      <w:pPr>
        <w:pStyle w:val="Heading2"/>
        <w:keepNext/>
        <w:keepLines/>
        <w:widowControl/>
      </w:pPr>
      <w:r>
        <w:t xml:space="preserve">Step 5: Verify scale and fidelity</w:t>
      </w:r>
    </w:p>
    <w:p>
      <w:pPr>
        <w:pStyle w:val="FirstParagraph"/>
        <w:widowControl/>
      </w:pPr>
      <w:r>
        <w:t xml:space="preserve">Trajectory bounds track propagated local error; cross-scale bounds compare evolve-then-coarse-</w:t>
      </w:r>
      <w:r>
        <w:t xml:space="preserve"> </w:t>
      </w:r>
      <w:r>
        <w:t xml:space="preserve">grain with coarse-grain-then-evolve on declared domains; memory checks test whether a coarse state</w:t>
      </w:r>
      <w:r>
        <w:t xml:space="preserve"> </w:t>
      </w:r>
      <w:r>
        <w:t xml:space="preserve">supports prediction. Each fidelity record names the lower-level refinement, protected upper-level</w:t>
      </w:r>
      <w:r>
        <w:t xml:space="preserve"> </w:t>
      </w:r>
      <w:r>
        <w:t xml:space="preserve">observable, tolerance, horizon, input or environment distribution, decision stability, and need</w:t>
      </w:r>
      <w:r>
        <w:t xml:space="preserve"> </w:t>
      </w:r>
      <w:r>
        <w:t xml:space="preserve">for further refinement. Domain exit, missing output, or an observable or decision breach blocks a</w:t>
      </w:r>
      <w:r>
        <w:t xml:space="preserve"> </w:t>
      </w:r>
      <w:r>
        <w:t xml:space="preserve">sufficiency claim. Raw datatype agreement is not enough.</w:t>
      </w:r>
    </w:p>
    <w:p>
      <w:pPr>
        <w:pStyle w:val="BodyText"/>
        <w:widowControl/>
      </w:pPr>
      <w:r>
        <w:t xml:space="preserve">The scientific question is not whether two floating-point arrays are numerically close in the</w:t>
      </w:r>
      <w:r>
        <w:t xml:space="preserve"> </w:t>
      </w:r>
      <w:r>
        <w:t xml:space="preserve">abstract, but whether refinement can change the registered conclusion. Microscopic discrepancies</w:t>
      </w:r>
      <w:r>
        <w:t xml:space="preserve"> </w:t>
      </w:r>
      <w:r>
        <w:t xml:space="preserve">may contract or amplify, whereas further precision may be unnecessary when every protected</w:t>
      </w:r>
      <w:r>
        <w:t xml:space="preserve"> </w:t>
      </w:r>
      <w:r>
        <w:t xml:space="preserve">quantity and decision remains stable. Sufficiency is always relative to the stated interface.</w:t>
      </w:r>
    </w:p>
    <w:bookmarkEnd w:id="25"/>
    <w:bookmarkStart w:id="26" w:name="step-6-evaluate-on-held-out-data"/>
    <w:p>
      <w:pPr>
        <w:pStyle w:val="Heading2"/>
        <w:keepNext/>
        <w:keepLines/>
        <w:widowControl/>
      </w:pPr>
      <w:r>
        <w:t xml:space="preserve">Step 6: Evaluate on held-out data</w:t>
      </w:r>
    </w:p>
    <w:p>
      <w:pPr>
        <w:pStyle w:val="FirstParagraph"/>
        <w:widowControl/>
      </w:pPr>
      <w:r>
        <w:t xml:space="preserve">Development constructs the language, probes, thresholds, policies, and diagnostics. Calibration</w:t>
      </w:r>
      <w:r>
        <w:t xml:space="preserve"> </w:t>
      </w:r>
      <w:r>
        <w:t xml:space="preserve">served only the prespecified D2-CERT event. A role-separated held-out evaluation then judged the</w:t>
      </w:r>
      <w:r>
        <w:t xml:space="preserve"> </w:t>
      </w:r>
      <w:r>
        <w:t xml:space="preserve">fixed pipeline once, without retuning or retry. This separation is internal to the project; it is</w:t>
      </w:r>
      <w:r>
        <w:t xml:space="preserve"> </w:t>
      </w:r>
      <w:r>
        <w:t xml:space="preserve">not external replication. Leakage, outcome-dependent threshold changes, result replacement, or</w:t>
      </w:r>
      <w:r>
        <w:t xml:space="preserve"> </w:t>
      </w:r>
      <w:r>
        <w:t xml:space="preserve">repeated execution would void that interpretation. Stable computation is a premise for evidence,</w:t>
      </w:r>
      <w:r>
        <w:t xml:space="preserve"> </w:t>
      </w:r>
      <w:r>
        <w:t xml:space="preserve">not evidence by itself.</w:t>
      </w:r>
    </w:p>
    <w:p>
      <w:pPr>
        <w:pStyle w:val="BodyText"/>
        <w:widowControl/>
      </w:pPr>
      <w:r>
        <w:t xml:space="preserve">This separation keeps evaluation data from becoming another optimization signal. Calibration can</w:t>
      </w:r>
      <w:r>
        <w:t xml:space="preserve"> </w:t>
      </w:r>
      <w:r>
        <w:t xml:space="preserve">support only the distribution-conditional statement for which it was designed; the held-out step</w:t>
      </w:r>
      <w:r>
        <w:t xml:space="preserve"> </w:t>
      </w:r>
      <w:r>
        <w:t xml:space="preserve">judges the completed pipeline. Its first outcome remains the outcome whether favorable,</w:t>
      </w:r>
      <w:r>
        <w:t xml:space="preserve"> </w:t>
      </w:r>
      <w:r>
        <w:t xml:space="preserve">unfavorable, or indeterminate, so failure cannot be erased by rerunning the decision.</w:t>
      </w:r>
    </w:p>
    <w:p>
      <w:pPr>
        <w:pStyle w:val="BodyText"/>
        <w:widowControl/>
      </w:pPr>
      <w:r>
        <w:t xml:space="preserve">The complete formal configuration can be written as</w:t>
      </w:r>
    </w:p>
    <w:p>
      <w:pPr>
        <w:pStyle w:val="BodyText"/>
        <w:widowControl/>
      </w:pPr>
      <m:oMathPara>
        <m:oMathParaPr>
          <m:jc m:val="center"/>
        </m:oMathParaPr>
        <m:oMath>
          <m:r>
            <m:rPr>
              <m:scr m:val="fraktur"/>
              <m:sty m:val="p"/>
            </m:rPr>
            <m:t>A</m:t>
          </m:r>
          <m:r>
            <m:rPr>
              <m:sty m:val="p"/>
            </m:rPr>
            <m:t>=</m:t>
          </m:r>
          <m:r>
            <m:rPr>
              <m:sty m:val="p"/>
            </m:rPr>
            <m:t>(</m:t>
          </m:r>
          <m:r>
            <m:rPr>
              <m:scr m:val="script"/>
              <m:sty m:val="p"/>
            </m:rPr>
            <m:t>G</m:t>
          </m:r>
          <m:r>
            <m:rPr>
              <m:sty m:val="p"/>
            </m:rPr>
            <m:t>,</m:t>
          </m:r>
          <m:r>
            <m:rPr>
              <m:nor/>
              <m:scr m:val="sans-serif"/>
            </m:rPr>
            <m:t>parse</m:t>
          </m:r>
          <m:r>
            <m:rPr>
              <m:sty m:val="p"/>
            </m:rPr>
            <m:t>,</m:t>
          </m:r>
          <m:r>
            <m:rPr>
              <m:nor/>
              <m:scr m:val="sans-serif"/>
            </m:rPr>
            <m:t>sem</m:t>
          </m:r>
          <m:r>
            <m:rPr>
              <m:sty m:val="p"/>
            </m:rPr>
            <m:t>,</m:t>
          </m:r>
          <m:r>
            <m:rPr>
              <m:nor/>
              <m:scr m:val="sans-serif"/>
            </m:rPr>
            <m:t>invalid</m:t>
          </m:r>
          <m:r>
            <m:rPr>
              <m:sty m:val="p"/>
            </m:rPr>
            <m:t>,</m:t>
          </m:r>
          <m:r>
            <m:rPr>
              <m:nor/>
              <m:scr m:val="sans-serif"/>
            </m:rPr>
            <m:t>enc</m:t>
          </m:r>
          <m:r>
            <m:rPr>
              <m:sty m:val="p"/>
            </m:rPr>
            <m:t>,</m:t>
          </m:r>
          <m:r>
            <m:t>ρ</m:t>
          </m:r>
          <m:r>
            <m:rPr>
              <m:sty m:val="p"/>
            </m:rPr>
            <m:t>,</m:t>
          </m:r>
          <m:r>
            <m:t>b</m:t>
          </m:r>
          <m:r>
            <m:rPr>
              <m:sty m:val="p"/>
            </m:rPr>
            <m:t>,</m:t>
          </m:r>
          <m:r>
            <m:t>r</m:t>
          </m:r>
          <m:r>
            <m:rPr>
              <m:sty m:val="p"/>
            </m:rPr>
            <m:t>,</m:t>
          </m:r>
          <m:r>
            <m:rPr>
              <m:sty m:val="p"/>
            </m:rPr>
            <m:t>Π</m:t>
          </m:r>
          <m:r>
            <m:rPr>
              <m:sty m:val="p"/>
            </m:rPr>
            <m:t>,</m:t>
          </m:r>
          <m:r>
            <m:rPr>
              <m:scr m:val="script"/>
              <m:sty m:val="p"/>
            </m:rPr>
            <m:t>P</m:t>
          </m:r>
          <m:r>
            <m:rPr>
              <m:sty m:val="p"/>
            </m:rPr>
            <m:t>,</m:t>
          </m:r>
          <m:r>
            <m:t>Q</m:t>
          </m:r>
          <m:r>
            <m:rPr>
              <m:sty m:val="p"/>
            </m:rPr>
            <m:t>,</m:t>
          </m:r>
          <m:r>
            <m:rPr>
              <m:scr m:val="script"/>
              <m:sty m:val="p"/>
            </m:rPr>
            <m:t>S</m:t>
          </m:r>
          <m:r>
            <m:rPr>
              <m:sty m:val="p"/>
            </m:rPr>
            <m:t>,</m:t>
          </m:r>
          <m:r>
            <m:rPr>
              <m:scr m:val="script"/>
              <m:sty m:val="p"/>
            </m:rPr>
            <m:t>E</m:t>
          </m:r>
          <m:r>
            <m:rPr>
              <m:sty m:val="p"/>
            </m:rPr>
            <m:t>)</m:t>
          </m:r>
          <m:r>
            <m:rPr>
              <m:sty m:val="p"/>
            </m:rPr>
            <m:t>,</m:t>
          </m:r>
        </m:oMath>
      </m:oMathPara>
    </w:p>
    <w:p>
      <w:pPr>
        <w:pStyle w:val="FirstParagraph"/>
        <w:widowControl/>
      </w:pPr>
      <w:r>
        <w:t xml:space="preserve">where the entries encode grammar and execution rules, description and resource limits, precision,</w:t>
      </w:r>
      <w:r>
        <w:t xml:space="preserve"> </w:t>
      </w:r>
      <w:r>
        <w:t xml:space="preserve">probes, the calibration law, split manifest, and global error budget. Its purpose is not to make</w:t>
      </w:r>
      <w:r>
        <w:t xml:space="preserve"> </w:t>
      </w:r>
      <w:r>
        <w:t xml:space="preserve">the workflow look formal; it makes every evidential premise inspectable and prevents silent</w:t>
      </w:r>
      <w:r>
        <w:t xml:space="preserve"> </w:t>
      </w:r>
      <w:r>
        <w:t xml:space="preserve">substitution of a different scientific object.</w:t>
      </w:r>
    </w:p>
    <w:bookmarkEnd w:id="26"/>
    <w:bookmarkEnd w:id="27"/>
    <w:bookmarkStart w:id="37" w:name="sec:formal"/>
    <w:p>
      <w:pPr>
        <w:pStyle w:val="Heading1"/>
        <w:keepNext/>
        <w:keepLines/>
        <w:widowControl/>
      </w:pPr>
      <w:r>
        <w:t xml:space="preserve">Mathematical foundations</w:t>
      </w:r>
    </w:p>
    <w:p>
      <w:pPr>
        <w:pStyle w:val="FirstParagraph"/>
        <w:widowControl/>
      </w:pPr>
      <w:r>
        <w:t xml:space="preserve">The equations below formalize the points at which the narrative could otherwise become vague.</w:t>
      </w:r>
      <w:r>
        <w:t xml:space="preserve"> </w:t>
      </w:r>
      <w:r>
        <w:t xml:space="preserve">Table </w:t>
      </w:r>
      <w:hyperlink w:anchor="tab:equation-map">
        <w:r>
          <w:rPr>
            <w:rStyle w:val="Hyperlink"/>
          </w:rPr>
          <w:t xml:space="preserve">1</w:t>
        </w:r>
      </w:hyperlink>
      <w:r>
        <w:t xml:space="preserve"> </w:t>
      </w:r>
      <w:r>
        <w:t xml:space="preserve">gives a reader’s map: what each expression is for, how to read it, and</w:t>
      </w:r>
      <w:r>
        <w:t xml:space="preserve"> </w:t>
      </w:r>
      <w:r>
        <w:t xml:space="preserve">which failure removes its conclusion. Detailed derivations and domain conditions appear in the</w:t>
      </w:r>
      <w:r>
        <w:t xml:space="preserve"> </w:t>
      </w:r>
      <w:r>
        <w:t xml:space="preserve">Supplement.</w:t>
      </w:r>
    </w:p>
    <w:bookmarkStart w:id="28" w:name="tab:equation-map"/>
    <w:p>
      <w:pPr>
        <w:pStyle w:val="TableCaption"/>
        <w:widowControl/>
      </w:pPr>
      <w:r>
        <w:t>Table 1. Reader’s map to the core equations.</w:t>
      </w:r>
    </w:p>
    <w:tbl>
      <w:tblPr>
        <w:tblStyle w:val="Table"/>
        <w:tblW w:type="dxa" w:w="9360"/>
        <w:jc w:val="left"/>
        <w:tblLayout w:type="fixed"/>
        <w:tblLook w:firstRow="1" w:lastRow="0" w:firstColumn="0" w:lastColumn="0" w:noHBand="0" w:noVBand="0" w:val="0020"/>
        <w:tblCaption w:val="Reader’s map to the core equation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499"/>
        <w:gridCol w:w="2061"/>
        <w:gridCol w:w="3309"/>
        <w:gridCol w:w="2491"/>
      </w:tblGrid>
      <w:tr>
        <w:trPr>
          <w:tblHeader w:val="on"/>
          <w:cantSplit/>
        </w:trPr>
        <w:tc>
          <w:tcPr>
            <w:tcW w:type="dxa" w:w="1499"/>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Equation</w:t>
            </w:r>
          </w:p>
        </w:tc>
        <w:tc>
          <w:tcPr>
            <w:tcW w:type="dxa" w:w="206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Scientific question</w:t>
            </w:r>
          </w:p>
        </w:tc>
        <w:tc>
          <w:tcPr>
            <w:tcW w:type="dxa" w:w="3309"/>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How to read it</w:t>
            </w:r>
          </w:p>
        </w:tc>
        <w:tc>
          <w:tcPr>
            <w:tcW w:type="dxa" w:w="249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What withdraws it</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lasscard">
              <w:r>
                <w:rPr>
                  <w:rStyle w:val="Hyperlink"/>
                  <w:b/>
                  <w:bCs/>
                </w:rPr>
                <w:t xml:space="preserve">(1)</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How many possibilities are actually in scope?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 finite address set and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single-valued parser bound the executable semantic image; the ledger still accounts for every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declared address.</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Parser/address-policy changes or incomplete accounting.</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oracle">
              <w:r>
                <w:rPr>
                  <w:rStyle w:val="Hyperlink"/>
                  <w:b/>
                  <w:bCs/>
                </w:rPr>
                <w:t xml:space="preserve">(2)</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Why may the selected model remain worse than the best declared comparator?</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Approximation, sampling, regularization, and optimization contribute separately.</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Adapted class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or loss, dependence, unbounded loss, or a comparator outside the declared premise.</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signature">
              <w:r>
                <w:rPr>
                  <w:rStyle w:val="Hyperlink"/>
                  <w:b/>
                  <w:bCs/>
                </w:rPr>
                <w:t xml:space="preserve">(3)</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What can the fixed observations distinguish?</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serialized equality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creates operational equivalence classes, not ontological identity.</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Changed probes or quantizers,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pairwise tolerance, or unsafe representative-only evaluation.</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inadequacy">
              <w:r>
                <w:rPr>
                  <w:rStyle w:val="Hyperlink"/>
                  <w:b/>
                  <w:bCs/>
                </w:rPr>
                <w:t xml:space="preserve">(4)</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may the entire declared language be rejected?</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Even the weakest</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valid lower bound in every class must exceed the threshold; current B blocks exercise only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singleton/exact-loss case.</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Any missing candidate or bound, unsafe deduplication, or incomplete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alpha ledger.</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path">
              <w:r>
                <w:rPr>
                  <w:rStyle w:val="Hyperlink"/>
                  <w:b/>
                  <w:bCs/>
                </w:rPr>
                <w:t xml:space="preserve">(5)</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How can local error affect a later state?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Each discrepancy is multiplied by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sensitivity of the dynamics that follow it.</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Domain exit, mismatched paths or metrics, or a</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missing local bound.</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ross">
              <w:r>
                <w:rPr>
                  <w:rStyle w:val="Hyperlink"/>
                  <w:b/>
                  <w:bCs/>
                </w:rPr>
                <w:t xml:space="preserve">(6)</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Do fine and coarse descriptions evolve consistently?</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Local commutation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defects accumulate through later coarse-map sensitivities.</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Type or domain failure, or a missing</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Lipschitz premise.</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p">
              <w:r>
                <w:rPr>
                  <w:rStyle w:val="Hyperlink"/>
                  <w:b/>
                  <w:bCs/>
                </w:rPr>
                <w:t xml:space="preserve">(7)</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can calibration grant a distribution-conditional certificate?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Under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iid reference law, grant only if the exact one-sided upper endpoint is at most the target;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implemented conditioned law has the stated coverage correction.</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Event or distribution change,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pseudoreplication, role reuse, or tuning.</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p-audit">
              <w:r>
                <w:rPr>
                  <w:rStyle w:val="Hyperlink"/>
                  <w:b/>
                  <w:bCs/>
                </w:rPr>
                <w:t xml:space="preserve">(8)</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does role-separated held-out evidence withdraw that certificate?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Withdraw only if</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the exact held-out lower endpoint exceeds the target.</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 broken certificate chain, role reuse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broken role separation, or a changed rule.</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alpha">
              <w:r>
                <w:rPr>
                  <w:rStyle w:val="Hyperlink"/>
                  <w:b/>
                  <w:bCs/>
                </w:rPr>
                <w:t xml:space="preserve">(9)</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How are repeated looks charged to one error budget?</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Candidate, gate, and look</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receive prespecified shares, and the radius uses cumulative sample size</w:t>
            </w:r>
            <w:r>
              <w:rPr>
                <w:rFonts w:ascii="Calibri" w:hAnsi="Calibri" w:eastAsia="Calibri" w:cs="Calibri"/>
                <w:b w:val="0"/>
                <w:color w:val="151515"/>
                <w:sz w:val="15"/>
              </w:rPr>
              <w:t xml:space="preserve"> </w:t>
            </w:r>
            <m:oMath>
              <m:sSub>
                <m:e>
                  <m:r>
                    <m:t>n</m:t>
                  </m:r>
                </m:e>
                <m:sub>
                  <m:r>
                    <m:t>s</m:t>
                  </m:r>
                </m:sub>
              </m:sSub>
            </m:oMath>
            <w:r>
              <w:rPr>
                <w:rFonts w:ascii="Calibri" w:hAnsi="Calibri" w:eastAsia="Calibri" w:cs="Calibri"/>
                <w:b w:val="0"/>
                <w:color w:val="151515"/>
                <w:sz w:val="15"/>
              </w:rPr>
              <w:t xml:space="preserve">; current endpoints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did not call this machinery.</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Unplanned looks or added candidates, dependence without a valid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replacement, or an incomplete ledger.</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fidelity">
              <w:r>
                <w:rPr>
                  <w:rStyle w:val="Hyperlink"/>
                  <w:b/>
                  <w:bCs/>
                </w:rPr>
                <w:t xml:space="preserve">(10)</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is the current precision enough for the scientific decision?</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Every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prespecified refinement must preserve both upper-level observables and decisions.</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 tolerance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decision breach, missing output, or unfinished refinement.</w:t>
            </w:r>
          </w:p>
        </w:tc>
      </w:tr>
    </w:tbl>
    <w:bookmarkEnd w:id="28"/>
    <w:bookmarkStart w:id="30" w:name="turning-all-into-a-finite-statement"/>
    <w:p>
      <w:pPr>
        <w:pStyle w:val="Heading2"/>
        <w:keepNext/>
        <w:keepLines/>
        <w:widowControl/>
      </w:pPr>
      <w:r>
        <w:t xml:space="preserve">Turning</w:t>
      </w:r>
      <w:r>
        <w:t xml:space="preserve"> </w:t>
      </w:r>
      <w:r>
        <w:t xml:space="preserve">“all”</w:t>
      </w:r>
      <w:r>
        <w:t xml:space="preserve"> </w:t>
      </w:r>
      <w:r>
        <w:t xml:space="preserve">into a finite statement</w:t>
      </w:r>
    </w:p>
    <w:p>
      <w:pPr>
        <w:pStyle w:val="FirstParagraph"/>
        <w:widowControl/>
      </w:pPr>
      <w:r>
        <w:t xml:space="preserve">Let</w:t>
      </w:r>
      <w:r>
        <w:t xml:space="preserve"> </w:t>
      </w:r>
      <m:oMath>
        <m:r>
          <m:t>b</m:t>
        </m:r>
      </m:oMath>
      <w:r>
        <w:t xml:space="preserve"> </w:t>
      </w:r>
      <w:r>
        <w:t xml:space="preserve">be the maximum binary address length, let</w:t>
      </w:r>
      <w:r>
        <w:t xml:space="preserve"> </w:t>
      </w:r>
      <m:oMath>
        <m:sSub>
          <m:e>
            <m:r>
              <m:rPr>
                <m:scr m:val="script"/>
                <m:sty m:val="p"/>
              </m:rPr>
              <m:t>A</m:t>
            </m:r>
          </m:e>
          <m:sub>
            <m:r>
              <m:t>b</m:t>
            </m:r>
          </m:sub>
        </m:sSub>
        <m:r>
          <m:rPr>
            <m:sty m:val="p"/>
          </m:rPr>
          <m:t>=</m:t>
        </m:r>
        <m:sSubSup>
          <m:e>
            <m:r>
              <m:rPr>
                <m:sty m:val="p"/>
              </m:rPr>
              <m:t>⋃</m:t>
            </m:r>
          </m:e>
          <m:sub>
            <m:r>
              <m:t>j</m:t>
            </m:r>
            <m:r>
              <m:rPr>
                <m:sty m:val="p"/>
              </m:rPr>
              <m:t>=</m:t>
            </m:r>
            <m:r>
              <m:t>0</m:t>
            </m:r>
          </m:sub>
          <m:sup>
            <m:r>
              <m:t>b</m:t>
            </m:r>
          </m:sup>
        </m:sSubSup>
        <m:r>
          <m:rPr>
            <m:sty m:val="p"/>
          </m:rPr>
          <m:t>{</m:t>
        </m:r>
        <m:r>
          <m:t>0</m:t>
        </m:r>
        <m:r>
          <m:rPr>
            <m:sty m:val="p"/>
          </m:rPr>
          <m:t>,</m:t>
        </m:r>
        <m:r>
          <m:t>1</m:t>
        </m:r>
        <m:sSup>
          <m:e>
            <m:r>
              <m:rPr>
                <m:sty m:val="p"/>
              </m:rPr>
              <m:t>}</m:t>
            </m:r>
          </m:e>
          <m:sup>
            <m:r>
              <m:t>j</m:t>
            </m:r>
          </m:sup>
        </m:sSup>
      </m:oMath>
      <w:r>
        <w:t xml:space="preserve">, and fix before evaluation a</w:t>
      </w:r>
      <w:r>
        <w:t xml:space="preserve"> </w:t>
      </w:r>
      <w:r>
        <w:t xml:space="preserve">single-valued parser</w:t>
      </w:r>
      <w:r>
        <w:t xml:space="preserve"> </w:t>
      </w:r>
      <m:oMath>
        <m:r>
          <m:rPr>
            <m:nor/>
            <m:scr m:val="sans-serif"/>
          </m:rPr>
          <m:t>parse</m:t>
        </m:r>
        <m:r>
          <m:rPr>
            <m:sty m:val="p"/>
          </m:rPr>
          <m:t>:</m:t>
        </m:r>
        <m:sSub>
          <m:e>
            <m:r>
              <m:rPr>
                <m:scr m:val="script"/>
                <m:sty m:val="p"/>
              </m:rPr>
              <m:t>A</m:t>
            </m:r>
          </m:e>
          <m:sub>
            <m:r>
              <m:t>b</m:t>
            </m:r>
          </m:sub>
        </m:sSub>
        <m:r>
          <m:rPr>
            <m:sty m:val="p"/>
          </m:rPr>
          <m:t>→</m:t>
        </m:r>
        <m:r>
          <m:rPr>
            <m:scr m:val="script"/>
            <m:sty m:val="p"/>
          </m:rPr>
          <m:t>H</m:t>
        </m:r>
        <m:r>
          <m:rPr>
            <m:sty m:val="p"/>
          </m:rPr>
          <m:t>∪</m:t>
        </m:r>
        <m:r>
          <m:rPr>
            <m:sty m:val="p"/>
          </m:rPr>
          <m:t>{</m:t>
        </m:r>
        <m:r>
          <m:rPr>
            <m:nor/>
          </m:rPr>
          <m:t>INVALID</m:t>
        </m:r>
        <m:r>
          <m:rPr>
            <m:sty m:val="p"/>
          </m:rPr>
          <m:t>}</m:t>
        </m:r>
      </m:oMath>
      <w:r>
        <w:t xml:space="preserve">.</w:t>
      </w:r>
      <w:r>
        <w:t xml:space="preserve"> </w:t>
      </w:r>
      <w:r>
        <w:t xml:space="preserve">For resource envelope</w:t>
      </w:r>
      <w:r>
        <w:t xml:space="preserve"> </w:t>
      </w:r>
      <m:oMath>
        <m:r>
          <m:t>r</m:t>
        </m:r>
      </m:oMath>
      <w:r>
        <w:t xml:space="preserve">, the executable semantic image is</w:t>
      </w:r>
    </w:p>
    <w:p>
      <w:pPr>
        <w:pStyle w:val="BodyText"/>
        <w:widowControl/>
      </w:pPr>
      <m:oMathPara>
        <m:oMathParaPr>
          <m:jc m:val="center"/>
        </m:oMathParaPr>
        <m:oMath>
          <m:sSub>
            <m:e>
              <m:r>
                <m:rPr>
                  <m:scr m:val="script"/>
                  <m:sty m:val="p"/>
                </m:rPr>
                <m:t>H</m:t>
              </m:r>
            </m:e>
            <m:sub>
              <m:r>
                <m:t>b</m:t>
              </m:r>
              <m:r>
                <m:rPr>
                  <m:sty m:val="p"/>
                </m:rPr>
                <m:t>,</m:t>
              </m:r>
              <m:r>
                <m:t>r</m:t>
              </m:r>
            </m:sub>
          </m:sSub>
          <m:r>
            <m:rPr>
              <m:sty m:val="p"/>
            </m:rPr>
            <m:t>=</m:t>
          </m:r>
          <m:r>
            <m:rPr>
              <m:sty m:val="p"/>
            </m:rPr>
            <m:t>{</m:t>
          </m:r>
          <m:r>
            <m:rPr>
              <m:nor/>
              <m:scr m:val="sans-serif"/>
            </m:rPr>
            <m:t>parse</m:t>
          </m:r>
          <m:r>
            <m:rPr>
              <m:sty m:val="p"/>
            </m:rPr>
            <m:t>(</m:t>
          </m:r>
          <m:r>
            <m:t>a</m:t>
          </m:r>
          <m:r>
            <m:rPr>
              <m:sty m:val="p"/>
            </m:rPr>
            <m:t>)</m:t>
          </m:r>
          <m:r>
            <m:rPr>
              <m:sty m:val="p"/>
            </m:rPr>
            <m:t>:</m:t>
          </m:r>
          <m:r>
            <m:t>a</m:t>
          </m:r>
          <m:r>
            <m:rPr>
              <m:sty m:val="p"/>
            </m:rPr>
            <m:t>∈</m:t>
          </m:r>
          <m:sSub>
            <m:e>
              <m:r>
                <m:rPr>
                  <m:scr m:val="script"/>
                  <m:sty m:val="p"/>
                </m:rPr>
                <m:t>A</m:t>
              </m:r>
            </m:e>
            <m:sub>
              <m:r>
                <m:t>b</m:t>
              </m:r>
            </m:sub>
          </m:sSub>
          <m:r>
            <m:rPr>
              <m:sty m:val="p"/>
            </m:rPr>
            <m:t>,</m:t>
          </m:r>
          <m:r>
            <m:t> </m:t>
          </m:r>
          <m:r>
            <m:rPr>
              <m:nor/>
              <m:scr m:val="sans-serif"/>
            </m:rPr>
            <m:t>parse</m:t>
          </m:r>
          <m:r>
            <m:rPr>
              <m:sty m:val="p"/>
            </m:rPr>
            <m:t>(</m:t>
          </m:r>
          <m:r>
            <m:t>a</m:t>
          </m:r>
          <m:r>
            <m:rPr>
              <m:sty m:val="p"/>
            </m:rPr>
            <m:t>)</m:t>
          </m:r>
          <m:r>
            <m:rPr>
              <m:sty m:val="p"/>
            </m:rPr>
            <m:t>≠</m:t>
          </m:r>
          <m:r>
            <m:rPr>
              <m:nor/>
            </m:rPr>
            <m:t>INVALID</m:t>
          </m:r>
          <m:r>
            <m:rPr>
              <m:sty m:val="p"/>
            </m:rPr>
            <m:t>,</m:t>
          </m:r>
          <m:r>
            <m:t> </m:t>
          </m:r>
          <m:r>
            <m:t>ρ</m:t>
          </m:r>
          <m:r>
            <m:rPr>
              <m:sty m:val="p"/>
            </m:rPr>
            <m:t>(</m:t>
          </m:r>
          <m:r>
            <m:rPr>
              <m:nor/>
              <m:scr m:val="sans-serif"/>
            </m:rPr>
            <m:t>parse</m:t>
          </m:r>
          <m:r>
            <m:rPr>
              <m:sty m:val="p"/>
            </m:rPr>
            <m:t>(</m:t>
          </m:r>
          <m:r>
            <m:t>a</m:t>
          </m:r>
          <m:r>
            <m:rPr>
              <m:sty m:val="p"/>
            </m:rPr>
            <m:t>)</m:t>
          </m:r>
          <m:r>
            <m:rPr>
              <m:sty m:val="p"/>
            </m:rPr>
            <m:t>)</m:t>
          </m:r>
          <m:r>
            <m:rPr>
              <m:sty m:val="p"/>
            </m:rPr>
            <m:t>≼</m:t>
          </m:r>
          <m:r>
            <m:t>r</m:t>
          </m:r>
          <m:r>
            <m:rPr>
              <m:sty m:val="p"/>
            </m:rPr>
            <m:t>}</m:t>
          </m:r>
          <m:r>
            <m:rPr>
              <m:sty m:val="p"/>
            </m:rPr>
            <m:t>.</m:t>
          </m:r>
        </m:oMath>
      </m:oMathPara>
    </w:p>
    <w:p>
      <w:pPr>
        <w:pStyle w:val="FirstParagraph"/>
        <w:widowControl/>
      </w:pPr>
      <w:r>
        <w:t xml:space="preserve">The ledger nevertheless ranges over addresses</w:t>
      </w:r>
      <w:r>
        <w:t xml:space="preserve"> </w:t>
      </w:r>
      <m:oMath>
        <m:r>
          <m:t>a</m:t>
        </m:r>
      </m:oMath>
      <w:r>
        <w:t xml:space="preserve">: invalid and resource-infeasible addresses</w:t>
      </w:r>
      <w:r>
        <w:t xml:space="preserve"> </w:t>
      </w:r>
      <w:r>
        <w:t xml:space="preserve">receive terminal rows, and semantic duplicates remain separate rows unless a canonical-address</w:t>
      </w:r>
      <w:r>
        <w:t xml:space="preserve"> </w:t>
      </w:r>
      <w:r>
        <w:t xml:space="preserve">policy was declared before evaluation. The parser-image premise gives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rPr>
                    <m:sty m:val="p"/>
                  </m:rPr>
                  <m:t>|</m:t>
                </m:r>
                <m:sSub>
                  <m:e>
                    <m:r>
                      <m:rPr>
                        <m:scr m:val="script"/>
                        <m:sty m:val="p"/>
                      </m:rPr>
                      <m:t>H</m:t>
                    </m:r>
                  </m:e>
                  <m:sub>
                    <m:r>
                      <m:t>b</m:t>
                    </m:r>
                    <m:r>
                      <m:rPr>
                        <m:sty m:val="p"/>
                      </m:rPr>
                      <m:t>,</m:t>
                    </m:r>
                    <m:r>
                      <m:t>r</m:t>
                    </m:r>
                  </m:sub>
                </m:sSub>
                <m:r>
                  <m:rPr>
                    <m:sty m:val="p"/>
                  </m:rPr>
                  <m:t>|</m:t>
                </m:r>
                <m:r>
                  <m:rPr>
                    <m:sty m:val="p"/>
                  </m:rPr>
                  <m:t>≤</m:t>
                </m:r>
                <m:r>
                  <m:rPr>
                    <m:sty m:val="p"/>
                  </m:rPr>
                  <m:t>|</m:t>
                </m:r>
                <m:sSub>
                  <m:e>
                    <m:r>
                      <m:rPr>
                        <m:scr m:val="script"/>
                        <m:sty m:val="p"/>
                      </m:rPr>
                      <m:t>A</m:t>
                    </m:r>
                  </m:e>
                  <m:sub>
                    <m:r>
                      <m:t>b</m:t>
                    </m:r>
                  </m:sub>
                </m:sSub>
                <m:r>
                  <m:rPr>
                    <m:sty m:val="p"/>
                  </m:rPr>
                  <m:t>|</m:t>
                </m:r>
                <m:r>
                  <m:rPr>
                    <m:sty m:val="p"/>
                  </m:rPr>
                  <m:t>=</m:t>
                </m:r>
                <m:nary>
                  <m:naryPr>
                    <m:chr m:val="∑"/>
                    <m:limLoc m:val="undOvr"/>
                    <m:subHide m:val="off"/>
                    <m:supHide m:val="off"/>
                  </m:naryPr>
                  <m:sub>
                    <m:r>
                      <m:t>j</m:t>
                    </m:r>
                    <m:r>
                      <m:rPr>
                        <m:sty m:val="p"/>
                      </m:rPr>
                      <m:t>=</m:t>
                    </m:r>
                    <m:r>
                      <m:t>0</m:t>
                    </m:r>
                  </m:sub>
                  <m:sup>
                    <m:r>
                      <m:t>b</m:t>
                    </m:r>
                  </m:sup>
                  <m:e>
                    <m:sSup>
                      <m:e>
                        <m:r>
                          <m:t>2</m:t>
                        </m:r>
                      </m:e>
                      <m:sup>
                        <m:r>
                          <m:t>j</m:t>
                        </m:r>
                      </m:sup>
                    </m:sSup>
                  </m:e>
                </m:nary>
                <m:r>
                  <m:rPr>
                    <m:sty m:val="p"/>
                  </m:rPr>
                  <m:t>=</m:t>
                </m:r>
                <m:sSup>
                  <m:e>
                    <m:r>
                      <m:t>2</m:t>
                    </m:r>
                  </m:e>
                  <m:sup>
                    <m:r>
                      <m:t>b</m:t>
                    </m:r>
                    <m:r>
                      <m:rPr>
                        <m:sty m:val="p"/>
                      </m:rPr>
                      <m:t>+</m:t>
                    </m:r>
                    <m:r>
                      <m:t>1</m:t>
                    </m:r>
                  </m:sup>
                </m:sSup>
                <m:r>
                  <m:rPr>
                    <m:sty m:val="p"/>
                  </m:rPr>
                  <m:t>−</m:t>
                </m:r>
                <m:r>
                  <m:t>1</m:t>
                </m:r>
                <m:r>
                  <m:rPr>
                    <m:sty m:val="p"/>
                  </m:rPr>
                  <m:t>.</m:t>
                </m:r>
              </m:oMath>
            </m:oMathPara>
          </w:p>
        </w:tc>
        <w:tc>
          <w:tcPr>
            <w:tcW w:type="dxa" w:w="662"/>
          </w:tcPr>
          <w:p>
            <w:pPr>
              <w:keepLines/>
              <w:jc w:val="right"/>
            </w:pPr>
            <w:r>
              <w:rPr>
                <w:rFonts w:ascii="Calibri" w:hAnsi="Calibri" w:eastAsia="Calibri" w:cs="Calibri"/>
                <w:b w:val="0"/>
                <w:color w:val="000000"/>
                <w:sz w:val="18"/>
              </w:rPr>
              <w:t>(1)</w:t>
            </w:r>
          </w:p>
        </w:tc>
      </w:tr>
    </w:tbl>
    <w:p>
      <w:pPr>
        <w:pStyle w:val="FirstParagraph"/>
        <w:widowControl/>
      </w:pPr>
      <w:r>
        <w:t xml:space="preserve">The equation should be read as a scope guarantee, not a promise of cheap computation. At</w:t>
      </w:r>
      <w:r>
        <w:t xml:space="preserve"> </w:t>
      </w:r>
      <m:oMath>
        <m:r>
          <m:t>b</m:t>
        </m:r>
        <m:r>
          <m:rPr>
            <m:sty m:val="p"/>
          </m:rPr>
          <m:t>=</m:t>
        </m:r>
        <m:r>
          <m:t>100</m:t>
        </m:r>
      </m:oMath>
      <w:r>
        <w:t xml:space="preserve">, the address count is approximately</w:t>
      </w:r>
      <w:r>
        <w:t xml:space="preserve"> </w:t>
      </w:r>
      <m:oMath>
        <m:r>
          <m:t>2.54</m:t>
        </m:r>
        <m:r>
          <m:rPr>
            <m:sty m:val="p"/>
          </m:rPr>
          <m:t>×</m:t>
        </m:r>
        <m:sSup>
          <m:e>
            <m:r>
              <m:t>10</m:t>
            </m:r>
          </m:e>
          <m:sup>
            <m:r>
              <m:t>30</m:t>
            </m:r>
          </m:sup>
        </m:sSup>
      </m:oMath>
      <w:r>
        <w:t xml:space="preserve">: finite, auditable in</w:t>
      </w:r>
      <w:r>
        <w:t xml:space="preserve"> </w:t>
      </w:r>
      <w:r>
        <w:t xml:space="preserve">definition, and still far too large for naive enumeration. Invalid or out-of-resource</w:t>
      </w:r>
      <w:r>
        <w:t xml:space="preserve"> </w:t>
      </w:r>
      <w:r>
        <w:t xml:space="preserve">descriptions may reduce the executable set, but their addresses still require explicit ledger</w:t>
      </w:r>
      <w:r>
        <w:t xml:space="preserve"> </w:t>
      </w:r>
      <w:r>
        <w:t xml:space="preserve">entries; semantic duplicates may reduce the image or the number of operational classes without</w:t>
      </w:r>
      <w:r>
        <w:t xml:space="preserve"> </w:t>
      </w:r>
      <w:r>
        <w:t xml:space="preserve">reducing the declared addresses that must be accounted for. Completeness is therefore relative to</w:t>
      </w:r>
      <w:r>
        <w:t xml:space="preserve"> </w:t>
      </w:r>
      <w:r>
        <w:t xml:space="preserve">this parser/address policy. If the language changes after evaluation or a subset is described as</w:t>
      </w:r>
      <w:r>
        <w:t xml:space="preserve"> </w:t>
      </w:r>
      <w:r>
        <w:t xml:space="preserve">exhaustive, the counting claim no longer supports the scientific conclusion.</w:t>
      </w:r>
    </w:p>
    <w:p>
      <w:pPr>
        <w:pStyle w:val="BodyText"/>
        <w:widowControl/>
      </w:pPr>
      <w:r>
        <w:t xml:space="preserve">Counting also clarifies the gap between a selected model and the best comparator inside the</w:t>
      </w:r>
      <w:r>
        <w:t xml:space="preserve"> </w:t>
      </w:r>
      <w:r>
        <w:t xml:space="preserve">declared envelope. For a common measurable loss</w:t>
      </w:r>
      <w:r>
        <w:t xml:space="preserve"> </w:t>
      </w:r>
      <m:oMath>
        <m:r>
          <m:t>ℓ</m:t>
        </m:r>
        <m:r>
          <m:rPr>
            <m:sty m:val="p"/>
          </m:rPr>
          <m:t>(</m:t>
        </m:r>
        <m:r>
          <m:t>h</m:t>
        </m:r>
        <m:r>
          <m:rPr>
            <m:sty m:val="p"/>
          </m:rPr>
          <m:t>,</m:t>
        </m:r>
        <m:r>
          <m:t>Z</m:t>
        </m:r>
        <m:r>
          <m:rPr>
            <m:sty m:val="p"/>
          </m:rPr>
          <m:t>)</m:t>
        </m:r>
        <m:r>
          <m:rPr>
            <m:sty m:val="p"/>
          </m:rPr>
          <m:t>∈</m:t>
        </m:r>
        <m:r>
          <m:rPr>
            <m:sty m:val="p"/>
          </m:rPr>
          <m:t>[</m:t>
        </m:r>
        <m:r>
          <m:t>0</m:t>
        </m:r>
        <m:r>
          <m:rPr>
            <m:sty m:val="p"/>
          </m:rPr>
          <m:t>,</m:t>
        </m:r>
        <m:r>
          <m:t>1</m:t>
        </m:r>
        <m:r>
          <m:rPr>
            <m:sty m:val="p"/>
          </m:rPr>
          <m:t>]</m:t>
        </m:r>
      </m:oMath>
      <w:r>
        <w:t xml:space="preserve">, Hoeffding’s bounded-loss</w:t>
      </w:r>
      <w:r>
        <w:t xml:space="preserve"> </w:t>
      </w:r>
      <w:r>
        <w:t xml:space="preserve">concentration inequality supplies the finite-class sampling term used below</w:t>
      </w:r>
      <w:r>
        <w:t xml:space="preserve"> </w:t>
      </w:r>
      <w:r>
        <w:t xml:space="preserve">(Hoeffding 1963)</w:t>
      </w:r>
      <w:r>
        <w:t xml:space="preserve">. Define</w:t>
      </w:r>
    </w:p>
    <w:p>
      <w:pPr>
        <w:pStyle w:val="BodyText"/>
        <w:widowControl/>
      </w:pPr>
      <m:oMathPara>
        <m:oMathParaPr>
          <m:jc m:val="center"/>
        </m:oMathParaPr>
        <m:oMath>
          <m:r>
            <m:t>R</m:t>
          </m:r>
          <m:r>
            <m:rPr>
              <m:sty m:val="p"/>
            </m:rPr>
            <m:t>(</m:t>
          </m:r>
          <m:r>
            <m:t>h</m:t>
          </m:r>
          <m:r>
            <m:rPr>
              <m:sty m:val="p"/>
            </m:rPr>
            <m:t>)</m:t>
          </m:r>
          <m:r>
            <m:rPr>
              <m:sty m:val="p"/>
            </m:rPr>
            <m:t>=</m:t>
          </m:r>
          <m:r>
            <m:rPr>
              <m:scr m:val="double-struck"/>
              <m:sty m:val="p"/>
            </m:rPr>
            <m:t>E</m:t>
          </m:r>
          <m:r>
            <m:rPr>
              <m:sty m:val="p"/>
            </m:rPr>
            <m:t>[</m:t>
          </m:r>
          <m:r>
            <m:t>ℓ</m:t>
          </m:r>
          <m:r>
            <m:rPr>
              <m:sty m:val="p"/>
            </m:rPr>
            <m:t>(</m:t>
          </m:r>
          <m:r>
            <m:t>h</m:t>
          </m:r>
          <m:r>
            <m:rPr>
              <m:sty m:val="p"/>
            </m:rPr>
            <m:t>,</m:t>
          </m:r>
          <m:r>
            <m:t>Z</m:t>
          </m:r>
          <m:r>
            <m:rPr>
              <m:sty m:val="p"/>
            </m:rPr>
            <m:t>)</m:t>
          </m:r>
          <m:r>
            <m:rPr>
              <m:sty m:val="p"/>
            </m:rPr>
            <m:t>]</m:t>
          </m:r>
          <m:r>
            <m:rPr>
              <m:sty m:val="p"/>
            </m:rPr>
            <m:t>,</m:t>
          </m:r>
          <m:r>
            <m:t>  </m:t>
          </m:r>
          <m:sSub>
            <m:e>
              <m:acc>
                <m:accPr>
                  <m:chr m:val="̂"/>
                </m:accPr>
                <m:e>
                  <m:r>
                    <m:t>R</m:t>
                  </m:r>
                </m:e>
              </m:acc>
            </m:e>
            <m:sub>
              <m:r>
                <m:t>n</m:t>
              </m:r>
            </m:sub>
          </m:sSub>
          <m:r>
            <m:rPr>
              <m:sty m:val="p"/>
            </m:rPr>
            <m:t>(</m:t>
          </m:r>
          <m:r>
            <m:t>h</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ℓ</m:t>
              </m:r>
            </m:e>
          </m:nary>
          <m:r>
            <m:rPr>
              <m:sty m:val="p"/>
            </m:rPr>
            <m:t>(</m:t>
          </m:r>
          <m:r>
            <m:t>h</m:t>
          </m:r>
          <m:r>
            <m:rPr>
              <m:sty m:val="p"/>
            </m:rPr>
            <m:t>,</m:t>
          </m:r>
          <m:sSub>
            <m:e>
              <m:r>
                <m:t>Z</m:t>
              </m:r>
            </m:e>
            <m:sub>
              <m:r>
                <m:t>i</m:t>
              </m:r>
            </m:sub>
          </m:sSub>
          <m:r>
            <m:rPr>
              <m:sty m:val="p"/>
            </m:rPr>
            <m:t>)</m:t>
          </m:r>
          <m:r>
            <m:rPr>
              <m:sty m:val="p"/>
            </m:rPr>
            <m:t>,</m:t>
          </m:r>
          <m:r>
            <m:t>  </m:t>
          </m:r>
          <m:sSub>
            <m:e>
              <m:r>
                <m:t>ε</m:t>
              </m:r>
            </m:e>
            <m:sub>
              <m:r>
                <m:rPr>
                  <m:nor/>
                </m:rPr>
                <m:t>app</m:t>
              </m:r>
            </m:sub>
          </m:sSub>
          <m:r>
            <m:rPr>
              <m:sty m:val="p"/>
            </m:rPr>
            <m:t>(</m:t>
          </m:r>
          <m:r>
            <m:t>b</m:t>
          </m:r>
          <m:r>
            <m:rPr>
              <m:sty m:val="p"/>
            </m:rPr>
            <m:t>,</m:t>
          </m:r>
          <m:r>
            <m:t>r</m:t>
          </m:r>
          <m:r>
            <m:rPr>
              <m:sty m:val="p"/>
            </m:rPr>
            <m:t>)</m:t>
          </m:r>
          <m:r>
            <m:rPr>
              <m:sty m:val="p"/>
            </m:rPr>
            <m:t>=</m:t>
          </m:r>
          <m:sSubSup>
            <m:e>
              <m:r>
                <m:t>R</m:t>
              </m:r>
            </m:e>
            <m:sub>
              <m:r>
                <m:t>b</m:t>
              </m:r>
              <m:r>
                <m:rPr>
                  <m:sty m:val="p"/>
                </m:rPr>
                <m:t>,</m:t>
              </m:r>
              <m:r>
                <m:t>r</m:t>
              </m:r>
            </m:sub>
            <m:sup>
              <m:r>
                <m:rPr>
                  <m:sty m:val="p"/>
                </m:rPr>
                <m:t>⋆</m:t>
              </m:r>
            </m:sup>
          </m:sSubSup>
          <m:r>
            <m:rPr>
              <m:sty m:val="p"/>
            </m:rPr>
            <m:t>−</m:t>
          </m:r>
          <m:sSubSup>
            <m:e>
              <m:r>
                <m:t>R</m:t>
              </m:r>
            </m:e>
            <m:sub>
              <m:r>
                <m:rPr>
                  <m:sty m:val="p"/>
                </m:rPr>
                <m:t>∞</m:t>
              </m:r>
            </m:sub>
            <m:sup>
              <m:r>
                <m:rPr>
                  <m:sty m:val="p"/>
                </m:rPr>
                <m:t>⋆</m:t>
              </m:r>
            </m:sup>
          </m:sSubSup>
          <m:r>
            <m:rPr>
              <m:sty m:val="p"/>
            </m:rPr>
            <m:t>.</m:t>
          </m:r>
        </m:oMath>
      </m:oMathPara>
    </w:p>
    <w:p>
      <w:pPr>
        <w:pStyle w:val="FirstParagraph"/>
        <w:widowControl/>
      </w:pPr>
      <w:r>
        <w:t xml:space="preserve">Here</w:t>
      </w:r>
      <w:r>
        <w:t xml:space="preserve"> </w:t>
      </w:r>
      <m:oMath>
        <m:sSubSup>
          <m:e>
            <m:r>
              <m:t>R</m:t>
            </m:r>
          </m:e>
          <m:sub>
            <m:r>
              <m:t>b</m:t>
            </m:r>
            <m:r>
              <m:rPr>
                <m:sty m:val="p"/>
              </m:rPr>
              <m:t>,</m:t>
            </m:r>
            <m:r>
              <m:t>r</m:t>
            </m:r>
          </m:sub>
          <m:sup>
            <m:r>
              <m:rPr>
                <m:sty m:val="p"/>
              </m:rPr>
              <m:t>⋆</m:t>
            </m:r>
          </m:sup>
        </m:sSubSup>
      </m:oMath>
      <w:r>
        <w:t xml:space="preserve"> </w:t>
      </w:r>
      <w:r>
        <w:t xml:space="preserve">is the minimum risk in</w:t>
      </w:r>
      <w:r>
        <w:t xml:space="preserve"> </w:t>
      </w:r>
      <m:oMath>
        <m:sSub>
          <m:e>
            <m:r>
              <m:rPr>
                <m:scr m:val="script"/>
                <m:sty m:val="p"/>
              </m:rPr>
              <m:t>H</m:t>
            </m:r>
          </m:e>
          <m:sub>
            <m:r>
              <m:t>b</m:t>
            </m:r>
            <m:r>
              <m:rPr>
                <m:sty m:val="p"/>
              </m:rPr>
              <m:t>,</m:t>
            </m:r>
            <m:r>
              <m:t>r</m:t>
            </m:r>
          </m:sub>
        </m:sSub>
      </m:oMath>
      <w:r>
        <w:t xml:space="preserve">, while</w:t>
      </w:r>
      <w:r>
        <w:t xml:space="preserve"> </w:t>
      </w:r>
      <m:oMath>
        <m:sSubSup>
          <m:e>
            <m:r>
              <m:t>R</m:t>
            </m:r>
          </m:e>
          <m:sub>
            <m:r>
              <m:rPr>
                <m:sty m:val="p"/>
              </m:rPr>
              <m:t>∞</m:t>
            </m:r>
          </m:sub>
          <m:sup>
            <m:r>
              <m:rPr>
                <m:sty m:val="p"/>
              </m:rPr>
              <m:t>⋆</m:t>
            </m:r>
          </m:sup>
        </m:sSubSup>
      </m:oMath>
      <w:r>
        <w:t xml:space="preserve"> </w:t>
      </w:r>
      <w:r>
        <w:t xml:space="preserve">is the infimum in a nonempty comparison envelope containing that class.</w:t>
      </w:r>
    </w:p>
    <w:bookmarkStart w:id="29" w:name="thm:finite"/>
    <w:p>
      <w:pPr>
        <w:pStyle w:val="BodyText"/>
        <w:widowControl/>
      </w:pPr>
      <w:r>
        <w:rPr>
          <w:b/>
          <w:bCs/>
        </w:rPr>
        <w:t xml:space="preserve">Theorem 1</w:t>
      </w:r>
      <w:r>
        <w:t xml:space="preserve"> </w:t>
      </w:r>
      <w:r>
        <w:t xml:space="preserve">(Finite-class APHFS specialization).</w:t>
      </w:r>
      <w:r>
        <w:t xml:space="preserve"> </w:t>
      </w:r>
      <w:r>
        <w:t xml:space="preserve"> </w:t>
      </w:r>
      <w:r>
        <w:rPr>
          <w:i/>
          <w:iCs/>
        </w:rPr>
        <w:t xml:space="preserve">Let</w:t>
      </w:r>
      <w:r>
        <w:rPr>
          <w:i/>
          <w:iCs/>
        </w:rPr>
        <w:t xml:space="preserve"> </w:t>
      </w:r>
      <m:oMath>
        <m:r>
          <m:t>n</m:t>
        </m:r>
        <m:r>
          <m:rPr>
            <m:sty m:val="p"/>
          </m:rPr>
          <m:t>≥</m:t>
        </m:r>
        <m:r>
          <m:t>1</m:t>
        </m:r>
      </m:oMath>
      <w:r>
        <w:rPr>
          <w:i/>
          <w:iCs/>
        </w:rPr>
        <w:t xml:space="preserve">,</w:t>
      </w:r>
      <w:r>
        <w:rPr>
          <w:i/>
          <w:iCs/>
        </w:rPr>
        <w:t xml:space="preserve"> </w:t>
      </w:r>
      <m:oMath>
        <m:r>
          <m:t>0</m:t>
        </m:r>
        <m:r>
          <m:rPr>
            <m:sty m:val="p"/>
          </m:rPr>
          <m:t>&lt;</m:t>
        </m:r>
        <m:sSub>
          <m:e>
            <m:r>
              <m:t>δ</m:t>
            </m:r>
          </m:e>
          <m:sub>
            <m:r>
              <m:rPr>
                <m:sty m:val="p"/>
              </m:rPr>
              <m:t>c</m:t>
            </m:r>
            <m:r>
              <m:rPr>
                <m:sty m:val="p"/>
              </m:rPr>
              <m:t>o</m:t>
            </m:r>
            <m:r>
              <m:rPr>
                <m:sty m:val="p"/>
              </m:rPr>
              <m:t>n</m:t>
            </m:r>
            <m:r>
              <m:rPr>
                <m:sty m:val="p"/>
              </m:rPr>
              <m:t>f</m:t>
            </m:r>
          </m:sub>
        </m:sSub>
        <m:r>
          <m:rPr>
            <m:sty m:val="p"/>
          </m:rPr>
          <m:t>&lt;</m:t>
        </m:r>
        <m:r>
          <m:t>1</m:t>
        </m:r>
      </m:oMath>
      <w:r>
        <w:rPr>
          <w:i/>
          <w:iCs/>
        </w:rPr>
        <w:t xml:space="preserve">, and</w:t>
      </w:r>
      <w:r>
        <w:rPr>
          <w:i/>
          <w:iCs/>
        </w:rPr>
        <w:t xml:space="preserve"> </w:t>
      </w:r>
      <m:oMath>
        <m:r>
          <m:t>b</m:t>
        </m:r>
        <m:r>
          <m:rPr>
            <m:sty m:val="p"/>
          </m:rPr>
          <m:t>∈</m:t>
        </m:r>
        <m:sSub>
          <m:e>
            <m:r>
              <m:rPr>
                <m:scr m:val="double-struck"/>
                <m:sty m:val="p"/>
              </m:rPr>
              <m:t>N</m:t>
            </m:r>
          </m:e>
          <m:sub>
            <m:r>
              <m:t>0</m:t>
            </m:r>
          </m:sub>
        </m:sSub>
      </m:oMath>
      <w:r>
        <w:rPr>
          <w:i/>
          <w:iCs/>
        </w:rPr>
        <w:t xml:space="preserve">. Suppose observations are iid from one</w:t>
      </w:r>
      <w:r>
        <w:rPr>
          <w:i/>
          <w:iCs/>
        </w:rPr>
        <w:t xml:space="preserve"> </w:t>
      </w:r>
      <w:r>
        <w:rPr>
          <w:i/>
          <w:iCs/>
        </w:rPr>
        <w:t xml:space="preserve">fixed distribution. The nonempty finite class</w:t>
      </w:r>
      <w:r>
        <w:rPr>
          <w:i/>
          <w:iCs/>
        </w:rPr>
        <w:t xml:space="preserve"> </w:t>
      </w:r>
      <m:oMath>
        <m:sSub>
          <m:e>
            <m:r>
              <m:rPr>
                <m:scr m:val="script"/>
                <m:sty m:val="p"/>
              </m:rPr>
              <m:t>H</m:t>
            </m:r>
          </m:e>
          <m:sub>
            <m:r>
              <m:t>b</m:t>
            </m:r>
            <m:r>
              <m:rPr>
                <m:sty m:val="p"/>
              </m:rPr>
              <m:t>,</m:t>
            </m:r>
            <m:r>
              <m:t>r</m:t>
            </m:r>
          </m:sub>
        </m:sSub>
      </m:oMath>
      <w:r>
        <w:rPr>
          <w:i/>
          <w:iCs/>
        </w:rPr>
        <w:t xml:space="preserve">, nonempty comparison envelope</w:t>
      </w:r>
      <w:r>
        <w:rPr>
          <w:i/>
          <w:iCs/>
        </w:rPr>
        <w:t xml:space="preserve"> </w:t>
      </w:r>
      <m:oMath>
        <m:sSub>
          <m:e>
            <m:r>
              <m:rPr>
                <m:scr m:val="script"/>
                <m:sty m:val="p"/>
              </m:rPr>
              <m:t>H</m:t>
            </m:r>
          </m:e>
          <m:sub>
            <m:r>
              <m:rPr>
                <m:sty m:val="p"/>
              </m:rPr>
              <m:t>∞</m:t>
            </m:r>
          </m:sub>
        </m:sSub>
        <m:r>
          <m:rPr>
            <m:sty m:val="p"/>
          </m:rPr>
          <m:t>⊇</m:t>
        </m:r>
        <m:sSub>
          <m:e>
            <m:r>
              <m:rPr>
                <m:scr m:val="script"/>
                <m:sty m:val="p"/>
              </m:rPr>
              <m:t>H</m:t>
            </m:r>
          </m:e>
          <m:sub>
            <m:r>
              <m:t>b</m:t>
            </m:r>
            <m:r>
              <m:rPr>
                <m:sty m:val="p"/>
              </m:rPr>
              <m:t>,</m:t>
            </m:r>
            <m:r>
              <m:t>r</m:t>
            </m:r>
          </m:sub>
        </m:sSub>
      </m:oMath>
      <w:r>
        <w:rPr>
          <w:i/>
          <w:iCs/>
        </w:rPr>
        <w:t xml:space="preserve">, and one common measurable</w:t>
      </w:r>
      <w:r>
        <w:rPr>
          <w:i/>
          <w:iCs/>
        </w:rPr>
        <w:t xml:space="preserve"> </w:t>
      </w:r>
      <m:oMath>
        <m:r>
          <m:rPr>
            <m:sty m:val="p"/>
          </m:rPr>
          <m:t>[</m:t>
        </m:r>
        <m:r>
          <m:t>0</m:t>
        </m:r>
        <m:r>
          <m:rPr>
            <m:sty m:val="p"/>
          </m:rPr>
          <m:t>,</m:t>
        </m:r>
        <m:r>
          <m:t>1</m:t>
        </m:r>
        <m:r>
          <m:rPr>
            <m:sty m:val="p"/>
          </m:rPr>
          <m:t>]</m:t>
        </m:r>
      </m:oMath>
      <w:r>
        <w:rPr>
          <w:i/>
          <w:iCs/>
        </w:rPr>
        <w:t xml:space="preserve">-valued loss</w:t>
      </w:r>
      <w:r>
        <w:rPr>
          <w:i/>
          <w:iCs/>
        </w:rPr>
        <w:t xml:space="preserve"> </w:t>
      </w:r>
      <w:r>
        <w:rPr>
          <w:i/>
          <w:iCs/>
        </w:rPr>
        <w:t xml:space="preserve">interface are fixed before and without using the evaluation sample. Assume</w:t>
      </w:r>
      <w:r>
        <w:rPr>
          <w:i/>
          <w:iCs/>
        </w:rPr>
        <w:t xml:space="preserve"> </w:t>
      </w:r>
      <m:oMath>
        <m:r>
          <m:t>0</m:t>
        </m:r>
        <m:r>
          <m:rPr>
            <m:sty m:val="p"/>
          </m:rPr>
          <m:t>≤</m:t>
        </m:r>
        <m:sSub>
          <m:e>
            <m:r>
              <m:t>L</m:t>
            </m:r>
          </m:e>
          <m:sub>
            <m:r>
              <m:t>d</m:t>
            </m:r>
          </m:sub>
        </m:sSub>
        <m:r>
          <m:rPr>
            <m:sty m:val="p"/>
          </m:rPr>
          <m:t>(</m:t>
        </m:r>
        <m:r>
          <m:t>h</m:t>
        </m:r>
        <m:r>
          <m:rPr>
            <m:sty m:val="p"/>
          </m:rPr>
          <m:t>)</m:t>
        </m:r>
        <m:r>
          <m:rPr>
            <m:sty m:val="p"/>
          </m:rPr>
          <m:t>≤</m:t>
        </m:r>
        <m:r>
          <m:t>b</m:t>
        </m:r>
      </m:oMath>
      <w:r>
        <w:rPr>
          <w:i/>
          <w:iCs/>
        </w:rPr>
        <w:t xml:space="preserve">,</w:t>
      </w:r>
      <w:r>
        <w:rPr>
          <w:i/>
          <w:iCs/>
        </w:rPr>
        <w:t xml:space="preserve"> </w:t>
      </w:r>
      <m:oMath>
        <m:sSub>
          <m:e>
            <m:r>
              <m:t>λ</m:t>
            </m:r>
          </m:e>
          <m:sub>
            <m:r>
              <m:t>n</m:t>
            </m:r>
          </m:sub>
        </m:sSub>
        <m:r>
          <m:rPr>
            <m:sty m:val="p"/>
          </m:rPr>
          <m:t>≥</m:t>
        </m:r>
        <m:r>
          <m:t>0</m:t>
        </m:r>
      </m:oMath>
      <w:r>
        <w:rPr>
          <w:i/>
          <w:iCs/>
        </w:rPr>
        <w:t xml:space="preserve">, and let</w:t>
      </w:r>
      <w:r>
        <w:rPr>
          <w:i/>
          <w:iCs/>
        </w:rPr>
        <w:t xml:space="preserve"> </w:t>
      </w:r>
      <m:oMath>
        <m:sSub>
          <m:e>
            <m:acc>
              <m:accPr>
                <m:chr m:val="̂"/>
              </m:accPr>
              <m:e>
                <m:r>
                  <m:t>h</m:t>
                </m:r>
              </m:e>
            </m:acc>
          </m:e>
          <m:sub>
            <m:r>
              <m:t>n</m:t>
            </m:r>
          </m:sub>
        </m:sSub>
      </m:oMath>
      <w:r>
        <w:rPr>
          <w:i/>
          <w:iCs/>
        </w:rPr>
        <w:t xml:space="preserve"> </w:t>
      </w:r>
      <w:r>
        <w:rPr>
          <w:i/>
          <w:iCs/>
        </w:rPr>
        <w:t xml:space="preserve">satisfy the explicit approximate-optimization condition</w:t>
      </w:r>
      <w:r>
        <w:rPr>
          <w:i/>
          <w:iCs/>
        </w:rPr>
        <w:t xml:space="preserve"> </w:t>
      </w:r>
      <m:oMathPara>
        <m:oMathParaPr>
          <m:jc m:val="center"/>
        </m:oMathParaPr>
        <m:oMath>
          <m:sSub>
            <m:e>
              <m:acc>
                <m:accPr>
                  <m:chr m:val="̂"/>
                </m:accPr>
                <m:e>
                  <m:r>
                    <m:t>R</m:t>
                  </m:r>
                </m:e>
              </m:acc>
            </m:e>
            <m:sub>
              <m:r>
                <m:t>n</m:t>
              </m:r>
            </m:sub>
          </m:sSub>
          <m:r>
            <m:rPr>
              <m:sty m:val="p"/>
            </m:rPr>
            <m:t>(</m:t>
          </m:r>
          <m:sSub>
            <m:e>
              <m:acc>
                <m:accPr>
                  <m:chr m:val="̂"/>
                </m:accPr>
                <m:e>
                  <m:r>
                    <m:t>h</m:t>
                  </m:r>
                </m:e>
              </m:acc>
            </m:e>
            <m:sub>
              <m:r>
                <m:t>n</m:t>
              </m:r>
            </m:sub>
          </m:sSub>
          <m:r>
            <m:rPr>
              <m:sty m:val="p"/>
            </m:rPr>
            <m:t>)</m:t>
          </m:r>
          <m:r>
            <m:rPr>
              <m:sty m:val="p"/>
            </m:rPr>
            <m:t>+</m:t>
          </m:r>
          <m:sSub>
            <m:e>
              <m:r>
                <m:t>λ</m:t>
              </m:r>
            </m:e>
            <m:sub>
              <m:r>
                <m:t>n</m:t>
              </m:r>
            </m:sub>
          </m:sSub>
          <m:sSub>
            <m:e>
              <m:r>
                <m:t>L</m:t>
              </m:r>
            </m:e>
            <m:sub>
              <m:r>
                <m:t>d</m:t>
              </m:r>
            </m:sub>
          </m:sSub>
          <m:r>
            <m:rPr>
              <m:sty m:val="p"/>
            </m:rPr>
            <m:t>(</m:t>
          </m:r>
          <m:sSub>
            <m:e>
              <m:acc>
                <m:accPr>
                  <m:chr m:val="̂"/>
                </m:accPr>
                <m:e>
                  <m:r>
                    <m:t>h</m:t>
                  </m:r>
                </m:e>
              </m:acc>
            </m:e>
            <m:sub>
              <m:r>
                <m:t>n</m:t>
              </m:r>
            </m:sub>
          </m:sSub>
          <m:r>
            <m:rPr>
              <m:sty m:val="p"/>
            </m:rPr>
            <m:t>)</m:t>
          </m:r>
          <m:r>
            <m:rPr>
              <m:sty m:val="p"/>
            </m:rPr>
            <m:t>≤</m:t>
          </m:r>
          <m:limLow>
            <m:e>
              <m:r>
                <m:rPr>
                  <m:sty m:val="p"/>
                </m:rPr>
                <m:t>min</m:t>
              </m:r>
            </m:e>
            <m:lim>
              <m:r>
                <m:t>h</m:t>
              </m:r>
              <m:r>
                <m:rPr>
                  <m:sty m:val="p"/>
                </m:rPr>
                <m:t>∈</m:t>
              </m:r>
              <m:sSub>
                <m:e>
                  <m:r>
                    <m:rPr>
                      <m:scr m:val="script"/>
                      <m:sty m:val="p"/>
                    </m:rPr>
                    <m:t>H</m:t>
                  </m:r>
                </m:e>
                <m:sub>
                  <m:r>
                    <m:t>b</m:t>
                  </m:r>
                  <m:r>
                    <m:rPr>
                      <m:sty m:val="p"/>
                    </m:rPr>
                    <m:t>,</m:t>
                  </m:r>
                  <m:r>
                    <m:t>r</m:t>
                  </m:r>
                </m:sub>
              </m:sSub>
            </m:lim>
          </m:limLow>
          <m:r>
            <m:rPr>
              <m:sty m:val="p"/>
            </m:rPr>
            <m:t>{</m:t>
          </m:r>
          <m:sSub>
            <m:e>
              <m:acc>
                <m:accPr>
                  <m:chr m:val="̂"/>
                </m:accPr>
                <m:e>
                  <m:r>
                    <m:t>R</m:t>
                  </m:r>
                </m:e>
              </m:acc>
            </m:e>
            <m:sub>
              <m:r>
                <m:t>n</m:t>
              </m:r>
            </m:sub>
          </m:sSub>
          <m:r>
            <m:rPr>
              <m:sty m:val="p"/>
            </m:rPr>
            <m:t>(</m:t>
          </m:r>
          <m:r>
            <m:t>h</m:t>
          </m:r>
          <m:r>
            <m:rPr>
              <m:sty m:val="p"/>
            </m:rPr>
            <m:t>)</m:t>
          </m:r>
          <m:r>
            <m:rPr>
              <m:sty m:val="p"/>
            </m:rPr>
            <m:t>+</m:t>
          </m:r>
          <m:sSub>
            <m:e>
              <m:r>
                <m:t>λ</m:t>
              </m:r>
            </m:e>
            <m:sub>
              <m:r>
                <m:t>n</m:t>
              </m:r>
            </m:sub>
          </m:sSub>
          <m:sSub>
            <m:e>
              <m:r>
                <m:t>L</m:t>
              </m:r>
            </m:e>
            <m:sub>
              <m:r>
                <m:t>d</m:t>
              </m:r>
            </m:sub>
          </m:sSub>
          <m:r>
            <m:rPr>
              <m:sty m:val="p"/>
            </m:rPr>
            <m:t>(</m:t>
          </m:r>
          <m:r>
            <m:t>h</m:t>
          </m:r>
          <m:r>
            <m:rPr>
              <m:sty m:val="p"/>
            </m:rPr>
            <m:t>)</m:t>
          </m:r>
          <m:r>
            <m:rPr>
              <m:sty m:val="p"/>
            </m:rPr>
            <m:t>}</m:t>
          </m:r>
          <m:r>
            <m:rPr>
              <m:sty m:val="p"/>
            </m:rPr>
            <m:t>+</m:t>
          </m:r>
          <m:sSub>
            <m:e>
              <m:r>
                <m:t>ξ</m:t>
              </m:r>
            </m:e>
            <m:sub>
              <m:r>
                <m:t>n</m:t>
              </m:r>
            </m:sub>
          </m:sSub>
          <m:r>
            <m:rPr>
              <m:sty m:val="p"/>
            </m:rPr>
            <m:t>,</m:t>
          </m:r>
          <m:r>
            <m:t>  </m:t>
          </m:r>
          <m:sSub>
            <m:e>
              <m:r>
                <m:t>ξ</m:t>
              </m:r>
            </m:e>
            <m:sub>
              <m:r>
                <m:t>n</m:t>
              </m:r>
            </m:sub>
          </m:sSub>
          <m:r>
            <m:rPr>
              <m:sty m:val="p"/>
            </m:rPr>
            <m:t>≥</m:t>
          </m:r>
          <m:r>
            <m:t>0</m:t>
          </m:r>
          <m:r>
            <m:rPr>
              <m:sty m:val="p"/>
            </m:rPr>
            <m:t>.</m:t>
          </m:r>
        </m:oMath>
      </m:oMathPara>
      <w:r>
        <w:rPr>
          <w:i/>
          <w:iCs/>
        </w:rPr>
        <w:t xml:space="preserve"> </w:t>
      </w:r>
      <w:r>
        <w:rPr>
          <w:i/>
          <w:iCs/>
        </w:rPr>
        <w:t xml:space="preserve">The following bound then holds with probability at least</w:t>
      </w:r>
      <w:r>
        <w:rPr>
          <w:i/>
          <w:iCs/>
        </w:rPr>
        <w:t xml:space="preserve"> </w:t>
      </w:r>
      <m:oMath>
        <m:r>
          <m:t>1</m:t>
        </m:r>
        <m:r>
          <m:rPr>
            <m:sty m:val="p"/>
          </m:rPr>
          <m:t>−</m:t>
        </m:r>
        <m:sSub>
          <m:e>
            <m:r>
              <m:t>δ</m:t>
            </m:r>
          </m:e>
          <m:sub>
            <m:r>
              <m:rPr>
                <m:sty m:val="p"/>
              </m:rPr>
              <m:t>c</m:t>
            </m:r>
            <m:r>
              <m:rPr>
                <m:sty m:val="p"/>
              </m:rPr>
              <m:t>o</m:t>
            </m:r>
            <m:r>
              <m:rPr>
                <m:sty m:val="p"/>
              </m:rPr>
              <m:t>n</m:t>
            </m:r>
            <m:r>
              <m:rPr>
                <m:sty m:val="p"/>
              </m:rPr>
              <m:t>f</m:t>
            </m:r>
          </m:sub>
        </m:sSub>
      </m:oMath>
      <w:r>
        <w:rPr>
          <w:i/>
          <w:iCs/>
        </w:rPr>
        <w:t xml:space="preserve">:</w:t>
      </w:r>
      <w:r>
        <w:rPr>
          <w:i/>
          <w:iCs/>
        </w:rPr>
        <w:t xml:space="preserve"> </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t>R</m:t>
                </m:r>
                <m:r>
                  <m:rPr>
                    <m:sty m:val="p"/>
                  </m:rPr>
                  <m:t>(</m:t>
                </m:r>
                <m:sSub>
                  <m:e>
                    <m:acc>
                      <m:accPr>
                        <m:chr m:val="̂"/>
                      </m:accPr>
                      <m:e>
                        <m:r>
                          <m:t>h</m:t>
                        </m:r>
                      </m:e>
                    </m:acc>
                  </m:e>
                  <m:sub>
                    <m:r>
                      <m:t>n</m:t>
                    </m:r>
                  </m:sub>
                </m:sSub>
                <m:r>
                  <m:rPr>
                    <m:sty m:val="p"/>
                  </m:rPr>
                  <m:t>)</m:t>
                </m:r>
                <m:r>
                  <m:rPr>
                    <m:sty m:val="p"/>
                  </m:rPr>
                  <m:t>−</m:t>
                </m:r>
                <m:sSubSup>
                  <m:e>
                    <m:r>
                      <m:t>R</m:t>
                    </m:r>
                  </m:e>
                  <m:sub>
                    <m:r>
                      <m:rPr>
                        <m:sty m:val="p"/>
                      </m:rPr>
                      <m:t>∞</m:t>
                    </m:r>
                  </m:sub>
                  <m:sup>
                    <m:r>
                      <m:rPr>
                        <m:sty m:val="p"/>
                      </m:rPr>
                      <m:t>⋆</m:t>
                    </m:r>
                  </m:sup>
                </m:sSubSup>
                <m:r>
                  <m:rPr>
                    <m:sty m:val="p"/>
                  </m:rPr>
                  <m:t>≤</m:t>
                </m:r>
                <m:sSub>
                  <m:e>
                    <m:r>
                      <m:t>ε</m:t>
                    </m:r>
                  </m:e>
                  <m:sub>
                    <m:r>
                      <m:rPr>
                        <m:nor/>
                      </m:rPr>
                      <m:t>app</m:t>
                    </m:r>
                  </m:sub>
                </m:sSub>
                <m:r>
                  <m:rPr>
                    <m:sty m:val="p"/>
                  </m:rPr>
                  <m:t>(</m:t>
                </m:r>
                <m:r>
                  <m:t>b</m:t>
                </m:r>
                <m:r>
                  <m:rPr>
                    <m:sty m:val="p"/>
                  </m:rPr>
                  <m:t>,</m:t>
                </m:r>
                <m:r>
                  <m:t>r</m:t>
                </m:r>
                <m:r>
                  <m:rPr>
                    <m:sty m:val="p"/>
                  </m:rPr>
                  <m:t>)</m:t>
                </m:r>
                <m:r>
                  <m:rPr>
                    <m:sty m:val="p"/>
                  </m:rPr>
                  <m:t>+</m:t>
                </m:r>
                <m:r>
                  <m:t>2</m:t>
                </m:r>
                <m:rad>
                  <m:radPr>
                    <m:degHide m:val="on"/>
                  </m:radPr>
                  <m:deg/>
                  <m:e>
                    <m:f>
                      <m:fPr>
                        <m:type m:val="bar"/>
                      </m:fPr>
                      <m:num>
                        <m:r>
                          <m:rPr>
                            <m:sty m:val="p"/>
                          </m:rPr>
                          <m:t>(</m:t>
                        </m:r>
                        <m:r>
                          <m:t>b</m:t>
                        </m:r>
                        <m:r>
                          <m:rPr>
                            <m:sty m:val="p"/>
                          </m:rPr>
                          <m:t>+</m:t>
                        </m:r>
                        <m:r>
                          <m:t>2</m:t>
                        </m:r>
                        <m:r>
                          <m:rPr>
                            <m:sty m:val="p"/>
                          </m:rPr>
                          <m:t>)</m:t>
                        </m:r>
                        <m:r>
                          <m:rPr>
                            <m:sty m:val="p"/>
                          </m:rPr>
                          <m:t>log</m:t>
                        </m:r>
                        <m:r>
                          <m:t>2</m:t>
                        </m:r>
                        <m:r>
                          <m:rPr>
                            <m:sty m:val="p"/>
                          </m:rPr>
                          <m:t>+</m:t>
                        </m:r>
                        <m:r>
                          <m:rPr>
                            <m:sty m:val="p"/>
                          </m:rPr>
                          <m:t>log</m:t>
                        </m:r>
                        <m:r>
                          <m:rPr>
                            <m:sty m:val="p"/>
                          </m:rPr>
                          <m:t>(</m:t>
                        </m:r>
                        <m:r>
                          <m:t>1</m:t>
                        </m:r>
                        <m:r>
                          <m:rPr>
                            <m:sty m:val="p"/>
                          </m:rPr>
                          <m:t>/</m:t>
                        </m:r>
                        <m:sSub>
                          <m:e>
                            <m:r>
                              <m:t>δ</m:t>
                            </m:r>
                          </m:e>
                          <m:sub>
                            <m:r>
                              <m:rPr>
                                <m:sty m:val="p"/>
                              </m:rPr>
                              <m:t>c</m:t>
                            </m:r>
                            <m:r>
                              <m:rPr>
                                <m:sty m:val="p"/>
                              </m:rPr>
                              <m:t>o</m:t>
                            </m:r>
                            <m:r>
                              <m:rPr>
                                <m:sty m:val="p"/>
                              </m:rPr>
                              <m:t>n</m:t>
                            </m:r>
                            <m:r>
                              <m:rPr>
                                <m:sty m:val="p"/>
                              </m:rPr>
                              <m:t>f</m:t>
                            </m:r>
                          </m:sub>
                        </m:sSub>
                        <m:r>
                          <m:rPr>
                            <m:sty m:val="p"/>
                          </m:rPr>
                          <m:t>)</m:t>
                        </m:r>
                      </m:num>
                      <m:den>
                        <m:r>
                          <m:t>2</m:t>
                        </m:r>
                        <m:r>
                          <m:t>n</m:t>
                        </m:r>
                      </m:den>
                    </m:f>
                  </m:e>
                </m:rad>
                <m:r>
                  <m:rPr>
                    <m:sty m:val="p"/>
                  </m:rPr>
                  <m:t>+</m:t>
                </m:r>
                <m:sSub>
                  <m:e>
                    <m:r>
                      <m:t>λ</m:t>
                    </m:r>
                  </m:e>
                  <m:sub>
                    <m:r>
                      <m:t>n</m:t>
                    </m:r>
                  </m:sub>
                </m:sSub>
                <m:r>
                  <m:t>b</m:t>
                </m:r>
                <m:r>
                  <m:rPr>
                    <m:sty m:val="p"/>
                  </m:rPr>
                  <m:t>+</m:t>
                </m:r>
                <m:sSub>
                  <m:e>
                    <m:r>
                      <m:t>ξ</m:t>
                    </m:r>
                  </m:e>
                  <m:sub>
                    <m:r>
                      <m:t>n</m:t>
                    </m:r>
                  </m:sub>
                </m:sSub>
                <m:r>
                  <m:rPr>
                    <m:sty m:val="p"/>
                  </m:rPr>
                  <m:t>.</m:t>
                </m:r>
              </m:oMath>
            </m:oMathPara>
          </w:p>
        </w:tc>
        <w:tc>
          <w:tcPr>
            <w:tcW w:type="dxa" w:w="662"/>
          </w:tcPr>
          <w:p>
            <w:pPr>
              <w:keepLines/>
              <w:jc w:val="right"/>
            </w:pPr>
            <w:r>
              <w:rPr>
                <w:rFonts w:ascii="Calibri" w:hAnsi="Calibri" w:eastAsia="Calibri" w:cs="Calibri"/>
                <w:b w:val="0"/>
                <w:color w:val="000000"/>
                <w:sz w:val="18"/>
              </w:rPr>
              <w:t>(2)</w:t>
            </w:r>
          </w:p>
        </w:tc>
      </w:tr>
    </w:tbl>
    <w:bookmarkEnd w:id="29"/>
    <w:p>
      <w:pPr>
        <w:pStyle w:val="FirstParagraph"/>
        <w:widowControl/>
      </w:pPr>
      <w:r>
        <w:t xml:space="preserve">The four terms tell four different stories.</w:t>
      </w:r>
      <w:r>
        <w:t xml:space="preserve"> </w:t>
      </w:r>
      <m:oMath>
        <m:sSub>
          <m:e>
            <m:r>
              <m:t>ε</m:t>
            </m:r>
          </m:e>
          <m:sub>
            <m:r>
              <m:rPr>
                <m:nor/>
              </m:rPr>
              <m:t>app</m:t>
            </m:r>
          </m:sub>
        </m:sSub>
        <m:r>
          <m:rPr>
            <m:sty m:val="p"/>
          </m:rPr>
          <m:t>(</m:t>
        </m:r>
        <m:r>
          <m:t>b</m:t>
        </m:r>
        <m:r>
          <m:rPr>
            <m:sty m:val="p"/>
          </m:rPr>
          <m:t>,</m:t>
        </m:r>
        <m:r>
          <m:t>r</m:t>
        </m:r>
        <m:r>
          <m:rPr>
            <m:sty m:val="p"/>
          </m:rPr>
          <m:t>)</m:t>
        </m:r>
      </m:oMath>
      <w:r>
        <w:t xml:space="preserve"> </w:t>
      </w:r>
      <w:r>
        <w:t xml:space="preserve">is what the declared language and</w:t>
      </w:r>
      <w:r>
        <w:t xml:space="preserve"> </w:t>
      </w:r>
      <w:r>
        <w:t xml:space="preserve">resources cannot approximate; the square-root term is finite-sample uncertainty;</w:t>
      </w:r>
      <w:r>
        <w:t xml:space="preserve"> </w:t>
      </w:r>
      <m:oMath>
        <m:sSub>
          <m:e>
            <m:r>
              <m:t>λ</m:t>
            </m:r>
          </m:e>
          <m:sub>
            <m:r>
              <m:t>n</m:t>
            </m:r>
          </m:sub>
        </m:sSub>
        <m:r>
          <m:t>b</m:t>
        </m:r>
      </m:oMath>
      <w:r>
        <w:t xml:space="preserve"> </w:t>
      </w:r>
      <w:r>
        <w:t xml:space="preserve">is the cost of the chosen complexity penalty; and</w:t>
      </w:r>
      <w:r>
        <w:t xml:space="preserve"> </w:t>
      </w:r>
      <m:oMath>
        <m:sSub>
          <m:e>
            <m:r>
              <m:t>ξ</m:t>
            </m:r>
          </m:e>
          <m:sub>
            <m:r>
              <m:t>n</m:t>
            </m:r>
          </m:sub>
        </m:sSub>
      </m:oMath>
      <w:r>
        <w:t xml:space="preserve"> </w:t>
      </w:r>
      <w:r>
        <w:t xml:space="preserve">is unfinished optimization. A future,</w:t>
      </w:r>
      <w:r>
        <w:t xml:space="preserve"> </w:t>
      </w:r>
      <w:r>
        <w:t xml:space="preserve">prospectively specified increase in language or resources may reduce the first term, more complete search</w:t>
      </w:r>
      <w:r>
        <w:t xml:space="preserve"> </w:t>
      </w:r>
      <w:r>
        <w:t xml:space="preserve">may reduce the fourth, and more iid evaluation observations may reduce the second; none turns the</w:t>
      </w:r>
      <w:r>
        <w:t xml:space="preserve"> </w:t>
      </w:r>
      <w:r>
        <w:t xml:space="preserve">comparator into</w:t>
      </w:r>
      <w:r>
        <w:t xml:space="preserve"> </w:t>
      </w:r>
      <w:r>
        <w:t xml:space="preserve">“nature.”</w:t>
      </w:r>
      <w:r>
        <w:t xml:space="preserve"> </w:t>
      </w:r>
      <w:r>
        <w:t xml:space="preserve">Adapting the class, loss, distribution, or budget on the evaluation</w:t>
      </w:r>
      <w:r>
        <w:t xml:space="preserve"> </w:t>
      </w:r>
      <w:r>
        <w:t xml:space="preserve">sample makes the theorem inapplicable. The ECA study checked machinery in one finite grammar; it</w:t>
      </w:r>
      <w:r>
        <w:t xml:space="preserve"> </w:t>
      </w:r>
      <w:r>
        <w:t xml:space="preserve">did not empirically validate this standard finite-class specialization. Along a prespecified</w:t>
      </w:r>
      <w:r>
        <w:t xml:space="preserve"> </w:t>
      </w:r>
      <w:r>
        <w:t xml:space="preserve">sequence, if the approximation, sampling, penalty, and optimization terms vanish and</w:t>
      </w:r>
      <w:r>
        <w:t xml:space="preserve"> </w:t>
      </w:r>
      <m:oMath>
        <m:sSub>
          <m:e>
            <m:r>
              <m:t>δ</m:t>
            </m:r>
          </m:e>
          <m:sub>
            <m:r>
              <m:rPr>
                <m:sty m:val="p"/>
              </m:rPr>
              <m:t>c</m:t>
            </m:r>
            <m:r>
              <m:rPr>
                <m:sty m:val="p"/>
              </m:rPr>
              <m:t>o</m:t>
            </m:r>
            <m:r>
              <m:rPr>
                <m:sty m:val="p"/>
              </m:rPr>
              <m:t>n</m:t>
            </m:r>
            <m:r>
              <m:rPr>
                <m:sty m:val="p"/>
              </m:rPr>
              <m:t>f</m:t>
            </m:r>
            <m:r>
              <m:rPr>
                <m:sty m:val="p"/>
              </m:rPr>
              <m:t>,</m:t>
            </m:r>
            <m:r>
              <m:t>n</m:t>
            </m:r>
          </m:sub>
        </m:sSub>
        <m:r>
          <m:rPr>
            <m:sty m:val="p"/>
          </m:rPr>
          <m:t>→</m:t>
        </m:r>
        <m:r>
          <m:t>0</m:t>
        </m:r>
      </m:oMath>
      <w:r>
        <w:t xml:space="preserve">, the excess risk converges in probability to zero relative to the</w:t>
      </w:r>
      <w:r>
        <w:t xml:space="preserve"> </w:t>
      </w:r>
      <w:r>
        <w:t xml:space="preserve">declared comparison envelope. Almost-sure convergence additionally requires a summable tail</w:t>
      </w:r>
      <w:r>
        <w:t xml:space="preserve"> </w:t>
      </w:r>
      <w:r>
        <w:t xml:space="preserve">schedule, such as</w:t>
      </w:r>
      <w:r>
        <w:t xml:space="preserve"> </w:t>
      </w:r>
      <m:oMath>
        <m:nary>
          <m:naryPr>
            <m:chr m:val="∑"/>
            <m:limLoc m:val="undOvr"/>
            <m:subHide m:val="off"/>
            <m:supHide m:val="on"/>
          </m:naryPr>
          <m:sub>
            <m:r>
              <m:t>n</m:t>
            </m:r>
          </m:sub>
          <m:sup>
            <m:r>
              <m:t/>
            </m:r>
          </m:sup>
          <m:e>
            <m:sSub>
              <m:e>
                <m:r>
                  <m:t>δ</m:t>
                </m:r>
              </m:e>
              <m:sub>
                <m:r>
                  <m:rPr>
                    <m:sty m:val="p"/>
                  </m:rPr>
                  <m:t>c</m:t>
                </m:r>
                <m:r>
                  <m:rPr>
                    <m:sty m:val="p"/>
                  </m:rPr>
                  <m:t>o</m:t>
                </m:r>
                <m:r>
                  <m:rPr>
                    <m:sty m:val="p"/>
                  </m:rPr>
                  <m:t>n</m:t>
                </m:r>
                <m:r>
                  <m:rPr>
                    <m:sty m:val="p"/>
                  </m:rPr>
                  <m:t>f</m:t>
                </m:r>
                <m:r>
                  <m:rPr>
                    <m:sty m:val="p"/>
                  </m:rPr>
                  <m:t>,</m:t>
                </m:r>
                <m:r>
                  <m:t>n</m:t>
                </m:r>
              </m:sub>
            </m:sSub>
          </m:e>
        </m:nary>
        <m:r>
          <m:rPr>
            <m:sty m:val="p"/>
          </m:rPr>
          <m:t>&lt;</m:t>
        </m:r>
        <m:r>
          <m:rPr>
            <m:sty m:val="p"/>
          </m:rPr>
          <m:t>∞</m:t>
        </m:r>
      </m:oMath>
      <w:r>
        <w:t xml:space="preserve">. Neither conclusion covers grammar</w:t>
      </w:r>
      <w:r>
        <w:t xml:space="preserve"> </w:t>
      </w:r>
      <w:r>
        <w:t xml:space="preserve">expansion adapted to the same evaluation sample.</w:t>
      </w:r>
    </w:p>
    <w:bookmarkEnd w:id="30"/>
    <w:bookmarkStart w:id="31" w:name="Xb169e1e9a5a8ac64101f16b37a527eaf883d75a"/>
    <w:p>
      <w:pPr>
        <w:pStyle w:val="Heading2"/>
        <w:keepNext/>
        <w:keepLines/>
        <w:widowControl/>
      </w:pPr>
      <w:r>
        <w:t xml:space="preserve">Representing what observations cannot distinguish</w:t>
      </w:r>
    </w:p>
    <w:p>
      <w:pPr>
        <w:pStyle w:val="FirstParagraph"/>
        <w:widowControl/>
      </w:pPr>
      <w:r>
        <w:t xml:space="preserve">Let</w:t>
      </w:r>
      <w:r>
        <w:t xml:space="preserve"> </w:t>
      </w:r>
      <m:oMath>
        <m:r>
          <m:rPr>
            <m:scr m:val="script"/>
            <m:sty m:val="p"/>
          </m:rPr>
          <m:t>P</m:t>
        </m:r>
        <m:r>
          <m:rPr>
            <m:sty m:val="p"/>
          </m:rPr>
          <m:t>=</m:t>
        </m:r>
        <m:r>
          <m:rPr>
            <m:sty m:val="p"/>
          </m:rPr>
          <m:t>(</m:t>
        </m:r>
        <m:sSub>
          <m:e>
            <m:r>
              <m:t>p</m:t>
            </m:r>
          </m:e>
          <m:sub>
            <m:r>
              <m:t>1</m:t>
            </m:r>
          </m:sub>
        </m:sSub>
        <m:r>
          <m:rPr>
            <m:sty m:val="p"/>
          </m:rPr>
          <m:t>,</m:t>
        </m:r>
        <m:r>
          <m:rPr>
            <m:sty m:val="p"/>
          </m:rPr>
          <m:t>…</m:t>
        </m:r>
        <m:r>
          <m:rPr>
            <m:sty m:val="p"/>
          </m:rPr>
          <m:t>,</m:t>
        </m:r>
        <m:sSub>
          <m:e>
            <m:r>
              <m:t>p</m:t>
            </m:r>
          </m:e>
          <m:sub>
            <m:r>
              <m:t>J</m:t>
            </m:r>
          </m:sub>
        </m:sSub>
        <m:r>
          <m:rPr>
            <m:sty m:val="p"/>
          </m:rPr>
          <m:t>)</m:t>
        </m:r>
      </m:oMath>
      <w:r>
        <w:t xml:space="preserve"> </w:t>
      </w:r>
      <w:r>
        <w:t xml:space="preserve">be fixed probes,</w:t>
      </w:r>
      <w:r>
        <w:t xml:space="preserve"> </w:t>
      </w:r>
      <m:oMath>
        <m:sSub>
          <m:e>
            <m:r>
              <m:t>S</m:t>
            </m:r>
          </m:e>
          <m:sub>
            <m:r>
              <m:t>h</m:t>
            </m:r>
          </m:sub>
        </m:sSub>
        <m:r>
          <m:rPr>
            <m:sty m:val="p"/>
          </m:rPr>
          <m:t>(</m:t>
        </m:r>
        <m:sSub>
          <m:e>
            <m:r>
              <m:t>p</m:t>
            </m:r>
          </m:e>
          <m:sub>
            <m:r>
              <m:t>j</m:t>
            </m:r>
          </m:sub>
        </m:sSub>
        <m:r>
          <m:rPr>
            <m:sty m:val="p"/>
          </m:rPr>
          <m:t>)</m:t>
        </m:r>
      </m:oMath>
      <w:r>
        <w:t xml:space="preserve"> </w:t>
      </w:r>
      <w:r>
        <w:t xml:space="preserve">a typed output summary, and</w:t>
      </w:r>
      <w:r>
        <w:t xml:space="preserve"> </w:t>
      </w:r>
      <m:oMath>
        <m:sSub>
          <m:e>
            <m:r>
              <m:t>q</m:t>
            </m:r>
          </m:e>
          <m:sub>
            <m:r>
              <m:t>j</m:t>
            </m:r>
          </m:sub>
        </m:sSub>
      </m:oMath>
      <w:r>
        <w:t xml:space="preserve"> </w:t>
      </w:r>
      <w:r>
        <w:t xml:space="preserve">a deterministic quantizer with fixed precision, boundary, tie-breaking, missing-value,</w:t>
      </w:r>
      <w:r>
        <w:t xml:space="preserve"> </w:t>
      </w:r>
      <w:r>
        <w:t xml:space="preserve">and serialization rules. The canonical signature is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eqArr>
                  <m:e>
                    <m:sSub>
                      <m:e>
                        <m:r>
                          <m:t>σ</m:t>
                        </m:r>
                      </m:e>
                      <m:sub>
                        <m:r>
                          <m:rPr>
                            <m:scr m:val="script"/>
                            <m:sty m:val="p"/>
                          </m:rPr>
                          <m:t>P</m:t>
                        </m:r>
                      </m:sub>
                    </m:sSub>
                    <m:r>
                      <m:rPr>
                        <m:sty m:val="p"/>
                      </m:rPr>
                      <m:t>(</m:t>
                    </m:r>
                    <m:r>
                      <m:t>h</m:t>
                    </m:r>
                    <m:r>
                      <m:rPr>
                        <m:sty m:val="p"/>
                      </m:rPr>
                      <m:t>)</m:t>
                    </m:r>
                    <m:r>
                      <m:rPr>
                        <m:sty m:val="p"/>
                      </m:rPr>
                      <m:t>=</m:t>
                    </m:r>
                    <m:d>
                      <m:dPr>
                        <m:begChr m:val="("/>
                        <m:sepChr m:val=""/>
                        <m:endChr m:val=")"/>
                        <m:grow/>
                      </m:dPr>
                      <m:e>
                        <m:sSub>
                          <m:e>
                            <m:r>
                              <m:t>q</m:t>
                            </m:r>
                          </m:e>
                          <m:sub>
                            <m:r>
                              <m:t>1</m:t>
                            </m:r>
                          </m:sub>
                        </m:sSub>
                        <m:r>
                          <m:rPr>
                            <m:sty m:val="p"/>
                          </m:rPr>
                          <m:t>(</m:t>
                        </m:r>
                        <m:sSub>
                          <m:e>
                            <m:r>
                              <m:t>S</m:t>
                            </m:r>
                          </m:e>
                          <m:sub>
                            <m:r>
                              <m:t>h</m:t>
                            </m:r>
                          </m:sub>
                        </m:sSub>
                        <m:r>
                          <m:rPr>
                            <m:sty m:val="p"/>
                          </m:rPr>
                          <m:t>(</m:t>
                        </m:r>
                        <m:sSub>
                          <m:e>
                            <m:r>
                              <m:t>p</m:t>
                            </m:r>
                          </m:e>
                          <m:sub>
                            <m:r>
                              <m:t>1</m:t>
                            </m:r>
                          </m:sub>
                        </m:sSub>
                        <m:r>
                          <m:rPr>
                            <m:sty m:val="p"/>
                          </m:rPr>
                          <m:t>)</m:t>
                        </m:r>
                        <m:r>
                          <m:rPr>
                            <m:sty m:val="p"/>
                          </m:rPr>
                          <m:t>)</m:t>
                        </m:r>
                        <m:r>
                          <m:rPr>
                            <m:sty m:val="p"/>
                          </m:rPr>
                          <m:t>,</m:t>
                        </m:r>
                        <m:r>
                          <m:rPr>
                            <m:sty m:val="p"/>
                          </m:rPr>
                          <m:t>…</m:t>
                        </m:r>
                        <m:r>
                          <m:rPr>
                            <m:sty m:val="p"/>
                          </m:rPr>
                          <m:t>,</m:t>
                        </m:r>
                        <m:sSub>
                          <m:e>
                            <m:r>
                              <m:t>q</m:t>
                            </m:r>
                          </m:e>
                          <m:sub>
                            <m:r>
                              <m:t>J</m:t>
                            </m:r>
                          </m:sub>
                        </m:sSub>
                        <m:r>
                          <m:rPr>
                            <m:sty m:val="p"/>
                          </m:rPr>
                          <m:t>(</m:t>
                        </m:r>
                        <m:sSub>
                          <m:e>
                            <m:r>
                              <m:t>S</m:t>
                            </m:r>
                          </m:e>
                          <m:sub>
                            <m:r>
                              <m:t>h</m:t>
                            </m:r>
                          </m:sub>
                        </m:sSub>
                        <m:r>
                          <m:rPr>
                            <m:sty m:val="p"/>
                          </m:rPr>
                          <m:t>(</m:t>
                        </m:r>
                        <m:sSub>
                          <m:e>
                            <m:r>
                              <m:t>p</m:t>
                            </m:r>
                          </m:e>
                          <m:sub>
                            <m:r>
                              <m:t>J</m:t>
                            </m:r>
                          </m:sub>
                        </m:sSub>
                        <m:r>
                          <m:rPr>
                            <m:sty m:val="p"/>
                          </m:rPr>
                          <m:t>)</m:t>
                        </m:r>
                        <m:r>
                          <m:rPr>
                            <m:sty m:val="p"/>
                          </m:rPr>
                          <m:t>)</m:t>
                        </m:r>
                      </m:e>
                    </m:d>
                    <m:r>
                      <m:rPr>
                        <m:sty m:val="p"/>
                      </m:rPr>
                      <m:t>,</m:t>
                    </m:r>
                  </m:e>
                  <m:e>
                    <m:r>
                      <m:t>h</m:t>
                    </m:r>
                    <m:sSub>
                      <m:e>
                        <m:r>
                          <m:rPr>
                            <m:sty m:val="p"/>
                          </m:rPr>
                          <m:t>≡</m:t>
                        </m:r>
                      </m:e>
                      <m:sub>
                        <m:r>
                          <m:rPr>
                            <m:scr m:val="script"/>
                            <m:sty m:val="p"/>
                          </m:rPr>
                          <m:t>P</m:t>
                        </m:r>
                      </m:sub>
                    </m:sSub>
                    <m:sSup>
                      <m:e>
                        <m:r>
                          <m:t>h</m:t>
                        </m:r>
                      </m:e>
                      <m:sup>
                        <m:r>
                          <m:rPr>
                            <m:sty m:val="p"/>
                          </m:rPr>
                          <m:t>′</m:t>
                        </m:r>
                      </m:sup>
                    </m:sSup>
                    <m:r>
                      <m:rPr>
                        <m:sty m:val="p"/>
                      </m:rPr>
                      <m:t>⇔</m:t>
                    </m:r>
                    <m:sSub>
                      <m:e>
                        <m:r>
                          <m:t>σ</m:t>
                        </m:r>
                      </m:e>
                      <m:sub>
                        <m:r>
                          <m:rPr>
                            <m:scr m:val="script"/>
                            <m:sty m:val="p"/>
                          </m:rPr>
                          <m:t>P</m:t>
                        </m:r>
                      </m:sub>
                    </m:sSub>
                    <m:r>
                      <m:rPr>
                        <m:sty m:val="p"/>
                      </m:rPr>
                      <m:t>(</m:t>
                    </m:r>
                    <m:r>
                      <m:t>h</m:t>
                    </m:r>
                    <m:r>
                      <m:rPr>
                        <m:sty m:val="p"/>
                      </m:rPr>
                      <m:t>)</m:t>
                    </m:r>
                    <m:r>
                      <m:rPr>
                        <m:sty m:val="p"/>
                      </m:rPr>
                      <m:t>=</m:t>
                    </m:r>
                    <m:sSub>
                      <m:e>
                        <m:r>
                          <m:t>σ</m:t>
                        </m:r>
                      </m:e>
                      <m:sub>
                        <m:r>
                          <m:rPr>
                            <m:scr m:val="script"/>
                            <m:sty m:val="p"/>
                          </m:rPr>
                          <m:t>P</m:t>
                        </m:r>
                      </m:sub>
                    </m:sSub>
                    <m:r>
                      <m:rPr>
                        <m:sty m:val="p"/>
                      </m:rPr>
                      <m:t>(</m:t>
                    </m:r>
                    <m:sSup>
                      <m:e>
                        <m:r>
                          <m:t>h</m:t>
                        </m:r>
                      </m:e>
                      <m:sup>
                        <m:r>
                          <m:rPr>
                            <m:sty m:val="p"/>
                          </m:rPr>
                          <m:t>′</m:t>
                        </m:r>
                      </m:sup>
                    </m:sSup>
                    <m:r>
                      <m:rPr>
                        <m:sty m:val="p"/>
                      </m:rPr>
                      <m:t>)</m:t>
                    </m:r>
                    <m:r>
                      <m:rPr>
                        <m:sty m:val="p"/>
                      </m:rPr>
                      <m:t>.</m:t>
                    </m:r>
                  </m:e>
                </m:eqArr>
              </m:oMath>
            </m:oMathPara>
          </w:p>
        </w:tc>
        <w:tc>
          <w:tcPr>
            <w:tcW w:type="dxa" w:w="662"/>
          </w:tcPr>
          <w:p>
            <w:pPr>
              <w:keepLines/>
              <w:jc w:val="right"/>
            </w:pPr>
            <w:r>
              <w:rPr>
                <w:rFonts w:ascii="Calibri" w:hAnsi="Calibri" w:eastAsia="Calibri" w:cs="Calibri"/>
                <w:b w:val="0"/>
                <w:color w:val="000000"/>
                <w:sz w:val="18"/>
              </w:rPr>
              <w:t>(3)</w:t>
            </w:r>
          </w:p>
        </w:tc>
      </w:tr>
    </w:tbl>
    <w:p>
      <w:pPr>
        <w:pStyle w:val="FirstParagraph"/>
        <w:widowControl/>
      </w:pPr>
      <w:r>
        <w:t xml:space="preserve">Read the tuple as the candidate’s observable fingerprint under this interface. Exact equality is</w:t>
      </w:r>
      <w:r>
        <w:t xml:space="preserve"> </w:t>
      </w:r>
      <w:r>
        <w:t xml:space="preserve">reflexive, symmetric, and transitive, so it partitions the class. It does not assert that two</w:t>
      </w:r>
      <w:r>
        <w:t xml:space="preserve"> </w:t>
      </w:r>
      <w:r>
        <w:t xml:space="preserve">candidates are the same mechanism or will agree on unseen inputs. The evaluation formed 36</w:t>
      </w:r>
      <w:r>
        <w:t xml:space="preserve"> </w:t>
      </w:r>
      <w:r>
        <w:t xml:space="preserve">signature classes and, in three A1 blocks, retained two classes. Specifically, the A0 interface</w:t>
      </w:r>
      <w:r>
        <w:t xml:space="preserve"> </w:t>
      </w:r>
      <w:r>
        <w:t xml:space="preserve">used width 32, eight updates, periodic trajectories from single-center and alternating probes,</w:t>
      </w:r>
      <w:r>
        <w:t xml:space="preserve"> </w:t>
      </w:r>
      <w:r>
        <w:t xml:space="preserve">and the ordered summaries final density and trajectory-mean density. Boundaries</w:t>
      </w:r>
      <w:r>
        <w:t xml:space="preserve"> </w:t>
      </w:r>
      <m:oMath>
        <m:r>
          <m:t>0.125</m:t>
        </m:r>
        <m:r>
          <m:rPr>
            <m:sty m:val="p"/>
          </m:rPr>
          <m:t>,</m:t>
        </m:r>
        <m:r>
          <m:t>0.25</m:t>
        </m:r>
        <m:r>
          <m:rPr>
            <m:sty m:val="p"/>
          </m:rPr>
          <m:t>,</m:t>
        </m:r>
        <m:r>
          <m:t>0.5</m:t>
        </m:r>
        <m:r>
          <m:rPr>
            <m:sty m:val="p"/>
          </m:rPr>
          <m:t>,</m:t>
        </m:r>
        <m:r>
          <m:t>0.75</m:t>
        </m:r>
        <m:r>
          <m:rPr>
            <m:sty m:val="p"/>
          </m:rPr>
          <m:t>,</m:t>
        </m:r>
        <m:r>
          <m:t>0.875</m:t>
        </m:r>
      </m:oMath>
      <w:r>
        <w:t xml:space="preserve"> </w:t>
      </w:r>
      <w:r>
        <w:t xml:space="preserve">define half-open bins with equality assigned to the upper-index bin;</w:t>
      </w:r>
      <w:r>
        <w:t xml:space="preserve"> </w:t>
      </w:r>
      <w:r>
        <w:t xml:space="preserve">the resulting signed 16-bit bin codes and full specification header use one canonical byte</w:t>
      </w:r>
      <w:r>
        <w:t xml:space="preserve"> </w:t>
      </w:r>
      <w:r>
        <w:t xml:space="preserve">encoding specified in the Supplement. The other A0 boundaries test simulator</w:t>
      </w:r>
      <w:r>
        <w:t xml:space="preserve"> </w:t>
      </w:r>
      <w:r>
        <w:t xml:space="preserve">conformance but do not enter this signature. Pairwise</w:t>
      </w:r>
      <w:r>
        <w:t xml:space="preserve"> </w:t>
      </w:r>
      <w:r>
        <w:t xml:space="preserve">“close enough”</w:t>
      </w:r>
      <w:r>
        <w:t xml:space="preserve"> </w:t>
      </w:r>
      <w:r>
        <w:t xml:space="preserve">rules,</w:t>
      </w:r>
      <w:r>
        <w:t xml:space="preserve"> </w:t>
      </w:r>
      <w:r>
        <w:t xml:space="preserve">midstream quantizer changes, or representative-only evaluation without full-interface equality</w:t>
      </w:r>
      <w:r>
        <w:t xml:space="preserve"> </w:t>
      </w:r>
      <w:r>
        <w:t xml:space="preserve">would destroy the interpretation.</w:t>
      </w:r>
    </w:p>
    <w:bookmarkEnd w:id="31"/>
    <w:bookmarkStart w:id="32" w:name="Xb8ca3f5d4ccfa09edd99b51d37a0c5e1c8b87e3"/>
    <w:p>
      <w:pPr>
        <w:pStyle w:val="Heading2"/>
        <w:keepNext/>
        <w:keepLines/>
        <w:widowControl/>
      </w:pPr>
      <w:r>
        <w:t xml:space="preserve">Distinguishing a bad winner from a bad language</w:t>
      </w:r>
    </w:p>
    <w:p>
      <w:pPr>
        <w:pStyle w:val="FirstParagraph"/>
        <w:widowControl/>
      </w:pPr>
      <w:r>
        <w:t xml:space="preserve">Fix the loss, threshold</w:t>
      </w:r>
      <w:r>
        <w:t xml:space="preserve"> </w:t>
      </w:r>
      <m:oMath>
        <m:r>
          <m:t>τ</m:t>
        </m:r>
      </m:oMath>
      <w:r>
        <w:t xml:space="preserve">, candidate set, class partition, look schedule, and coverage</w:t>
      </w:r>
      <w:r>
        <w:t xml:space="preserve"> </w:t>
      </w:r>
      <w:r>
        <w:t xml:space="preserve">allocation before observing the evaluation outcomes. Let</w:t>
      </w:r>
      <w:r>
        <w:t xml:space="preserve"> </w:t>
      </w:r>
      <m:oMath>
        <m:sSub>
          <m:e>
            <m:bar>
              <m:barPr>
                <m:pos m:val="bot"/>
              </m:barPr>
              <m:e>
                <m:r>
                  <m:t>L</m:t>
                </m:r>
              </m:e>
            </m:bar>
          </m:e>
          <m:sub>
            <m:r>
              <m:t>h</m:t>
            </m:r>
            <m:r>
              <m:rPr>
                <m:sty m:val="p"/>
              </m:rPr>
              <m:t>,</m:t>
            </m:r>
            <m:r>
              <m:t>s</m:t>
            </m:r>
          </m:sub>
        </m:sSub>
      </m:oMath>
      <w:r>
        <w:t xml:space="preserve"> </w:t>
      </w:r>
      <w:r>
        <w:t xml:space="preserve">be a lower bound</w:t>
      </w:r>
      <w:r>
        <w:t xml:space="preserve"> </w:t>
      </w:r>
      <w:r>
        <w:t xml:space="preserve">on candidate loss at look</w:t>
      </w:r>
      <w:r>
        <w:t xml:space="preserve"> </w:t>
      </w:r>
      <m:oMath>
        <m:r>
          <m:t>s</m:t>
        </m:r>
      </m:oMath>
      <w:r>
        <w:t xml:space="preserve">, with all such bounds valid on one registered simultaneous event. For a</w:t>
      </w:r>
      <w:r>
        <w:t xml:space="preserve"> </w:t>
      </w:r>
      <w:r>
        <w:t xml:space="preserve">signature class</w:t>
      </w:r>
      <w:r>
        <w:t xml:space="preserve"> </w:t>
      </w:r>
      <m:oMath>
        <m:r>
          <m:t>C</m:t>
        </m:r>
      </m:oMath>
      <w:r>
        <w:t xml:space="preserve">, set</w:t>
      </w:r>
      <w:r>
        <w:t xml:space="preserve"> </w:t>
      </w:r>
      <m:oMath>
        <m:sSub>
          <m:e>
            <m:bar>
              <m:barPr>
                <m:pos m:val="bot"/>
              </m:barPr>
              <m:e>
                <m:r>
                  <m:t>L</m:t>
                </m:r>
              </m:e>
            </m:bar>
          </m:e>
          <m:sub>
            <m:r>
              <m:t>C</m:t>
            </m:r>
            <m:r>
              <m:rPr>
                <m:sty m:val="p"/>
              </m:rPr>
              <m:t>,</m:t>
            </m:r>
            <m:r>
              <m:t>s</m:t>
            </m:r>
          </m:sub>
        </m:sSub>
        <m:r>
          <m:rPr>
            <m:sty m:val="p"/>
          </m:rPr>
          <m:t>=</m:t>
        </m:r>
        <m:sSub>
          <m:e>
            <m:r>
              <m:rPr>
                <m:sty m:val="p"/>
              </m:rPr>
              <m:t>min</m:t>
            </m:r>
          </m:e>
          <m:sub>
            <m:r>
              <m:t>h</m:t>
            </m:r>
            <m:r>
              <m:rPr>
                <m:sty m:val="p"/>
              </m:rPr>
              <m:t>∈</m:t>
            </m:r>
            <m:r>
              <m:t>C</m:t>
            </m:r>
          </m:sub>
        </m:sSub>
        <m:sSub>
          <m:e>
            <m:bar>
              <m:barPr>
                <m:pos m:val="bot"/>
              </m:barPr>
              <m:e>
                <m:r>
                  <m:t>L</m:t>
                </m:r>
              </m:e>
            </m:bar>
          </m:e>
          <m:sub>
            <m:r>
              <m:t>h</m:t>
            </m:r>
            <m:r>
              <m:rPr>
                <m:sty m:val="p"/>
              </m:rPr>
              <m:t>,</m:t>
            </m:r>
            <m:r>
              <m:t>s</m:t>
            </m:r>
          </m:sub>
        </m:sSub>
      </m:oMath>
      <w:r>
        <w:t xml:space="preserve">. The entire</w:t>
      </w:r>
      <w:r>
        <w:t xml:space="preserve"> </w:t>
      </w:r>
      <w:r>
        <w:t xml:space="preserve">language is declared inadequate only when</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rPr>
                    <m:nor/>
                    <m:scr m:val="monospace"/>
                    <m:sty m:val="p"/>
                  </m:rPr>
                  <m:t>MODEL_CLASS_INADEQUATE</m:t>
                </m:r>
                <m:r>
                  <m:t> </m:t>
                </m:r>
                <m:r>
                  <m:rPr>
                    <m:sty m:val="p"/>
                  </m:rPr>
                  <m:t>⇔</m:t>
                </m:r>
                <m:r>
                  <m:t> </m:t>
                </m:r>
                <m:limLow>
                  <m:e>
                    <m:r>
                      <m:rPr>
                        <m:sty m:val="p"/>
                      </m:rPr>
                      <m:t>min</m:t>
                    </m:r>
                  </m:e>
                  <m:lim>
                    <m:r>
                      <m:t>C</m:t>
                    </m:r>
                  </m:lim>
                </m:limLow>
                <m:sSub>
                  <m:e>
                    <m:bar>
                      <m:barPr>
                        <m:pos m:val="bot"/>
                      </m:barPr>
                      <m:e>
                        <m:r>
                          <m:t>L</m:t>
                        </m:r>
                      </m:e>
                    </m:bar>
                  </m:e>
                  <m:sub>
                    <m:r>
                      <m:t>C</m:t>
                    </m:r>
                    <m:r>
                      <m:rPr>
                        <m:sty m:val="p"/>
                      </m:rPr>
                      <m:t>,</m:t>
                    </m:r>
                    <m:r>
                      <m:t>s</m:t>
                    </m:r>
                  </m:sub>
                </m:sSub>
                <m:r>
                  <m:rPr>
                    <m:sty m:val="p"/>
                  </m:rPr>
                  <m:t>&gt;</m:t>
                </m:r>
                <m:r>
                  <m:t>τ</m:t>
                </m:r>
                <m:r>
                  <m:rPr>
                    <m:sty m:val="p"/>
                  </m:rPr>
                  <m:t>.</m:t>
                </m:r>
              </m:oMath>
            </m:oMathPara>
          </w:p>
        </w:tc>
        <w:tc>
          <w:tcPr>
            <w:tcW w:type="dxa" w:w="662"/>
          </w:tcPr>
          <w:p>
            <w:pPr>
              <w:keepLines/>
              <w:jc w:val="right"/>
            </w:pPr>
            <w:r>
              <w:rPr>
                <w:rFonts w:ascii="Calibri" w:hAnsi="Calibri" w:eastAsia="Calibri" w:cs="Calibri"/>
                <w:b w:val="0"/>
                <w:color w:val="000000"/>
                <w:sz w:val="18"/>
              </w:rPr>
              <w:t>(4)</w:t>
            </w:r>
          </w:p>
        </w:tc>
      </w:tr>
    </w:tbl>
    <w:p>
      <w:pPr>
        <w:pStyle w:val="FirstParagraph"/>
        <w:widowControl/>
        <w:jc w:val="left"/>
      </w:pPr>
      <w:r>
        <w:t xml:space="preserve">The inner minimum prevents a weakly bounded member from being hidden by a favorable class</w:t>
      </w:r>
      <w:r>
        <w:t xml:space="preserve"> </w:t>
      </w:r>
      <w:r>
        <w:t xml:space="preserve">representative; the outer minimum asks whether even the most favorable registered class is above threshold. Thus</w:t>
      </w:r>
      <w:r>
        <w:t xml:space="preserve"> </w:t>
      </w:r>
      <m:oMath>
        <m:r>
          <m:t>τ</m:t>
        </m:r>
        <m:r>
          <m:rPr>
            <m:sty m:val="p"/>
          </m:rPr>
          <m:t>=</m:t>
        </m:r>
        <m:r>
          <m:t>0.2</m:t>
        </m:r>
      </m:oMath>
      <w:r>
        <w:t xml:space="preserve"> </w:t>
      </w:r>
      <w:r>
        <w:t xml:space="preserve">and a minimum class lower bound of</w:t>
      </w:r>
      <w:r>
        <w:t xml:space="preserve"> </w:t>
      </w:r>
      <m:oMath>
        <m:r>
          <m:t>0.5</m:t>
        </m:r>
      </m:oMath>
      <w:r>
        <w:t xml:space="preserve">, as in the constructed B1 blocks, satisfy</w:t>
      </w:r>
      <w:r>
        <w:t xml:space="preserve"> </w:t>
      </w:r>
      <w:r>
        <w:t xml:space="preserve">the gate. The same display cannot be used if one candidate lacks a valid simultaneous bound.</w:t>
      </w:r>
      <w:r>
        <w:t xml:space="preserve"> </w:t>
      </w:r>
      <w:r>
        <w:t xml:space="preserve">Missing execution, invalid deduplication, or an incomplete alpha ledger yields</w:t>
      </w:r>
      <w:r>
        <w:t xml:space="preserve"> </w:t>
      </w:r>
      <w:r>
        <w:rPr>
          <w:rStyle w:val="VerbatimChar"/>
        </w:rPr>
        <w:t xml:space="preserve">INDETERMINATE</w:t>
      </w:r>
      <w:r>
        <w:t xml:space="preserve">, not</w:t>
      </w:r>
      <w:r>
        <w:t xml:space="preserve"> </w:t>
      </w:r>
      <w:r>
        <w:rPr>
          <w:rStyle w:val="VerbatimChar"/>
        </w:rPr>
        <w:t xml:space="preserve">MODEL_CLASS_INADEQUATE</w:t>
      </w:r>
      <w:r>
        <w:t xml:space="preserve">.</w:t>
      </w:r>
    </w:p>
    <w:p>
      <w:pPr>
        <w:pStyle w:val="BodyText"/>
        <w:widowControl/>
      </w:pPr>
      <w:r>
        <w:t xml:space="preserve">The nested minima equal the minimum over all registered candidates, so the class layer preserves</w:t>
      </w:r>
      <w:r>
        <w:t xml:space="preserve"> </w:t>
      </w:r>
      <w:r>
        <w:t xml:space="preserve">the weakest member and organizes reporting; it does not numerically strengthen the gate. In the</w:t>
      </w:r>
      <w:r>
        <w:t xml:space="preserve"> </w:t>
      </w:r>
      <w:r>
        <w:t xml:space="preserve">current B0/B1 study the classes were singletons and the losses were exact complete-support values,</w:t>
      </w:r>
      <w:r>
        <w:t xml:space="preserve"> </w:t>
      </w:r>
      <w:r>
        <w:t xml:space="preserve">so neither nontrivial class aggregation nor the repeated-look construction below drove a result.</w:t>
      </w:r>
    </w:p>
    <w:bookmarkEnd w:id="32"/>
    <w:bookmarkStart w:id="33" w:name="X4da8e39b1f442d226a8522735a3a2e2891a2197"/>
    <w:p>
      <w:pPr>
        <w:pStyle w:val="Heading2"/>
        <w:keepNext/>
        <w:keepLines/>
        <w:widowControl/>
      </w:pPr>
      <w:r>
        <w:t xml:space="preserve">Following error through time and across levels</w:t>
      </w:r>
    </w:p>
    <w:p>
      <w:pPr>
        <w:pStyle w:val="FirstParagraph"/>
        <w:widowControl/>
      </w:pPr>
      <w:r>
        <w:t xml:space="preserve">Suppose</w:t>
      </w:r>
      <w:r>
        <w:t xml:space="preserve"> </w:t>
      </w:r>
      <m:oMath>
        <m:sSub>
          <m:e>
            <m:r>
              <m:t>F</m:t>
            </m:r>
          </m:e>
          <m:sub>
            <m:r>
              <m:t>t</m:t>
            </m:r>
          </m:sub>
        </m:sSub>
      </m:oMath>
      <w:r>
        <w:t xml:space="preserve"> </w:t>
      </w:r>
      <w:r>
        <w:t xml:space="preserve">is a reference transition,</w:t>
      </w:r>
      <w:r>
        <w:t xml:space="preserve"> </w:t>
      </w:r>
      <m:oMath>
        <m:sSub>
          <m:e>
            <m:acc>
              <m:accPr>
                <m:chr m:val="̂"/>
              </m:accPr>
              <m:e>
                <m:r>
                  <m:t>F</m:t>
                </m:r>
              </m:e>
            </m:acc>
          </m:e>
          <m:sub>
            <m:r>
              <m:t>t</m:t>
            </m:r>
          </m:sub>
        </m:sSub>
      </m:oMath>
      <w:r>
        <w:t xml:space="preserve"> </w:t>
      </w:r>
      <w:r>
        <w:t xml:space="preserve">a candidate, and</w:t>
      </w:r>
      <w:r>
        <w:t xml:space="preserve"> </w:t>
      </w:r>
      <m:oMath>
        <m:sSub>
          <m:e>
            <m:r>
              <m:t>x</m:t>
            </m:r>
          </m:e>
          <m:sub>
            <m:r>
              <m:t>t</m:t>
            </m:r>
            <m:r>
              <m:rPr>
                <m:sty m:val="p"/>
              </m:rPr>
              <m:t>+</m:t>
            </m:r>
            <m:r>
              <m:t>1</m:t>
            </m:r>
          </m:sub>
        </m:sSub>
        <m:r>
          <m:rPr>
            <m:sty m:val="p"/>
          </m:rPr>
          <m:t>=</m:t>
        </m:r>
        <m:sSub>
          <m:e>
            <m:r>
              <m:t>F</m:t>
            </m:r>
          </m:e>
          <m:sub>
            <m:r>
              <m:t>t</m:t>
            </m:r>
          </m:sub>
        </m:sSub>
        <m:r>
          <m:rPr>
            <m:sty m:val="p"/>
          </m:rPr>
          <m:t>(</m:t>
        </m:r>
        <m:sSub>
          <m:e>
            <m:r>
              <m:t>x</m:t>
            </m:r>
          </m:e>
          <m:sub>
            <m:r>
              <m:t>t</m:t>
            </m:r>
          </m:sub>
        </m:sSub>
        <m:r>
          <m:rPr>
            <m:sty m:val="p"/>
          </m:rPr>
          <m:t>)</m:t>
        </m:r>
      </m:oMath>
      <w:r>
        <w:t xml:space="preserve">,</w:t>
      </w:r>
      <w:r>
        <w:t xml:space="preserve"> </w:t>
      </w:r>
      <m:oMath>
        <m:sSub>
          <m:e>
            <m:acc>
              <m:accPr>
                <m:chr m:val="̂"/>
              </m:accPr>
              <m:e>
                <m:r>
                  <m:t>x</m:t>
                </m:r>
              </m:e>
            </m:acc>
          </m:e>
          <m:sub>
            <m:r>
              <m:t>t</m:t>
            </m:r>
            <m:r>
              <m:rPr>
                <m:sty m:val="p"/>
              </m:rPr>
              <m:t>+</m:t>
            </m:r>
            <m:r>
              <m:t>1</m:t>
            </m:r>
          </m:sub>
        </m:sSub>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oMath>
      <w:r>
        <w:t xml:space="preserve"> </w:t>
      </w:r>
      <w:r>
        <w:t xml:space="preserve">form a paired path in one</w:t>
      </w:r>
      <w:r>
        <w:t xml:space="preserve"> </w:t>
      </w:r>
      <w:r>
        <w:t xml:space="preserve">metric space</w:t>
      </w:r>
      <w:r>
        <w:t xml:space="preserve"> </w:t>
      </w:r>
      <m:oMath>
        <m:r>
          <m:rPr>
            <m:sty m:val="p"/>
          </m:rPr>
          <m:t>(</m:t>
        </m:r>
        <m:r>
          <m:t>X</m:t>
        </m:r>
        <m:r>
          <m:rPr>
            <m:sty m:val="p"/>
          </m:rPr>
          <m:t>,</m:t>
        </m:r>
        <m:r>
          <m:t>d</m:t>
        </m:r>
        <m:r>
          <m:rPr>
            <m:sty m:val="p"/>
          </m:rPr>
          <m:t>)</m:t>
        </m:r>
      </m:oMath>
      <w:r>
        <w:t xml:space="preserve">. On a declared admissible region, let</w:t>
      </w:r>
      <w:r>
        <w:t xml:space="preserve"> </w:t>
      </w:r>
      <m:oMath>
        <m:sSub>
          <m:e>
            <m:r>
              <m:t>F</m:t>
            </m:r>
          </m:e>
          <m:sub>
            <m:r>
              <m:t>t</m:t>
            </m:r>
          </m:sub>
        </m:sSub>
      </m:oMath>
      <w:r>
        <w:t xml:space="preserve"> </w:t>
      </w:r>
      <w:r>
        <w:t xml:space="preserve">be</w:t>
      </w:r>
      <w:r>
        <w:t xml:space="preserve"> </w:t>
      </w:r>
      <m:oMath>
        <m:sSub>
          <m:e>
            <m:r>
              <m:t>L</m:t>
            </m:r>
          </m:e>
          <m:sub>
            <m:r>
              <m:t>t</m:t>
            </m:r>
          </m:sub>
        </m:sSub>
      </m:oMath>
      <w:r>
        <w:t xml:space="preserve">-Lipschitz and bound</w:t>
      </w:r>
      <w:r>
        <w:t xml:space="preserve"> </w:t>
      </w:r>
      <w:r>
        <w:t xml:space="preserve">the local candidate discrepancy on that same path by</w:t>
      </w:r>
      <w:r>
        <w:t xml:space="preserve"> </w:t>
      </w:r>
      <m:oMath>
        <m:r>
          <m:t>d</m:t>
        </m:r>
        <m:r>
          <m:rPr>
            <m:sty m:val="p"/>
          </m:rPr>
          <m:t>(</m:t>
        </m:r>
        <m:sSub>
          <m:e>
            <m:r>
              <m:t>F</m:t>
            </m:r>
          </m:e>
          <m:sub>
            <m:r>
              <m:t>t</m:t>
            </m:r>
          </m:sub>
        </m:sSub>
        <m:r>
          <m:rPr>
            <m:sty m:val="p"/>
          </m:rPr>
          <m:t>(</m:t>
        </m:r>
        <m:sSub>
          <m:e>
            <m:acc>
              <m:accPr>
                <m:chr m:val="̂"/>
              </m:accPr>
              <m:e>
                <m:r>
                  <m:t>x</m:t>
                </m:r>
              </m:e>
            </m:acc>
          </m:e>
          <m:sub>
            <m:r>
              <m:t>t</m:t>
            </m:r>
          </m:sub>
        </m:sSub>
        <m:r>
          <m:rPr>
            <m:sty m:val="p"/>
          </m:rPr>
          <m:t>)</m:t>
        </m:r>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r>
          <m:rPr>
            <m:sty m:val="p"/>
          </m:rPr>
          <m:t>)</m:t>
        </m:r>
        <m:r>
          <m:rPr>
            <m:sty m:val="p"/>
          </m:rPr>
          <m:t>≤</m:t>
        </m:r>
        <m:sSub>
          <m:e>
            <m:r>
              <m:t>κ</m:t>
            </m:r>
          </m:e>
          <m:sub>
            <m:r>
              <m:t>t</m:t>
            </m:r>
          </m:sub>
        </m:sSub>
      </m:oMath>
      <w:r>
        <w:t xml:space="preserve">. Then</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t>d</m:t>
                </m:r>
                <m:r>
                  <m:rPr>
                    <m:sty m:val="p"/>
                  </m:rPr>
                  <m:t>(</m:t>
                </m:r>
                <m:sSub>
                  <m:e>
                    <m:r>
                      <m:t>x</m:t>
                    </m:r>
                  </m:e>
                  <m:sub>
                    <m:r>
                      <m:t>T</m:t>
                    </m:r>
                  </m:sub>
                </m:sSub>
                <m:r>
                  <m:rPr>
                    <m:sty m:val="p"/>
                  </m:rPr>
                  <m:t>,</m:t>
                </m:r>
                <m:sSub>
                  <m:e>
                    <m:acc>
                      <m:accPr>
                        <m:chr m:val="̂"/>
                      </m:accPr>
                      <m:e>
                        <m:r>
                          <m:t>x</m:t>
                        </m:r>
                      </m:e>
                    </m:acc>
                  </m:e>
                  <m:sub>
                    <m:r>
                      <m:t>T</m:t>
                    </m:r>
                  </m:sub>
                </m:sSub>
                <m:r>
                  <m:rPr>
                    <m:sty m:val="p"/>
                  </m:rPr>
                  <m:t>)</m:t>
                </m:r>
                <m:r>
                  <m:rPr>
                    <m:sty m:val="p"/>
                  </m:rPr>
                  <m:t>≤</m:t>
                </m:r>
                <m:d>
                  <m:dPr>
                    <m:begChr m:val="("/>
                    <m:sepChr m:val=""/>
                    <m:endChr m:val=")"/>
                    <m:grow/>
                  </m:dPr>
                  <m:e>
                    <m:nary>
                      <m:naryPr>
                        <m:chr m:val="∏"/>
                        <m:limLoc m:val="undOvr"/>
                        <m:subHide m:val="off"/>
                        <m:supHide m:val="off"/>
                      </m:naryPr>
                      <m:sub>
                        <m:r>
                          <m:t>u</m:t>
                        </m:r>
                        <m:r>
                          <m:rPr>
                            <m:sty m:val="p"/>
                          </m:rPr>
                          <m:t>=</m:t>
                        </m:r>
                        <m:r>
                          <m:t>0</m:t>
                        </m:r>
                      </m:sub>
                      <m:sup>
                        <m:r>
                          <m:t>T</m:t>
                        </m:r>
                        <m:r>
                          <m:rPr>
                            <m:sty m:val="p"/>
                          </m:rPr>
                          <m:t>−</m:t>
                        </m:r>
                        <m:r>
                          <m:t>1</m:t>
                        </m:r>
                      </m:sup>
                      <m:e>
                        <m:sSub>
                          <m:e>
                            <m:r>
                              <m:t>L</m:t>
                            </m:r>
                          </m:e>
                          <m:sub>
                            <m:r>
                              <m:t>u</m:t>
                            </m:r>
                          </m:sub>
                        </m:sSub>
                      </m:e>
                    </m:nary>
                  </m:e>
                </m:d>
                <m:r>
                  <m:t>d</m:t>
                </m:r>
                <m:r>
                  <m:rPr>
                    <m:sty m:val="p"/>
                  </m:rPr>
                  <m:t>(</m:t>
                </m:r>
                <m:sSub>
                  <m:e>
                    <m:r>
                      <m:t>x</m:t>
                    </m:r>
                  </m:e>
                  <m:sub>
                    <m:r>
                      <m:t>0</m:t>
                    </m:r>
                  </m:sub>
                </m:sSub>
                <m:r>
                  <m:rPr>
                    <m:sty m:val="p"/>
                  </m:rPr>
                  <m:t>,</m:t>
                </m:r>
                <m:sSub>
                  <m:e>
                    <m:acc>
                      <m:accPr>
                        <m:chr m:val="̂"/>
                      </m:accPr>
                      <m:e>
                        <m:r>
                          <m:t>x</m:t>
                        </m:r>
                      </m:e>
                    </m:acc>
                  </m:e>
                  <m:sub>
                    <m:r>
                      <m:t>0</m:t>
                    </m:r>
                  </m:sub>
                </m:sSub>
                <m:r>
                  <m:rPr>
                    <m:sty m:val="p"/>
                  </m:rPr>
                  <m:t>)</m:t>
                </m:r>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nary>
                          <m:naryPr>
                            <m:chr m:val="∏"/>
                            <m:limLoc m:val="undOvr"/>
                            <m:subHide m:val="off"/>
                            <m:supHide m:val="off"/>
                          </m:naryPr>
                          <m:sub>
                            <m:r>
                              <m:t>u</m:t>
                            </m:r>
                            <m:r>
                              <m:rPr>
                                <m:sty m:val="p"/>
                              </m:rPr>
                              <m:t>=</m:t>
                            </m:r>
                            <m:r>
                              <m:t>t</m:t>
                            </m:r>
                            <m:r>
                              <m:rPr>
                                <m:sty m:val="p"/>
                              </m:rPr>
                              <m:t>+</m:t>
                            </m:r>
                            <m:r>
                              <m:t>1</m:t>
                            </m:r>
                          </m:sub>
                          <m:sup>
                            <m:r>
                              <m:t>T</m:t>
                            </m:r>
                            <m:r>
                              <m:rPr>
                                <m:sty m:val="p"/>
                              </m:rPr>
                              <m:t>−</m:t>
                            </m:r>
                            <m:r>
                              <m:t>1</m:t>
                            </m:r>
                          </m:sup>
                          <m:e>
                            <m:sSub>
                              <m:e>
                                <m:r>
                                  <m:t>L</m:t>
                                </m:r>
                              </m:e>
                              <m:sub>
                                <m:r>
                                  <m:t>u</m:t>
                                </m:r>
                              </m:sub>
                            </m:sSub>
                          </m:e>
                        </m:nary>
                      </m:e>
                    </m:d>
                  </m:e>
                </m:nary>
                <m:sSub>
                  <m:e>
                    <m:r>
                      <m:t>κ</m:t>
                    </m:r>
                  </m:e>
                  <m:sub>
                    <m:r>
                      <m:t>t</m:t>
                    </m:r>
                  </m:sub>
                </m:sSub>
                <m:r>
                  <m:rPr>
                    <m:sty m:val="p"/>
                  </m:rPr>
                  <m:t>.</m:t>
                </m:r>
              </m:oMath>
            </m:oMathPara>
          </w:p>
        </w:tc>
        <w:tc>
          <w:tcPr>
            <w:tcW w:type="dxa" w:w="662"/>
          </w:tcPr>
          <w:p>
            <w:pPr>
              <w:keepLines/>
              <w:jc w:val="right"/>
            </w:pPr>
            <w:r>
              <w:rPr>
                <w:rFonts w:ascii="Calibri" w:hAnsi="Calibri" w:eastAsia="Calibri" w:cs="Calibri"/>
                <w:b w:val="0"/>
                <w:color w:val="000000"/>
                <w:sz w:val="18"/>
              </w:rPr>
              <w:t>(5)</w:t>
            </w:r>
          </w:p>
        </w:tc>
      </w:tr>
    </w:tbl>
    <w:p>
      <w:pPr>
        <w:pStyle w:val="FirstParagraph"/>
        <w:widowControl/>
      </w:pPr>
      <w:r>
        <w:t xml:space="preserve">The first term carries initial mismatch; the sum carries each later local error through the</w:t>
      </w:r>
      <w:r>
        <w:t xml:space="preserve"> </w:t>
      </w:r>
      <w:r>
        <w:t xml:space="preserve">dynamics that follow it. Factors below one damp discrepancy, factors near one transmit it, and</w:t>
      </w:r>
      <w:r>
        <w:t xml:space="preserve"> </w:t>
      </w:r>
      <w:r>
        <w:t xml:space="preserve">factors above one can amplify it. This is a deterministic pathwise statement. The bound is</w:t>
      </w:r>
      <w:r>
        <w:t xml:space="preserve"> </w:t>
      </w:r>
      <w:r>
        <w:t xml:space="preserve">withdrawn if either trajectory leaves the stated region, if local error was bounded on a</w:t>
      </w:r>
      <w:r>
        <w:t xml:space="preserve"> </w:t>
      </w:r>
      <w:r>
        <w:t xml:space="preserve">different path, or if the required metric or</w:t>
      </w:r>
      <w:r>
        <w:t xml:space="preserve"> </w:t>
      </w:r>
      <w:r>
        <w:t xml:space="preserve">Lipschitz constant is unavailable. Benchmark C checked nine constructed cases; it did not prove</w:t>
      </w:r>
      <w:r>
        <w:t xml:space="preserve"> </w:t>
      </w:r>
      <w:r>
        <w:t xml:space="preserve">control for physical or biological dynamics.</w:t>
      </w:r>
    </w:p>
    <w:p>
      <w:pPr>
        <w:pStyle w:val="BodyText"/>
        <w:widowControl/>
      </w:pPr>
      <w:r>
        <w:t xml:space="preserve">Cross-scale consistency asks a related but different question. Let</w:t>
      </w:r>
      <w:r>
        <w:t xml:space="preserve"> </w:t>
      </w:r>
      <m:oMath>
        <m:sSub>
          <m:e>
            <m:r>
              <m:t>F</m:t>
            </m:r>
          </m:e>
          <m:sub>
            <m:r>
              <m:t>j</m:t>
            </m:r>
          </m:sub>
        </m:sSub>
        <m:r>
          <m:rPr>
            <m:sty m:val="p"/>
          </m:rPr>
          <m:t>:</m:t>
        </m:r>
        <m:sSub>
          <m:e>
            <m:r>
              <m:t>A</m:t>
            </m:r>
          </m:e>
          <m:sub>
            <m:r>
              <m:t>j</m:t>
            </m:r>
          </m:sub>
        </m:sSub>
        <m:r>
          <m:rPr>
            <m:sty m:val="p"/>
          </m:rPr>
          <m:t>⊆</m:t>
        </m:r>
        <m:sSub>
          <m:e>
            <m:r>
              <m:t>X</m:t>
            </m:r>
          </m:e>
          <m:sub>
            <m:r>
              <m:t>j</m:t>
            </m:r>
          </m:sub>
        </m:sSub>
        <m:r>
          <m:rPr>
            <m:sty m:val="p"/>
          </m:rPr>
          <m:t>→</m:t>
        </m:r>
        <m:sSub>
          <m:e>
            <m:r>
              <m:t>X</m:t>
            </m:r>
          </m:e>
          <m:sub>
            <m:r>
              <m:t>j</m:t>
            </m:r>
          </m:sub>
        </m:sSub>
      </m:oMath>
      <w:r>
        <w:t xml:space="preserve"> </w:t>
      </w:r>
      <w:r>
        <w:t xml:space="preserve">perform one update at level</w:t>
      </w:r>
      <w:r>
        <w:t xml:space="preserve"> </w:t>
      </w:r>
      <m:oMath>
        <m:r>
          <m:t>j</m:t>
        </m:r>
      </m:oMath>
      <w:r>
        <w:t xml:space="preserve">, and let</w:t>
      </w:r>
      <w:r>
        <w:t xml:space="preserve"> </w:t>
      </w:r>
      <m:oMath>
        <m:sSub>
          <m:e>
            <m:r>
              <m:rPr>
                <m:sty m:val="p"/>
              </m:rPr>
              <m:t>Γ</m:t>
            </m:r>
          </m:e>
          <m:sub>
            <m:r>
              <m:t>j</m:t>
            </m:r>
          </m:sub>
        </m:sSub>
        <m:r>
          <m:rPr>
            <m:sty m:val="p"/>
          </m:rPr>
          <m:t>:</m:t>
        </m:r>
        <m:sSub>
          <m:e>
            <m:r>
              <m:t>B</m:t>
            </m:r>
          </m:e>
          <m:sub>
            <m:r>
              <m:t>j</m:t>
            </m:r>
          </m:sub>
        </m:sSub>
        <m:r>
          <m:rPr>
            <m:sty m:val="p"/>
          </m:rPr>
          <m:t>⊆</m:t>
        </m:r>
        <m:sSub>
          <m:e>
            <m:r>
              <m:t>X</m:t>
            </m:r>
          </m:e>
          <m:sub>
            <m:r>
              <m:t>j</m:t>
            </m:r>
          </m:sub>
        </m:sSub>
        <m:r>
          <m:rPr>
            <m:sty m:val="p"/>
          </m:rPr>
          <m:t>→</m:t>
        </m:r>
        <m:sSub>
          <m:e>
            <m:r>
              <m:t>X</m:t>
            </m:r>
          </m:e>
          <m:sub>
            <m:r>
              <m:t>j</m:t>
            </m:r>
            <m:r>
              <m:rPr>
                <m:sty m:val="p"/>
              </m:rPr>
              <m:t>+</m:t>
            </m:r>
            <m:r>
              <m:t>1</m:t>
            </m:r>
          </m:sub>
        </m:sSub>
      </m:oMath>
      <w:r>
        <w:t xml:space="preserve"> </w:t>
      </w:r>
      <w:r>
        <w:t xml:space="preserve">coarse-grain it.</w:t>
      </w:r>
      <w:r>
        <w:t xml:space="preserve"> </w:t>
      </w:r>
      <w:r>
        <w:t xml:space="preserve">Define the nonempty commutation domain</w:t>
      </w:r>
    </w:p>
    <w:p>
      <w:pPr>
        <w:pStyle w:val="BodyText"/>
        <w:widowControl/>
      </w:pPr>
      <m:oMathPara>
        <m:oMathParaPr>
          <m:jc m:val="center"/>
        </m:oMathParaPr>
        <m:oMath>
          <m:sSubSup>
            <m:e>
              <m:r>
                <m:t>A</m:t>
              </m:r>
            </m:e>
            <m:sub>
              <m:r>
                <m:t>j</m:t>
              </m:r>
            </m:sub>
            <m:sup>
              <m:r>
                <m:rPr>
                  <m:sty m:val="p"/>
                </m:rPr>
                <m:t>c</m:t>
              </m:r>
              <m:r>
                <m:rPr>
                  <m:sty m:val="p"/>
                </m:rPr>
                <m:t>o</m:t>
              </m:r>
              <m:r>
                <m:rPr>
                  <m:sty m:val="p"/>
                </m:rPr>
                <m:t>m</m:t>
              </m:r>
              <m:r>
                <m:rPr>
                  <m:sty m:val="p"/>
                </m:rPr>
                <m:t>m</m:t>
              </m:r>
            </m:sup>
          </m:sSubSup>
          <m:r>
            <m:rPr>
              <m:sty m:val="p"/>
            </m:rPr>
            <m:t>=</m:t>
          </m:r>
          <m:r>
            <m:rPr>
              <m:sty m:val="p"/>
            </m:rPr>
            <m:t>{</m:t>
          </m:r>
          <m:r>
            <m:t>x</m:t>
          </m:r>
          <m:r>
            <m:rPr>
              <m:sty m:val="p"/>
            </m:rPr>
            <m:t>∈</m:t>
          </m:r>
          <m:sSub>
            <m:e>
              <m:r>
                <m:t>A</m:t>
              </m:r>
            </m:e>
            <m:sub>
              <m:r>
                <m:t>j</m:t>
              </m:r>
            </m:sub>
          </m:sSub>
          <m:r>
            <m:rPr>
              <m:sty m:val="p"/>
            </m:rPr>
            <m:t>∩</m:t>
          </m:r>
          <m:sSub>
            <m:e>
              <m:r>
                <m:t>B</m:t>
              </m:r>
            </m:e>
            <m:sub>
              <m:r>
                <m:t>j</m:t>
              </m:r>
            </m:sub>
          </m:sSub>
          <m:r>
            <m:rPr>
              <m:sty m:val="p"/>
            </m:rPr>
            <m:t>:</m:t>
          </m:r>
          <m:sSub>
            <m:e>
              <m:r>
                <m:t>F</m:t>
              </m:r>
            </m:e>
            <m:sub>
              <m:r>
                <m:t>j</m:t>
              </m:r>
            </m:sub>
          </m:sSub>
          <m:r>
            <m:rPr>
              <m:sty m:val="p"/>
            </m:rPr>
            <m:t>(</m:t>
          </m:r>
          <m:r>
            <m:t>x</m:t>
          </m:r>
          <m:r>
            <m:rPr>
              <m:sty m:val="p"/>
            </m:rPr>
            <m:t>)</m:t>
          </m:r>
          <m:r>
            <m:rPr>
              <m:sty m:val="p"/>
            </m:rPr>
            <m:t>∈</m:t>
          </m:r>
          <m:sSub>
            <m:e>
              <m:r>
                <m:t>B</m:t>
              </m:r>
            </m:e>
            <m:sub>
              <m:r>
                <m:t>j</m:t>
              </m:r>
            </m:sub>
          </m:sSub>
          <m:r>
            <m:rPr>
              <m:sty m:val="p"/>
            </m:rPr>
            <m:t>,</m:t>
          </m:r>
          <m:r>
            <m:t> </m:t>
          </m:r>
          <m:sSub>
            <m:e>
              <m:r>
                <m:rPr>
                  <m:sty m:val="p"/>
                </m:rPr>
                <m:t>Γ</m:t>
              </m:r>
            </m:e>
            <m:sub>
              <m:r>
                <m:t>j</m:t>
              </m:r>
            </m:sub>
          </m:sSub>
          <m:r>
            <m:rPr>
              <m:sty m:val="p"/>
            </m:rPr>
            <m:t>(</m:t>
          </m:r>
          <m:r>
            <m:t>x</m:t>
          </m:r>
          <m:r>
            <m:rPr>
              <m:sty m:val="p"/>
            </m:rPr>
            <m:t>)</m:t>
          </m:r>
          <m:r>
            <m:rPr>
              <m:sty m:val="p"/>
            </m:rPr>
            <m:t>∈</m:t>
          </m:r>
          <m:sSub>
            <m:e>
              <m:r>
                <m:t>A</m:t>
              </m:r>
            </m:e>
            <m:sub>
              <m:r>
                <m:t>j</m:t>
              </m:r>
              <m:r>
                <m:rPr>
                  <m:sty m:val="p"/>
                </m:rPr>
                <m:t>+</m:t>
              </m:r>
              <m:r>
                <m:t>1</m:t>
              </m:r>
            </m:sub>
          </m:sSub>
          <m:r>
            <m:rPr>
              <m:sty m:val="p"/>
            </m:rPr>
            <m:t>}</m:t>
          </m:r>
          <m:r>
            <m:rPr>
              <m:sty m:val="p"/>
            </m:rPr>
            <m:t>.</m:t>
          </m:r>
        </m:oMath>
      </m:oMathPara>
    </w:p>
    <w:p>
      <w:pPr>
        <w:pStyle w:val="FirstParagraph"/>
        <w:widowControl/>
      </w:pPr>
      <w:r>
        <w:t xml:space="preserve">The one-level defect is</w:t>
      </w:r>
    </w:p>
    <w:p>
      <w:pPr>
        <w:pStyle w:val="BodyText"/>
        <w:widowControl/>
      </w:pPr>
      <m:oMathPara>
        <m:oMathParaPr>
          <m:jc m:val="center"/>
        </m:oMathParaPr>
        <m:oMath>
          <m:sSub>
            <m:e>
              <m:r>
                <m:t>η</m:t>
              </m:r>
            </m:e>
            <m:sub>
              <m:r>
                <m:t>ℓ</m:t>
              </m:r>
            </m:sub>
          </m:sSub>
          <m:r>
            <m:rPr>
              <m:sty m:val="p"/>
            </m:rPr>
            <m:t>=</m:t>
          </m:r>
          <m:limLow>
            <m:e>
              <m:r>
                <m:rPr>
                  <m:sty m:val="p"/>
                </m:rPr>
                <m:t>sup</m:t>
              </m:r>
            </m:e>
            <m:lim>
              <m:r>
                <m:t>x</m:t>
              </m:r>
              <m:r>
                <m:rPr>
                  <m:sty m:val="p"/>
                </m:rPr>
                <m:t>∈</m:t>
              </m:r>
              <m:sSubSup>
                <m:e>
                  <m:r>
                    <m:t>A</m:t>
                  </m:r>
                </m:e>
                <m:sub>
                  <m:r>
                    <m:t>ℓ</m:t>
                  </m:r>
                </m:sub>
                <m:sup>
                  <m:r>
                    <m:rPr>
                      <m:sty m:val="p"/>
                    </m:rPr>
                    <m:t>c</m:t>
                  </m:r>
                  <m:r>
                    <m:rPr>
                      <m:sty m:val="p"/>
                    </m:rPr>
                    <m:t>o</m:t>
                  </m:r>
                  <m:r>
                    <m:rPr>
                      <m:sty m:val="p"/>
                    </m:rPr>
                    <m:t>m</m:t>
                  </m:r>
                  <m:r>
                    <m:rPr>
                      <m:sty m:val="p"/>
                    </m:rPr>
                    <m:t>m</m:t>
                  </m:r>
                </m:sup>
              </m:sSubSup>
            </m:lim>
          </m:limLow>
          <m:sSub>
            <m:e>
              <m:r>
                <m:t>d</m:t>
              </m:r>
            </m:e>
            <m:sub>
              <m:r>
                <m:t>ℓ</m:t>
              </m:r>
              <m:r>
                <m:rPr>
                  <m:sty m:val="p"/>
                </m:rPr>
                <m:t>+</m:t>
              </m:r>
              <m:r>
                <m:t>1</m:t>
              </m:r>
            </m:sub>
          </m:sSub>
          <m:r>
            <m:rPr>
              <m:sty m:val="p"/>
            </m:rPr>
            <m:t>(</m:t>
          </m:r>
          <m:sSub>
            <m:e>
              <m:r>
                <m:rPr>
                  <m:sty m:val="p"/>
                </m:rPr>
                <m:t>Γ</m:t>
              </m:r>
            </m:e>
            <m:sub>
              <m:r>
                <m:t>ℓ</m:t>
              </m:r>
            </m:sub>
          </m:sSub>
          <m:sSub>
            <m:e>
              <m:r>
                <m:t>F</m:t>
              </m:r>
            </m:e>
            <m:sub>
              <m:r>
                <m:t>ℓ</m:t>
              </m:r>
            </m:sub>
          </m:sSub>
          <m:r>
            <m:rPr>
              <m:sty m:val="p"/>
            </m:rPr>
            <m:t>(</m:t>
          </m:r>
          <m:r>
            <m:t>x</m:t>
          </m:r>
          <m:r>
            <m:rPr>
              <m:sty m:val="p"/>
            </m:rPr>
            <m:t>)</m:t>
          </m:r>
          <m:r>
            <m:rPr>
              <m:sty m:val="p"/>
            </m:rPr>
            <m:t>,</m:t>
          </m:r>
          <m:sSub>
            <m:e>
              <m:r>
                <m:t>F</m:t>
              </m:r>
            </m:e>
            <m:sub>
              <m:r>
                <m:t>ℓ</m:t>
              </m:r>
              <m:r>
                <m:rPr>
                  <m:sty m:val="p"/>
                </m:rPr>
                <m:t>+</m:t>
              </m:r>
              <m:r>
                <m:t>1</m:t>
              </m:r>
            </m:sub>
          </m:sSub>
          <m:sSub>
            <m:e>
              <m:r>
                <m:rPr>
                  <m:sty m:val="p"/>
                </m:rPr>
                <m:t>Γ</m:t>
              </m:r>
            </m:e>
            <m:sub>
              <m:r>
                <m:t>ℓ</m:t>
              </m:r>
            </m:sub>
          </m:sSub>
          <m:r>
            <m:rPr>
              <m:sty m:val="p"/>
            </m:rPr>
            <m:t>(</m:t>
          </m:r>
          <m:r>
            <m:t>x</m:t>
          </m:r>
          <m:r>
            <m:rPr>
              <m:sty m:val="p"/>
            </m:rPr>
            <m:t>)</m:t>
          </m:r>
          <m:r>
            <m:rPr>
              <m:sty m:val="p"/>
            </m:rPr>
            <m:t>)</m:t>
          </m:r>
          <m:r>
            <m:rPr>
              <m:sty m:val="p"/>
            </m:rPr>
            <m:t>.</m:t>
          </m:r>
        </m:oMath>
      </m:oMathPara>
    </w:p>
    <w:p>
      <w:pPr>
        <w:pStyle w:val="FirstParagraph"/>
        <w:widowControl/>
      </w:pPr>
      <w:r>
        <w:t xml:space="preserve">For paired routes started at</w:t>
      </w:r>
      <w:r>
        <w:t xml:space="preserve"> </w:t>
      </w:r>
      <m:oMath>
        <m:r>
          <m:t>x</m:t>
        </m:r>
        <m:r>
          <m:rPr>
            <m:sty m:val="p"/>
          </m:rPr>
          <m:t>∈</m:t>
        </m:r>
        <m:sSubSup>
          <m:e>
            <m:r>
              <m:t>A</m:t>
            </m:r>
          </m:e>
          <m:sub>
            <m:r>
              <m:t>ℓ</m:t>
            </m:r>
          </m:sub>
          <m:sup>
            <m:r>
              <m:rPr>
                <m:sty m:val="p"/>
              </m:rPr>
              <m:t>c</m:t>
            </m:r>
            <m:r>
              <m:rPr>
                <m:sty m:val="p"/>
              </m:rPr>
              <m:t>o</m:t>
            </m:r>
            <m:r>
              <m:rPr>
                <m:sty m:val="p"/>
              </m:rPr>
              <m:t>m</m:t>
            </m:r>
            <m:r>
              <m:rPr>
                <m:sty m:val="p"/>
              </m:rPr>
              <m:t>m</m:t>
            </m:r>
          </m:sup>
        </m:sSubSup>
      </m:oMath>
      <w:r>
        <w:t xml:space="preserve">, assume every successive coarse image</w:t>
      </w:r>
      <w:r>
        <w:t xml:space="preserve"> </w:t>
      </w:r>
      <w:r>
        <w:t xml:space="preserve">lies in the relevant registered commutation domain, both arguments compared through each later</w:t>
      </w:r>
      <w:r>
        <w:t xml:space="preserve"> </w:t>
      </w:r>
      <m:oMath>
        <m:sSub>
          <m:e>
            <m:r>
              <m:rPr>
                <m:sty m:val="p"/>
              </m:rPr>
              <m:t>Γ</m:t>
            </m:r>
          </m:e>
          <m:sub>
            <m:r>
              <m:t>j</m:t>
            </m:r>
          </m:sub>
        </m:sSub>
      </m:oMath>
      <w:r>
        <w:t xml:space="preserve"> </w:t>
      </w:r>
      <w:r>
        <w:t xml:space="preserve">lie in</w:t>
      </w:r>
      <w:r>
        <w:t xml:space="preserve"> </w:t>
      </w:r>
      <w:r>
        <w:t xml:space="preserve">one pair-specific Lipschitz region, and</w:t>
      </w:r>
      <w:r>
        <w:t xml:space="preserve"> </w:t>
      </w:r>
      <m:oMath>
        <m:sSub>
          <m:e>
            <m:r>
              <m:rPr>
                <m:sty m:val="p"/>
              </m:rPr>
              <m:t>Γ</m:t>
            </m:r>
          </m:e>
          <m:sub>
            <m:r>
              <m:t>j</m:t>
            </m:r>
          </m:sub>
        </m:sSub>
      </m:oMath>
      <w:r>
        <w:t xml:space="preserve"> </w:t>
      </w:r>
      <w:r>
        <w:t xml:space="preserve">has finite constant</w:t>
      </w:r>
      <w:r>
        <w:t xml:space="preserve"> </w:t>
      </w:r>
      <m:oMath>
        <m:sSub>
          <m:e>
            <m:r>
              <m:t>G</m:t>
            </m:r>
          </m:e>
          <m:sub>
            <m:r>
              <m:t>j</m:t>
            </m:r>
          </m:sub>
        </m:sSub>
      </m:oMath>
      <w:r>
        <w:t xml:space="preserve"> </w:t>
      </w:r>
      <w:r>
        <w:t xml:space="preserve">there. Then, for</w:t>
      </w:r>
      <w:r>
        <w:t xml:space="preserve"> </w:t>
      </w:r>
      <w:r>
        <w:t xml:space="preserve">one fine-level update compared with one corresponding update at each coarser level,</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eqArr>
                  <m:e>
                    <m:sSub>
                      <m:e>
                        <m:r>
                          <m:t>d</m:t>
                        </m:r>
                      </m:e>
                      <m:sub>
                        <m:r>
                          <m:t>ℓ</m:t>
                        </m:r>
                        <m:r>
                          <m:rPr>
                            <m:sty m:val="p"/>
                          </m:rPr>
                          <m:t>+</m:t>
                        </m:r>
                        <m:r>
                          <m:t>r</m:t>
                        </m:r>
                      </m:sub>
                    </m:sSub>
                    <m:r>
                      <m:t/>
                    </m:r>
                    <m:d>
                      <m:dPr>
                        <m:begChr m:val="("/>
                        <m:sepChr m:val=""/>
                        <m:endChr m:val=")"/>
                        <m:grow/>
                      </m:dPr>
                      <m:e>
                        <m:sSub>
                          <m:e>
                            <m:r>
                              <m:rPr>
                                <m:sty m:val="p"/>
                              </m:rPr>
                              <m:t>Γ</m:t>
                            </m:r>
                          </m:e>
                          <m:sub>
                            <m:r>
                              <m:t>ℓ</m:t>
                            </m:r>
                            <m:r>
                              <m:rPr>
                                <m:sty m:val="p"/>
                              </m:rPr>
                              <m:t>:</m:t>
                            </m:r>
                            <m:r>
                              <m:t>ℓ</m:t>
                            </m:r>
                            <m:r>
                              <m:rPr>
                                <m:sty m:val="p"/>
                              </m:rPr>
                              <m:t>+</m:t>
                            </m:r>
                            <m:r>
                              <m:t>r</m:t>
                            </m:r>
                          </m:sub>
                        </m:sSub>
                        <m:sSub>
                          <m:e>
                            <m:r>
                              <m:t>F</m:t>
                            </m:r>
                          </m:e>
                          <m:sub>
                            <m:r>
                              <m:t>ℓ</m:t>
                            </m:r>
                          </m:sub>
                        </m:sSub>
                        <m:r>
                          <m:rPr>
                            <m:sty m:val="p"/>
                          </m:rPr>
                          <m:t>(</m:t>
                        </m:r>
                        <m:r>
                          <m:t>x</m:t>
                        </m:r>
                        <m:r>
                          <m:rPr>
                            <m:sty m:val="p"/>
                          </m:rPr>
                          <m:t>)</m:t>
                        </m:r>
                        <m:r>
                          <m:rPr>
                            <m:sty m:val="p"/>
                          </m:rPr>
                          <m:t>,</m:t>
                        </m:r>
                        <m:sSub>
                          <m:e>
                            <m:r>
                              <m:t>F</m:t>
                            </m:r>
                          </m:e>
                          <m:sub>
                            <m:r>
                              <m:t>ℓ</m:t>
                            </m:r>
                            <m:r>
                              <m:rPr>
                                <m:sty m:val="p"/>
                              </m:rPr>
                              <m:t>+</m:t>
                            </m:r>
                            <m:r>
                              <m:t>r</m:t>
                            </m:r>
                          </m:sub>
                        </m:sSub>
                        <m:sSub>
                          <m:e>
                            <m:r>
                              <m:rPr>
                                <m:sty m:val="p"/>
                              </m:rPr>
                              <m:t>Γ</m:t>
                            </m:r>
                          </m:e>
                          <m:sub>
                            <m:r>
                              <m:t>ℓ</m:t>
                            </m:r>
                            <m:r>
                              <m:rPr>
                                <m:sty m:val="p"/>
                              </m:rPr>
                              <m:t>:</m:t>
                            </m:r>
                            <m:r>
                              <m:t>ℓ</m:t>
                            </m:r>
                            <m:r>
                              <m:rPr>
                                <m:sty m:val="p"/>
                              </m:rPr>
                              <m:t>+</m:t>
                            </m:r>
                            <m:r>
                              <m:t>r</m:t>
                            </m:r>
                          </m:sub>
                        </m:sSub>
                        <m:r>
                          <m:rPr>
                            <m:sty m:val="p"/>
                          </m:rPr>
                          <m:t>(</m:t>
                        </m:r>
                        <m:r>
                          <m:t>x</m:t>
                        </m:r>
                        <m:r>
                          <m:rPr>
                            <m:sty m:val="p"/>
                          </m:rPr>
                          <m:t>)</m:t>
                        </m:r>
                      </m:e>
                    </m:d>
                  </m:e>
                  <m:e>
                    <m:r>
                      <m:t>  </m:t>
                    </m:r>
                    <m:r>
                      <m:rPr>
                        <m:sty m:val="p"/>
                      </m:rPr>
                      <m:t>≤</m:t>
                    </m:r>
                    <m:nary>
                      <m:naryPr>
                        <m:chr m:val="∑"/>
                        <m:limLoc m:val="undOvr"/>
                        <m:subHide m:val="off"/>
                        <m:supHide m:val="off"/>
                      </m:naryPr>
                      <m:sub>
                        <m:r>
                          <m:t>q</m:t>
                        </m:r>
                        <m:r>
                          <m:rPr>
                            <m:sty m:val="p"/>
                          </m:rPr>
                          <m:t>=</m:t>
                        </m:r>
                        <m:r>
                          <m:t>0</m:t>
                        </m:r>
                      </m:sub>
                      <m:sup>
                        <m:r>
                          <m:t>r</m:t>
                        </m:r>
                        <m:r>
                          <m:rPr>
                            <m:sty m:val="p"/>
                          </m:rPr>
                          <m:t>−</m:t>
                        </m:r>
                        <m:r>
                          <m:t>1</m:t>
                        </m:r>
                      </m:sup>
                      <m:e>
                        <m:d>
                          <m:dPr>
                            <m:begChr m:val="("/>
                            <m:sepChr m:val=""/>
                            <m:endChr m:val=")"/>
                            <m:grow/>
                          </m:dPr>
                          <m:e>
                            <m:nary>
                              <m:naryPr>
                                <m:chr m:val="∏"/>
                                <m:limLoc m:val="undOvr"/>
                                <m:subHide m:val="off"/>
                                <m:supHide m:val="off"/>
                              </m:naryPr>
                              <m:sub>
                                <m:r>
                                  <m:t>j</m:t>
                                </m:r>
                                <m:r>
                                  <m:rPr>
                                    <m:sty m:val="p"/>
                                  </m:rPr>
                                  <m:t>=</m:t>
                                </m:r>
                                <m:r>
                                  <m:t>ℓ</m:t>
                                </m:r>
                                <m:r>
                                  <m:rPr>
                                    <m:sty m:val="p"/>
                                  </m:rPr>
                                  <m:t>+</m:t>
                                </m:r>
                                <m:r>
                                  <m:t>q</m:t>
                                </m:r>
                                <m:r>
                                  <m:rPr>
                                    <m:sty m:val="p"/>
                                  </m:rPr>
                                  <m:t>+</m:t>
                                </m:r>
                                <m:r>
                                  <m:t>1</m:t>
                                </m:r>
                              </m:sub>
                              <m:sup>
                                <m:r>
                                  <m:t>ℓ</m:t>
                                </m:r>
                                <m:r>
                                  <m:rPr>
                                    <m:sty m:val="p"/>
                                  </m:rPr>
                                  <m:t>+</m:t>
                                </m:r>
                                <m:r>
                                  <m:t>r</m:t>
                                </m:r>
                                <m:r>
                                  <m:rPr>
                                    <m:sty m:val="p"/>
                                  </m:rPr>
                                  <m:t>−</m:t>
                                </m:r>
                                <m:r>
                                  <m:t>1</m:t>
                                </m:r>
                              </m:sup>
                              <m:e>
                                <m:sSub>
                                  <m:e>
                                    <m:r>
                                      <m:t>G</m:t>
                                    </m:r>
                                  </m:e>
                                  <m:sub>
                                    <m:r>
                                      <m:t>j</m:t>
                                    </m:r>
                                  </m:sub>
                                </m:sSub>
                              </m:e>
                            </m:nary>
                          </m:e>
                        </m:d>
                      </m:e>
                    </m:nary>
                    <m:sSub>
                      <m:e>
                        <m:r>
                          <m:t>η</m:t>
                        </m:r>
                      </m:e>
                      <m:sub>
                        <m:r>
                          <m:t>ℓ</m:t>
                        </m:r>
                        <m:r>
                          <m:rPr>
                            <m:sty m:val="p"/>
                          </m:rPr>
                          <m:t>+</m:t>
                        </m:r>
                        <m:r>
                          <m:t>q</m:t>
                        </m:r>
                      </m:sub>
                    </m:sSub>
                    <m:r>
                      <m:rPr>
                        <m:sty m:val="p"/>
                      </m:rPr>
                      <m:t>.</m:t>
                    </m:r>
                  </m:e>
                </m:eqArr>
              </m:oMath>
            </m:oMathPara>
          </w:p>
        </w:tc>
        <w:tc>
          <w:tcPr>
            <w:tcW w:type="dxa" w:w="662"/>
          </w:tcPr>
          <w:p>
            <w:pPr>
              <w:keepLines/>
              <w:jc w:val="right"/>
            </w:pPr>
            <w:r>
              <w:rPr>
                <w:rFonts w:ascii="Calibri" w:hAnsi="Calibri" w:eastAsia="Calibri" w:cs="Calibri"/>
                <w:b w:val="0"/>
                <w:color w:val="000000"/>
                <w:sz w:val="18"/>
              </w:rPr>
              <w:t>(6)</w:t>
            </w:r>
          </w:p>
        </w:tc>
      </w:tr>
    </w:tbl>
    <w:p>
      <w:pPr>
        <w:pStyle w:val="FirstParagraph"/>
        <w:widowControl/>
      </w:pPr>
      <w:r>
        <w:t xml:space="preserve">The two sides are the two possible routes through the hierarchy: one update then repeated</w:t>
      </w:r>
      <w:r>
        <w:t xml:space="preserve"> </w:t>
      </w:r>
      <w:r>
        <w:t xml:space="preserve">compression, or repeated compression with the corresponding single update at each level. The</w:t>
      </w:r>
      <w:r>
        <w:t xml:space="preserve"> </w:t>
      </w:r>
      <w:r>
        <w:t xml:space="preserve">right side says that each local mismatch is weighted by the sensitivity of later coarse maps. This</w:t>
      </w:r>
      <w:r>
        <w:t xml:space="preserve"> </w:t>
      </w:r>
      <w:r>
        <w:t xml:space="preserve">is a deterministic pathwise consistency bound, not a statistical validation theorem. A missing or</w:t>
      </w:r>
      <w:r>
        <w:t xml:space="preserve"> </w:t>
      </w:r>
      <w:r>
        <w:t xml:space="preserve">empty commutation domain, type mismatch, false intermediate-domain premise, missing metric, or absent</w:t>
      </w:r>
      <w:r>
        <w:t xml:space="preserve"> </w:t>
      </w:r>
      <w:r>
        <w:t xml:space="preserve">Lipschitz bound withdraws the cross-scale conclusion; a finite number cannot be invented to keep</w:t>
      </w:r>
      <w:r>
        <w:t xml:space="preserve"> </w:t>
      </w:r>
      <w:r>
        <w:t xml:space="preserve">the workflow moving. Agreement within this bound is one conditional consistency test, not</w:t>
      </w:r>
      <w:r>
        <w:t xml:space="preserve"> </w:t>
      </w:r>
      <w:r>
        <w:t xml:space="preserve">sufficient validation of the higher-level model.</w:t>
      </w:r>
    </w:p>
    <w:bookmarkEnd w:id="33"/>
    <w:bookmarkStart w:id="34" w:name="X2b7fc6ad0c81c4b82da0c9cdaeb8f2d1140d1e5"/>
    <w:p>
      <w:pPr>
        <w:pStyle w:val="Heading2"/>
        <w:keepNext/>
        <w:keepLines/>
        <w:widowControl/>
      </w:pPr>
      <w:r>
        <w:t xml:space="preserve">Granting and challenging a distribution-conditional certificate</w:t>
      </w:r>
    </w:p>
    <w:p>
      <w:pPr>
        <w:pStyle w:val="FirstParagraph"/>
        <w:widowControl/>
      </w:pPr>
      <w:r>
        <w:t xml:space="preserve">For iid calibration draws</w:t>
      </w:r>
      <w:r>
        <w:t xml:space="preserve"> </w:t>
      </w:r>
      <m:oMath>
        <m:sSub>
          <m:e>
            <m:r>
              <m:t>W</m:t>
            </m:r>
          </m:e>
          <m:sub>
            <m:r>
              <m:t>i</m:t>
            </m:r>
          </m:sub>
        </m:sSub>
        <m:r>
          <m:rPr>
            <m:sty m:val="p"/>
          </m:rPr>
          <m:t>∼</m:t>
        </m:r>
        <m:r>
          <m:t>Q</m:t>
        </m:r>
      </m:oMath>
      <w:r>
        <w:t xml:space="preserve">, let</w:t>
      </w:r>
      <w:r>
        <w:t xml:space="preserve"> </w:t>
      </w:r>
      <m:oMath>
        <m:r>
          <m:t>K</m:t>
        </m:r>
        <m:r>
          <m:rPr>
            <m:sty m:val="p"/>
          </m:rPr>
          <m:t>=</m:t>
        </m:r>
        <m:nary>
          <m:naryPr>
            <m:chr m:val="∑"/>
            <m:limLoc m:val="undOvr"/>
            <m:subHide m:val="off"/>
            <m:supHide m:val="off"/>
          </m:naryPr>
          <m:sub>
            <m:r>
              <m:t>i</m:t>
            </m:r>
            <m:r>
              <m:rPr>
                <m:sty m:val="p"/>
              </m:rPr>
              <m:t>=</m:t>
            </m:r>
            <m:r>
              <m:t>1</m:t>
            </m:r>
          </m:sub>
          <m:sup>
            <m:r>
              <m:t>m</m:t>
            </m:r>
          </m:sup>
          <m:e>
            <m:r>
              <m:rPr>
                <m:sty m:val="b"/>
              </m:rPr>
              <m:t>1</m:t>
            </m:r>
          </m:e>
        </m:nary>
        <m:r>
          <m:rPr>
            <m:sty m:val="p"/>
          </m:rPr>
          <m:t>{</m:t>
        </m:r>
        <m:r>
          <m:t>D</m:t>
        </m:r>
        <m:r>
          <m:rPr>
            <m:sty m:val="p"/>
          </m:rPr>
          <m:t>(</m:t>
        </m:r>
        <m:sSub>
          <m:e>
            <m:r>
              <m:t>W</m:t>
            </m:r>
          </m:e>
          <m:sub>
            <m:r>
              <m:t>i</m:t>
            </m:r>
          </m:sub>
        </m:sSub>
        <m:r>
          <m:rPr>
            <m:sty m:val="p"/>
          </m:rPr>
          <m:t>)</m:t>
        </m:r>
        <m:r>
          <m:rPr>
            <m:sty m:val="p"/>
          </m:rPr>
          <m:t>&gt;</m:t>
        </m:r>
        <m:sSub>
          <m:e>
            <m:r>
              <m:t>ε</m:t>
            </m:r>
          </m:e>
          <m:sub>
            <m:r>
              <m:rPr>
                <m:nor/>
              </m:rPr>
              <m:t>cert</m:t>
            </m:r>
          </m:sub>
        </m:sSub>
        <m:r>
          <m:rPr>
            <m:sty m:val="p"/>
          </m:rPr>
          <m:t>}</m:t>
        </m:r>
      </m:oMath>
      <w:r>
        <w:t xml:space="preserve"> </w:t>
      </w:r>
      <w:r>
        <w:t xml:space="preserve">count violations of one prespecified</w:t>
      </w:r>
      <w:r>
        <w:t xml:space="preserve"> </w:t>
      </w:r>
      <w:r>
        <w:t xml:space="preserve">coarse-graining event. With the map, event, tolerance, distribution, sample size, tail probability</w:t>
      </w:r>
      <w:r>
        <w:t xml:space="preserve"> </w:t>
      </w:r>
      <m:oMath>
        <m:r>
          <m:t>β</m:t>
        </m:r>
      </m:oMath>
      <w:r>
        <w:t xml:space="preserve">, and target</w:t>
      </w:r>
      <w:r>
        <w:t xml:space="preserve"> </w:t>
      </w:r>
      <m:oMath>
        <m:sSub>
          <m:e>
            <m:r>
              <m:t>δ</m:t>
            </m:r>
          </m:e>
          <m:sub>
            <m:r>
              <m:rPr>
                <m:nor/>
              </m:rPr>
              <m:t>cert</m:t>
            </m:r>
          </m:sub>
        </m:sSub>
      </m:oMath>
      <w:r>
        <w:t xml:space="preserve"> </w:t>
      </w:r>
      <w:r>
        <w:t xml:space="preserve">fixed before calibration, the one-sided exact binomial construction</w:t>
      </w:r>
      <w:r>
        <w:t xml:space="preserve"> </w:t>
      </w:r>
      <w:r>
        <w:t xml:space="preserve">of</w:t>
      </w:r>
      <w:r>
        <w:t xml:space="preserve"> </w:t>
      </w:r>
      <w:r>
        <w:t xml:space="preserve">Clopper and Pearson (1934)</w:t>
      </w:r>
      <w:r>
        <w:t xml:space="preserve"> </w:t>
      </w:r>
      <w:r>
        <w:t xml:space="preserve">gives the upper endpoint</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sSub>
                  <m:e>
                    <m:r>
                      <m:t>U</m:t>
                    </m:r>
                  </m:e>
                  <m:sub>
                    <m:r>
                      <m:rPr>
                        <m:nor/>
                      </m:rPr>
                      <m:t>CP</m:t>
                    </m:r>
                  </m:sub>
                </m:sSub>
                <m:r>
                  <m:rPr>
                    <m:sty m:val="p"/>
                  </m:rPr>
                  <m:t>(</m:t>
                </m:r>
                <m:r>
                  <m:t>K</m:t>
                </m:r>
                <m:r>
                  <m:rPr>
                    <m:sty m:val="p"/>
                  </m:rPr>
                  <m:t>,</m:t>
                </m:r>
                <m:r>
                  <m:t>m</m:t>
                </m:r>
                <m:r>
                  <m:rPr>
                    <m:sty m:val="p"/>
                  </m:rPr>
                  <m:t>;</m:t>
                </m:r>
                <m:r>
                  <m:t>1</m:t>
                </m:r>
                <m:r>
                  <m:rPr>
                    <m:sty m:val="p"/>
                  </m:rPr>
                  <m:t>−</m:t>
                </m:r>
                <m:r>
                  <m:t>β</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rPr>
                                  <m:nor/>
                                </m:rPr>
                                <m:t>Beta</m:t>
                              </m:r>
                            </m:e>
                            <m:sup>
                              <m:r>
                                <m:rPr>
                                  <m:sty m:val="p"/>
                                </m:rPr>
                                <m:t>−</m:t>
                              </m:r>
                              <m:r>
                                <m:t>1</m:t>
                              </m:r>
                            </m:sup>
                          </m:sSup>
                          <m:r>
                            <m:rPr>
                              <m:sty m:val="p"/>
                            </m:rPr>
                            <m:t>(</m:t>
                          </m:r>
                          <m:r>
                            <m:t>1</m:t>
                          </m:r>
                          <m:r>
                            <m:rPr>
                              <m:sty m:val="p"/>
                            </m:rPr>
                            <m:t>−</m:t>
                          </m:r>
                          <m:r>
                            <m:t>β</m:t>
                          </m:r>
                          <m:r>
                            <m:rPr>
                              <m:sty m:val="p"/>
                            </m:rPr>
                            <m:t>;</m:t>
                          </m:r>
                          <m:r>
                            <m:t>K</m:t>
                          </m:r>
                          <m:r>
                            <m:rPr>
                              <m:sty m:val="p"/>
                            </m:rPr>
                            <m:t>+</m:t>
                          </m:r>
                          <m:r>
                            <m:t>1</m:t>
                          </m:r>
                          <m:r>
                            <m:rPr>
                              <m:sty m:val="p"/>
                            </m:rPr>
                            <m:t>,</m:t>
                          </m:r>
                          <m:r>
                            <m:t>m</m:t>
                          </m:r>
                          <m:r>
                            <m:rPr>
                              <m:sty m:val="p"/>
                            </m:rPr>
                            <m:t>−</m:t>
                          </m:r>
                          <m:r>
                            <m:t>K</m:t>
                          </m:r>
                          <m:r>
                            <m:rPr>
                              <m:sty m:val="p"/>
                            </m:rPr>
                            <m:t>)</m:t>
                          </m:r>
                          <m:r>
                            <m:rPr>
                              <m:sty m:val="p"/>
                            </m:rPr>
                            <m:t>,</m:t>
                          </m:r>
                        </m:e>
                        <m:e>
                          <m:r>
                            <m:t>K</m:t>
                          </m:r>
                          <m:r>
                            <m:rPr>
                              <m:sty m:val="p"/>
                            </m:rPr>
                            <m:t>&lt;</m:t>
                          </m:r>
                          <m:r>
                            <m:t>m</m:t>
                          </m:r>
                          <m:r>
                            <m:rPr>
                              <m:sty m:val="p"/>
                            </m:rPr>
                            <m:t>,</m:t>
                          </m:r>
                        </m:e>
                      </m:mr>
                      <m:mr>
                        <m:e>
                          <m:r>
                            <m:t>1</m:t>
                          </m:r>
                          <m:r>
                            <m:rPr>
                              <m:sty m:val="p"/>
                            </m:rPr>
                            <m:t>,</m:t>
                          </m:r>
                        </m:e>
                        <m:e>
                          <m:r>
                            <m:t>K</m:t>
                          </m:r>
                          <m:r>
                            <m:rPr>
                              <m:sty m:val="p"/>
                            </m:rPr>
                            <m:t>=</m:t>
                          </m:r>
                          <m:r>
                            <m:t>m</m:t>
                          </m:r>
                          <m:r>
                            <m:rPr>
                              <m:sty m:val="p"/>
                            </m:rPr>
                            <m:t>.</m:t>
                          </m:r>
                        </m:e>
                      </m:mr>
                    </m:m>
                  </m:e>
                </m:d>
              </m:oMath>
            </m:oMathPara>
          </w:p>
        </w:tc>
        <w:tc>
          <w:tcPr>
            <w:tcW w:type="dxa" w:w="662"/>
          </w:tcPr>
          <w:p>
            <w:pPr>
              <w:keepLines/>
              <w:jc w:val="right"/>
            </w:pPr>
            <w:r>
              <w:rPr>
                <w:rFonts w:ascii="Calibri" w:hAnsi="Calibri" w:eastAsia="Calibri" w:cs="Calibri"/>
                <w:b w:val="0"/>
                <w:color w:val="000000"/>
                <w:sz w:val="18"/>
              </w:rPr>
              <w:t>(7)</w:t>
            </w:r>
          </w:p>
        </w:tc>
      </w:tr>
    </w:tbl>
    <w:p>
      <w:pPr>
        <w:pStyle w:val="FirstParagraph"/>
        <w:widowControl/>
      </w:pPr>
      <w:r>
        <w:t xml:space="preserve">Calibration grants the certificate only if</w:t>
      </w:r>
      <w:r>
        <w:t xml:space="preserve"> </w:t>
      </w:r>
      <m:oMath>
        <m:sSub>
          <m:e>
            <m:r>
              <m:t>U</m:t>
            </m:r>
          </m:e>
          <m:sub>
            <m:r>
              <m:rPr>
                <m:nor/>
              </m:rPr>
              <m:t>CP</m:t>
            </m:r>
          </m:sub>
        </m:sSub>
        <m:r>
          <m:rPr>
            <m:sty m:val="p"/>
          </m:rPr>
          <m:t>≤</m:t>
        </m:r>
        <m:sSub>
          <m:e>
            <m:r>
              <m:t>δ</m:t>
            </m:r>
          </m:e>
          <m:sub>
            <m:r>
              <m:rPr>
                <m:nor/>
              </m:rPr>
              <m:t>cert</m:t>
            </m:r>
          </m:sub>
        </m:sSub>
      </m:oMath>
      <w:r>
        <w:t xml:space="preserve">. When</w:t>
      </w:r>
      <w:r>
        <w:t xml:space="preserve"> </w:t>
      </w:r>
      <m:oMath>
        <m:r>
          <m:t>K</m:t>
        </m:r>
        <m:r>
          <m:rPr>
            <m:sty m:val="p"/>
          </m:rPr>
          <m:t>=</m:t>
        </m:r>
        <m:r>
          <m:t>0</m:t>
        </m:r>
      </m:oMath>
      <w:r>
        <w:t xml:space="preserve">, this endpoint is</w:t>
      </w:r>
      <w:r>
        <w:t xml:space="preserve"> </w:t>
      </w:r>
      <m:oMath>
        <m:r>
          <m:t>1</m:t>
        </m:r>
        <m:r>
          <m:rPr>
            <m:sty m:val="p"/>
          </m:rPr>
          <m:t>−</m:t>
        </m:r>
        <m:sSup>
          <m:e>
            <m:r>
              <m:t>β</m:t>
            </m:r>
          </m:e>
          <m:sup>
            <m:r>
              <m:t>1</m:t>
            </m:r>
            <m:r>
              <m:rPr>
                <m:sty m:val="p"/>
              </m:rPr>
              <m:t>/</m:t>
            </m:r>
            <m:r>
              <m:t>m</m:t>
            </m:r>
          </m:sup>
        </m:sSup>
      </m:oMath>
      <w:r>
        <w:t xml:space="preserve">; with</w:t>
      </w:r>
      <w:r>
        <w:t xml:space="preserve"> </w:t>
      </w:r>
      <m:oMath>
        <m:r>
          <m:t>β</m:t>
        </m:r>
        <m:r>
          <m:rPr>
            <m:sty m:val="p"/>
          </m:rPr>
          <m:t>=</m:t>
        </m:r>
        <m:sSub>
          <m:e>
            <m:r>
              <m:t>δ</m:t>
            </m:r>
          </m:e>
          <m:sub>
            <m:r>
              <m:rPr>
                <m:nor/>
              </m:rPr>
              <m:t>cert</m:t>
            </m:r>
          </m:sub>
        </m:sSub>
        <m:r>
          <m:rPr>
            <m:sty m:val="p"/>
          </m:rPr>
          <m:t>=</m:t>
        </m:r>
        <m:r>
          <m:t>0.05</m:t>
        </m:r>
      </m:oMath>
      <w:r>
        <w:t xml:space="preserve">, at least 59</w:t>
      </w:r>
      <w:r>
        <w:t xml:space="preserve"> </w:t>
      </w:r>
      <w:r>
        <w:t xml:space="preserve">zero-violation blocks are required. This 59-block statement applies specifically to the</w:t>
      </w:r>
      <w:r>
        <w:t xml:space="preserve"> </w:t>
      </w:r>
      <m:oMath>
        <m:r>
          <m:t>K</m:t>
        </m:r>
        <m:r>
          <m:rPr>
            <m:sty m:val="p"/>
          </m:rPr>
          <m:t>=</m:t>
        </m:r>
        <m:r>
          <m:t>0</m:t>
        </m:r>
      </m:oMath>
      <w:r>
        <w:t xml:space="preserve"> </w:t>
      </w:r>
      <w:r>
        <w:t xml:space="preserve">design case; designs allowing</w:t>
      </w:r>
      <w:r>
        <w:t xml:space="preserve"> </w:t>
      </w:r>
      <m:oMath>
        <m:r>
          <m:t>K</m:t>
        </m:r>
        <m:r>
          <m:rPr>
            <m:sty m:val="p"/>
          </m:rPr>
          <m:t>&gt;</m:t>
        </m:r>
        <m:r>
          <m:t>0</m:t>
        </m:r>
      </m:oMath>
      <w:r>
        <w:t xml:space="preserve"> </w:t>
      </w:r>
      <w:r>
        <w:t xml:space="preserve">require a separate calculation. The formula is not a statement that violations are</w:t>
      </w:r>
      <w:r>
        <w:t xml:space="preserve"> </w:t>
      </w:r>
      <w:r>
        <w:t xml:space="preserve">impossible. It is an exact distribution-conditional upper bound for one event under</w:t>
      </w:r>
      <w:r>
        <w:t xml:space="preserve"> </w:t>
      </w:r>
      <m:oMath>
        <m:r>
          <m:t>Q</m:t>
        </m:r>
      </m:oMath>
      <w:r>
        <w:t xml:space="preserve">.</w:t>
      </w:r>
    </w:p>
    <w:p>
      <w:pPr>
        <w:pStyle w:val="BodyText"/>
        <w:widowControl/>
      </w:pPr>
      <w:r>
        <w:t xml:space="preserve">Role-separated held-out data answer a different question: is there enough evidence to withdraw the</w:t>
      </w:r>
      <w:r>
        <w:t xml:space="preserve"> </w:t>
      </w:r>
      <w:r>
        <w:t xml:space="preserve">already granted certificate? With held-out count</w:t>
      </w:r>
      <w:r>
        <w:t xml:space="preserve"> </w:t>
      </w:r>
      <m:oMath>
        <m:sSub>
          <m:e>
            <m:r>
              <m:t>K</m:t>
            </m:r>
          </m:e>
          <m:sub>
            <m:r>
              <m:rPr>
                <m:sty m:val="p"/>
              </m:rPr>
              <m:t>L</m:t>
            </m:r>
          </m:sub>
        </m:sSub>
      </m:oMath>
      <w:r>
        <w:t xml:space="preserve">, sample size</w:t>
      </w:r>
      <w:r>
        <w:t xml:space="preserve"> </w:t>
      </w:r>
      <m:oMath>
        <m:sSub>
          <m:e>
            <m:r>
              <m:t>m</m:t>
            </m:r>
          </m:e>
          <m:sub>
            <m:r>
              <m:rPr>
                <m:sty m:val="p"/>
              </m:rPr>
              <m:t>L</m:t>
            </m:r>
          </m:sub>
        </m:sSub>
      </m:oMath>
      <w:r>
        <w:t xml:space="preserve">, and fixed level</w:t>
      </w:r>
      <w:r>
        <w:t xml:space="preserve"> </w:t>
      </w:r>
      <m:oMath>
        <m:r>
          <m:t>γ</m:t>
        </m:r>
      </m:oMath>
      <w:r>
        <w:t xml:space="preserve">, compute</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sSub>
                  <m:e>
                    <m:r>
                      <m:t>L</m:t>
                    </m:r>
                  </m:e>
                  <m:sub>
                    <m:r>
                      <m:rPr>
                        <m:nor/>
                      </m:rPr>
                      <m:t>CP</m:t>
                    </m:r>
                  </m:sub>
                </m:sSub>
                <m:r>
                  <m:rPr>
                    <m:sty m:val="p"/>
                  </m:rPr>
                  <m:t>(</m:t>
                </m:r>
                <m:sSub>
                  <m:e>
                    <m:r>
                      <m:t>K</m:t>
                    </m:r>
                  </m:e>
                  <m:sub>
                    <m:r>
                      <m:rPr>
                        <m:sty m:val="p"/>
                      </m:rPr>
                      <m:t>L</m:t>
                    </m:r>
                  </m:sub>
                </m:sSub>
                <m:r>
                  <m:rPr>
                    <m:sty m:val="p"/>
                  </m:rPr>
                  <m:t>,</m:t>
                </m:r>
                <m:sSub>
                  <m:e>
                    <m:r>
                      <m:t>m</m:t>
                    </m:r>
                  </m:e>
                  <m:sub>
                    <m:r>
                      <m:rPr>
                        <m:sty m:val="p"/>
                      </m:rPr>
                      <m:t>L</m:t>
                    </m:r>
                  </m:sub>
                </m:sSub>
                <m:r>
                  <m:rPr>
                    <m:sty m:val="p"/>
                  </m:rPr>
                  <m:t>;</m:t>
                </m:r>
                <m:r>
                  <m:t>1</m:t>
                </m:r>
                <m:r>
                  <m:rPr>
                    <m:sty m:val="p"/>
                  </m:rPr>
                  <m:t>−</m:t>
                </m:r>
                <m:r>
                  <m:t>γ</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K</m:t>
                              </m:r>
                            </m:e>
                            <m:sub>
                              <m:r>
                                <m:rPr>
                                  <m:sty m:val="p"/>
                                </m:rPr>
                                <m:t>L</m:t>
                              </m:r>
                            </m:sub>
                          </m:sSub>
                          <m:r>
                            <m:rPr>
                              <m:sty m:val="p"/>
                            </m:rPr>
                            <m:t>=</m:t>
                          </m:r>
                          <m:r>
                            <m:t>0</m:t>
                          </m:r>
                          <m:r>
                            <m:rPr>
                              <m:sty m:val="p"/>
                            </m:rPr>
                            <m:t>,</m:t>
                          </m:r>
                        </m:e>
                      </m:mr>
                      <m:mr>
                        <m:e>
                          <m:sSup>
                            <m:e>
                              <m:r>
                                <m:rPr>
                                  <m:nor/>
                                </m:rPr>
                                <m:t>Beta</m:t>
                              </m:r>
                            </m:e>
                            <m:sup>
                              <m:r>
                                <m:rPr>
                                  <m:sty m:val="p"/>
                                </m:rPr>
                                <m:t>−</m:t>
                              </m:r>
                              <m:r>
                                <m:t>1</m:t>
                              </m:r>
                            </m:sup>
                          </m:sSup>
                          <m:r>
                            <m:rPr>
                              <m:sty m:val="p"/>
                            </m:rPr>
                            <m:t>(</m:t>
                          </m:r>
                          <m:r>
                            <m:t>γ</m:t>
                          </m:r>
                          <m:r>
                            <m:rPr>
                              <m:sty m:val="p"/>
                            </m:rPr>
                            <m:t>;</m:t>
                          </m:r>
                          <m:sSub>
                            <m:e>
                              <m:r>
                                <m:t>K</m:t>
                              </m:r>
                            </m:e>
                            <m:sub>
                              <m:r>
                                <m:rPr>
                                  <m:sty m:val="p"/>
                                </m:rPr>
                                <m:t>L</m:t>
                              </m:r>
                            </m:sub>
                          </m:sSub>
                          <m:r>
                            <m:rPr>
                              <m:sty m:val="p"/>
                            </m:rPr>
                            <m:t>,</m:t>
                          </m:r>
                          <m:sSub>
                            <m:e>
                              <m:r>
                                <m:t>m</m:t>
                              </m:r>
                            </m:e>
                            <m:sub>
                              <m:r>
                                <m:rPr>
                                  <m:sty m:val="p"/>
                                </m:rPr>
                                <m:t>L</m:t>
                              </m:r>
                            </m:sub>
                          </m:sSub>
                          <m:r>
                            <m:rPr>
                              <m:sty m:val="p"/>
                            </m:rPr>
                            <m:t>−</m:t>
                          </m:r>
                          <m:sSub>
                            <m:e>
                              <m:r>
                                <m:t>K</m:t>
                              </m:r>
                            </m:e>
                            <m:sub>
                              <m:r>
                                <m:rPr>
                                  <m:sty m:val="p"/>
                                </m:rPr>
                                <m:t>L</m:t>
                              </m:r>
                            </m:sub>
                          </m:sSub>
                          <m:r>
                            <m:rPr>
                              <m:sty m:val="p"/>
                            </m:rPr>
                            <m:t>+</m:t>
                          </m:r>
                          <m:r>
                            <m:t>1</m:t>
                          </m:r>
                          <m:r>
                            <m:rPr>
                              <m:sty m:val="p"/>
                            </m:rPr>
                            <m:t>)</m:t>
                          </m:r>
                          <m:r>
                            <m:rPr>
                              <m:sty m:val="p"/>
                            </m:rPr>
                            <m:t>,</m:t>
                          </m:r>
                        </m:e>
                        <m:e>
                          <m:sSub>
                            <m:e>
                              <m:r>
                                <m:t>K</m:t>
                              </m:r>
                            </m:e>
                            <m:sub>
                              <m:r>
                                <m:rPr>
                                  <m:sty m:val="p"/>
                                </m:rPr>
                                <m:t>L</m:t>
                              </m:r>
                            </m:sub>
                          </m:sSub>
                          <m:r>
                            <m:rPr>
                              <m:sty m:val="p"/>
                            </m:rPr>
                            <m:t>&gt;</m:t>
                          </m:r>
                          <m:r>
                            <m:t>0</m:t>
                          </m:r>
                          <m:r>
                            <m:rPr>
                              <m:sty m:val="p"/>
                            </m:rPr>
                            <m:t>.</m:t>
                          </m:r>
                        </m:e>
                      </m:mr>
                    </m:m>
                  </m:e>
                </m:d>
              </m:oMath>
            </m:oMathPara>
          </w:p>
        </w:tc>
        <w:tc>
          <w:tcPr>
            <w:tcW w:type="dxa" w:w="662"/>
          </w:tcPr>
          <w:p>
            <w:pPr>
              <w:keepLines/>
              <w:jc w:val="right"/>
            </w:pPr>
            <w:r>
              <w:rPr>
                <w:rFonts w:ascii="Calibri" w:hAnsi="Calibri" w:eastAsia="Calibri" w:cs="Calibri"/>
                <w:b w:val="0"/>
                <w:color w:val="000000"/>
                <w:sz w:val="18"/>
              </w:rPr>
              <w:t>(8)</w:t>
            </w:r>
          </w:p>
        </w:tc>
      </w:tr>
    </w:tbl>
    <w:p>
      <w:pPr>
        <w:pStyle w:val="FirstParagraph"/>
        <w:widowControl/>
      </w:pPr>
      <w:r>
        <w:t xml:space="preserve">Withdrawal occurs if and only if</w:t>
      </w:r>
      <w:r>
        <w:t xml:space="preserve"> </w:t>
      </w:r>
      <m:oMath>
        <m:sSub>
          <m:e>
            <m:r>
              <m:t>L</m:t>
            </m:r>
          </m:e>
          <m:sub>
            <m:r>
              <m:rPr>
                <m:nor/>
              </m:rPr>
              <m:t>CP</m:t>
            </m:r>
          </m:sub>
        </m:sSub>
        <m:r>
          <m:rPr>
            <m:sty m:val="p"/>
          </m:rPr>
          <m:t>&gt;</m:t>
        </m:r>
        <m:sSub>
          <m:e>
            <m:r>
              <m:t>δ</m:t>
            </m:r>
          </m:e>
          <m:sub>
            <m:r>
              <m:rPr>
                <m:nor/>
              </m:rPr>
              <m:t>cert</m:t>
            </m:r>
          </m:sub>
        </m:sSub>
      </m:oMath>
      <w:r>
        <w:t xml:space="preserve">. Grant and withdrawal therefore</w:t>
      </w:r>
      <w:r>
        <w:t xml:space="preserve"> </w:t>
      </w:r>
      <w:r>
        <w:t xml:space="preserve">have different directions and different evidential meanings: absence of withdrawal is not</w:t>
      </w:r>
      <w:r>
        <w:t xml:space="preserve"> </w:t>
      </w:r>
      <w:r>
        <w:t xml:space="preserve">confirmation. Event changes, role reuse, tuning, pseudoreplication, distribution shift, or a broken</w:t>
      </w:r>
      <w:r>
        <w:t xml:space="preserve"> </w:t>
      </w:r>
      <w:r>
        <w:t xml:space="preserve">certificate chain would make the calculation inapplicable.</w:t>
      </w:r>
    </w:p>
    <w:p>
      <w:pPr>
        <w:pStyle w:val="BodyText"/>
        <w:widowControl/>
      </w:pPr>
      <w:r>
        <w:t xml:space="preserve">These Clopper–Pearson statements are exact for the prespecified iid reference law. The successful</w:t>
      </w:r>
      <w:r>
        <w:t xml:space="preserve"> </w:t>
      </w:r>
      <w:r>
        <w:t xml:space="preserve">role materializations were that law conditioned on within-role uniqueness and, for the held-out</w:t>
      </w:r>
      <w:r>
        <w:t xml:space="preserve"> </w:t>
      </w:r>
      <w:r>
        <w:t xml:space="preserve">role, nonoverlap with calibration. Consequently the implemented-law coverage is bounded below by</w:t>
      </w:r>
      <w:r>
        <w:t xml:space="preserve"> </w:t>
      </w:r>
      <m:oMath>
        <m:r>
          <m:t>1</m:t>
        </m:r>
        <m:r>
          <m:rPr>
            <m:sty m:val="p"/>
          </m:rPr>
          <m:t>−</m:t>
        </m:r>
        <m:r>
          <m:t>β</m:t>
        </m:r>
        <m:r>
          <m:rPr>
            <m:sty m:val="p"/>
          </m:rPr>
          <m:t>−</m:t>
        </m:r>
        <m:sSub>
          <m:e>
            <m:r>
              <m:t>q</m:t>
            </m:r>
          </m:e>
          <m:sub>
            <m:r>
              <m:rPr>
                <m:nor/>
              </m:rPr>
              <m:t>cal</m:t>
            </m:r>
          </m:sub>
        </m:sSub>
      </m:oMath>
      <w:r>
        <w:t xml:space="preserve"> </w:t>
      </w:r>
      <w:r>
        <w:t xml:space="preserve">for calibration and</w:t>
      </w:r>
      <w:r>
        <w:t xml:space="preserve"> </w:t>
      </w:r>
      <m:oMath>
        <m:r>
          <m:t>1</m:t>
        </m:r>
        <m:r>
          <m:rPr>
            <m:sty m:val="p"/>
          </m:rPr>
          <m:t>−</m:t>
        </m:r>
        <m:r>
          <m:t>γ</m:t>
        </m:r>
        <m:r>
          <m:rPr>
            <m:sty m:val="p"/>
          </m:rPr>
          <m:t>−</m:t>
        </m:r>
        <m:sSub>
          <m:e>
            <m:r>
              <m:t>q</m:t>
            </m:r>
          </m:e>
          <m:sub>
            <m:r>
              <m:rPr>
                <m:nor/>
              </m:rPr>
              <m:t>locked</m:t>
            </m:r>
          </m:sub>
        </m:sSub>
      </m:oMath>
      <w:r>
        <w:t xml:space="preserve"> </w:t>
      </w:r>
      <w:r>
        <w:t xml:space="preserve">for held-out evaluation, where</w:t>
      </w:r>
      <w:r>
        <w:t xml:space="preserve"> </w:t>
      </w:r>
      <m:oMath>
        <m:sSub>
          <m:e>
            <m:r>
              <m:t>q</m:t>
            </m:r>
          </m:e>
          <m:sub>
            <m:r>
              <m:rPr>
                <m:nor/>
              </m:rPr>
              <m:t>cal</m:t>
            </m:r>
          </m:sub>
        </m:sSub>
        <m:r>
          <m:rPr>
            <m:sty m:val="p"/>
          </m:rPr>
          <m:t>=</m:t>
        </m:r>
        <m:r>
          <m:t>1.74105158070704</m:t>
        </m:r>
        <m:r>
          <m:rPr>
            <m:sty m:val="p"/>
          </m:rPr>
          <m:t>×</m:t>
        </m:r>
        <m:sSup>
          <m:e>
            <m:r>
              <m:t>10</m:t>
            </m:r>
          </m:e>
          <m:sup>
            <m:r>
              <m:rPr>
                <m:sty m:val="p"/>
              </m:rPr>
              <m:t>−</m:t>
            </m:r>
            <m:r>
              <m:t>74</m:t>
            </m:r>
          </m:sup>
        </m:sSup>
      </m:oMath>
      <w:r>
        <w:t xml:space="preserve"> </w:t>
      </w:r>
      <w:r>
        <w:t xml:space="preserve">and</w:t>
      </w:r>
      <w:r>
        <w:t xml:space="preserve"> </w:t>
      </w:r>
      <m:oMath>
        <m:sSub>
          <m:e>
            <m:r>
              <m:t>q</m:t>
            </m:r>
          </m:e>
          <m:sub>
            <m:r>
              <m:rPr>
                <m:nor/>
              </m:rPr>
              <m:t>locked</m:t>
            </m:r>
          </m:sub>
        </m:sSub>
        <m:r>
          <m:rPr>
            <m:sty m:val="p"/>
          </m:rPr>
          <m:t>=</m:t>
        </m:r>
        <m:r>
          <m:t>5.27842622087372</m:t>
        </m:r>
        <m:r>
          <m:rPr>
            <m:sty m:val="p"/>
          </m:rPr>
          <m:t>×</m:t>
        </m:r>
        <m:sSup>
          <m:e>
            <m:r>
              <m:t>10</m:t>
            </m:r>
          </m:e>
          <m:sup>
            <m:r>
              <m:rPr>
                <m:sty m:val="p"/>
              </m:rPr>
              <m:t>−</m:t>
            </m:r>
            <m:r>
              <m:t>74</m:t>
            </m:r>
          </m:sup>
        </m:sSup>
      </m:oMath>
      <w:r>
        <w:t xml:space="preserve">. These conservative total-variation</w:t>
      </w:r>
      <w:r>
        <w:t xml:space="preserve"> </w:t>
      </w:r>
      <w:r>
        <w:t xml:space="preserve">deductions do not change any reported endpoint, interval, threshold, or status.</w:t>
      </w:r>
    </w:p>
    <w:bookmarkEnd w:id="34"/>
    <w:bookmarkStart w:id="35" w:name="paying-for-repeated-looks"/>
    <w:p>
      <w:pPr>
        <w:pStyle w:val="Heading2"/>
        <w:keepNext/>
        <w:keepLines/>
        <w:widowControl/>
      </w:pPr>
      <w:r>
        <w:t xml:space="preserve">Paying for repeated looks</w:t>
      </w:r>
    </w:p>
    <w:p>
      <w:pPr>
        <w:pStyle w:val="FirstParagraph"/>
        <w:widowControl/>
      </w:pPr>
      <w:r>
        <w:t xml:space="preserve">Let</w:t>
      </w:r>
      <w:r>
        <w:t xml:space="preserve"> </w:t>
      </w:r>
      <m:oMath>
        <m:r>
          <m:t>N</m:t>
        </m:r>
      </m:oMath>
      <w:r>
        <w:t xml:space="preserve"> </w:t>
      </w:r>
      <w:r>
        <w:t xml:space="preserve">and</w:t>
      </w:r>
      <w:r>
        <w:t xml:space="preserve"> </w:t>
      </w:r>
      <m:oMath>
        <m:r>
          <m:t>G</m:t>
        </m:r>
      </m:oMath>
      <w:r>
        <w:t xml:space="preserve"> </w:t>
      </w:r>
      <w:r>
        <w:t xml:space="preserve">be fixed candidate-slot and gate counts,</w:t>
      </w:r>
      <w:r>
        <w:t xml:space="preserve"> </w:t>
      </w:r>
      <m:oMath>
        <m:r>
          <m:t>s</m:t>
        </m:r>
        <m:r>
          <m:rPr>
            <m:sty m:val="p"/>
          </m:rPr>
          <m:t>≥</m:t>
        </m:r>
        <m:r>
          <m:t>1</m:t>
        </m:r>
      </m:oMath>
      <w:r>
        <w:t xml:space="preserve"> </w:t>
      </w:r>
      <w:r>
        <w:t xml:space="preserve">the look index, and</w:t>
      </w:r>
      <w:r>
        <w:t xml:space="preserve"> </w:t>
      </w:r>
      <m:oMath>
        <m:r>
          <m:t>0</m:t>
        </m:r>
        <m:r>
          <m:rPr>
            <m:sty m:val="p"/>
          </m:rPr>
          <m:t>&lt;</m:t>
        </m:r>
        <m:r>
          <m:t>α</m:t>
        </m:r>
        <m:r>
          <m:rPr>
            <m:sty m:val="p"/>
          </m:rPr>
          <m:t>&lt;</m:t>
        </m:r>
        <m:r>
          <m:t>1</m:t>
        </m:r>
      </m:oMath>
      <w:r>
        <w:t xml:space="preserve"> </w:t>
      </w:r>
      <w:r>
        <w:t xml:space="preserve">the global budget. One valid allocation is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sSub>
                  <m:e>
                    <m:r>
                      <m:t>α</m:t>
                    </m:r>
                  </m:e>
                  <m:sub>
                    <m:r>
                      <m:t>h</m:t>
                    </m:r>
                    <m:r>
                      <m:t>g</m:t>
                    </m:r>
                    <m:r>
                      <m:t>s</m:t>
                    </m:r>
                  </m:sub>
                </m:sSub>
                <m:r>
                  <m:rPr>
                    <m:sty m:val="p"/>
                  </m:rPr>
                  <m:t>=</m:t>
                </m:r>
                <m:f>
                  <m:fPr>
                    <m:type m:val="bar"/>
                  </m:fPr>
                  <m:num>
                    <m:r>
                      <m:t>6</m:t>
                    </m:r>
                    <m:r>
                      <m:t>α</m:t>
                    </m:r>
                  </m:num>
                  <m:den>
                    <m:r>
                      <m:t>N</m:t>
                    </m:r>
                    <m:r>
                      <m:t>G</m:t>
                    </m:r>
                    <m:sSup>
                      <m:e>
                        <m:r>
                          <m:t>π</m:t>
                        </m:r>
                      </m:e>
                      <m:sup>
                        <m:r>
                          <m:t>2</m:t>
                        </m:r>
                      </m:sup>
                    </m:sSup>
                    <m:sSup>
                      <m:e>
                        <m:r>
                          <m:t>s</m:t>
                        </m:r>
                      </m:e>
                      <m:sup>
                        <m:r>
                          <m:t>2</m:t>
                        </m:r>
                      </m:sup>
                    </m:sSup>
                  </m:den>
                </m:f>
                <m:r>
                  <m:rPr>
                    <m:sty m:val="p"/>
                  </m:rPr>
                  <m:t>,</m:t>
                </m:r>
                <m:r>
                  <m:t>  </m:t>
                </m:r>
                <m:sSub>
                  <m:e>
                    <m:r>
                      <m:t>r</m:t>
                    </m:r>
                  </m:e>
                  <m:sub>
                    <m:r>
                      <m:t>h</m:t>
                    </m:r>
                    <m:r>
                      <m:t>g</m:t>
                    </m:r>
                    <m:r>
                      <m:t>s</m:t>
                    </m:r>
                  </m:sub>
                </m:sSub>
                <m:r>
                  <m:rPr>
                    <m:sty m:val="p"/>
                  </m:rPr>
                  <m:t>=</m:t>
                </m:r>
                <m:rad>
                  <m:radPr>
                    <m:degHide m:val="on"/>
                  </m:radPr>
                  <m:deg/>
                  <m:e>
                    <m:f>
                      <m:fPr>
                        <m:type m:val="bar"/>
                      </m:fPr>
                      <m:num>
                        <m:r>
                          <m:rPr>
                            <m:sty m:val="p"/>
                          </m:rPr>
                          <m:t>log</m:t>
                        </m:r>
                        <m:r>
                          <m:rPr>
                            <m:sty m:val="p"/>
                          </m:rPr>
                          <m:t>(</m:t>
                        </m:r>
                        <m:r>
                          <m:t>2</m:t>
                        </m:r>
                        <m:r>
                          <m:rPr>
                            <m:sty m:val="p"/>
                          </m:rPr>
                          <m:t>/</m:t>
                        </m:r>
                        <m:sSub>
                          <m:e>
                            <m:r>
                              <m:t>α</m:t>
                            </m:r>
                          </m:e>
                          <m:sub>
                            <m:r>
                              <m:t>h</m:t>
                            </m:r>
                            <m:r>
                              <m:t>g</m:t>
                            </m:r>
                            <m:r>
                              <m:t>s</m:t>
                            </m:r>
                          </m:sub>
                        </m:sSub>
                        <m:r>
                          <m:rPr>
                            <m:sty m:val="p"/>
                          </m:rPr>
                          <m:t>)</m:t>
                        </m:r>
                      </m:num>
                      <m:den>
                        <m:r>
                          <m:t>2</m:t>
                        </m:r>
                        <m:sSub>
                          <m:e>
                            <m:r>
                              <m:t>n</m:t>
                            </m:r>
                          </m:e>
                          <m:sub>
                            <m:r>
                              <m:t>s</m:t>
                            </m:r>
                          </m:sub>
                        </m:sSub>
                      </m:den>
                    </m:f>
                  </m:e>
                </m:rad>
                <m:r>
                  <m:rPr>
                    <m:sty m:val="p"/>
                  </m:rPr>
                  <m:t>,</m:t>
                </m:r>
              </m:oMath>
            </m:oMathPara>
          </w:p>
        </w:tc>
        <w:tc>
          <w:tcPr>
            <w:tcW w:type="dxa" w:w="662"/>
          </w:tcPr>
          <w:p>
            <w:pPr>
              <w:keepLines/>
              <w:jc w:val="right"/>
            </w:pPr>
            <w:r>
              <w:rPr>
                <w:rFonts w:ascii="Calibri" w:hAnsi="Calibri" w:eastAsia="Calibri" w:cs="Calibri"/>
                <w:b w:val="0"/>
                <w:color w:val="000000"/>
                <w:sz w:val="18"/>
              </w:rPr>
              <w:t>(9)</w:t>
            </w:r>
          </w:p>
        </w:tc>
      </w:tr>
    </w:tbl>
    <w:p>
      <w:pPr>
        <w:pStyle w:val="FirstParagraph"/>
        <w:widowControl/>
      </w:pPr>
      <w:r>
        <w:t xml:space="preserve">The</w:t>
      </w:r>
      <w:r>
        <w:t xml:space="preserve"> </w:t>
      </w:r>
      <m:oMath>
        <m:sSup>
          <m:e>
            <m:r>
              <m:t>s</m:t>
            </m:r>
          </m:e>
          <m:sup>
            <m:r>
              <m:rPr>
                <m:sty m:val="p"/>
              </m:rPr>
              <m:t>−</m:t>
            </m:r>
            <m:r>
              <m:t>2</m:t>
            </m:r>
          </m:sup>
        </m:sSup>
      </m:oMath>
      <w:r>
        <w:t xml:space="preserve"> </w:t>
      </w:r>
      <w:r>
        <w:t xml:space="preserve">schedule is used because its infinite sum is finite: across all reserved</w:t>
      </w:r>
      <w:r>
        <w:t xml:space="preserve"> </w:t>
      </w:r>
      <w:r>
        <w:t xml:space="preserve">candidate–gate–look streams, the allocated error is at most</w:t>
      </w:r>
      <w:r>
        <w:t xml:space="preserve"> </w:t>
      </w:r>
      <m:oMath>
        <m:r>
          <m:t>α</m:t>
        </m:r>
      </m:oMath>
      <w:r>
        <w:t xml:space="preserve">. This is the mathematical</w:t>
      </w:r>
      <w:r>
        <w:t xml:space="preserve"> </w:t>
      </w:r>
      <w:r>
        <w:t xml:space="preserve">reason an early look and a later look cannot both spend the full budget. Candidates revealed</w:t>
      </w:r>
      <w:r>
        <w:t xml:space="preserve"> </w:t>
      </w:r>
      <w:r>
        <w:t xml:space="preserve">adaptively need prespecified summable weights before their outcomes are inspected. Unplanned</w:t>
      </w:r>
      <w:r>
        <w:t xml:space="preserve"> </w:t>
      </w:r>
      <w:r>
        <w:t xml:space="preserve">looks, missing weights, dependence without an appropriate replacement bound, or an incomplete</w:t>
      </w:r>
      <w:r>
        <w:t xml:space="preserve"> </w:t>
      </w:r>
      <w:r>
        <w:t xml:space="preserve">ledger void the affected elimination.</w:t>
      </w:r>
    </w:p>
    <w:p>
      <w:pPr>
        <w:pStyle w:val="BodyText"/>
        <w:widowControl/>
      </w:pPr>
      <w:r>
        <w:t xml:space="preserve">Here</w:t>
      </w:r>
      <w:r>
        <w:t xml:space="preserve"> </w:t>
      </w:r>
      <m:oMath>
        <m:sSub>
          <m:e>
            <m:r>
              <m:t>n</m:t>
            </m:r>
          </m:e>
          <m:sub>
            <m:r>
              <m:t>s</m:t>
            </m:r>
          </m:sub>
        </m:sSub>
      </m:oMath>
      <w:r>
        <w:t xml:space="preserve"> </w:t>
      </w:r>
      <w:r>
        <w:t xml:space="preserve">is the cumulative sample size available at look</w:t>
      </w:r>
      <w:r>
        <w:t xml:space="preserve"> </w:t>
      </w:r>
      <m:oMath>
        <m:r>
          <m:t>s</m:t>
        </m:r>
      </m:oMath>
      <w:r>
        <w:t xml:space="preserve">; replacing it by</w:t>
      </w:r>
      <w:r>
        <w:t xml:space="preserve"> </w:t>
      </w:r>
      <m:oMath>
        <m:r>
          <m:t>s</m:t>
        </m:r>
      </m:oMath>
      <w:r>
        <w:t xml:space="preserve"> </w:t>
      </w:r>
      <w:r>
        <w:t xml:space="preserve">is valid</w:t>
      </w:r>
      <w:r>
        <w:t xml:space="preserve"> </w:t>
      </w:r>
      <w:r>
        <w:t xml:space="preserve">only for a schedule that explicitly enforces</w:t>
      </w:r>
      <w:r>
        <w:t xml:space="preserve"> </w:t>
      </w:r>
      <m:oMath>
        <m:sSub>
          <m:e>
            <m:r>
              <m:t>n</m:t>
            </m:r>
          </m:e>
          <m:sub>
            <m:r>
              <m:t>s</m:t>
            </m:r>
          </m:sub>
        </m:sSub>
        <m:r>
          <m:rPr>
            <m:sty m:val="p"/>
          </m:rPr>
          <m:t>=</m:t>
        </m:r>
        <m:r>
          <m:t>s</m:t>
        </m:r>
      </m:oMath>
      <w:r>
        <w:t xml:space="preserve">. This post-result formal correction was</w:t>
      </w:r>
      <w:r>
        <w:t xml:space="preserve"> </w:t>
      </w:r>
      <w:r>
        <w:t xml:space="preserve">established by call-graph audit to be nondependent: no protected endpoint called this</w:t>
      </w:r>
      <w:r>
        <w:t xml:space="preserve"> </w:t>
      </w:r>
      <w:r>
        <w:t xml:space="preserve">repeated-look radius, and current B0/B1 used exact complete-support losses.</w:t>
      </w:r>
    </w:p>
    <w:bookmarkEnd w:id="35"/>
    <w:bookmarkStart w:id="36" w:name="X0b11807256849334206e7f0acc12e128806294e"/>
    <w:p>
      <w:pPr>
        <w:pStyle w:val="Heading2"/>
        <w:keepNext/>
        <w:keepLines/>
        <w:widowControl/>
      </w:pPr>
      <w:r>
        <w:t xml:space="preserve">Deciding when lower-level precision is enough</w:t>
      </w:r>
    </w:p>
    <w:p>
      <w:pPr>
        <w:pStyle w:val="FirstParagraph"/>
        <w:widowControl/>
      </w:pPr>
      <w:r>
        <w:t xml:space="preserve">For a prespecified fidelity comparison</w:t>
      </w:r>
      <w:r>
        <w:t xml:space="preserve"> </w:t>
      </w:r>
      <m:oMath>
        <m:r>
          <m:t>k</m:t>
        </m:r>
        <m:r>
          <m:rPr>
            <m:sty m:val="p"/>
          </m:rPr>
          <m:t>≺</m:t>
        </m:r>
        <m:sSup>
          <m:e>
            <m:r>
              <m:t>k</m:t>
            </m:r>
          </m:e>
          <m:sup>
            <m:r>
              <m:rPr>
                <m:sty m:val="p"/>
              </m:rPr>
              <m:t>′</m:t>
            </m:r>
          </m:sup>
        </m:sSup>
      </m:oMath>
      <w:r>
        <w:t xml:space="preserve">, define</w:t>
      </w:r>
    </w:p>
    <w:p>
      <w:pPr>
        <w:pStyle w:val="BodyText"/>
        <w:widowControl/>
      </w:pPr>
      <m:oMathPara>
        <m:oMathParaPr>
          <m:jc m:val="center"/>
        </m:oMathParaPr>
        <m:oMath>
          <m:sSub>
            <m:e>
              <m:r>
                <m:t>O</m:t>
              </m:r>
            </m:e>
            <m:sub>
              <m:r>
                <m:t>j</m:t>
              </m:r>
              <m:r>
                <m:rPr>
                  <m:sty m:val="p"/>
                </m:rPr>
                <m:t>,</m:t>
              </m:r>
              <m:r>
                <m:t>k</m:t>
              </m:r>
            </m:sub>
          </m:sSub>
          <m:r>
            <m:rPr>
              <m:sty m:val="p"/>
            </m:rPr>
            <m:t>(</m:t>
          </m:r>
          <m:r>
            <m:t>X</m:t>
          </m:r>
          <m:r>
            <m:rPr>
              <m:sty m:val="p"/>
            </m:rPr>
            <m:t>)</m:t>
          </m:r>
          <m:r>
            <m:rPr>
              <m:sty m:val="p"/>
            </m:rPr>
            <m:t>=</m:t>
          </m:r>
          <m:sSub>
            <m:e>
              <m:r>
                <m:t>O</m:t>
              </m:r>
            </m:e>
            <m:sub>
              <m:r>
                <m:t>j</m:t>
              </m:r>
            </m:sub>
          </m:sSub>
          <m:r>
            <m:rPr>
              <m:sty m:val="p"/>
            </m:rPr>
            <m:t>(</m:t>
          </m:r>
          <m:sSub>
            <m:e>
              <m:r>
                <m:t>S</m:t>
              </m:r>
            </m:e>
            <m:sub>
              <m:r>
                <m:t>k</m:t>
              </m:r>
            </m:sub>
          </m:sSub>
          <m:r>
            <m:rPr>
              <m:sty m:val="p"/>
            </m:rPr>
            <m:t>(</m:t>
          </m:r>
          <m:r>
            <m:t>X</m:t>
          </m:r>
          <m:sSub>
            <m:e>
              <m:r>
                <m:rPr>
                  <m:sty m:val="p"/>
                </m:rPr>
                <m:t>)</m:t>
              </m:r>
            </m:e>
            <m:sub>
              <m:r>
                <m:t>0</m:t>
              </m:r>
              <m:r>
                <m:rPr>
                  <m:sty m:val="p"/>
                </m:rPr>
                <m:t>:</m:t>
              </m:r>
              <m:sSub>
                <m:e>
                  <m:r>
                    <m:t>T</m:t>
                  </m:r>
                </m:e>
                <m:sub>
                  <m:r>
                    <m:t>j</m:t>
                  </m:r>
                </m:sub>
              </m:sSub>
            </m:sub>
          </m:sSub>
          <m:r>
            <m:rPr>
              <m:sty m:val="p"/>
            </m:rPr>
            <m:t>)</m:t>
          </m:r>
          <m:r>
            <m:rPr>
              <m:sty m:val="p"/>
            </m:rPr>
            <m:t>,</m:t>
          </m:r>
          <m:r>
            <m:t>  </m:t>
          </m:r>
          <m:sSub>
            <m:e>
              <m:r>
                <m:rPr>
                  <m:sty m:val="p"/>
                </m:rPr>
                <m:t>Δ</m:t>
              </m:r>
            </m:e>
            <m:sub>
              <m:r>
                <m:t>j</m:t>
              </m:r>
            </m:sub>
          </m:sSub>
          <m:r>
            <m:rPr>
              <m:sty m:val="p"/>
            </m:rPr>
            <m:t>(</m:t>
          </m:r>
          <m:r>
            <m:t>k</m:t>
          </m:r>
          <m:r>
            <m:rPr>
              <m:sty m:val="p"/>
            </m:rPr>
            <m:t>,</m:t>
          </m:r>
          <m:sSup>
            <m:e>
              <m:r>
                <m:t>k</m:t>
              </m:r>
            </m:e>
            <m:sup>
              <m:r>
                <m:rPr>
                  <m:sty m:val="p"/>
                </m:rPr>
                <m:t>′</m:t>
              </m:r>
            </m:sup>
          </m:sSup>
          <m:r>
            <m:rPr>
              <m:sty m:val="p"/>
            </m:rPr>
            <m:t>)</m:t>
          </m:r>
          <m:r>
            <m:rPr>
              <m:sty m:val="p"/>
            </m:rPr>
            <m:t>=</m:t>
          </m:r>
          <m:sSub>
            <m:e>
              <m:r>
                <m:rPr>
                  <m:sty m:val="p"/>
                </m:rPr>
                <m:t>Agg</m:t>
              </m:r>
            </m:e>
            <m:sub>
              <m:r>
                <m:t>j</m:t>
              </m:r>
            </m:sub>
          </m:sSub>
          <m:r>
            <m:t/>
          </m:r>
          <m:d>
            <m:dPr>
              <m:begChr m:val="["/>
              <m:sepChr m:val=""/>
              <m:endChr m:val="]"/>
              <m:grow/>
            </m:dPr>
            <m:e>
              <m:sSub>
                <m:e>
                  <m:r>
                    <m:t>d</m:t>
                  </m:r>
                </m:e>
                <m:sub>
                  <m:r>
                    <m:t>j</m:t>
                  </m:r>
                </m:sub>
              </m:sSub>
              <m:r>
                <m:rPr>
                  <m:sty m:val="p"/>
                </m:rPr>
                <m:t>(</m:t>
              </m:r>
              <m:sSub>
                <m:e>
                  <m:r>
                    <m:t>O</m:t>
                  </m:r>
                </m:e>
                <m:sub>
                  <m:r>
                    <m:t>j</m:t>
                  </m:r>
                  <m:r>
                    <m:rPr>
                      <m:sty m:val="p"/>
                    </m:rPr>
                    <m:t>,</m:t>
                  </m:r>
                  <m:r>
                    <m:t>k</m:t>
                  </m:r>
                </m:sub>
              </m:sSub>
              <m:r>
                <m:rPr>
                  <m:sty m:val="p"/>
                </m:rPr>
                <m:t>(</m:t>
              </m:r>
              <m:r>
                <m:t>X</m:t>
              </m:r>
              <m:r>
                <m:rPr>
                  <m:sty m:val="p"/>
                </m:rPr>
                <m:t>)</m:t>
              </m:r>
              <m:r>
                <m:rPr>
                  <m:sty m:val="p"/>
                </m:rPr>
                <m:t>,</m:t>
              </m:r>
              <m:sSub>
                <m:e>
                  <m:r>
                    <m:t>O</m:t>
                  </m:r>
                </m:e>
                <m:sub>
                  <m:r>
                    <m:t>j</m:t>
                  </m:r>
                  <m:r>
                    <m:rPr>
                      <m:sty m:val="p"/>
                    </m:rPr>
                    <m:t>,</m:t>
                  </m:r>
                  <m:sSup>
                    <m:e>
                      <m:r>
                        <m:t>k</m:t>
                      </m:r>
                    </m:e>
                    <m:sup>
                      <m:r>
                        <m:rPr>
                          <m:sty m:val="p"/>
                        </m:rPr>
                        <m:t>′</m:t>
                      </m:r>
                    </m:sup>
                  </m:sSup>
                </m:sub>
              </m:sSub>
              <m:r>
                <m:rPr>
                  <m:sty m:val="p"/>
                </m:rPr>
                <m:t>(</m:t>
              </m:r>
              <m:r>
                <m:t>X</m:t>
              </m:r>
              <m:r>
                <m:rPr>
                  <m:sty m:val="p"/>
                </m:rPr>
                <m:t>)</m:t>
              </m:r>
              <m:r>
                <m:rPr>
                  <m:sty m:val="p"/>
                </m:rPr>
                <m:t>)</m:t>
              </m:r>
            </m:e>
          </m:d>
          <m:r>
            <m:rPr>
              <m:sty m:val="p"/>
            </m:rPr>
            <m:t>.</m:t>
          </m:r>
        </m:oMath>
      </m:oMathPara>
    </w:p>
    <w:p>
      <w:pPr>
        <w:pStyle w:val="FirstParagraph"/>
        <w:widowControl/>
      </w:pPr>
      <w:r>
        <w:t xml:space="preserve">The observable, metric, tolerance</w:t>
      </w:r>
      <w:r>
        <w:t xml:space="preserve"> </w:t>
      </w:r>
      <m:oMath>
        <m:sSubSup>
          <m:e>
            <m:r>
              <m:t>ε</m:t>
            </m:r>
          </m:e>
          <m:sub>
            <m:r>
              <m:t>j</m:t>
            </m:r>
          </m:sub>
          <m:sup>
            <m:r>
              <m:rPr>
                <m:nor/>
              </m:rPr>
              <m:t>fid</m:t>
            </m:r>
          </m:sup>
        </m:sSubSup>
      </m:oMath>
      <w:r>
        <w:t xml:space="preserve">, horizon, input or environment law,</w:t>
      </w:r>
      <w:r>
        <w:t xml:space="preserve"> </w:t>
      </w:r>
      <w:r>
        <w:t xml:space="preserve">aggregation rule, paired blocks, simultaneous uncertainty procedure, and decision map are all fixed in advance. Fidelity</w:t>
      </w:r>
      <w:r>
        <w:t xml:space="preserve"> </w:t>
      </w:r>
      <m:oMath>
        <m:r>
          <m:t>k</m:t>
        </m:r>
      </m:oMath>
      <w:r>
        <w:t xml:space="preserve"> </w:t>
      </w:r>
      <w:r>
        <w:t xml:space="preserve">is</w:t>
      </w:r>
      <w:r>
        <w:t xml:space="preserve"> </w:t>
      </w:r>
      <w:r>
        <w:t xml:space="preserve">sufficient only when</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rPr>
                    <m:nor/>
                  </m:rPr>
                  <m:t>Sufficient</m:t>
                </m:r>
                <m:r>
                  <m:rPr>
                    <m:sty m:val="p"/>
                  </m:rPr>
                  <m:t>(</m:t>
                </m:r>
                <m:r>
                  <m:t>k</m:t>
                </m:r>
                <m:r>
                  <m:rPr>
                    <m:sty m:val="p"/>
                  </m:rPr>
                  <m:t>)</m:t>
                </m:r>
                <m:r>
                  <m:rPr>
                    <m:sty m:val="p"/>
                  </m:rPr>
                  <m:t>⇔</m:t>
                </m:r>
                <m:d>
                  <m:dPr>
                    <m:begChr m:val="["/>
                    <m:sepChr m:val=""/>
                    <m:endChr m:val="]"/>
                    <m:grow/>
                  </m:dPr>
                  <m:e>
                    <m:r>
                      <m:rPr>
                        <m:sty m:val="p"/>
                      </m:rPr>
                      <m:t>∀</m:t>
                    </m:r>
                    <m:sSup>
                      <m:e>
                        <m:r>
                          <m:t>k</m:t>
                        </m:r>
                      </m:e>
                      <m:sup>
                        <m:r>
                          <m:rPr>
                            <m:sty m:val="p"/>
                          </m:rPr>
                          <m:t>′</m:t>
                        </m:r>
                      </m:sup>
                    </m:sSup>
                    <m:r>
                      <m:rPr>
                        <m:sty m:val="p"/>
                      </m:rPr>
                      <m:t>∈</m:t>
                    </m:r>
                    <m:r>
                      <m:rPr>
                        <m:scr m:val="script"/>
                        <m:sty m:val="p"/>
                      </m:rPr>
                      <m:t>R</m:t>
                    </m:r>
                    <m:r>
                      <m:rPr>
                        <m:sty m:val="p"/>
                      </m:rPr>
                      <m:t>(</m:t>
                    </m:r>
                    <m:r>
                      <m:t>k</m:t>
                    </m:r>
                    <m:r>
                      <m:rPr>
                        <m:sty m:val="p"/>
                      </m:rPr>
                      <m:t>)</m:t>
                    </m:r>
                    <m:r>
                      <m:rPr>
                        <m:sty m:val="p"/>
                      </m:rPr>
                      <m:t>,</m:t>
                    </m:r>
                    <m:r>
                      <m:t> </m:t>
                    </m:r>
                    <m:r>
                      <m:rPr>
                        <m:sty m:val="p"/>
                      </m:rPr>
                      <m:t>∀</m:t>
                    </m:r>
                    <m:r>
                      <m:t>j</m:t>
                    </m:r>
                    <m:r>
                      <m:rPr>
                        <m:sty m:val="p"/>
                      </m:rPr>
                      <m:t>:</m:t>
                    </m:r>
                    <m:sSub>
                      <m:e>
                        <m:r>
                          <m:rPr>
                            <m:sty m:val="p"/>
                          </m:rPr>
                          <m:t>Δ</m:t>
                        </m:r>
                      </m:e>
                      <m:sub>
                        <m:r>
                          <m:t>j</m:t>
                        </m:r>
                      </m:sub>
                    </m:sSub>
                    <m:r>
                      <m:rPr>
                        <m:sty m:val="p"/>
                      </m:rPr>
                      <m:t>(</m:t>
                    </m:r>
                    <m:r>
                      <m:t>k</m:t>
                    </m:r>
                    <m:r>
                      <m:rPr>
                        <m:sty m:val="p"/>
                      </m:rPr>
                      <m:t>,</m:t>
                    </m:r>
                    <m:sSup>
                      <m:e>
                        <m:r>
                          <m:t>k</m:t>
                        </m:r>
                      </m:e>
                      <m:sup>
                        <m:r>
                          <m:rPr>
                            <m:sty m:val="p"/>
                          </m:rPr>
                          <m:t>′</m:t>
                        </m:r>
                      </m:sup>
                    </m:sSup>
                    <m:r>
                      <m:rPr>
                        <m:sty m:val="p"/>
                      </m:rPr>
                      <m:t>)</m:t>
                    </m:r>
                    <m:r>
                      <m:rPr>
                        <m:sty m:val="p"/>
                      </m:rPr>
                      <m:t>≤</m:t>
                    </m:r>
                    <m:sSubSup>
                      <m:e>
                        <m:r>
                          <m:t>ε</m:t>
                        </m:r>
                      </m:e>
                      <m:sub>
                        <m:r>
                          <m:t>j</m:t>
                        </m:r>
                      </m:sub>
                      <m:sup>
                        <m:r>
                          <m:rPr>
                            <m:nor/>
                          </m:rPr>
                          <m:t>fid</m:t>
                        </m:r>
                      </m:sup>
                    </m:sSubSup>
                  </m:e>
                </m:d>
                <m:r>
                  <m:rPr>
                    <m:sty m:val="p"/>
                  </m:rPr>
                  <m:t>∧</m:t>
                </m:r>
                <m:d>
                  <m:dPr>
                    <m:begChr m:val="["/>
                    <m:sepChr m:val=""/>
                    <m:endChr m:val="]"/>
                    <m:grow/>
                  </m:dPr>
                  <m:e>
                    <m:r>
                      <m:rPr>
                        <m:sty m:val="p"/>
                      </m:rPr>
                      <m:t>∀</m:t>
                    </m:r>
                    <m:sSup>
                      <m:e>
                        <m:r>
                          <m:t>k</m:t>
                        </m:r>
                      </m:e>
                      <m:sup>
                        <m:r>
                          <m:rPr>
                            <m:sty m:val="p"/>
                          </m:rPr>
                          <m:t>′</m:t>
                        </m:r>
                      </m:sup>
                    </m:sSup>
                    <m:r>
                      <m:rPr>
                        <m:sty m:val="p"/>
                      </m:rPr>
                      <m:t>∈</m:t>
                    </m:r>
                    <m:r>
                      <m:rPr>
                        <m:scr m:val="script"/>
                        <m:sty m:val="p"/>
                      </m:rPr>
                      <m:t>R</m:t>
                    </m:r>
                    <m:r>
                      <m:rPr>
                        <m:sty m:val="p"/>
                      </m:rPr>
                      <m:t>(</m:t>
                    </m:r>
                    <m:r>
                      <m:t>k</m:t>
                    </m:r>
                    <m:r>
                      <m:rPr>
                        <m:sty m:val="p"/>
                      </m:rPr>
                      <m:t>)</m:t>
                    </m:r>
                    <m:r>
                      <m:rPr>
                        <m:sty m:val="p"/>
                      </m:rPr>
                      <m:t>:</m:t>
                    </m:r>
                    <m:r>
                      <m:rPr>
                        <m:scr m:val="script"/>
                        <m:sty m:val="p"/>
                      </m:rPr>
                      <m:t>D</m:t>
                    </m:r>
                    <m:r>
                      <m:rPr>
                        <m:sty m:val="p"/>
                      </m:rPr>
                      <m:t>(</m:t>
                    </m:r>
                    <m:sSup>
                      <m:e>
                        <m:r>
                          <m:t>k</m:t>
                        </m:r>
                      </m:e>
                      <m:sup>
                        <m:r>
                          <m:rPr>
                            <m:sty m:val="p"/>
                          </m:rPr>
                          <m:t>′</m:t>
                        </m:r>
                      </m:sup>
                    </m:sSup>
                    <m:r>
                      <m:rPr>
                        <m:sty m:val="p"/>
                      </m:rPr>
                      <m:t>)</m:t>
                    </m:r>
                    <m:r>
                      <m:rPr>
                        <m:sty m:val="p"/>
                      </m:rPr>
                      <m:t>=</m:t>
                    </m:r>
                    <m:r>
                      <m:rPr>
                        <m:scr m:val="script"/>
                        <m:sty m:val="p"/>
                      </m:rPr>
                      <m:t>D</m:t>
                    </m:r>
                    <m:r>
                      <m:rPr>
                        <m:sty m:val="p"/>
                      </m:rPr>
                      <m:t>(</m:t>
                    </m:r>
                    <m:r>
                      <m:t>k</m:t>
                    </m:r>
                    <m:r>
                      <m:rPr>
                        <m:sty m:val="p"/>
                      </m:rPr>
                      <m:t>)</m:t>
                    </m:r>
                  </m:e>
                </m:d>
                <m:r>
                  <m:rPr>
                    <m:sty m:val="p"/>
                  </m:rPr>
                  <m:t>.</m:t>
                </m:r>
              </m:oMath>
            </m:oMathPara>
          </w:p>
        </w:tc>
        <w:tc>
          <w:tcPr>
            <w:tcW w:type="dxa" w:w="662"/>
          </w:tcPr>
          <w:p>
            <w:pPr>
              <w:keepLines/>
              <w:jc w:val="right"/>
            </w:pPr>
            <w:r>
              <w:rPr>
                <w:rFonts w:ascii="Calibri" w:hAnsi="Calibri" w:eastAsia="Calibri" w:cs="Calibri"/>
                <w:b w:val="0"/>
                <w:color w:val="000000"/>
                <w:sz w:val="18"/>
              </w:rPr>
              <w:t>(10)</w:t>
            </w:r>
          </w:p>
        </w:tc>
      </w:tr>
    </w:tbl>
    <w:p>
      <w:pPr>
        <w:pStyle w:val="FirstParagraph"/>
        <w:widowControl/>
      </w:pPr>
      <w:r>
        <w:t xml:space="preserve">The first bracket protects upper-level quantities; the second protects the scientific decision.</w:t>
      </w:r>
      <w:r>
        <w:t xml:space="preserve"> </w:t>
      </w:r>
      <w:r>
        <w:t xml:space="preserve">Sufficiency is relative to the declared refinements</w:t>
      </w:r>
      <w:r>
        <w:t xml:space="preserve"> </w:t>
      </w:r>
      <m:oMath>
        <m:r>
          <m:rPr>
            <m:scr m:val="script"/>
            <m:sty m:val="p"/>
          </m:rPr>
          <m:t>R</m:t>
        </m:r>
        <m:r>
          <m:rPr>
            <m:sty m:val="p"/>
          </m:rPr>
          <m:t>(</m:t>
        </m:r>
        <m:r>
          <m:t>k</m:t>
        </m:r>
        <m:r>
          <m:rPr>
            <m:sty m:val="p"/>
          </m:rPr>
          <m:t>)</m:t>
        </m:r>
      </m:oMath>
      <w:r>
        <w:t xml:space="preserve">, not to arbitrary future</w:t>
      </w:r>
      <w:r>
        <w:t xml:space="preserve"> </w:t>
      </w:r>
      <w:r>
        <w:t xml:space="preserve">precision or exact real arithmetic. A tolerance breach, signature-boundary contact, changed</w:t>
      </w:r>
      <w:r>
        <w:t xml:space="preserve"> </w:t>
      </w:r>
      <w:r>
        <w:t xml:space="preserve">certificate state, decision reversal, failed invariant, missing output, or incomplete refinement</w:t>
      </w:r>
      <w:r>
        <w:t xml:space="preserve"> </w:t>
      </w:r>
      <w:r>
        <w:t xml:space="preserve">prevents a sufficiency decision.</w:t>
      </w:r>
    </w:p>
    <w:p>
      <w:pPr>
        <w:pStyle w:val="BodyText"/>
        <w:widowControl/>
        <w:jc w:val="left"/>
      </w:pPr>
      <w:r>
        <w:t xml:space="preserve">For stochastic or quantum observables, each comparison uses a registered simultaneous confidence</w:t>
      </w:r>
      <w:r>
        <w:t xml:space="preserve"> </w:t>
      </w:r>
      <w:r>
        <w:t xml:space="preserve">set or certified error interval, not a point estimate alone. The set must lie wholly within one</w:t>
      </w:r>
      <w:r>
        <w:t xml:space="preserve"> </w:t>
      </w:r>
      <w:r>
        <w:t xml:space="preserve">quantization cell and inside the fidelity tolerance; contact with a cell boundary returns</w:t>
      </w:r>
      <w:r>
        <w:t xml:space="preserve"> </w:t>
      </w:r>
      <w:r>
        <w:rPr>
          <w:rStyle w:val="VerbatimChar"/>
        </w:rPr>
        <w:t xml:space="preserve">SIGNATURE_INDETERMINATE</w:t>
      </w:r>
      <w:r>
        <w:t xml:space="preserve">, and its mislabel probability is charged to the registered</w:t>
      </w:r>
      <w:r>
        <w:t xml:space="preserve"> </w:t>
      </w:r>
      <w:r>
        <w:t xml:space="preserve">family error ledger.</w:t>
      </w:r>
    </w:p>
    <w:bookmarkEnd w:id="36"/>
    <w:bookmarkEnd w:id="37"/>
    <w:bookmarkStart w:id="38" w:name="relationship-to-existing-methods"/>
    <w:p>
      <w:pPr>
        <w:pStyle w:val="Heading1"/>
        <w:keepNext/>
        <w:keepLines/>
        <w:widowControl/>
      </w:pPr>
      <w:r>
        <w:t xml:space="preserve">Relationship to existing methods</w:t>
      </w:r>
    </w:p>
    <w:p>
      <w:pPr>
        <w:pStyle w:val="FirstParagraph"/>
        <w:widowControl/>
      </w:pPr>
      <w:r>
        <w:t xml:space="preserve">Program search, algorithmic theories, computational-universe proposals, and universal induction</w:t>
      </w:r>
      <w:r>
        <w:t xml:space="preserve"> </w:t>
      </w:r>
      <w:r>
        <w:t xml:space="preserve">all predate APHFS</w:t>
      </w:r>
      <w:r>
        <w:t xml:space="preserve"> </w:t>
      </w:r>
      <w:r>
        <w:t xml:space="preserve">(Zuse 1969; Fredkin 1990; Wolfram 2002, 2020;</w:t>
      </w:r>
      <w:r>
        <w:t xml:space="preserve"> </w:t>
      </w:r>
      <w:r>
        <w:t xml:space="preserve">’t Hooft</w:t>
      </w:r>
      <w:r>
        <w:t xml:space="preserve"> </w:t>
      </w:r>
      <w:r>
        <w:t xml:space="preserve">2016; Schmidhuber 2000; Hutter 2005)</w:t>
      </w:r>
      <w:r>
        <w:t xml:space="preserve">.</w:t>
      </w:r>
      <w:r>
        <w:t xml:space="preserve"> </w:t>
      </w:r>
      <w:r>
        <w:t xml:space="preserve">Feynman’s quantum-simulation proposal and Deutsch’s universal quantum computer likewise predate</w:t>
      </w:r>
      <w:r>
        <w:t xml:space="preserve"> </w:t>
      </w:r>
      <w:r>
        <w:t xml:space="preserve">this framework; neither establishes completeness of a candidate search</w:t>
      </w:r>
      <w:r>
        <w:t xml:space="preserve"> </w:t>
      </w:r>
      <w:r>
        <w:t xml:space="preserve">(Feynman 1982; Deutsch 1985)</w:t>
      </w:r>
      <w:r>
        <w:t xml:space="preserve">.</w:t>
      </w:r>
      <w:r>
        <w:t xml:space="preserve"> </w:t>
      </w:r>
      <w:r>
        <w:t xml:space="preserve">Version-space search and candidate elimination long predate this project</w:t>
      </w:r>
      <w:r>
        <w:t xml:space="preserve"> </w:t>
      </w:r>
      <w:r>
        <w:t xml:space="preserve">(Mitchell 1977, 1982)</w:t>
      </w:r>
      <w:r>
        <w:t xml:space="preserve">.</w:t>
      </w:r>
      <w:r>
        <w:t xml:space="preserve"> </w:t>
      </w:r>
      <w:r>
        <w:t xml:space="preserve">Program sketching and syntax-guided synthesis likewise formalize finite grammar-constrained</w:t>
      </w:r>
      <w:r>
        <w:t xml:space="preserve"> </w:t>
      </w:r>
      <w:r>
        <w:t xml:space="preserve">construction and verification, including the possibility that a grammar is unrealizable for a</w:t>
      </w:r>
      <w:r>
        <w:t xml:space="preserve"> </w:t>
      </w:r>
      <w:r>
        <w:t xml:space="preserve">specification</w:t>
      </w:r>
      <w:r>
        <w:t xml:space="preserve"> </w:t>
      </w:r>
      <w:r>
        <w:t xml:space="preserve">(Solar-Lezama et al. 2006; Alur et al. 2013; Kim et al. 2023)</w:t>
      </w:r>
      <w:r>
        <w:t xml:space="preserve">. DreamCoder, symbolic</w:t>
      </w:r>
      <w:r>
        <w:t xml:space="preserve"> </w:t>
      </w:r>
      <w:r>
        <w:t xml:space="preserve">regression, and sparse equation discovery show other ways to search structured programs or</w:t>
      </w:r>
      <w:r>
        <w:t xml:space="preserve"> </w:t>
      </w:r>
      <w:r>
        <w:t xml:space="preserve">equations</w:t>
      </w:r>
      <w:r>
        <w:t xml:space="preserve"> </w:t>
      </w:r>
      <w:r>
        <w:t xml:space="preserve">(Ellis et al. 2021; Bongard and Lipson 2007; Schmidt and Lipson 2009; Brunton et al. 2016; Udrescu and Tegmark 2020)</w:t>
      </w:r>
      <w:r>
        <w:t xml:space="preserve">.</w:t>
      </w:r>
      <w:r>
        <w:t xml:space="preserve"> </w:t>
      </w:r>
      <w:r>
        <w:t xml:space="preserve">APHFS does not claim priority for automated discovery or computational descriptions of nature.</w:t>
      </w:r>
    </w:p>
    <w:p>
      <w:pPr>
        <w:pStyle w:val="BodyText"/>
        <w:widowControl/>
      </w:pPr>
      <w:r>
        <w:t xml:space="preserve">Quantum cellular automata (QCA) and discrete quantum dynamics are direct predecessors of the</w:t>
      </w:r>
      <w:r>
        <w:t xml:space="preserve"> </w:t>
      </w:r>
      <w:r>
        <w:t xml:space="preserve">long-term pre-particle program. Early work formalized one-dimensional QCA and quantum lattice</w:t>
      </w:r>
      <w:r>
        <w:t xml:space="preserve"> </w:t>
      </w:r>
      <w:r>
        <w:t xml:space="preserve">gases</w:t>
      </w:r>
      <w:r>
        <w:t xml:space="preserve"> </w:t>
      </w:r>
      <w:r>
        <w:t xml:space="preserve">(Watrous 1995; Meyer 1996)</w:t>
      </w:r>
      <w:r>
        <w:t xml:space="preserve">; local unitary lattice dynamics were also used to recover</w:t>
      </w:r>
      <w:r>
        <w:t xml:space="preserve"> </w:t>
      </w:r>
      <w:r>
        <w:t xml:space="preserve">Weyl-, Dirac-, and Maxwell-like continuum behavior under stated assumptions</w:t>
      </w:r>
      <w:r>
        <w:t xml:space="preserve"> </w:t>
      </w:r>
      <w:r>
        <w:t xml:space="preserve">(Białynicki-Birula 1994)</w:t>
      </w:r>
      <w:r>
        <w:t xml:space="preserve">. Schumacher and Werner formalized reversible QCA with finite propagation;</w:t>
      </w:r>
      <w:r>
        <w:t xml:space="preserve"> </w:t>
      </w:r>
      <w:r>
        <w:t xml:space="preserve">localizability and one-dimensional index results further developed the structure</w:t>
      </w:r>
      <w:r>
        <w:t xml:space="preserve"> </w:t>
      </w:r>
      <w:r>
        <w:t xml:space="preserve">(Schumacher and Werner 2004; Arrighi et al. 2011; Gross et al. 2012)</w:t>
      </w:r>
      <w:r>
        <w:t xml:space="preserve">, with later overviews describing</w:t>
      </w:r>
      <w:r>
        <w:t xml:space="preserve"> </w:t>
      </w:r>
      <w:r>
        <w:t xml:space="preserve">the field</w:t>
      </w:r>
      <w:r>
        <w:t xml:space="preserve"> </w:t>
      </w:r>
      <w:r>
        <w:t xml:space="preserve">(Arrighi 2019; Farrelly 2020)</w:t>
      </w:r>
      <w:r>
        <w:t xml:space="preserve">. In particular,</w:t>
      </w:r>
      <w:r>
        <w:t xml:space="preserve"> </w:t>
      </w:r>
      <w:r>
        <w:t xml:space="preserve">D’Ariano and Perinotti and related work derive Dirac-like large-scale dynamics from QCA satisfying</w:t>
      </w:r>
      <w:r>
        <w:t xml:space="preserve"> </w:t>
      </w:r>
      <w:r>
        <w:t xml:space="preserve">explicit unitarity, locality, homogeneity, and discrete-isotropy premises</w:t>
      </w:r>
      <w:r>
        <w:t xml:space="preserve"> </w:t>
      </w:r>
      <w:r>
        <w:t xml:space="preserve">(D’Ariano and Perinotti 2014, 2017; Bisio et al. 2015, 2016)</w:t>
      </w:r>
      <w:r>
        <w:t xml:space="preserve">. APHFS claims no</w:t>
      </w:r>
      <w:r>
        <w:t xml:space="preserve"> </w:t>
      </w:r>
      <w:r>
        <w:t xml:space="preserve">priority for, and neither reproduces nor validates, those physical derivations. Its distinct target</w:t>
      </w:r>
      <w:r>
        <w:t xml:space="preserve"> </w:t>
      </w:r>
      <w:r>
        <w:t xml:space="preserve">is the accounting and failure discipline under which candidate narrowing, residual ambiguity,</w:t>
      </w:r>
      <w:r>
        <w:t xml:space="preserve"> </w:t>
      </w:r>
      <w:r>
        <w:t xml:space="preserve">whole-class inadequacy, and insufficient evidence would all remain reportable.</w:t>
      </w:r>
    </w:p>
    <w:p>
      <w:pPr>
        <w:pStyle w:val="BodyText"/>
        <w:widowControl/>
      </w:pPr>
      <w:r>
        <w:t xml:space="preserve">Finite-class learning, sieve estimators, structural risk minimization, and complexity penalties</w:t>
      </w:r>
      <w:r>
        <w:t xml:space="preserve"> </w:t>
      </w:r>
      <w:r>
        <w:t xml:space="preserve">motivate the risk analysis</w:t>
      </w:r>
      <w:r>
        <w:t xml:space="preserve"> </w:t>
      </w:r>
      <w:r>
        <w:t xml:space="preserve">(Grenander 1981; Geman and Hwang 1982; Vapnik 1995; Barron and Cover 1991)</w:t>
      </w:r>
      <w:r>
        <w:t xml:space="preserve">. Partial</w:t>
      </w:r>
      <w:r>
        <w:t xml:space="preserve"> </w:t>
      </w:r>
      <w:r>
        <w:t xml:space="preserve">identification and model-confidence-set methods make set-valued conclusions explicit in other</w:t>
      </w:r>
      <w:r>
        <w:t xml:space="preserve"> </w:t>
      </w:r>
      <w:r>
        <w:t xml:space="preserve">statistical settings</w:t>
      </w:r>
      <w:r>
        <w:t xml:space="preserve"> </w:t>
      </w:r>
      <w:r>
        <w:t xml:space="preserve">(Manski 2003; Hansen et al. 2011)</w:t>
      </w:r>
      <w:r>
        <w:t xml:space="preserve">. Work on</w:t>
      </w:r>
      <w:r>
        <w:t xml:space="preserve"> </w:t>
      </w:r>
      <w:r>
        <w:t xml:space="preserve">misspecification, posterior predictive criticism, M-open analysis, and open-set recognition makes</w:t>
      </w:r>
      <w:r>
        <w:t xml:space="preserve"> </w:t>
      </w:r>
      <w:r>
        <w:t xml:space="preserve">clear that a supplied class can be wrong</w:t>
      </w:r>
      <w:r>
        <w:t xml:space="preserve"> </w:t>
      </w:r>
      <w:r>
        <w:t xml:space="preserve">(White 1982; Gelman et al. 1996; Yao et al. 2018; Scheirer et al. 2013)</w:t>
      </w:r>
      <w:r>
        <w:t xml:space="preserve">. APHFS</w:t>
      </w:r>
      <w:r>
        <w:t xml:space="preserve"> </w:t>
      </w:r>
      <w:r>
        <w:t xml:space="preserve">specializes that concern to an executable grammar in which a whole-class decision depends on</w:t>
      </w:r>
      <w:r>
        <w:t xml:space="preserve"> </w:t>
      </w:r>
      <w:r>
        <w:t xml:space="preserve">simultaneous candidate-level bounds and complete failure accounting.</w:t>
      </w:r>
    </w:p>
    <w:p>
      <w:pPr>
        <w:pStyle w:val="BodyText"/>
        <w:widowControl/>
      </w:pPr>
      <w:r>
        <w:t xml:space="preserve">Systems biology has a mature literature on structural and practical parameter identifiability,</w:t>
      </w:r>
      <w:r>
        <w:t xml:space="preserve"> </w:t>
      </w:r>
      <w:r>
        <w:t xml:space="preserve">profile likelihood, observability, and sloppy sensitivity directions</w:t>
      </w:r>
      <w:r>
        <w:t xml:space="preserve"> </w:t>
      </w:r>
      <w:r>
        <w:t xml:space="preserve">(Bellman and Åström 1970; Gutenkunst et al. 2007; Raue et al. 2009; Chis et al. 2011; Villaverde et al. 2016)</w:t>
      </w:r>
      <w:r>
        <w:t xml:space="preserve">. Those analyses ask whether parameters or parameter</w:t>
      </w:r>
      <w:r>
        <w:t xml:space="preserve"> </w:t>
      </w:r>
      <w:r>
        <w:t xml:space="preserve">combinations are determined under a model and observation design. An APHFS canonical signature</w:t>
      </w:r>
      <w:r>
        <w:t xml:space="preserve"> </w:t>
      </w:r>
      <w:r>
        <w:t xml:space="preserve">instead labels an entire executable candidate under one fixed probe, quantizer, and serialization</w:t>
      </w:r>
      <w:r>
        <w:t xml:space="preserve"> </w:t>
      </w:r>
      <w:r>
        <w:t xml:space="preserve">interface. The neighboring ideas should not be conflated: an operational signature class can</w:t>
      </w:r>
      <w:r>
        <w:t xml:space="preserve"> </w:t>
      </w:r>
      <w:r>
        <w:t xml:space="preserve">contain different mechanisms, while parameter identifiability can fail within one mechanism.</w:t>
      </w:r>
      <w:r>
        <w:t xml:space="preserve"> </w:t>
      </w:r>
      <w:r>
        <w:t xml:space="preserve">APHFS also permits a separately justified rejection of the whole declared grammar, but the present</w:t>
      </w:r>
      <w:r>
        <w:t xml:space="preserve"> </w:t>
      </w:r>
      <w:r>
        <w:t xml:space="preserve">ECA study does not show empirical superiority over established biological identifiability tools.</w:t>
      </w:r>
    </w:p>
    <w:p>
      <w:pPr>
        <w:pStyle w:val="BodyText"/>
        <w:widowControl/>
      </w:pPr>
      <w:r>
        <w:t xml:space="preserve">Time-uniform confidence sequences address repeated evaluation</w:t>
      </w:r>
      <w:r>
        <w:t xml:space="preserve"> </w:t>
      </w:r>
      <w:r>
        <w:t xml:space="preserve">(Howard et al. 2021; Waudby-Smith and Ramdas 2024)</w:t>
      </w:r>
      <w:r>
        <w:t xml:space="preserve">; the</w:t>
      </w:r>
      <w:r>
        <w:t xml:space="preserve"> </w:t>
      </w:r>
      <w:r>
        <w:t xml:space="preserve">displayed APHFS schedule instead uses a prespecified summable union allocation. Multifidelity and</w:t>
      </w:r>
      <w:r>
        <w:t xml:space="preserve"> </w:t>
      </w:r>
      <w:r>
        <w:t xml:space="preserve">cost-aware methods address allocation under limited resources</w:t>
      </w:r>
      <w:r>
        <w:t xml:space="preserve"> </w:t>
      </w:r>
      <w:r>
        <w:t xml:space="preserve">(Babu et al. 2004; Jamieson and Talwalkar 2016; Li et al. 2018; Kandasamy et al. 2017)</w:t>
      </w:r>
      <w:r>
        <w:t xml:space="preserve">. Goal-oriented error estimation controls</w:t>
      </w:r>
      <w:r>
        <w:t xml:space="preserve"> </w:t>
      </w:r>
      <w:r>
        <w:t xml:space="preserve">quantities of interest, including in hierarchical and lattice settings</w:t>
      </w:r>
      <w:r>
        <w:t xml:space="preserve"> </w:t>
      </w:r>
      <w:r>
        <w:t xml:space="preserve">(Prudhomme and Oden 1999; Oden et al. 2005)</w:t>
      </w:r>
      <w:r>
        <w:t xml:space="preserve">; APHFS’s decision-relative fidelity interface is an</w:t>
      </w:r>
      <w:r>
        <w:t xml:space="preserve"> </w:t>
      </w:r>
      <w:r>
        <w:t xml:space="preserve">integration with candidate and failure accounting, not a priority claim for that idea. Cellular-</w:t>
      </w:r>
      <w:r>
        <w:t xml:space="preserve"> </w:t>
      </w:r>
      <w:r>
        <w:t xml:space="preserve">automaton coarse-graining and its relation to predictability also have direct precedents</w:t>
      </w:r>
      <w:r>
        <w:t xml:space="preserve"> </w:t>
      </w:r>
      <w:r>
        <w:t xml:space="preserve">(Israeli and Goldenfeld 2004, 2006)</w:t>
      </w:r>
      <w:r>
        <w:t xml:space="preserve">. Projection and predictive-state traditions</w:t>
      </w:r>
      <w:r>
        <w:t xml:space="preserve"> </w:t>
      </w:r>
      <w:r>
        <w:t xml:space="preserve">show complementary aspects of coarse description: projection-operator formalisms show how</w:t>
      </w:r>
      <w:r>
        <w:t xml:space="preserve"> </w:t>
      </w:r>
      <w:r>
        <w:t xml:space="preserve">eliminating unresolved variables can produce memory kernels</w:t>
      </w:r>
      <w:r>
        <w:t xml:space="preserve"> </w:t>
      </w:r>
      <w:r>
        <w:t xml:space="preserve">(Zwanzig 1961; Zwanzig et al. 1972; Mori 1965)</w:t>
      </w:r>
      <w:r>
        <w:t xml:space="preserve">, while predictive-state and molecular-kinetics</w:t>
      </w:r>
      <w:r>
        <w:t xml:space="preserve"> </w:t>
      </w:r>
      <w:r>
        <w:t xml:space="preserve">traditions motivate observable-grounded state representations</w:t>
      </w:r>
      <w:r>
        <w:t xml:space="preserve"> </w:t>
      </w:r>
      <w:r>
        <w:t xml:space="preserve">(Littman et al. 2001; Prinz et al. 2011)</w:t>
      </w:r>
      <w:r>
        <w:t xml:space="preserve">;</w:t>
      </w:r>
      <w:r>
        <w:t xml:space="preserve"> </w:t>
      </w:r>
      <w:r>
        <w:t xml:space="preserve">statistical complexity and information measures offer related diagnostics</w:t>
      </w:r>
      <w:r>
        <w:t xml:space="preserve"> </w:t>
      </w:r>
      <w:r>
        <w:t xml:space="preserve">(Crutchfield and Young 1989; Hoel 2017; Rosas et al. 2020)</w:t>
      </w:r>
      <w:r>
        <w:t xml:space="preserve">. The contribution evaluated here is not a new theorem in</w:t>
      </w:r>
      <w:r>
        <w:t xml:space="preserve"> </w:t>
      </w:r>
      <w:r>
        <w:t xml:space="preserve">any one of these areas. It is the disciplined connection among them: a search is not complete</w:t>
      </w:r>
      <w:r>
        <w:t xml:space="preserve"> </w:t>
      </w:r>
      <w:r>
        <w:t xml:space="preserve">without accounting, a winner is not adequate without a class test, a coarse description is not</w:t>
      </w:r>
      <w:r>
        <w:t xml:space="preserve"> </w:t>
      </w:r>
      <w:r>
        <w:t xml:space="preserve">reliable without domain and memory conditions, and a held-out result is not outcome-blind if the</w:t>
      </w:r>
      <w:r>
        <w:t xml:space="preserve"> </w:t>
      </w:r>
      <w:r>
        <w:t xml:space="preserve">pipeline can be retuned after exposure.</w:t>
      </w:r>
    </w:p>
    <w:p>
      <w:pPr>
        <w:pStyle w:val="BodyText"/>
        <w:widowControl/>
      </w:pPr>
      <w:r>
        <w:t xml:space="preserve">No broad method family is intrinsically restricted to one winner or incapable of abstention.</w:t>
      </w:r>
      <w:r>
        <w:t xml:space="preserve"> </w:t>
      </w:r>
      <w:r>
        <w:t xml:space="preserve">Version spaces, confidence sets, partial identification, model criticism, synthesis</w:t>
      </w:r>
      <w:r>
        <w:t xml:space="preserve"> </w:t>
      </w:r>
      <w:r>
        <w:t xml:space="preserve">unrealizability, and identifiability analysis already provide related set-valued or failure-aware</w:t>
      </w:r>
      <w:r>
        <w:t xml:space="preserve"> </w:t>
      </w:r>
      <w:r>
        <w:t xml:space="preserve">ideas. The Supplement therefore compares concrete procedures and assumptions rather than assigning</w:t>
      </w:r>
      <w:r>
        <w:t xml:space="preserve"> </w:t>
      </w:r>
      <w:r>
        <w:t xml:space="preserve">generic Yes/No capabilities. APHFS-specific content lies in the proposed integration of executable</w:t>
      </w:r>
      <w:r>
        <w:t xml:space="preserve"> </w:t>
      </w:r>
      <w:r>
        <w:t xml:space="preserve">address accounting, operational signatures, complete-bound class decisions, decision-relative</w:t>
      </w:r>
      <w:r>
        <w:t xml:space="preserve"> </w:t>
      </w:r>
      <w:r>
        <w:t xml:space="preserve">fidelity, failure-preserving execution, and role-separated evaluation. This targeted review did</w:t>
      </w:r>
      <w:r>
        <w:t xml:space="preserve"> </w:t>
      </w:r>
      <w:r>
        <w:t xml:space="preserve">not establish historical priority for that integration. Any AIC, BIC, SINDy, or other baseline comparison requires</w:t>
      </w:r>
      <w:r>
        <w:t xml:space="preserve"> </w:t>
      </w:r>
      <w:r>
        <w:t xml:space="preserve">a new prespecified study and new evaluation roles.</w:t>
      </w:r>
    </w:p>
    <w:bookmarkEnd w:id="38"/>
    <w:bookmarkStart w:id="42" w:name="sec:quantum-interface"/>
    <w:p>
      <w:pPr>
        <w:pStyle w:val="Heading1"/>
        <w:keepNext/>
        <w:keepLines/>
        <w:widowControl/>
      </w:pPr>
      <w:r>
        <w:t xml:space="preserve">Future fault-tolerant quantum execution interface</w:t>
      </w:r>
    </w:p>
    <w:p>
      <w:pPr>
        <w:pStyle w:val="FirstParagraph"/>
        <w:widowControl/>
      </w:pPr>
      <w:r>
        <w:t xml:space="preserve">APHFS is hardware-agnostic at the level of scientific logic. Its present implementation is</w:t>
      </w:r>
      <w:r>
        <w:t xml:space="preserve"> </w:t>
      </w:r>
      <w:r>
        <w:t xml:space="preserve">classical because a complete finite grammar makes candidate semantics, accounting, failure, and</w:t>
      </w:r>
      <w:r>
        <w:t xml:space="preserve"> </w:t>
      </w:r>
      <w:r>
        <w:t xml:space="preserve">held-out evaluation directly inspectable. A future fault-tolerant quantum execution layer would</w:t>
      </w:r>
      <w:r>
        <w:t xml:space="preserve"> </w:t>
      </w:r>
      <w:r>
        <w:t xml:space="preserve">not relax those requirements. It would change which candidate state spaces and dynamical</w:t>
      </w:r>
      <w:r>
        <w:t xml:space="preserve"> </w:t>
      </w:r>
      <w:r>
        <w:t xml:space="preserve">refinements can be executed, while adding state-preparation, operator-access, error-correction,</w:t>
      </w:r>
      <w:r>
        <w:t xml:space="preserve"> </w:t>
      </w:r>
      <w:r>
        <w:t xml:space="preserve">measurement, and classical-post-processing obligations. This is a roadmap; no quantum</w:t>
      </w:r>
      <w:r>
        <w:t xml:space="preserve"> </w:t>
      </w:r>
      <w:r>
        <w:t xml:space="preserve">implementation, resource estimate, or advantage was tested.</w:t>
      </w:r>
    </w:p>
    <w:bookmarkStart w:id="39" w:name="X664b28b433f0ad4dcdd7ccc03d3e797dbc2145d"/>
    <w:p>
      <w:pPr>
        <w:pStyle w:val="ScientificLabel"/>
        <w:widowControl/>
      </w:pPr>
      <w:r>
        <w:t xml:space="preserve">Marked-item search is not complete accounting.</w:t>
      </w:r>
    </w:p>
    <w:p>
      <w:pPr>
        <w:pStyle w:val="FirstParagraph"/>
        <w:widowControl/>
      </w:pPr>
      <w:r>
        <w:t xml:space="preserve">Grover-type algorithms reduce oracle queries for locating a marked item in an unstructured search,</w:t>
      </w:r>
      <w:r>
        <w:t xml:space="preserve"> </w:t>
      </w:r>
      <w:r>
        <w:t xml:space="preserve">with oracle-model limits characterized by Bennett, Bernstein, Brassard, and Vazirani</w:t>
      </w:r>
      <w:r>
        <w:t xml:space="preserve"> </w:t>
      </w:r>
      <w:r>
        <w:t xml:space="preserve">(Grover 1996; Bennett et al. 1997)</w:t>
      </w:r>
      <w:r>
        <w:t xml:space="preserve">. APHFS calls a run exhaustive only when every addressable candidate</w:t>
      </w:r>
      <w:r>
        <w:t xml:space="preserve"> </w:t>
      </w:r>
      <w:r>
        <w:t xml:space="preserve">receives a terminal status. Producing</w:t>
      </w:r>
      <w:r>
        <w:t xml:space="preserve"> </w:t>
      </w:r>
      <m:oMath>
        <m:r>
          <m:t>N</m:t>
        </m:r>
      </m:oMath>
      <w:r>
        <w:t xml:space="preserve"> </w:t>
      </w:r>
      <w:r>
        <w:t xml:space="preserve">such records has an output burden of order</w:t>
      </w:r>
      <w:r>
        <w:t xml:space="preserve"> </w:t>
      </w:r>
      <m:oMath>
        <m:r>
          <m:t>N</m:t>
        </m:r>
      </m:oMath>
      <w:r>
        <w:t xml:space="preserve">, so a</w:t>
      </w:r>
      <w:r>
        <w:t xml:space="preserve"> </w:t>
      </w:r>
      <w:r>
        <w:t xml:space="preserve">complete terminal ledger does not inherit the square-root query count of a one-item search.</w:t>
      </w:r>
      <w:r>
        <w:t xml:space="preserve"> </w:t>
      </w:r>
      <w:r>
        <w:t xml:space="preserve">Quantum search may help a separately declared task such as locating one counterexample; it cannot</w:t>
      </w:r>
      <w:r>
        <w:t xml:space="preserve"> </w:t>
      </w:r>
      <w:r>
        <w:t xml:space="preserve">turn</w:t>
      </w:r>
      <w:r>
        <w:t xml:space="preserve"> </w:t>
      </w:r>
      <m:oMath>
        <m:r>
          <m:t>N</m:t>
        </m:r>
      </m:oMath>
      <w:r>
        <w:t xml:space="preserve"> </w:t>
      </w:r>
      <w:r>
        <w:t xml:space="preserve">required ledger entries into</w:t>
      </w:r>
      <w:r>
        <w:t xml:space="preserve"> </w:t>
      </w:r>
      <m:oMath>
        <m:rad>
          <m:radPr>
            <m:degHide m:val="on"/>
          </m:radPr>
          <m:deg/>
          <m:e>
            <m:r>
              <m:t>N</m:t>
            </m:r>
          </m:e>
        </m:rad>
      </m:oMath>
      <w:r>
        <w:t xml:space="preserve"> </w:t>
      </w:r>
      <w:r>
        <w:t xml:space="preserve">entries.</w:t>
      </w:r>
    </w:p>
    <w:bookmarkEnd w:id="39"/>
    <w:bookmarkStart w:id="40" w:name="what-quantum-hardware-may-change."/>
    <w:p>
      <w:pPr>
        <w:pStyle w:val="ScientificLabel"/>
        <w:widowControl/>
      </w:pPr>
      <w:r>
        <w:t xml:space="preserve">What quantum hardware may change.</w:t>
      </w:r>
    </w:p>
    <w:p>
      <w:pPr>
        <w:pStyle w:val="FirstParagraph"/>
        <w:widowControl/>
      </w:pPr>
      <w:r>
        <w:t xml:space="preserve">A prospective role is executing quantum-native candidate dynamics—local</w:t>
      </w:r>
      <w:r>
        <w:t xml:space="preserve"> </w:t>
      </w:r>
      <w:r>
        <w:t xml:space="preserve">unitary circuits, quantum walks, QCA, Hamiltonians, or channels—for which efficiently specified</w:t>
      </w:r>
      <w:r>
        <w:t xml:space="preserve"> </w:t>
      </w:r>
      <w:r>
        <w:t xml:space="preserve">preparation, evolution, and measurement interfaces exist. Quantum simulation algorithms can make</w:t>
      </w:r>
      <w:r>
        <w:t xml:space="preserve"> </w:t>
      </w:r>
      <w:r>
        <w:t xml:space="preserve">particular encoded dynamics accessible</w:t>
      </w:r>
      <w:r>
        <w:t xml:space="preserve"> </w:t>
      </w:r>
      <w:r>
        <w:t xml:space="preserve">(Lloyd 1996; Low and Chuang 2019)</w:t>
      </w:r>
      <w:r>
        <w:t xml:space="preserve">, but advantage is specific</w:t>
      </w:r>
      <w:r>
        <w:t xml:space="preserve"> </w:t>
      </w:r>
      <w:r>
        <w:t xml:space="preserve">to the grammar, instance, observable, access model, accuracy target, and classical baseline.</w:t>
      </w:r>
      <w:r>
        <w:t xml:space="preserve"> </w:t>
      </w:r>
      <w:r>
        <w:t xml:space="preserve">Preparation, oracle or block encoding, error correction, sampling, and readout may dominate</w:t>
      </w:r>
      <w:r>
        <w:t xml:space="preserve"> </w:t>
      </w:r>
      <w:r>
        <w:t xml:space="preserve">(Plesch and Brukner 2011; Fowler et al. 2012; Gidney and Ekerå 2021)</w:t>
      </w:r>
      <w:r>
        <w:t xml:space="preserve">;</w:t>
      </w:r>
      <w:r>
        <w:t xml:space="preserve"> </w:t>
      </w:r>
      <w:r>
        <w:t xml:space="preserve">stabilizer, tensor-network, or other classical structure may remove an apparent advantage. The</w:t>
      </w:r>
      <w:r>
        <w:t xml:space="preserve"> </w:t>
      </w:r>
      <w:r>
        <w:t xml:space="preserve">paper therefore makes no generic polynomial-versus-exponential claim.</w:t>
      </w:r>
    </w:p>
    <w:p>
      <w:pPr>
        <w:pStyle w:val="BodyText"/>
        <w:widowControl/>
      </w:pPr>
      <w:r>
        <w:t xml:space="preserve">For a future quantum candidate language, the ledger would use a typed nested record rather than a</w:t>
      </w:r>
      <w:r>
        <w:t xml:space="preserve"> </w:t>
      </w:r>
      <w:r>
        <w:t xml:space="preserve">heterogeneous numerical vector:</w:t>
      </w:r>
    </w:p>
    <w:p>
      <w:pPr>
        <w:pStyle w:val="BodyText"/>
        <w:widowControl/>
      </w:pPr>
      <m:oMathPara>
        <m:oMathParaPr>
          <m:jc m:val="center"/>
        </m:oMathParaPr>
        <m:oMath>
          <m:eqArr>
            <m:e>
              <m:r>
                <m:rPr>
                  <m:scr m:val="sans-serif"/>
                  <m:sty m:val="p"/>
                </m:rPr>
                <m:t>Q</m:t>
              </m:r>
              <m:r>
                <m:rPr>
                  <m:scr m:val="sans-serif"/>
                  <m:sty m:val="p"/>
                </m:rPr>
                <m:t>u</m:t>
              </m:r>
              <m:r>
                <m:rPr>
                  <m:scr m:val="sans-serif"/>
                  <m:sty m:val="p"/>
                </m:rPr>
                <m:t>a</m:t>
              </m:r>
              <m:r>
                <m:rPr>
                  <m:scr m:val="sans-serif"/>
                  <m:sty m:val="p"/>
                </m:rPr>
                <m:t>n</m:t>
              </m:r>
              <m:r>
                <m:rPr>
                  <m:scr m:val="sans-serif"/>
                  <m:sty m:val="p"/>
                </m:rPr>
                <m:t>t</m:t>
              </m:r>
              <m:r>
                <m:rPr>
                  <m:scr m:val="sans-serif"/>
                  <m:sty m:val="p"/>
                </m:rPr>
                <m:t>u</m:t>
              </m:r>
              <m:r>
                <m:rPr>
                  <m:scr m:val="sans-serif"/>
                  <m:sty m:val="p"/>
                </m:rPr>
                <m:t>m</m:t>
              </m:r>
              <m:r>
                <m:rPr>
                  <m:scr m:val="sans-serif"/>
                  <m:sty m:val="p"/>
                </m:rPr>
                <m:t>R</m:t>
              </m:r>
              <m:r>
                <m:rPr>
                  <m:scr m:val="sans-serif"/>
                  <m:sty m:val="p"/>
                </m:rPr>
                <m:t>e</m:t>
              </m:r>
              <m:r>
                <m:rPr>
                  <m:scr m:val="sans-serif"/>
                  <m:sty m:val="p"/>
                </m:rPr>
                <m:t>s</m:t>
              </m:r>
              <m:r>
                <m:rPr>
                  <m:scr m:val="sans-serif"/>
                  <m:sty m:val="p"/>
                </m:rPr>
                <m:t>o</m:t>
              </m:r>
              <m:r>
                <m:rPr>
                  <m:scr m:val="sans-serif"/>
                  <m:sty m:val="p"/>
                </m:rPr>
                <m:t>u</m:t>
              </m:r>
              <m:r>
                <m:rPr>
                  <m:scr m:val="sans-serif"/>
                  <m:sty m:val="p"/>
                </m:rPr>
                <m:t>r</m:t>
              </m:r>
              <m:r>
                <m:rPr>
                  <m:scr m:val="sans-serif"/>
                  <m:sty m:val="p"/>
                </m:rPr>
                <m:t>c</m:t>
              </m:r>
              <m:r>
                <m:rPr>
                  <m:scr m:val="sans-serif"/>
                  <m:sty m:val="p"/>
                </m:rPr>
                <m:t>e</m:t>
              </m:r>
              <m:r>
                <m:rPr>
                  <m:scr m:val="sans-serif"/>
                  <m:sty m:val="p"/>
                </m:rPr>
                <m:t>R</m:t>
              </m:r>
              <m:r>
                <m:rPr>
                  <m:scr m:val="sans-serif"/>
                  <m:sty m:val="p"/>
                </m:rPr>
                <m:t>e</m:t>
              </m:r>
              <m:r>
                <m:rPr>
                  <m:scr m:val="sans-serif"/>
                  <m:sty m:val="p"/>
                </m:rPr>
                <m:t>c</m:t>
              </m:r>
              <m:r>
                <m:rPr>
                  <m:scr m:val="sans-serif"/>
                  <m:sty m:val="p"/>
                </m:rPr>
                <m:t>o</m:t>
              </m:r>
              <m:r>
                <m:rPr>
                  <m:scr m:val="sans-serif"/>
                  <m:sty m:val="p"/>
                </m:rPr>
                <m:t>r</m:t>
              </m:r>
              <m:r>
                <m:rPr>
                  <m:scr m:val="sans-serif"/>
                  <m:sty m:val="p"/>
                </m:rPr>
                <m:t>d</m:t>
              </m:r>
              <m:r>
                <m:rPr>
                  <m:sty m:val="p"/>
                </m:rPr>
                <m:t>=</m:t>
              </m:r>
              <m:r>
                <m:rPr>
                  <m:sty m:val="p"/>
                </m:rPr>
                <m:t>{</m:t>
              </m:r>
              <m:r>
                <m:rPr>
                  <m:nor/>
                  <m:scr m:val="sans-serif"/>
                </m:rPr>
                <m:t>sem</m:t>
              </m:r>
              <m:r>
                <m:rPr>
                  <m:scr m:val="sans-serif"/>
                  <m:sty m:val="p"/>
                </m:rPr>
                <m:t>a</m:t>
              </m:r>
              <m:r>
                <m:rPr>
                  <m:scr m:val="sans-serif"/>
                  <m:sty m:val="p"/>
                </m:rPr>
                <m:t>n</m:t>
              </m:r>
              <m:r>
                <m:rPr>
                  <m:scr m:val="sans-serif"/>
                  <m:sty m:val="p"/>
                </m:rPr>
                <m:t>t</m:t>
              </m:r>
              <m:r>
                <m:rPr>
                  <m:scr m:val="sans-serif"/>
                  <m:sty m:val="p"/>
                </m:rPr>
                <m:t>i</m:t>
              </m:r>
              <m:r>
                <m:rPr>
                  <m:scr m:val="sans-serif"/>
                  <m:sty m:val="p"/>
                </m:rPr>
                <m:t>c</m:t>
              </m:r>
              <m:r>
                <m:rPr>
                  <m:scr m:val="sans-serif"/>
                  <m:sty m:val="p"/>
                </m:rPr>
                <m:t>s</m:t>
              </m:r>
              <m:r>
                <m:rPr>
                  <m:sty m:val="p"/>
                </m:rPr>
                <m:t>,</m:t>
              </m:r>
              <m:r>
                <m:rPr>
                  <m:scr m:val="sans-serif"/>
                  <m:sty m:val="p"/>
                </m:rPr>
                <m:t>i</m:t>
              </m:r>
              <m:r>
                <m:rPr>
                  <m:scr m:val="sans-serif"/>
                  <m:sty m:val="p"/>
                </m:rPr>
                <m:t>n</m:t>
              </m:r>
              <m:r>
                <m:rPr>
                  <m:scr m:val="sans-serif"/>
                  <m:sty m:val="p"/>
                </m:rPr>
                <m:t>p</m:t>
              </m:r>
              <m:r>
                <m:rPr>
                  <m:scr m:val="sans-serif"/>
                  <m:sty m:val="p"/>
                </m:rPr>
                <m:t>u</m:t>
              </m:r>
              <m:r>
                <m:rPr>
                  <m:scr m:val="sans-serif"/>
                  <m:sty m:val="p"/>
                </m:rPr>
                <m:t>t</m:t>
              </m:r>
              <m:r>
                <m:rPr>
                  <m:scr m:val="sans-serif"/>
                  <m:sty m:val="p"/>
                </m:rPr>
                <m:t>_</m:t>
              </m:r>
              <m:r>
                <m:rPr>
                  <m:scr m:val="sans-serif"/>
                  <m:sty m:val="p"/>
                </m:rPr>
                <m:t>a</m:t>
              </m:r>
              <m:r>
                <m:rPr>
                  <m:scr m:val="sans-serif"/>
                  <m:sty m:val="p"/>
                </m:rPr>
                <m:t>n</m:t>
              </m:r>
              <m:r>
                <m:rPr>
                  <m:scr m:val="sans-serif"/>
                  <m:sty m:val="p"/>
                </m:rPr>
                <m:t>d</m:t>
              </m:r>
              <m:r>
                <m:rPr>
                  <m:scr m:val="sans-serif"/>
                  <m:sty m:val="p"/>
                </m:rPr>
                <m:t>_</m:t>
              </m:r>
              <m:r>
                <m:rPr>
                  <m:scr m:val="sans-serif"/>
                  <m:sty m:val="p"/>
                </m:rPr>
                <m:t>p</m:t>
              </m:r>
              <m:r>
                <m:rPr>
                  <m:scr m:val="sans-serif"/>
                  <m:sty m:val="p"/>
                </m:rPr>
                <m:t>r</m:t>
              </m:r>
              <m:r>
                <m:rPr>
                  <m:scr m:val="sans-serif"/>
                  <m:sty m:val="p"/>
                </m:rPr>
                <m:t>e</m:t>
              </m:r>
              <m:r>
                <m:rPr>
                  <m:scr m:val="sans-serif"/>
                  <m:sty m:val="p"/>
                </m:rPr>
                <m:t>p</m:t>
              </m:r>
              <m:r>
                <m:rPr>
                  <m:scr m:val="sans-serif"/>
                  <m:sty m:val="p"/>
                </m:rPr>
                <m:t>a</m:t>
              </m:r>
              <m:r>
                <m:rPr>
                  <m:scr m:val="sans-serif"/>
                  <m:sty m:val="p"/>
                </m:rPr>
                <m:t>r</m:t>
              </m:r>
              <m:r>
                <m:rPr>
                  <m:scr m:val="sans-serif"/>
                  <m:sty m:val="p"/>
                </m:rPr>
                <m:t>a</m:t>
              </m:r>
              <m:r>
                <m:rPr>
                  <m:scr m:val="sans-serif"/>
                  <m:sty m:val="p"/>
                </m:rPr>
                <m:t>t</m:t>
              </m:r>
              <m:r>
                <m:rPr>
                  <m:scr m:val="sans-serif"/>
                  <m:sty m:val="p"/>
                </m:rPr>
                <m:t>i</m:t>
              </m:r>
              <m:r>
                <m:rPr>
                  <m:scr m:val="sans-serif"/>
                  <m:sty m:val="p"/>
                </m:rPr>
                <m:t>o</m:t>
              </m:r>
              <m:r>
                <m:rPr>
                  <m:scr m:val="sans-serif"/>
                  <m:sty m:val="p"/>
                </m:rPr>
                <m:t>n</m:t>
              </m:r>
              <m:r>
                <m:rPr>
                  <m:sty m:val="p"/>
                </m:rPr>
                <m:t>,</m:t>
              </m:r>
            </m:e>
            <m:e>
              <m:r>
                <m:rPr>
                  <m:scr m:val="sans-serif"/>
                  <m:sty m:val="p"/>
                </m:rPr>
                <m:t>o</m:t>
              </m:r>
              <m:r>
                <m:rPr>
                  <m:scr m:val="sans-serif"/>
                  <m:sty m:val="p"/>
                </m:rPr>
                <m:t>p</m:t>
              </m:r>
              <m:r>
                <m:rPr>
                  <m:scr m:val="sans-serif"/>
                  <m:sty m:val="p"/>
                </m:rPr>
                <m:t>e</m:t>
              </m:r>
              <m:r>
                <m:rPr>
                  <m:scr m:val="sans-serif"/>
                  <m:sty m:val="p"/>
                </m:rPr>
                <m:t>r</m:t>
              </m:r>
              <m:r>
                <m:rPr>
                  <m:scr m:val="sans-serif"/>
                  <m:sty m:val="p"/>
                </m:rPr>
                <m:t>a</m:t>
              </m:r>
              <m:r>
                <m:rPr>
                  <m:scr m:val="sans-serif"/>
                  <m:sty m:val="p"/>
                </m:rPr>
                <m:t>t</m:t>
              </m:r>
              <m:r>
                <m:rPr>
                  <m:scr m:val="sans-serif"/>
                  <m:sty m:val="p"/>
                </m:rPr>
                <m:t>o</m:t>
              </m:r>
              <m:r>
                <m:rPr>
                  <m:scr m:val="sans-serif"/>
                  <m:sty m:val="p"/>
                </m:rPr>
                <m:t>r</m:t>
              </m:r>
              <m:r>
                <m:rPr>
                  <m:scr m:val="sans-serif"/>
                  <m:sty m:val="p"/>
                </m:rPr>
                <m:t>_</m:t>
              </m:r>
              <m:r>
                <m:rPr>
                  <m:scr m:val="sans-serif"/>
                  <m:sty m:val="p"/>
                </m:rPr>
                <m:t>a</m:t>
              </m:r>
              <m:r>
                <m:rPr>
                  <m:scr m:val="sans-serif"/>
                  <m:sty m:val="p"/>
                </m:rPr>
                <m:t>c</m:t>
              </m:r>
              <m:r>
                <m:rPr>
                  <m:scr m:val="sans-serif"/>
                  <m:sty m:val="p"/>
                </m:rPr>
                <m:t>c</m:t>
              </m:r>
              <m:r>
                <m:rPr>
                  <m:scr m:val="sans-serif"/>
                  <m:sty m:val="p"/>
                </m:rPr>
                <m:t>e</m:t>
              </m:r>
              <m:r>
                <m:rPr>
                  <m:scr m:val="sans-serif"/>
                  <m:sty m:val="p"/>
                </m:rPr>
                <m:t>s</m:t>
              </m:r>
              <m:r>
                <m:rPr>
                  <m:scr m:val="sans-serif"/>
                  <m:sty m:val="p"/>
                </m:rPr>
                <m:t>s</m:t>
              </m:r>
              <m:r>
                <m:rPr>
                  <m:sty m:val="p"/>
                </m:rPr>
                <m:t>,</m:t>
              </m:r>
              <m:r>
                <m:rPr>
                  <m:scr m:val="sans-serif"/>
                  <m:sty m:val="p"/>
                </m:rPr>
                <m:t>l</m:t>
              </m:r>
              <m:r>
                <m:rPr>
                  <m:scr m:val="sans-serif"/>
                  <m:sty m:val="p"/>
                </m:rPr>
                <m:t>o</m:t>
              </m:r>
              <m:r>
                <m:rPr>
                  <m:scr m:val="sans-serif"/>
                  <m:sty m:val="p"/>
                </m:rPr>
                <m:t>g</m:t>
              </m:r>
              <m:r>
                <m:rPr>
                  <m:scr m:val="sans-serif"/>
                  <m:sty m:val="p"/>
                </m:rPr>
                <m:t>i</m:t>
              </m:r>
              <m:r>
                <m:rPr>
                  <m:nor/>
                </m:rPr>
                <m:t>cal</m:t>
              </m:r>
              <m:r>
                <m:rPr>
                  <m:scr m:val="sans-serif"/>
                  <m:sty m:val="p"/>
                </m:rPr>
                <m:t>_</m:t>
              </m:r>
              <m:r>
                <m:rPr>
                  <m:scr m:val="sans-serif"/>
                  <m:sty m:val="p"/>
                </m:rPr>
                <m:t>c</m:t>
              </m:r>
              <m:r>
                <m:rPr>
                  <m:scr m:val="sans-serif"/>
                  <m:sty m:val="p"/>
                </m:rPr>
                <m:t>i</m:t>
              </m:r>
              <m:r>
                <m:rPr>
                  <m:scr m:val="sans-serif"/>
                  <m:sty m:val="p"/>
                </m:rPr>
                <m:t>r</m:t>
              </m:r>
              <m:r>
                <m:rPr>
                  <m:scr m:val="sans-serif"/>
                  <m:sty m:val="p"/>
                </m:rPr>
                <m:t>c</m:t>
              </m:r>
              <m:r>
                <m:rPr>
                  <m:scr m:val="sans-serif"/>
                  <m:sty m:val="p"/>
                </m:rPr>
                <m:t>u</m:t>
              </m:r>
              <m:r>
                <m:rPr>
                  <m:scr m:val="sans-serif"/>
                  <m:sty m:val="p"/>
                </m:rPr>
                <m:t>i</m:t>
              </m:r>
              <m:r>
                <m:rPr>
                  <m:scr m:val="sans-serif"/>
                  <m:sty m:val="p"/>
                </m:rPr>
                <m:t>t</m:t>
              </m:r>
              <m:r>
                <m:rPr>
                  <m:sty m:val="p"/>
                </m:rPr>
                <m:t>,</m:t>
              </m:r>
              <m:r>
                <m:rPr>
                  <m:scr m:val="sans-serif"/>
                  <m:sty m:val="p"/>
                </m:rPr>
                <m:t>q</m:t>
              </m:r>
              <m:r>
                <m:rPr>
                  <m:scr m:val="sans-serif"/>
                  <m:sty m:val="p"/>
                </m:rPr>
                <m:t>e</m:t>
              </m:r>
              <m:r>
                <m:rPr>
                  <m:scr m:val="sans-serif"/>
                  <m:sty m:val="p"/>
                </m:rPr>
                <m:t>c</m:t>
              </m:r>
              <m:r>
                <m:rPr>
                  <m:scr m:val="sans-serif"/>
                  <m:sty m:val="p"/>
                </m:rPr>
                <m:t>_</m:t>
              </m:r>
              <m:r>
                <m:rPr>
                  <m:scr m:val="sans-serif"/>
                  <m:sty m:val="p"/>
                </m:rPr>
                <m:t>m</m:t>
              </m:r>
              <m:r>
                <m:rPr>
                  <m:nor/>
                </m:rPr>
                <m:t>app</m:t>
              </m:r>
              <m:r>
                <m:rPr>
                  <m:scr m:val="sans-serif"/>
                  <m:sty m:val="p"/>
                </m:rPr>
                <m:t>i</m:t>
              </m:r>
              <m:r>
                <m:rPr>
                  <m:scr m:val="sans-serif"/>
                  <m:sty m:val="p"/>
                </m:rPr>
                <m:t>n</m:t>
              </m:r>
              <m:r>
                <m:rPr>
                  <m:scr m:val="sans-serif"/>
                  <m:sty m:val="p"/>
                </m:rPr>
                <m:t>g</m:t>
              </m:r>
              <m:r>
                <m:rPr>
                  <m:sty m:val="p"/>
                </m:rPr>
                <m:t>,</m:t>
              </m:r>
            </m:e>
            <m:e>
              <m:r>
                <m:rPr>
                  <m:scr m:val="sans-serif"/>
                  <m:sty m:val="p"/>
                </m:rPr>
                <m:t>p</m:t>
              </m:r>
              <m:r>
                <m:rPr>
                  <m:scr m:val="sans-serif"/>
                  <m:sty m:val="p"/>
                </m:rPr>
                <m:t>h</m:t>
              </m:r>
              <m:r>
                <m:rPr>
                  <m:scr m:val="sans-serif"/>
                  <m:sty m:val="p"/>
                </m:rPr>
                <m:t>y</m:t>
              </m:r>
              <m:r>
                <m:rPr>
                  <m:scr m:val="sans-serif"/>
                  <m:sty m:val="p"/>
                </m:rPr>
                <m:t>s</m:t>
              </m:r>
              <m:r>
                <m:rPr>
                  <m:scr m:val="sans-serif"/>
                  <m:sty m:val="p"/>
                </m:rPr>
                <m:t>i</m:t>
              </m:r>
              <m:r>
                <m:rPr>
                  <m:nor/>
                </m:rPr>
                <m:t>cal</m:t>
              </m:r>
              <m:r>
                <m:rPr>
                  <m:scr m:val="sans-serif"/>
                  <m:sty m:val="p"/>
                </m:rPr>
                <m:t>_</m:t>
              </m:r>
              <m:r>
                <m:rPr>
                  <m:scr m:val="sans-serif"/>
                  <m:sty m:val="p"/>
                </m:rPr>
                <m:t>e</m:t>
              </m:r>
              <m:r>
                <m:rPr>
                  <m:scr m:val="sans-serif"/>
                  <m:sty m:val="p"/>
                </m:rPr>
                <m:t>s</m:t>
              </m:r>
              <m:r>
                <m:rPr>
                  <m:scr m:val="sans-serif"/>
                  <m:sty m:val="p"/>
                </m:rPr>
                <m:t>t</m:t>
              </m:r>
              <m:r>
                <m:rPr>
                  <m:scr m:val="sans-serif"/>
                  <m:sty m:val="p"/>
                </m:rPr>
                <m:t>i</m:t>
              </m:r>
              <m:r>
                <m:rPr>
                  <m:scr m:val="sans-serif"/>
                  <m:sty m:val="p"/>
                </m:rPr>
                <m:t>m</m:t>
              </m:r>
              <m:r>
                <m:rPr>
                  <m:scr m:val="sans-serif"/>
                  <m:sty m:val="p"/>
                </m:rPr>
                <m:t>a</m:t>
              </m:r>
              <m:r>
                <m:rPr>
                  <m:scr m:val="sans-serif"/>
                  <m:sty m:val="p"/>
                </m:rPr>
                <m:t>t</m:t>
              </m:r>
              <m:r>
                <m:rPr>
                  <m:scr m:val="sans-serif"/>
                  <m:sty m:val="p"/>
                </m:rPr>
                <m:t>e</m:t>
              </m:r>
              <m:r>
                <m:rPr>
                  <m:sty m:val="p"/>
                </m:rPr>
                <m:t>,</m:t>
              </m:r>
              <m:r>
                <m:rPr>
                  <m:scr m:val="sans-serif"/>
                  <m:sty m:val="p"/>
                </m:rPr>
                <m:t>m</m:t>
              </m:r>
              <m:r>
                <m:rPr>
                  <m:scr m:val="sans-serif"/>
                  <m:sty m:val="p"/>
                </m:rPr>
                <m:t>e</m:t>
              </m:r>
              <m:r>
                <m:rPr>
                  <m:scr m:val="sans-serif"/>
                  <m:sty m:val="p"/>
                </m:rPr>
                <m:t>a</m:t>
              </m:r>
              <m:r>
                <m:rPr>
                  <m:scr m:val="sans-serif"/>
                  <m:sty m:val="p"/>
                </m:rPr>
                <m:t>s</m:t>
              </m:r>
              <m:r>
                <m:rPr>
                  <m:scr m:val="sans-serif"/>
                  <m:sty m:val="p"/>
                </m:rPr>
                <m:t>u</m:t>
              </m:r>
              <m:r>
                <m:rPr>
                  <m:scr m:val="sans-serif"/>
                  <m:sty m:val="p"/>
                </m:rPr>
                <m:t>r</m:t>
              </m:r>
              <m:r>
                <m:rPr>
                  <m:scr m:val="sans-serif"/>
                  <m:sty m:val="p"/>
                </m:rPr>
                <m:t>e</m:t>
              </m:r>
              <m:r>
                <m:rPr>
                  <m:scr m:val="sans-serif"/>
                  <m:sty m:val="p"/>
                </m:rPr>
                <m:t>m</m:t>
              </m:r>
              <m:r>
                <m:rPr>
                  <m:scr m:val="sans-serif"/>
                  <m:sty m:val="p"/>
                </m:rPr>
                <m:t>e</m:t>
              </m:r>
              <m:r>
                <m:rPr>
                  <m:scr m:val="sans-serif"/>
                  <m:sty m:val="p"/>
                </m:rPr>
                <m:t>n</m:t>
              </m:r>
              <m:r>
                <m:rPr>
                  <m:scr m:val="sans-serif"/>
                  <m:sty m:val="p"/>
                </m:rPr>
                <m:t>t</m:t>
              </m:r>
              <m:r>
                <m:rPr>
                  <m:scr m:val="sans-serif"/>
                  <m:sty m:val="p"/>
                </m:rPr>
                <m:t>_</m:t>
              </m:r>
              <m:r>
                <m:rPr>
                  <m:scr m:val="sans-serif"/>
                  <m:sty m:val="p"/>
                </m:rPr>
                <m:t>a</m:t>
              </m:r>
              <m:r>
                <m:rPr>
                  <m:scr m:val="sans-serif"/>
                  <m:sty m:val="p"/>
                </m:rPr>
                <m:t>n</m:t>
              </m:r>
              <m:r>
                <m:rPr>
                  <m:scr m:val="sans-serif"/>
                  <m:sty m:val="p"/>
                </m:rPr>
                <m:t>d</m:t>
              </m:r>
              <m:r>
                <m:rPr>
                  <m:scr m:val="sans-serif"/>
                  <m:sty m:val="p"/>
                </m:rPr>
                <m:t>_</m:t>
              </m:r>
              <m:r>
                <m:rPr>
                  <m:scr m:val="sans-serif"/>
                  <m:sty m:val="p"/>
                </m:rPr>
                <m:t>r</m:t>
              </m:r>
              <m:r>
                <m:rPr>
                  <m:scr m:val="sans-serif"/>
                  <m:sty m:val="p"/>
                </m:rPr>
                <m:t>e</m:t>
              </m:r>
              <m:r>
                <m:rPr>
                  <m:scr m:val="sans-serif"/>
                  <m:sty m:val="p"/>
                </m:rPr>
                <m:t>a</m:t>
              </m:r>
              <m:r>
                <m:rPr>
                  <m:scr m:val="sans-serif"/>
                  <m:sty m:val="p"/>
                </m:rPr>
                <m:t>d</m:t>
              </m:r>
              <m:r>
                <m:rPr>
                  <m:scr m:val="sans-serif"/>
                  <m:sty m:val="p"/>
                </m:rPr>
                <m:t>o</m:t>
              </m:r>
              <m:r>
                <m:rPr>
                  <m:scr m:val="sans-serif"/>
                  <m:sty m:val="p"/>
                </m:rPr>
                <m:t>u</m:t>
              </m:r>
              <m:r>
                <m:rPr>
                  <m:scr m:val="sans-serif"/>
                  <m:sty m:val="p"/>
                </m:rPr>
                <m:t>t</m:t>
              </m:r>
              <m:r>
                <m:rPr>
                  <m:sty m:val="p"/>
                </m:rPr>
                <m:t>,</m:t>
              </m:r>
            </m:e>
            <m:e>
              <m:r>
                <m:rPr>
                  <m:scr m:val="sans-serif"/>
                  <m:sty m:val="p"/>
                </m:rPr>
                <m:t>c</m:t>
              </m:r>
              <m:r>
                <m:rPr>
                  <m:scr m:val="sans-serif"/>
                  <m:sty m:val="p"/>
                </m:rPr>
                <m:t>l</m:t>
              </m:r>
              <m:r>
                <m:rPr>
                  <m:scr m:val="sans-serif"/>
                  <m:sty m:val="p"/>
                </m:rPr>
                <m:t>a</m:t>
              </m:r>
              <m:r>
                <m:rPr>
                  <m:scr m:val="sans-serif"/>
                  <m:sty m:val="p"/>
                </m:rPr>
                <m:t>s</m:t>
              </m:r>
              <m:r>
                <m:rPr>
                  <m:scr m:val="sans-serif"/>
                  <m:sty m:val="p"/>
                </m:rPr>
                <m:t>s</m:t>
              </m:r>
              <m:r>
                <m:rPr>
                  <m:scr m:val="sans-serif"/>
                  <m:sty m:val="p"/>
                </m:rPr>
                <m:t>i</m:t>
              </m:r>
              <m:r>
                <m:rPr>
                  <m:nor/>
                </m:rPr>
                <m:t>cal</m:t>
              </m:r>
              <m:r>
                <m:rPr>
                  <m:scr m:val="sans-serif"/>
                  <m:sty m:val="p"/>
                </m:rPr>
                <m:t>_</m:t>
              </m:r>
              <m:r>
                <m:rPr>
                  <m:scr m:val="sans-serif"/>
                  <m:sty m:val="p"/>
                </m:rPr>
                <m:t>p</m:t>
              </m:r>
              <m:r>
                <m:rPr>
                  <m:scr m:val="sans-serif"/>
                  <m:sty m:val="p"/>
                </m:rPr>
                <m:t>o</m:t>
              </m:r>
              <m:r>
                <m:rPr>
                  <m:scr m:val="sans-serif"/>
                  <m:sty m:val="p"/>
                </m:rPr>
                <m:t>s</m:t>
              </m:r>
              <m:r>
                <m:rPr>
                  <m:scr m:val="sans-serif"/>
                  <m:sty m:val="p"/>
                </m:rPr>
                <m:t>t</m:t>
              </m:r>
              <m:r>
                <m:rPr>
                  <m:scr m:val="sans-serif"/>
                  <m:sty m:val="p"/>
                </m:rPr>
                <m:t>p</m:t>
              </m:r>
              <m:r>
                <m:rPr>
                  <m:scr m:val="sans-serif"/>
                  <m:sty m:val="p"/>
                </m:rPr>
                <m:t>r</m:t>
              </m:r>
              <m:r>
                <m:rPr>
                  <m:scr m:val="sans-serif"/>
                  <m:sty m:val="p"/>
                </m:rPr>
                <m:t>o</m:t>
              </m:r>
              <m:r>
                <m:rPr>
                  <m:scr m:val="sans-serif"/>
                  <m:sty m:val="p"/>
                </m:rPr>
                <m:t>c</m:t>
              </m:r>
              <m:r>
                <m:rPr>
                  <m:scr m:val="sans-serif"/>
                  <m:sty m:val="p"/>
                </m:rPr>
                <m:t>e</m:t>
              </m:r>
              <m:r>
                <m:rPr>
                  <m:scr m:val="sans-serif"/>
                  <m:sty m:val="p"/>
                </m:rPr>
                <m:t>s</m:t>
              </m:r>
              <m:r>
                <m:rPr>
                  <m:scr m:val="sans-serif"/>
                  <m:sty m:val="p"/>
                </m:rPr>
                <m:t>s</m:t>
              </m:r>
              <m:r>
                <m:rPr>
                  <m:scr m:val="sans-serif"/>
                  <m:sty m:val="p"/>
                </m:rPr>
                <m:t>i</m:t>
              </m:r>
              <m:r>
                <m:rPr>
                  <m:scr m:val="sans-serif"/>
                  <m:sty m:val="p"/>
                </m:rPr>
                <m:t>n</m:t>
              </m:r>
              <m:r>
                <m:rPr>
                  <m:scr m:val="sans-serif"/>
                  <m:sty m:val="p"/>
                </m:rPr>
                <m:t>g</m:t>
              </m:r>
              <m:r>
                <m:rPr>
                  <m:sty m:val="p"/>
                </m:rPr>
                <m:t>,</m:t>
              </m:r>
              <m:r>
                <m:rPr>
                  <m:scr m:val="sans-serif"/>
                  <m:sty m:val="p"/>
                </m:rPr>
                <m:t>e</m:t>
              </m:r>
              <m:r>
                <m:rPr>
                  <m:scr m:val="sans-serif"/>
                  <m:sty m:val="p"/>
                </m:rPr>
                <m:t>r</m:t>
              </m:r>
              <m:r>
                <m:rPr>
                  <m:scr m:val="sans-serif"/>
                  <m:sty m:val="p"/>
                </m:rPr>
                <m:t>r</m:t>
              </m:r>
              <m:r>
                <m:rPr>
                  <m:scr m:val="sans-serif"/>
                  <m:sty m:val="p"/>
                </m:rPr>
                <m:t>o</m:t>
              </m:r>
              <m:r>
                <m:rPr>
                  <m:scr m:val="sans-serif"/>
                  <m:sty m:val="p"/>
                </m:rPr>
                <m:t>r</m:t>
              </m:r>
              <m:r>
                <m:rPr>
                  <m:scr m:val="sans-serif"/>
                  <m:sty m:val="p"/>
                </m:rPr>
                <m:t>_</m:t>
              </m:r>
              <m:r>
                <m:rPr>
                  <m:scr m:val="sans-serif"/>
                  <m:sty m:val="p"/>
                </m:rPr>
                <m:t>b</m:t>
              </m:r>
              <m:r>
                <m:rPr>
                  <m:scr m:val="sans-serif"/>
                  <m:sty m:val="p"/>
                </m:rPr>
                <m:t>u</m:t>
              </m:r>
              <m:r>
                <m:rPr>
                  <m:scr m:val="sans-serif"/>
                  <m:sty m:val="p"/>
                </m:rPr>
                <m:t>d</m:t>
              </m:r>
              <m:r>
                <m:rPr>
                  <m:scr m:val="sans-serif"/>
                  <m:sty m:val="p"/>
                </m:rPr>
                <m:t>g</m:t>
              </m:r>
              <m:r>
                <m:rPr>
                  <m:scr m:val="sans-serif"/>
                  <m:sty m:val="p"/>
                </m:rPr>
                <m:t>e</m:t>
              </m:r>
              <m:r>
                <m:rPr>
                  <m:scr m:val="sans-serif"/>
                  <m:sty m:val="p"/>
                </m:rPr>
                <m:t>t</m:t>
              </m:r>
              <m:r>
                <m:rPr>
                  <m:sty m:val="p"/>
                </m:rPr>
                <m:t>,</m:t>
              </m:r>
              <m:r>
                <m:rPr>
                  <m:scr m:val="sans-serif"/>
                  <m:sty m:val="p"/>
                </m:rPr>
                <m:t>p</m:t>
              </m:r>
              <m:r>
                <m:rPr>
                  <m:scr m:val="sans-serif"/>
                  <m:sty m:val="p"/>
                </m:rPr>
                <m:t>r</m:t>
              </m:r>
              <m:r>
                <m:rPr>
                  <m:scr m:val="sans-serif"/>
                  <m:sty m:val="p"/>
                </m:rPr>
                <m:t>o</m:t>
              </m:r>
              <m:r>
                <m:rPr>
                  <m:scr m:val="sans-serif"/>
                  <m:sty m:val="p"/>
                </m:rPr>
                <m:t>v</m:t>
              </m:r>
              <m:r>
                <m:rPr>
                  <m:scr m:val="sans-serif"/>
                  <m:sty m:val="p"/>
                </m:rPr>
                <m:t>e</m:t>
              </m:r>
              <m:r>
                <m:rPr>
                  <m:scr m:val="sans-serif"/>
                  <m:sty m:val="p"/>
                </m:rPr>
                <m:t>n</m:t>
              </m:r>
              <m:r>
                <m:rPr>
                  <m:scr m:val="sans-serif"/>
                  <m:sty m:val="p"/>
                </m:rPr>
                <m:t>a</m:t>
              </m:r>
              <m:r>
                <m:rPr>
                  <m:scr m:val="sans-serif"/>
                  <m:sty m:val="p"/>
                </m:rPr>
                <m:t>n</m:t>
              </m:r>
              <m:r>
                <m:rPr>
                  <m:scr m:val="sans-serif"/>
                  <m:sty m:val="p"/>
                </m:rPr>
                <m:t>c</m:t>
              </m:r>
              <m:r>
                <m:rPr>
                  <m:scr m:val="sans-serif"/>
                  <m:sty m:val="p"/>
                </m:rPr>
                <m:t>e</m:t>
              </m:r>
              <m:r>
                <m:rPr>
                  <m:sty m:val="p"/>
                </m:rPr>
                <m:t>}</m:t>
              </m:r>
              <m:r>
                <m:rPr>
                  <m:sty m:val="p"/>
                </m:rPr>
                <m:t>.</m:t>
              </m:r>
            </m:e>
          </m:eqArr>
        </m:oMath>
      </m:oMathPara>
    </w:p>
    <w:p>
      <w:pPr>
        <w:pStyle w:val="FirstParagraph"/>
        <w:widowControl/>
      </w:pPr>
      <w:r>
        <w:t xml:space="preserve">The logical circuit fixes a native gate basis and declares whether Toffoli is primitive or</w:t>
      </w:r>
      <w:r>
        <w:t xml:space="preserve"> </w:t>
      </w:r>
      <w:r>
        <w:t xml:space="preserve">compiled into T gates, so the two counts cannot be charged twice. The QEC mapping records code</w:t>
      </w:r>
      <w:r>
        <w:t xml:space="preserve"> </w:t>
      </w:r>
      <w:r>
        <w:t xml:space="preserve">family and distance, physical noise assumptions, decoder, factory, layout/connectivity, cycle</w:t>
      </w:r>
      <w:r>
        <w:t xml:space="preserve"> </w:t>
      </w:r>
      <w:r>
        <w:t xml:space="preserve">time, and allocated logical-failure probability; a physical-qubit range is a derived estimate,</w:t>
      </w:r>
      <w:r>
        <w:t xml:space="preserve"> </w:t>
      </w:r>
      <w:r>
        <w:t xml:space="preserve">not an alternative field beside the QEC model. Preparation and operator access state the input’s</w:t>
      </w:r>
      <w:r>
        <w:t xml:space="preserve"> </w:t>
      </w:r>
      <w:r>
        <w:t xml:space="preserve">origin, normalization, construction cost, target error, success probability, and reusability.</w:t>
      </w:r>
      <w:r>
        <w:t xml:space="preserve"> </w:t>
      </w:r>
      <w:r>
        <w:t xml:space="preserve">Measurement records observables, estimators, shots, simultaneous intervals, guard bands, and</w:t>
      </w:r>
      <w:r>
        <w:t xml:space="preserve"> </w:t>
      </w:r>
      <w:r>
        <w:t xml:space="preserve">readout; classical verification, output materialization, storage, and wall time remain billable.</w:t>
      </w:r>
      <w:r>
        <w:t xml:space="preserve"> </w:t>
      </w:r>
      <w:r>
        <w:t xml:space="preserve">Different units are compared componentwise by default. Scalarization is permitted only through a</w:t>
      </w:r>
      <w:r>
        <w:t xml:space="preserve"> </w:t>
      </w:r>
      <w:r>
        <w:t xml:space="preserve">prespecified cost map, and physical estimates must carry their uncertainty. Instance-level values</w:t>
      </w:r>
      <w:r>
        <w:t xml:space="preserve"> </w:t>
      </w:r>
      <w:r>
        <w:t xml:space="preserve">require a separate resource study; none is asserted here. Fault-tolerant chemistry studies</w:t>
      </w:r>
      <w:r>
        <w:t xml:space="preserve"> </w:t>
      </w:r>
      <w:r>
        <w:t xml:space="preserve">illustrate why end-to-end accounting matters</w:t>
      </w:r>
      <w:r>
        <w:t xml:space="preserve"> </w:t>
      </w:r>
      <w:r>
        <w:t xml:space="preserve">(Reiher et al. 2017)</w:t>
      </w:r>
      <w:r>
        <w:t xml:space="preserve">.</w:t>
      </w:r>
    </w:p>
    <w:bookmarkEnd w:id="40"/>
    <w:bookmarkStart w:id="41" w:name="sampling-signatures-and-error-semantics."/>
    <w:p>
      <w:pPr>
        <w:pStyle w:val="ScientificLabel"/>
        <w:widowControl/>
      </w:pPr>
      <w:r>
        <w:t xml:space="preserve">Sampling, signatures, and error semantics.</w:t>
      </w:r>
    </w:p>
    <w:p>
      <w:pPr>
        <w:pStyle w:val="FirstParagraph"/>
        <w:widowControl/>
        <w:jc w:val="left"/>
      </w:pPr>
      <w:r>
        <w:t xml:space="preserve">Quantum shots estimate observables; they do not reveal exact hidden values. In the proposed</w:t>
      </w:r>
      <w:r>
        <w:t xml:space="preserve"> </w:t>
      </w:r>
      <w:r>
        <w:t xml:space="preserve">extension, a prespecified simultaneous interval must lie wholly inside one fixed quantization cell</w:t>
      </w:r>
      <w:r>
        <w:t xml:space="preserve"> </w:t>
      </w:r>
      <w:r>
        <w:t xml:space="preserve">before that cell receives a canonical label. Contact with a guard band returns</w:t>
      </w:r>
      <w:r>
        <w:t xml:space="preserve"> </w:t>
      </w:r>
      <w:r>
        <w:rPr>
          <w:rStyle w:val="VerbatimChar"/>
        </w:rPr>
        <w:t xml:space="preserve">SIGNATURE_INDETERMINATE</w:t>
      </w:r>
      <w:r>
        <w:t xml:space="preserve">; exact equality of assigned labels then remains a partition among</w:t>
      </w:r>
      <w:r>
        <w:t xml:space="preserve"> </w:t>
      </w:r>
      <w:r>
        <w:t xml:space="preserve">determinate candidates. This is a roadmap construction, not a tested theorem. The quantum error</w:t>
      </w:r>
      <w:r>
        <w:t xml:space="preserve"> </w:t>
      </w:r>
      <w:r>
        <w:t xml:space="preserve">ledger distinguishes preparation, encoding/access, algorithmic simulation, gate synthesis,</w:t>
      </w:r>
      <w:r>
        <w:t xml:space="preserve"> </w:t>
      </w:r>
      <w:r>
        <w:t xml:space="preserve">logical/QEC failure, measurement, classical processing, and coarse-graining error. Only terms in a</w:t>
      </w:r>
      <w:r>
        <w:t xml:space="preserve"> </w:t>
      </w:r>
      <w:r>
        <w:t xml:space="preserve">common probability or metric may be combined. Without a registered logical-failure model or valid</w:t>
      </w:r>
      <w:r>
        <w:t xml:space="preserve"> </w:t>
      </w:r>
      <w:r>
        <w:t xml:space="preserve">bound, the affected decision is</w:t>
      </w:r>
      <w:r>
        <w:t xml:space="preserve"> </w:t>
      </w:r>
      <w:r>
        <w:rPr>
          <w:rStyle w:val="VerbatimChar"/>
        </w:rPr>
        <w:t xml:space="preserve">INDETERMINATE</w:t>
      </w:r>
      <w:r>
        <w:t xml:space="preserve">; no universal independent-gate formula is</w:t>
      </w:r>
      <w:r>
        <w:t xml:space="preserve"> </w:t>
      </w:r>
      <w:r>
        <w:t xml:space="preserve">assumed. Repeated state preparation and shots remain possible, so the no-retry rule continues to</w:t>
      </w:r>
      <w:r>
        <w:t xml:space="preserve"> </w:t>
      </w:r>
      <w:r>
        <w:t xml:space="preserve">be an inferential safeguard against outcome-dependent tuning, not a consequence of no-cloning.</w:t>
      </w:r>
    </w:p>
    <w:p>
      <w:pPr>
        <w:pStyle w:val="BodyText"/>
        <w:widowControl/>
      </w:pPr>
      <w:r>
        <w:t xml:space="preserve">Detailed Q0–Q5 milestones and the full schema appear in the Supplement. Candidate classes must</w:t>
      </w:r>
      <w:r>
        <w:t xml:space="preserve"> </w:t>
      </w:r>
      <w:r>
        <w:t xml:space="preserve">state their locality, causality or no-signalling, symmetry, unitarity/CPTP, conservation, and</w:t>
      </w:r>
      <w:r>
        <w:t xml:space="preserve"> </w:t>
      </w:r>
      <w:r>
        <w:t xml:space="preserve">continuum-limit assumptions. Bell-type violations constrain local hidden-variable accounts under</w:t>
      </w:r>
      <w:r>
        <w:t xml:space="preserve"> </w:t>
      </w:r>
      <w:r>
        <w:t xml:space="preserve">the theorem’s assumptions; they do not require every pre-particle grammar to be QCA. Compute</w:t>
      </w:r>
      <w:r>
        <w:t xml:space="preserve"> </w:t>
      </w:r>
      <w:r>
        <w:t xml:space="preserve">expands which dynamics can be evaluated; evidence still determines what can be justified.</w:t>
      </w:r>
    </w:p>
    <w:bookmarkEnd w:id="41"/>
    <w:bookmarkEnd w:id="42"/>
    <w:bookmarkStart w:id="43" w:name="sec:design"/>
    <w:p>
      <w:pPr>
        <w:pStyle w:val="Heading1"/>
        <w:keepNext/>
        <w:keepLines/>
        <w:widowControl/>
      </w:pPr>
      <w:r>
        <w:t xml:space="preserve">Study design</w:t>
      </w:r>
    </w:p>
    <w:p>
      <w:pPr>
        <w:pStyle w:val="FirstParagraph"/>
        <w:widowControl/>
      </w:pPr>
      <w:r>
        <w:t xml:space="preserve">Elementary cellular automata (ECA) provide a deliberately small stress test. Each candidate is a</w:t>
      </w:r>
      <w:r>
        <w:t xml:space="preserve"> </w:t>
      </w:r>
      <w:r>
        <w:t xml:space="preserve">binary radius-one rule: eight neighborhood inputs map to eight output bits, so exactly 256 rule</w:t>
      </w:r>
      <w:r>
        <w:t xml:space="preserve"> </w:t>
      </w:r>
      <w:r>
        <w:t xml:space="preserve">tables exist. The grammar is rich enough to produce collisions, ambiguity, non-closure, memory,</w:t>
      </w:r>
      <w:r>
        <w:t xml:space="preserve"> </w:t>
      </w:r>
      <w:r>
        <w:t xml:space="preserve">and policy trade-offs, yet small enough that a separate implementation could enumerate every</w:t>
      </w:r>
      <w:r>
        <w:t xml:space="preserve"> </w:t>
      </w:r>
      <w:r>
        <w:t xml:space="preserve">rule. It tests APHFS machinery, not a physical or biological model.</w:t>
      </w:r>
    </w:p>
    <w:p>
      <w:pPr>
        <w:pStyle w:val="BodyText"/>
        <w:widowControl/>
      </w:pPr>
      <w:r>
        <w:t xml:space="preserve">The grammar, endpoints, observation units, thresholds, fidelity contracts, cost ledger, and</w:t>
      </w:r>
      <w:r>
        <w:t xml:space="preserve"> </w:t>
      </w:r>
      <w:r>
        <w:t xml:space="preserve">failure semantics were fixed before evaluation. Development constructed the pipeline;</w:t>
      </w:r>
      <w:r>
        <w:t xml:space="preserve"> </w:t>
      </w:r>
      <w:r>
        <w:t xml:space="preserve">calibration was used only for the Rule 170 D2-CERT event; and a separate held-out role evaluated</w:t>
      </w:r>
      <w:r>
        <w:t xml:space="preserve"> </w:t>
      </w:r>
      <w:r>
        <w:t xml:space="preserve">the completed pipeline once, without retuning or retry. For blockwise endpoints, one role-derived</w:t>
      </w:r>
      <w:r>
        <w:t xml:space="preserve"> </w:t>
      </w:r>
      <w:r>
        <w:t xml:space="preserve">block—not a cell or time point—was the observation unit. The ideal reference law sampled</w:t>
      </w:r>
      <w:r>
        <w:t xml:space="preserve"> </w:t>
      </w:r>
      <w:r>
        <w:t xml:space="preserve">blocks independently; successful role materialization conditioned that law on uniqueness and</w:t>
      </w:r>
      <w:r>
        <w:t xml:space="preserve"> </w:t>
      </w:r>
      <w:r>
        <w:t xml:space="preserve">cross-role nonoverlap, as quantified with the exact-binomial formulas above. The protocol and</w:t>
      </w:r>
      <w:r>
        <w:t xml:space="preserve"> </w:t>
      </w:r>
      <w:r>
        <w:t xml:space="preserve">artifacts were pre-specified and internally hash-committed before execution according to the</w:t>
      </w:r>
      <w:r>
        <w:t xml:space="preserve"> </w:t>
      </w:r>
      <w:r>
        <w:t xml:space="preserve">project record. The disclosed hashes bind content and make later alteration detectable. No</w:t>
      </w:r>
      <w:r>
        <w:t xml:space="preserve"> </w:t>
      </w:r>
      <w:r>
        <w:t xml:space="preserve">third-party trusted timestamp or public preregistration preceded execution, so the original</w:t>
      </w:r>
      <w:r>
        <w:t xml:space="preserve"> </w:t>
      </w:r>
      <w:r>
        <w:t xml:space="preserve">chronology is documented internally but is not independently time-verified.</w:t>
      </w:r>
    </w:p>
    <w:p>
      <w:pPr>
        <w:pStyle w:val="BodyText"/>
        <w:widowControl/>
      </w:pPr>
      <w:r>
        <w:t xml:space="preserve">Six benchmark families asked whether all rules were accounted for and a generating rule could be</w:t>
      </w:r>
      <w:r>
        <w:t xml:space="preserve"> </w:t>
      </w:r>
      <w:r>
        <w:t xml:space="preserve">retained without forcing uniqueness (A); whether an in-class control was retained and a</w:t>
      </w:r>
      <w:r>
        <w:t xml:space="preserve"> </w:t>
      </w:r>
      <w:r>
        <w:t xml:space="preserve">deliberately distinguishable radius-two class was rejected (B); whether path-error bounds were</w:t>
      </w:r>
      <w:r>
        <w:t xml:space="preserve"> </w:t>
      </w:r>
      <w:r>
        <w:t xml:space="preserve">implemented correctly (C); whether full-state identity, density non-closure, certificate</w:t>
      </w:r>
      <w:r>
        <w:t xml:space="preserve"> </w:t>
      </w:r>
      <w:r>
        <w:t xml:space="preserve">withdrawal, and memory repair were distinguished (D); how four resource policies compared on the</w:t>
      </w:r>
      <w:r>
        <w:t xml:space="preserve"> </w:t>
      </w:r>
      <w:r>
        <w:t xml:space="preserve">same observations and cost definition (E); and whether project-defined Rule 54/110 trajectory</w:t>
      </w:r>
      <w:r>
        <w:t xml:space="preserve"> </w:t>
      </w:r>
      <w:r>
        <w:t xml:space="preserve">fixtures were recognized (F0). Sample counts, thresholds, fidelity tiers, and terminal actions are</w:t>
      </w:r>
      <w:r>
        <w:t xml:space="preserve"> </w:t>
      </w:r>
      <w:r>
        <w:t xml:space="preserve">given in the Supplement.</w:t>
      </w:r>
    </w:p>
    <w:p>
      <w:pPr>
        <w:pStyle w:val="BodyText"/>
        <w:widowControl/>
      </w:pPr>
      <w:r>
        <w:t xml:space="preserve">A0, C, D0, D1, and D2-MEM are analytical, deterministic, or formula-conformance checks. A1, B0,</w:t>
      </w:r>
      <w:r>
        <w:t xml:space="preserve"> </w:t>
      </w:r>
      <w:r>
        <w:t xml:space="preserve">B1, E, and F0 use 64 held-out blocks to audit constructed workload behavior; their blockwise</w:t>
      </w:r>
      <w:r>
        <w:t xml:space="preserve"> </w:t>
      </w:r>
      <w:r>
        <w:t xml:space="preserve">intervals describe adverse implementation or accounting events under the reference role law, not</w:t>
      </w:r>
      <w:r>
        <w:t xml:space="preserve"> </w:t>
      </w:r>
      <w:r>
        <w:t xml:space="preserve">general model-discovery accuracy. D2-CERT audits certificate machinery on a provably closed map.</w:t>
      </w:r>
      <w:r>
        <w:t xml:space="preserve"> </w:t>
      </w:r>
      <w:r>
        <w:t xml:space="preserve">Missing output, timeout, numerical failure, fidelity instability, or incomplete accounting could</w:t>
      </w:r>
      <w:r>
        <w:t xml:space="preserve"> </w:t>
      </w:r>
      <w:r>
        <w:t xml:space="preserve">not be assigned a favorable value.</w:t>
      </w:r>
    </w:p>
    <w:bookmarkEnd w:id="43"/>
    <w:bookmarkStart w:id="57" w:name="sec:results"/>
    <w:p>
      <w:pPr>
        <w:pStyle w:val="Heading1"/>
        <w:keepNext/>
        <w:keepLines/>
        <w:widowControl/>
      </w:pPr>
      <w:r>
        <w:t xml:space="preserve">Results</w:t>
      </w:r>
    </w:p>
    <w:p>
      <w:pPr>
        <w:pStyle w:val="FirstParagraph"/>
        <w:widowControl/>
      </w:pPr>
      <w:r>
        <w:t xml:space="preserve">The evaluation separated three conclusions that a leaderboard would conflate: retention without</w:t>
      </w:r>
      <w:r>
        <w:t xml:space="preserve"> </w:t>
      </w:r>
      <w:r>
        <w:t xml:space="preserve">unique identification, rejection of an inadequate class, and non-withdrawal of a certificate</w:t>
      </w:r>
      <w:r>
        <w:t xml:space="preserve"> </w:t>
      </w:r>
      <w:r>
        <w:t xml:space="preserve">without confirmation (Figure </w:t>
      </w:r>
      <w:hyperlink w:anchor="fig:scientific-results">
        <w:r>
          <w:rPr>
            <w:rStyle w:val="Hyperlink"/>
          </w:rPr>
          <w:t xml:space="preserve">3</w:t>
        </w:r>
      </w:hyperlink>
      <w:r>
        <w:t xml:space="preserve">). The results below distinguish an</w:t>
      </w:r>
      <w:r>
        <w:t xml:space="preserve"> </w:t>
      </w:r>
      <w:r>
        <w:t xml:space="preserve">analytical statement, deterministic or formula conformance, constructed-workload conformance, a</w:t>
      </w:r>
      <w:r>
        <w:t xml:space="preserve"> </w:t>
      </w:r>
      <w:r>
        <w:t xml:space="preserve">role-separated held-out machinery check, a post-hoc operating characteristic, and a future</w:t>
      </w:r>
      <w:r>
        <w:t xml:space="preserve"> </w:t>
      </w:r>
      <w:r>
        <w:t xml:space="preserve">roadmap. These categories answer different questions and are not pooled into one empirical</w:t>
      </w:r>
      <w:r>
        <w:t xml:space="preserve"> </w:t>
      </w:r>
      <w:r>
        <w:t xml:space="preserve">performance score.</w:t>
      </w:r>
    </w:p>
    <w:bookmarkStart w:id="47" w:name="fig:scientific-results"/>
    <w:p>
      <w:pPr>
        <w:pStyle w:val="CaptionedFigure"/>
        <w:keepNext/>
        <w:keepLines/>
        <w:widowControl/>
        <w:spacing w:before="80" w:after="20"/>
        <w:jc w:val="center"/>
      </w:pPr>
      <w:r>
        <w:drawing>
          <wp:inline>
            <wp:extent cx="5120640" cy="4458370"/>
            <wp:effectExtent b="0" l="0" r="0" t="0"/>
            <wp:docPr descr="Scientifically distinct outcomes and evidence classes. A1 preserves set-valued ambiguity; B0 and B1 contrast in-class retention with one deliberately distinguishable constructed out-of-class case; D2-CERT exercises certificate grant and withdrawal machinery on the analytically density-preserving periodic Rule 170 map. The final panel separates analytical/deterministic checks, constructed-workload conformance, and constructed closed-map certificate-pipeline conformance; these categories are not pooled into a model-discovery performance score." title="Figure 3: Scientifically distinct outcomes and evidence classes" id="45" name="Picture"/>
            <a:graphic>
              <a:graphicData uri="http://schemas.openxmlformats.org/drawingml/2006/picture">
                <pic:pic>
                  <pic:nvPicPr>
                    <pic:cNvPr descr="scientific_result_evidence_classes_v3_7.png" id="46" name="Picture"/>
                    <pic:cNvPicPr>
                      <a:picLocks noChangeArrowheads="1" noChangeAspect="1"/>
                    </pic:cNvPicPr>
                  </pic:nvPicPr>
                  <pic:blipFill>
                    <a:blip r:embed="rId44"/>
                    <a:stretch>
                      <a:fillRect/>
                    </a:stretch>
                  </pic:blipFill>
                  <pic:spPr bwMode="auto">
                    <a:xfrm>
                      <a:off x="0" y="0"/>
                      <a:ext cx="5120640" cy="4458370"/>
                    </a:xfrm>
                    <a:prstGeom prst="rect">
                      <a:avLst/>
                    </a:prstGeom>
                    <a:noFill/>
                    <a:ln w="9525">
                      <a:noFill/>
                      <a:headEnd/>
                      <a:tailEnd/>
                    </a:ln>
                  </pic:spPr>
                </pic:pic>
              </a:graphicData>
            </a:graphic>
          </wp:inline>
        </w:drawing>
      </w:r>
    </w:p>
    <w:p>
      <w:pPr>
        <w:pStyle w:val="ImageCaption"/>
        <w:widowControl/>
      </w:pPr>
      <w:r>
        <w:t>Figure 3. Scientifically distinct outcomes and evidence classes. A1 preserves set-valued ambiguity; B0 and B1 contrast in-class retention with one deliberately distinguishable constructed out-of-class case; D2-CERT exercises certificate grant and withdrawal machinery on the analytically density-preserving periodic Rule 170 map. The final panel separates analytical/deterministic checks, constructed-workload conformance, and constructed closed-map certificate-pipeline conformance; these categories are not pooled into a model-discovery performance score.</w:t>
      </w:r>
    </w:p>
    <w:bookmarkEnd w:id="47"/>
    <w:bookmarkStart w:id="48" w:name="Xaad0e3e736bffd86d32c21cb6e5550107a888ec"/>
    <w:p>
      <w:pPr>
        <w:pStyle w:val="Heading2"/>
        <w:keepNext/>
        <w:keepLines/>
        <w:widowControl/>
      </w:pPr>
      <w:r>
        <w:t xml:space="preserve">Complete accounting exposed ambiguity rather than erasing it</w:t>
      </w:r>
    </w:p>
    <w:p>
      <w:pPr>
        <w:pStyle w:val="FirstParagraph"/>
        <w:widowControl/>
      </w:pPr>
      <w:r>
        <w:t xml:space="preserve">All 256 ECA rule IDs received a terminal ledger entry. The A0 truth-table and paired</w:t>
      </w:r>
      <w:r>
        <w:t xml:space="preserve"> </w:t>
      </w:r>
      <w:r>
        <w:t xml:space="preserve">production/reference trajectory census across four specified boundaries—periodic, fixed</w:t>
      </w:r>
      <w:r>
        <w:t xml:space="preserve"> </w:t>
      </w:r>
      <w:r>
        <w:t xml:space="preserve">zero, fixed one, and edge-replicate (historical code token:</w:t>
      </w:r>
      <w:r>
        <w:t xml:space="preserve"> </w:t>
      </w:r>
      <w:r>
        <w:rPr>
          <w:rStyle w:val="VerbatimChar"/>
        </w:rPr>
        <w:t xml:space="preserve">reflect</w:t>
      </w:r>
      <w:r>
        <w:t xml:space="preserve">)—produced 0/256</w:t>
      </w:r>
      <w:r>
        <w:t xml:space="preserve"> </w:t>
      </w:r>
      <w:r>
        <w:t xml:space="preserve">discrepancies and formed 36 canonical signature classes. The</w:t>
      </w:r>
      <w:r>
        <w:t xml:space="preserve"> </w:t>
      </w:r>
      <w:r>
        <w:t xml:space="preserve">finite language was fully accounted for under that interface; enumeration beyond the ECA</w:t>
      </w:r>
      <w:r>
        <w:t xml:space="preserve"> </w:t>
      </w:r>
      <w:r>
        <w:t xml:space="preserve">grammar is outside this claim.</w:t>
      </w:r>
      <w:r>
        <w:t xml:space="preserve"> </w:t>
      </w:r>
      <w:r>
        <w:t xml:space="preserve">The 36 classes are operational classes induced by the finite probes, quantizers, and serialization</w:t>
      </w:r>
      <w:r>
        <w:t xml:space="preserve"> </w:t>
      </w:r>
      <w:r>
        <w:t xml:space="preserve">used here. They are neither universal dynamical-equivalence classes of ECA rules nor a standard</w:t>
      </w:r>
      <w:r>
        <w:t xml:space="preserve"> </w:t>
      </w:r>
      <w:r>
        <w:t xml:space="preserve">symmetry-class count.</w:t>
      </w:r>
      <w:r>
        <w:t xml:space="preserve"> </w:t>
      </w:r>
      <w:r>
        <w:t xml:space="preserve">Complete accounting supports a statement about coverage of this language; it does not establish</w:t>
      </w:r>
      <w:r>
        <w:t xml:space="preserve"> </w:t>
      </w:r>
      <w:r>
        <w:t xml:space="preserve">that the language is adequate.</w:t>
      </w:r>
    </w:p>
    <w:p>
      <w:pPr>
        <w:pStyle w:val="BodyText"/>
        <w:widowControl/>
      </w:pPr>
      <w:r>
        <w:t xml:space="preserve">The A1 result was not merely</w:t>
      </w:r>
      <w:r>
        <w:t xml:space="preserve"> </w:t>
      </w:r>
      <w:r>
        <w:t xml:space="preserve">“the generating rule was found.”</w:t>
      </w:r>
      <w:r>
        <w:t xml:space="preserve"> </w:t>
      </w:r>
      <w:r>
        <w:t xml:space="preserve">The data-generating rule and its</w:t>
      </w:r>
      <w:r>
        <w:t xml:space="preserve"> </w:t>
      </w:r>
      <w:r>
        <w:t xml:space="preserve">signature class remained in the retained set in all 64 blocks, with 0 adverse blocks. Yet 59</w:t>
      </w:r>
      <w:r>
        <w:t xml:space="preserve"> </w:t>
      </w:r>
      <w:r>
        <w:t xml:space="preserve">blocks retained one rule and five retained two; 61 retained one signature class and three</w:t>
      </w:r>
      <w:r>
        <w:t xml:space="preserve"> </w:t>
      </w:r>
      <w:r>
        <w:t xml:space="preserve">retained two. The finding is set-valued identification under finite observations. It argues for</w:t>
      </w:r>
      <w:r>
        <w:t xml:space="preserve"> </w:t>
      </w:r>
      <w:r>
        <w:t xml:space="preserve">more discriminating observables when uniqueness matters, rather than a hidden tie-break. The</w:t>
      </w:r>
      <w:r>
        <w:t xml:space="preserve"> </w:t>
      </w:r>
      <w:r>
        <w:t xml:space="preserve">alternatives are operationally indistinguishable here, not ontologically identical.</w:t>
      </w:r>
    </w:p>
    <w:p>
      <w:pPr>
        <w:pStyle w:val="BodyText"/>
        <w:widowControl/>
      </w:pPr>
      <w:r>
        <w:t xml:space="preserve">For a correct implementation, zero A1 adverse blocks follow from generating each noiseless</w:t>
      </w:r>
      <w:r>
        <w:t xml:space="preserve"> </w:t>
      </w:r>
      <w:r>
        <w:t xml:space="preserve">history with a member of the enumerated grammar and retaining every candidate with exact loss</w:t>
      </w:r>
      <w:r>
        <w:t xml:space="preserve"> </w:t>
      </w:r>
      <w:r>
        <w:t xml:space="preserve">zero. The 64-block interval therefore characterizes adverse implementation/accounting events</w:t>
      </w:r>
      <w:r>
        <w:t xml:space="preserve"> </w:t>
      </w:r>
      <w:r>
        <w:t xml:space="preserve">under the reference role law; it is not an estimate of open-world discovery accuracy. The real</w:t>
      </w:r>
      <w:r>
        <w:t xml:space="preserve"> </w:t>
      </w:r>
      <w:r>
        <w:t xml:space="preserve">finding remains the set-valued ambiguity that the finite observation interface exposed.</w:t>
      </w:r>
    </w:p>
    <w:bookmarkEnd w:id="48"/>
    <w:bookmarkStart w:id="49" w:name="Xd469ac9b36616128e0de6b5a11cf84641f5116a"/>
    <w:p>
      <w:pPr>
        <w:pStyle w:val="Heading2"/>
        <w:keepNext/>
        <w:keepLines/>
        <w:widowControl/>
      </w:pPr>
      <w:r>
        <w:t xml:space="preserve">The class gate separated a bad model from a bad language</w:t>
      </w:r>
    </w:p>
    <w:p>
      <w:pPr>
        <w:pStyle w:val="FirstParagraph"/>
        <w:widowControl/>
        <w:jc w:val="left"/>
      </w:pPr>
      <w:r>
        <w:t xml:space="preserve">The paired B endpoints tested opposite constructed cases. In B0, all 64 complete-support in-class blocks</w:t>
      </w:r>
      <w:r>
        <w:t xml:space="preserve"> </w:t>
      </w:r>
      <w:r>
        <w:t xml:space="preserve">retained the class containing the generating rule. In all 64 complete-support blocks from the</w:t>
      </w:r>
      <w:r>
        <w:t xml:space="preserve"> </w:t>
      </w:r>
      <w:r>
        <w:t xml:space="preserve">deliberately distinguishable radius-two construction, the ECA class returned</w:t>
      </w:r>
      <w:r>
        <w:t xml:space="preserve"> </w:t>
      </w:r>
      <w:r>
        <w:rPr>
          <w:rStyle w:val="VerbatimChar"/>
        </w:rPr>
        <w:t xml:space="preserve">MODEL_CLASS_INADEQUATE</w:t>
      </w:r>
      <w:r>
        <w:t xml:space="preserve">. Every</w:t>
      </w:r>
      <w:r>
        <w:t xml:space="preserve"> </w:t>
      </w:r>
      <w:r>
        <w:t xml:space="preserve">minimum signature-class lower bound was</w:t>
      </w:r>
      <w:r>
        <w:t xml:space="preserve"> </w:t>
      </w:r>
      <m:oMath>
        <m:r>
          <m:t>0.5</m:t>
        </m:r>
      </m:oMath>
      <w:r>
        <w:t xml:space="preserve">, above the threshold</w:t>
      </w:r>
      <w:r>
        <w:t xml:space="preserve"> </w:t>
      </w:r>
      <m:oMath>
        <m:r>
          <m:t>0.2</m:t>
        </m:r>
      </m:oMath>
      <w:r>
        <w:t xml:space="preserve">.</w:t>
      </w:r>
      <w:r>
        <w:t xml:space="preserve"> </w:t>
      </w:r>
      <w:r>
        <w:t xml:space="preserve">The corresponding B0 minimum was zero, so no in-class block produced false inadequacy.</w:t>
      </w:r>
    </w:p>
    <w:p>
      <w:pPr>
        <w:pStyle w:val="BodyText"/>
        <w:widowControl/>
      </w:pPr>
      <w:r>
        <w:t xml:space="preserve">The gate thus distinguished this constructed out-of-class setting from its in-class control. B1’s</w:t>
      </w:r>
      <w:r>
        <w:t xml:space="preserve"> </w:t>
      </w:r>
      <w:r>
        <w:t xml:space="preserve">outer-XOR generator guarantees disagreement with every radius-one ECA candidate on half of its</w:t>
      </w:r>
      <w:r>
        <w:t xml:space="preserve"> </w:t>
      </w:r>
      <w:r>
        <w:t xml:space="preserve">complete 32-row support, so the observed 64/64 decision is a conformance check of exact-loss,</w:t>
      </w:r>
      <w:r>
        <w:t xml:space="preserve"> </w:t>
      </w:r>
      <w:r>
        <w:t xml:space="preserve">complete-ledger, and gate machinery. B1 does not estimate power against arbitrary</w:t>
      </w:r>
      <w:r>
        <w:t xml:space="preserve"> </w:t>
      </w:r>
      <w:r>
        <w:t xml:space="preserve">misspecification, and the endpoint-wise block interval does not turn it into such an estimate.</w:t>
      </w:r>
    </w:p>
    <w:bookmarkEnd w:id="49"/>
    <w:bookmarkStart w:id="50" w:name="Xf8c473816dee14663cfcd1b99c2939df2f60338"/>
    <w:p>
      <w:pPr>
        <w:pStyle w:val="Heading2"/>
        <w:keepNext/>
        <w:keepLines/>
        <w:widowControl/>
      </w:pPr>
      <w:r>
        <w:t xml:space="preserve">Error and coarse-graining claims remained conditional on their interfaces</w:t>
      </w:r>
    </w:p>
    <w:p>
      <w:pPr>
        <w:pStyle w:val="FirstParagraph"/>
        <w:widowControl/>
      </w:pPr>
      <w:r>
        <w:t xml:space="preserve">All nine path-bound cases completed with no violation or domain exit. The</w:t>
      </w:r>
      <w:r>
        <w:t xml:space="preserve"> </w:t>
      </w:r>
      <w:r>
        <w:t xml:space="preserve">largest raw reference–candidate discrepancy was</w:t>
      </w:r>
      <w:r>
        <w:t xml:space="preserve"> </w:t>
      </w:r>
      <m:oMath>
        <m:r>
          <m:t>0.1662</m:t>
        </m:r>
      </m:oMath>
      <w:r>
        <w:t xml:space="preserve">, meaningful only in</w:t>
      </w:r>
      <w:r>
        <w:t xml:space="preserve"> </w:t>
      </w:r>
      <w:r>
        <w:t xml:space="preserve">relation to its stated bound. The smallest margin was near</w:t>
      </w:r>
      <w:r>
        <w:t xml:space="preserve"> </w:t>
      </w:r>
      <m:oMath>
        <m:r>
          <m:rPr>
            <m:sty m:val="p"/>
          </m:rPr>
          <m:t>−</m:t>
        </m:r>
        <m:sSup>
          <m:e>
            <m:r>
              <m:t>10</m:t>
            </m:r>
          </m:e>
          <m:sup>
            <m:r>
              <m:rPr>
                <m:sty m:val="p"/>
              </m:rPr>
              <m:t>−</m:t>
            </m:r>
            <m:r>
              <m:t>16</m:t>
            </m:r>
          </m:sup>
        </m:sSup>
      </m:oMath>
      <w:r>
        <w:t xml:space="preserve"> </w:t>
      </w:r>
      <w:r>
        <w:t xml:space="preserve">and remained within</w:t>
      </w:r>
      <w:r>
        <w:t xml:space="preserve"> </w:t>
      </w:r>
      <w:r>
        <w:t xml:space="preserve">the fixed</w:t>
      </w:r>
      <w:r>
        <w:t xml:space="preserve"> </w:t>
      </w:r>
      <m:oMath>
        <m:sSup>
          <m:e>
            <m:r>
              <m:t>10</m:t>
            </m:r>
          </m:e>
          <m:sup>
            <m:r>
              <m:rPr>
                <m:sty m:val="p"/>
              </m:rPr>
              <m:t>−</m:t>
            </m:r>
            <m:r>
              <m:t>12</m:t>
            </m:r>
          </m:sup>
        </m:sSup>
      </m:oMath>
      <w:r>
        <w:t xml:space="preserve"> </w:t>
      </w:r>
      <w:r>
        <w:t xml:space="preserve">tolerance, so it did not change a decision. These are constructed</w:t>
      </w:r>
      <w:r>
        <w:t xml:space="preserve"> </w:t>
      </w:r>
      <w:r>
        <w:t xml:space="preserve">implementation checks; full-precision values remain in the Supplement and released source data.</w:t>
      </w:r>
      <w:r>
        <w:t xml:space="preserve"> </w:t>
      </w:r>
      <w:r>
        <w:t xml:space="preserve">The tolerance governs the comparison at the numerical boundary; it does not turn the nine cases</w:t>
      </w:r>
      <w:r>
        <w:t xml:space="preserve"> </w:t>
      </w:r>
      <w:r>
        <w:t xml:space="preserve">into a general trajectory-accuracy guarantee.</w:t>
      </w:r>
    </w:p>
    <w:p>
      <w:pPr>
        <w:pStyle w:val="BodyText"/>
        <w:widowControl/>
      </w:pPr>
      <w:r>
        <w:t xml:space="preserve">The deterministic coarse-dynamics checks reproduced Rule 204 full-microstate identity, the Rule</w:t>
      </w:r>
      <w:r>
        <w:t xml:space="preserve"> </w:t>
      </w:r>
      <w:r>
        <w:t xml:space="preserve">90 density non-closure witness, and exact lag-1 repair in the two-bit memory system. D2-CERT has a</w:t>
      </w:r>
      <w:r>
        <w:t xml:space="preserve"> </w:t>
      </w:r>
      <w:r>
        <w:t xml:space="preserve">narrower, now explicit evidence class: constructed closed-map certificate-pipeline conformance.</w:t>
      </w:r>
      <w:r>
        <w:t xml:space="preserve"> </w:t>
      </w:r>
      <w:r>
        <w:t xml:space="preserve">Under periodic boundaries Rule 170 copies the right neighbor, hence performs a cyclic</w:t>
      </w:r>
      <w:r>
        <w:t xml:space="preserve"> </w:t>
      </w:r>
      <w:r>
        <w:t xml:space="preserve">shift and preserves global binary density exactly. With the registered identity predictor and</w:t>
      </w:r>
      <w:r>
        <w:t xml:space="preserve"> </w:t>
      </w:r>
      <w:r>
        <w:t xml:space="preserve">zero tolerance, a correctly executed block cannot violate the event. Calibration and held-out</w:t>
      </w:r>
      <w:r>
        <w:t xml:space="preserve"> </w:t>
      </w:r>
      <w:r>
        <w:t xml:space="preserve">evaluation each observed 0/64 violations, checking role separation, simulator/fidelity agreement,</w:t>
      </w:r>
      <w:r>
        <w:t xml:space="preserve"> </w:t>
      </w:r>
      <w:r>
        <w:t xml:space="preserve">and the grant/withdrawal pipeline for this construction rather than estimating uncertain</w:t>
      </w:r>
      <w:r>
        <w:t xml:space="preserve"> </w:t>
      </w:r>
      <w:r>
        <w:t xml:space="preserve">coarse-law accuracy.</w:t>
      </w:r>
    </w:p>
    <w:p>
      <w:pPr>
        <w:pStyle w:val="BodyText"/>
        <w:widowControl/>
        <w:jc w:val="left"/>
      </w:pPr>
      <w:r>
        <w:t xml:space="preserve">The immutable held-out two-sided 95% interval was</w:t>
      </w:r>
      <w:r>
        <w:t xml:space="preserve"> </w:t>
      </w:r>
      <m:oMath>
        <m:r>
          <m:rPr>
            <m:sty m:val="p"/>
          </m:rPr>
          <m:t>[</m:t>
        </m:r>
        <m:r>
          <m:t>0</m:t>
        </m:r>
        <m:r>
          <m:rPr>
            <m:sty m:val="p"/>
          </m:rPr>
          <m:t>,</m:t>
        </m:r>
        <m:r>
          <m:t>0.0560</m:t>
        </m:r>
        <m:r>
          <m:rPr>
            <m:sty m:val="p"/>
          </m:rPr>
          <m:t>]</m:t>
        </m:r>
      </m:oMath>
      <w:r>
        <w:t xml:space="preserve">, the one-sided lower endpoint</w:t>
      </w:r>
      <w:r>
        <w:t xml:space="preserve"> </w:t>
      </w:r>
      <w:r>
        <w:t xml:space="preserve">was zero, and the withdrawal rule did not fire. These exact-binomial values describe a hypothetical</w:t>
      </w:r>
      <w:r>
        <w:t xml:space="preserve"> </w:t>
      </w:r>
      <w:r>
        <w:t xml:space="preserve">Bernoulli rate of block-level implementation/conformance failure under the iid reference law; they</w:t>
      </w:r>
      <w:r>
        <w:t xml:space="preserve"> </w:t>
      </w:r>
      <w:r>
        <w:t xml:space="preserve">are not uncertainty about the analytical density identity itself. The exact machine status remains</w:t>
      </w:r>
      <w:r>
        <w:t xml:space="preserve"> </w:t>
      </w:r>
      <w:r>
        <w:rPr>
          <w:rStyle w:val="VerbatimChar"/>
        </w:rPr>
        <w:t xml:space="preserve">NOT_CONTRADICTED_BY_LOCKED_AUDIT</w:t>
      </w:r>
      <w:r>
        <w:t xml:space="preserve">. It neither confirms a broader closure theorem nor</w:t>
      </w:r>
      <w:r>
        <w:t xml:space="preserve"> </w:t>
      </w:r>
      <w:r>
        <w:t xml:space="preserve">grants a new certificate, and it does not transfer to another boundary, coarse variable, or</w:t>
      </w:r>
      <w:r>
        <w:t xml:space="preserve"> </w:t>
      </w:r>
      <w:r>
        <w:t xml:space="preserve">physical system.</w:t>
      </w:r>
    </w:p>
    <w:p>
      <w:pPr>
        <w:pStyle w:val="BodyText"/>
        <w:widowControl/>
      </w:pPr>
      <w:r>
        <w:t xml:space="preserve">A post-hoc operating-characteristic calculation, using the unchanged</w:t>
      </w:r>
      <w:r>
        <w:t xml:space="preserve"> </w:t>
      </w:r>
      <m:oMath>
        <m:sSub>
          <m:e>
            <m:r>
              <m:t>m</m:t>
            </m:r>
          </m:e>
          <m:sub>
            <m:r>
              <m:t>L</m:t>
            </m:r>
          </m:sub>
        </m:sSub>
        <m:r>
          <m:rPr>
            <m:sty m:val="p"/>
          </m:rPr>
          <m:t>=</m:t>
        </m:r>
        <m:r>
          <m:t>64</m:t>
        </m:r>
      </m:oMath>
      <w:r>
        <w:t xml:space="preserve">,</w:t>
      </w:r>
      <w:r>
        <w:t xml:space="preserve"> </w:t>
      </w:r>
      <m:oMath>
        <m:r>
          <m:t>γ</m:t>
        </m:r>
        <m:r>
          <m:rPr>
            <m:sty m:val="p"/>
          </m:rPr>
          <m:t>=</m:t>
        </m:r>
        <m:sSub>
          <m:e>
            <m:r>
              <m:t>δ</m:t>
            </m:r>
          </m:e>
          <m:sub>
            <m:r>
              <m:rPr>
                <m:nor/>
              </m:rPr>
              <m:t>cert</m:t>
            </m:r>
          </m:sub>
        </m:sSub>
        <m:r>
          <m:rPr>
            <m:sty m:val="p"/>
          </m:rPr>
          <m:t>=</m:t>
        </m:r>
        <m:r>
          <m:t>0.05</m:t>
        </m:r>
      </m:oMath>
      <w:r>
        <w:t xml:space="preserve"> </w:t>
      </w:r>
      <w:r>
        <w:t xml:space="preserve">rule, shows that withdrawal first occurs at</w:t>
      </w:r>
      <w:r>
        <w:t xml:space="preserve"> </w:t>
      </w:r>
      <m:oMath>
        <m:sSub>
          <m:e>
            <m:r>
              <m:t>K</m:t>
            </m:r>
          </m:e>
          <m:sub>
            <m:r>
              <m:t>L</m:t>
            </m:r>
          </m:sub>
        </m:sSub>
        <m:r>
          <m:rPr>
            <m:sty m:val="p"/>
          </m:rPr>
          <m:t>=</m:t>
        </m:r>
        <m:r>
          <m:t>7</m:t>
        </m:r>
      </m:oMath>
      <w:r>
        <w:t xml:space="preserve">:</w:t>
      </w:r>
      <w:r>
        <w:t xml:space="preserve"> </w:t>
      </w:r>
      <m:oMath>
        <m:sSub>
          <m:e>
            <m:r>
              <m:t>L</m:t>
            </m:r>
          </m:e>
          <m:sub>
            <m:r>
              <m:rPr>
                <m:nor/>
              </m:rPr>
              <m:t>CP</m:t>
            </m:r>
          </m:sub>
        </m:sSub>
        <m:r>
          <m:rPr>
            <m:sty m:val="p"/>
          </m:rPr>
          <m:t>(</m:t>
        </m:r>
        <m:r>
          <m:t>6</m:t>
        </m:r>
        <m:r>
          <m:rPr>
            <m:sty m:val="p"/>
          </m:rPr>
          <m:t>,</m:t>
        </m:r>
        <m:r>
          <m:t>64</m:t>
        </m:r>
        <m:r>
          <m:rPr>
            <m:sty m:val="p"/>
          </m:rPr>
          <m:t>)</m:t>
        </m:r>
        <m:r>
          <m:rPr>
            <m:sty m:val="p"/>
          </m:rPr>
          <m:t>=</m:t>
        </m:r>
        <m:r>
          <m:t>0.04162</m:t>
        </m:r>
      </m:oMath>
      <w:r>
        <w:t xml:space="preserve"> </w:t>
      </w:r>
      <w:r>
        <w:t xml:space="preserve">and</w:t>
      </w:r>
      <w:r>
        <w:t xml:space="preserve"> </w:t>
      </w:r>
      <m:oMath>
        <m:sSub>
          <m:e>
            <m:r>
              <m:t>L</m:t>
            </m:r>
          </m:e>
          <m:sub>
            <m:r>
              <m:rPr>
                <m:nor/>
              </m:rPr>
              <m:t>CP</m:t>
            </m:r>
          </m:sub>
        </m:sSub>
        <m:r>
          <m:rPr>
            <m:sty m:val="p"/>
          </m:rPr>
          <m:t>(</m:t>
        </m:r>
        <m:r>
          <m:t>7</m:t>
        </m:r>
        <m:r>
          <m:rPr>
            <m:sty m:val="p"/>
          </m:rPr>
          <m:t>,</m:t>
        </m:r>
        <m:r>
          <m:t>64</m:t>
        </m:r>
        <m:r>
          <m:rPr>
            <m:sty m:val="p"/>
          </m:rPr>
          <m:t>)</m:t>
        </m:r>
        <m:r>
          <m:rPr>
            <m:sty m:val="p"/>
          </m:rPr>
          <m:t>=</m:t>
        </m:r>
        <m:r>
          <m:t>0.05247</m:t>
        </m:r>
      </m:oMath>
      <w:r>
        <w:t xml:space="preserve">. Its withdrawal probability</w:t>
      </w:r>
      <w:r>
        <w:t xml:space="preserve"> </w:t>
      </w:r>
      <w:r>
        <w:t xml:space="preserve">is</w:t>
      </w:r>
      <w:r>
        <w:t xml:space="preserve"> </w:t>
      </w:r>
      <m:oMath>
        <m:r>
          <m:t>0.461</m:t>
        </m:r>
      </m:oMath>
      <w:r>
        <w:t xml:space="preserve"> </w:t>
      </w:r>
      <w:r>
        <w:t xml:space="preserve">at a hypothetical implementation-event rate of</w:t>
      </w:r>
      <w:r>
        <w:t xml:space="preserve"> </w:t>
      </w:r>
      <m:oMath>
        <m:r>
          <m:t>0.10</m:t>
        </m:r>
      </m:oMath>
      <w:r>
        <w:t xml:space="preserve"> </w:t>
      </w:r>
      <w:r>
        <w:t xml:space="preserve">and</w:t>
      </w:r>
      <w:r>
        <w:t xml:space="preserve"> </w:t>
      </w:r>
      <m:oMath>
        <m:r>
          <m:t>0.864</m:t>
        </m:r>
      </m:oMath>
      <w:r>
        <w:t xml:space="preserve"> </w:t>
      </w:r>
      <w:r>
        <w:t xml:space="preserve">at</w:t>
      </w:r>
      <w:r>
        <w:t xml:space="preserve"> </w:t>
      </w:r>
      <m:oMath>
        <m:r>
          <m:t>0.15</m:t>
        </m:r>
      </m:oMath>
      <w:r>
        <w:t xml:space="preserve">.</w:t>
      </w:r>
      <w:r>
        <w:t xml:space="preserve"> </w:t>
      </w:r>
      <w:r>
        <w:t xml:space="preserve">This calculation is not a registered endpoint and does not change the exact D2 status. Because a</w:t>
      </w:r>
      <w:r>
        <w:t xml:space="preserve"> </w:t>
      </w:r>
      <w:r>
        <w:t xml:space="preserve">correct implementation cannot violate the registered construction, the grid describes operating</w:t>
      </w:r>
      <w:r>
        <w:t xml:space="preserve"> </w:t>
      </w:r>
      <w:r>
        <w:t xml:space="preserve">characteristics of the withdrawal machinery under hypothetical faults, not uncertainty about the</w:t>
      </w:r>
      <w:r>
        <w:t xml:space="preserve"> </w:t>
      </w:r>
      <w:r>
        <w:t xml:space="preserve">Rule 170 density identity.</w:t>
      </w:r>
    </w:p>
    <w:p>
      <w:pPr>
        <w:pStyle w:val="BodyText"/>
        <w:widowControl/>
      </w:pPr>
      <w:r>
        <w:t xml:space="preserve">All prespecified fidelity comparisons preserved their upper-level observables and decisions and</w:t>
      </w:r>
      <w:r>
        <w:t xml:space="preserve"> </w:t>
      </w:r>
      <w:r>
        <w:t xml:space="preserve">required no further refinement. This conclusion is specific to their observables, tolerances,</w:t>
      </w:r>
      <w:r>
        <w:t xml:space="preserve"> </w:t>
      </w:r>
      <w:r>
        <w:t xml:space="preserve">horizons, and input laws.</w:t>
      </w:r>
      <w:r>
        <w:t xml:space="preserve"> </w:t>
      </w:r>
      <w:r>
        <w:t xml:space="preserve">The comparisons distinguish lower-level numerical change from change that matters to the stated</w:t>
      </w:r>
      <w:r>
        <w:t xml:space="preserve"> </w:t>
      </w:r>
      <w:r>
        <w:t xml:space="preserve">scientific inference.</w:t>
      </w:r>
    </w:p>
    <w:bookmarkEnd w:id="50"/>
    <w:bookmarkStart w:id="55" w:name="Xcc8299f8196c9b7e66b060925687a2edff5288d"/>
    <w:p>
      <w:pPr>
        <w:pStyle w:val="Heading2"/>
        <w:keepNext/>
        <w:keepLines/>
        <w:widowControl/>
      </w:pPr>
      <w:r>
        <w:t xml:space="preserve">One prespecified order was least costly on this workload</w:t>
      </w:r>
    </w:p>
    <w:p>
      <w:pPr>
        <w:pStyle w:val="FirstParagraph"/>
        <w:widowControl/>
      </w:pPr>
      <w:r>
        <w:t xml:space="preserve">Both</w:t>
      </w:r>
      <w:r>
        <w:t xml:space="preserve"> </w:t>
      </w:r>
      <w:r>
        <w:rPr>
          <w:rStyle w:val="VerbatimChar"/>
        </w:rPr>
        <w:t xml:space="preserve">fixed_order</w:t>
      </w:r>
      <w:r>
        <w:t xml:space="preserve"> </w:t>
      </w:r>
      <w:r>
        <w:t xml:space="preserve">and</w:t>
      </w:r>
      <w:r>
        <w:t xml:space="preserve"> </w:t>
      </w:r>
      <w:r>
        <w:rPr>
          <w:rStyle w:val="VerbatimChar"/>
        </w:rPr>
        <w:t xml:space="preserve">development_frozen_order</w:t>
      </w:r>
      <w:r>
        <w:t xml:space="preserve"> </w:t>
      </w:r>
      <w:r>
        <w:t xml:space="preserve">were distinct permutations of</w:t>
      </w:r>
      <w:r>
        <w:t xml:space="preserve"> </w:t>
      </w:r>
      <w:r>
        <w:t xml:space="preserve">the same 256 candidates generated before protected execution by sorting salted SHA-256 digests;</w:t>
      </w:r>
      <w:r>
        <w:t xml:space="preserve"> </w:t>
      </w:r>
      <w:r>
        <w:t xml:space="preserve">neither carried a scientific ordering prior. All four policies matched the exhaustive final</w:t>
      </w:r>
      <w:r>
        <w:t xml:space="preserve"> </w:t>
      </w:r>
      <w:r>
        <w:t xml:space="preserve">decision, best valid candidate, and failure status in all 64 paired blocks. Their costs nevertheless</w:t>
      </w:r>
      <w:r>
        <w:t xml:space="preserve"> </w:t>
      </w:r>
      <w:r>
        <w:t xml:space="preserve">differed because the role-derived generating rules occupied different positions in those fixed</w:t>
      </w:r>
      <w:r>
        <w:t xml:space="preserve"> </w:t>
      </w:r>
      <w:r>
        <w:t xml:space="preserve">permutations:</w:t>
      </w:r>
      <w:r>
        <w:t xml:space="preserve"> </w:t>
      </w:r>
      <w:r>
        <w:rPr>
          <w:rStyle w:val="VerbatimChar"/>
        </w:rPr>
        <w:t xml:space="preserve">fixed_order</w:t>
      </w:r>
      <w:r>
        <w:t xml:space="preserve"> </w:t>
      </w:r>
      <w:r>
        <w:t xml:space="preserve">used 75,080</w:t>
      </w:r>
      <w:r>
        <w:t xml:space="preserve"> </w:t>
      </w:r>
      <w:r>
        <w:t xml:space="preserve">units, development-frozen order 89,816, adaptive fidelity 92,592, and exhaustive search 132,096.</w:t>
      </w:r>
      <w:r>
        <w:t xml:space="preserve"> </w:t>
      </w:r>
      <w:r>
        <w:t xml:space="preserve">Relative to exhaustive search, the first three saved 43.16%, 32.01%, and 29.91%, respectively.</w:t>
      </w:r>
    </w:p>
    <w:bookmarkStart w:id="54" w:name="fig:policy-cost"/>
    <w:p>
      <w:pPr>
        <w:pStyle w:val="CaptionedFigure"/>
        <w:keepNext/>
        <w:keepLines/>
        <w:widowControl/>
        <w:spacing w:before="80" w:after="20"/>
        <w:jc w:val="center"/>
      </w:pPr>
      <w:r>
        <w:drawing>
          <wp:inline>
            <wp:extent cx="5067300" cy="3941233"/>
            <wp:effectExtent b="0" l="0" r="0" t="0"/>
            <wp:docPr descr="Stacked bars compare immutable registered cost components for fixed order, development-frozen order, adaptive fidelity, and exhaustive search. Totals are 75,080, 89,816, 92,592, and 132,096 cost units, respectively. All policies reached the same registered decision in all 64 paired blocks, but fixed order was cheapest and adaptive fidelity did not win this workload." title="Figure 4: Benchmark E policy cost composition" id="52" name="Picture"/>
            <a:graphic>
              <a:graphicData uri="http://schemas.openxmlformats.org/drawingml/2006/picture">
                <pic:pic>
                  <pic:nvPicPr>
                    <pic:cNvPr descr="policy_cost_composition_v3_4.png" id="53" name="Picture"/>
                    <pic:cNvPicPr>
                      <a:picLocks noChangeArrowheads="1" noChangeAspect="1"/>
                    </pic:cNvPicPr>
                  </pic:nvPicPr>
                  <pic:blipFill>
                    <a:blip r:embed="rId51"/>
                    <a:stretch>
                      <a:fillRect/>
                    </a:stretch>
                  </pic:blipFill>
                  <pic:spPr bwMode="auto">
                    <a:xfrm>
                      <a:off x="0" y="0"/>
                      <a:ext cx="5067300" cy="3941233"/>
                    </a:xfrm>
                    <a:prstGeom prst="rect">
                      <a:avLst/>
                    </a:prstGeom>
                    <a:noFill/>
                    <a:ln w="9525">
                      <a:noFill/>
                      <a:headEnd/>
                      <a:tailEnd/>
                    </a:ln>
                  </pic:spPr>
                </pic:pic>
              </a:graphicData>
            </a:graphic>
          </wp:inline>
        </w:drawing>
      </w:r>
    </w:p>
    <w:p>
      <w:pPr>
        <w:pStyle w:val="ImageCaption"/>
        <w:widowControl/>
      </w:pPr>
      <w:r>
        <w:t>Figure 4. Benchmark E costs on the same 64 observation streams. Stacked components include candidate-block steps, ordering, probes, reference refinements, and retry/other costs; they sum to each reported total. All policies agreed with exhaustive search, but one prespecified salted pseudo-random order was least costly and adaptive fidelity did not win this constructed workload.</w:t>
      </w:r>
    </w:p>
    <w:bookmarkEnd w:id="54"/>
    <w:p>
      <w:pPr>
        <w:pStyle w:val="BodyText"/>
        <w:widowControl/>
      </w:pPr>
      <w:r>
        <w:t xml:space="preserve">Adaptive fidelity cost about 23.32% more than</w:t>
      </w:r>
      <w:r>
        <w:t xml:space="preserve"> </w:t>
      </w:r>
      <w:r>
        <w:rPr>
          <w:rStyle w:val="VerbatimChar"/>
        </w:rPr>
        <w:t xml:space="preserve">fixed_order</w:t>
      </w:r>
      <w:r>
        <w:t xml:space="preserve"> </w:t>
      </w:r>
      <w:r>
        <w:t xml:space="preserve">and 3.09% more than</w:t>
      </w:r>
      <w:r>
        <w:t xml:space="preserve"> </w:t>
      </w:r>
      <w:r>
        <w:rPr>
          <w:rStyle w:val="VerbatimChar"/>
        </w:rPr>
        <w:t xml:space="preserve">development_frozen_order</w:t>
      </w:r>
      <w:r>
        <w:t xml:space="preserve">. Its cheap tier evaluates four support rows for all 256</w:t>
      </w:r>
      <w:r>
        <w:t xml:space="preserve"> </w:t>
      </w:r>
      <w:r>
        <w:t xml:space="preserve">candidates before full-tier evaluation and reference refinement; that overhead was not repaid in</w:t>
      </w:r>
      <w:r>
        <w:t xml:space="preserve"> </w:t>
      </w:r>
      <w:r>
        <w:t xml:space="preserve">this grammar. The supported conclusion is narrow: one prespecified early-stopping order was least</w:t>
      </w:r>
      <w:r>
        <w:t xml:space="preserve"> </w:t>
      </w:r>
      <w:r>
        <w:t xml:space="preserve">costly on this constructed workload and registered cost map, while adaptive fidelity did not win.</w:t>
      </w:r>
      <w:r>
        <w:t xml:space="preserve"> </w:t>
      </w:r>
      <w:r>
        <w:t xml:space="preserve">Cost units are bookkeeping components, not universal wall-clock time, and the ranking does not</w:t>
      </w:r>
      <w:r>
        <w:t xml:space="preserve"> </w:t>
      </w:r>
      <w:r>
        <w:t xml:space="preserve">generalize to multifidelity search.</w:t>
      </w:r>
    </w:p>
    <w:bookmarkEnd w:id="55"/>
    <w:bookmarkStart w:id="56" w:name="X459868bc73078d0b5816e1e3711d03e47316c61"/>
    <w:p>
      <w:pPr>
        <w:pStyle w:val="Heading2"/>
        <w:keepNext/>
        <w:keepLines/>
        <w:widowControl/>
      </w:pPr>
      <w:r>
        <w:t xml:space="preserve">Known-fixture recovery completed the finite-grammar test, not the biological bridge</w:t>
      </w:r>
    </w:p>
    <w:p>
      <w:pPr>
        <w:pStyle w:val="FirstParagraph"/>
        <w:widowControl/>
      </w:pPr>
      <w:r>
        <w:t xml:space="preserve">F0 contained 32 clean translations, 16 single-cell perturbations, and 16 negative controls from</w:t>
      </w:r>
      <w:r>
        <w:t xml:space="preserve"> </w:t>
      </w:r>
      <w:r>
        <w:t xml:space="preserve">project-defined Rule 54/110 whole-trajectory fixtures. The rules are established ECA fixtures</w:t>
      </w:r>
      <w:r>
        <w:t xml:space="preserve"> </w:t>
      </w:r>
      <w:r>
        <w:t xml:space="preserve">(Cook 2004; Martínez et al. 2006)</w:t>
      </w:r>
      <w:r>
        <w:t xml:space="preserve">, but the exact seeds and patterns used here were defined by this</w:t>
      </w:r>
      <w:r>
        <w:t xml:space="preserve"> </w:t>
      </w:r>
      <w:r>
        <w:t xml:space="preserve">project rather than reproduced from literature. Similarity was 1.000 for clean translations,</w:t>
      </w:r>
      <w:r>
        <w:t xml:space="preserve"> </w:t>
      </w:r>
      <w:r>
        <w:t xml:space="preserve">0.9988 for perturbations, and 0.511–0.554 for negative controls. This passed as known-template</w:t>
      </w:r>
      <w:r>
        <w:t xml:space="preserve"> </w:t>
      </w:r>
      <w:r>
        <w:t xml:space="preserve">conformance: recognition of project-defined fixtures and controls, not persistent-structure</w:t>
      </w:r>
      <w:r>
        <w:t xml:space="preserve"> </w:t>
      </w:r>
      <w:r>
        <w:t xml:space="preserve">discovery, prediction, velocity or lifetime estimation, or a novel phenomenon.</w:t>
      </w:r>
      <w:r>
        <w:t xml:space="preserve"> </w:t>
      </w:r>
      <w:r>
        <w:t xml:space="preserve">The 32/16/16 counts are descriptive realized strata of the prespecified iid mixture, not additional</w:t>
      </w:r>
      <w:r>
        <w:t xml:space="preserve"> </w:t>
      </w:r>
      <w:r>
        <w:t xml:space="preserve">inferential endpoints, and the comparison concerns whole trajectories only. Because positive</w:t>
      </w:r>
      <w:r>
        <w:t xml:space="preserve"> </w:t>
      </w:r>
      <w:r>
        <w:t xml:space="preserve">cases are generated from the same registered templates and negative cases from a project-defined</w:t>
      </w:r>
      <w:r>
        <w:t xml:space="preserve"> </w:t>
      </w:r>
      <w:r>
        <w:t xml:space="preserve">digest construction, the zero adverse blocks are constructed-workload conformance for a correct</w:t>
      </w:r>
      <w:r>
        <w:t xml:space="preserve"> </w:t>
      </w:r>
      <w:r>
        <w:t xml:space="preserve">matcher, not an estimate of general pattern-discovery performance.</w:t>
      </w:r>
    </w:p>
    <w:bookmarkEnd w:id="56"/>
    <w:bookmarkEnd w:id="57"/>
    <w:bookmarkStart w:id="62" w:name="discussion"/>
    <w:p>
      <w:pPr>
        <w:pStyle w:val="Heading1"/>
        <w:keepNext/>
        <w:keepLines/>
        <w:widowControl/>
      </w:pPr>
      <w:r>
        <w:t xml:space="preserve">Discussion</w:t>
      </w:r>
    </w:p>
    <w:bookmarkStart w:id="58" w:name="honest-outcomes-are-part-of-the-method"/>
    <w:p>
      <w:pPr>
        <w:pStyle w:val="Heading2"/>
        <w:keepNext/>
        <w:keepLines/>
        <w:widowControl/>
      </w:pPr>
      <w:r>
        <w:t xml:space="preserve">Honest outcomes are part of the method</w:t>
      </w:r>
    </w:p>
    <w:p>
      <w:pPr>
        <w:pStyle w:val="FirstParagraph"/>
        <w:widowControl/>
      </w:pPr>
      <w:r>
        <w:t xml:space="preserve">APHFS preserved outcomes that a success-only pipeline could collapse. A1 retained the generating</w:t>
      </w:r>
      <w:r>
        <w:t xml:space="preserve"> </w:t>
      </w:r>
      <w:r>
        <w:t xml:space="preserve">rule while admitting residual ambiguity. The constructed B1 class was declared inadequate only</w:t>
      </w:r>
      <w:r>
        <w:t xml:space="preserve"> </w:t>
      </w:r>
      <w:r>
        <w:t xml:space="preserve">after every member had a valid bound. D2-CERT’s constructed closed-map pipeline reached its exact</w:t>
      </w:r>
      <w:r>
        <w:t xml:space="preserve"> </w:t>
      </w:r>
      <w:r>
        <w:t xml:space="preserve">non-withdrawal state without implying broader confirmation. Each outcome motivates a different</w:t>
      </w:r>
      <w:r>
        <w:t xml:space="preserve"> </w:t>
      </w:r>
      <w:r>
        <w:t xml:space="preserve">response: collect sharper observations, specify a</w:t>
      </w:r>
      <w:r>
        <w:t xml:space="preserve"> </w:t>
      </w:r>
      <w:r>
        <w:t xml:space="preserve">broader language in a new study, or retain a conditional statement.</w:t>
      </w:r>
    </w:p>
    <w:p>
      <w:pPr>
        <w:pStyle w:val="BodyText"/>
        <w:widowControl/>
      </w:pPr>
      <w:r>
        <w:t xml:space="preserve">Failure semantics define the same boundary from the other side. An incomplete ledger or invalid</w:t>
      </w:r>
      <w:r>
        <w:t xml:space="preserve"> </w:t>
      </w:r>
      <w:r>
        <w:t xml:space="preserve">simultaneous bound suspends the class decision; a domain exit withdraws the cross-scale bound.</w:t>
      </w:r>
      <w:r>
        <w:t xml:space="preserve"> </w:t>
      </w:r>
      <w:r>
        <w:t xml:space="preserve">Rule 90 density non-closure, lag-1 memory repair in the two-bit system, and the distinct Rule 170</w:t>
      </w:r>
      <w:r>
        <w:t xml:space="preserve"> </w:t>
      </w:r>
      <w:r>
        <w:t xml:space="preserve">certificate interface show why coarse descriptions must be judged by their own maps, domains, and</w:t>
      </w:r>
      <w:r>
        <w:t xml:space="preserve"> </w:t>
      </w:r>
      <w:r>
        <w:t xml:space="preserve">questions.</w:t>
      </w:r>
      <w:r>
        <w:t xml:space="preserve"> </w:t>
      </w:r>
      <w:r>
        <w:t xml:space="preserve">This separation turns apparent failure into experimental guidance. Residual ambiguity calls for</w:t>
      </w:r>
      <w:r>
        <w:t xml:space="preserve"> </w:t>
      </w:r>
      <w:r>
        <w:t xml:space="preserve">more discriminating observables; class inadequacy calls for a newly specified language; and an</w:t>
      </w:r>
      <w:r>
        <w:t xml:space="preserve"> </w:t>
      </w:r>
      <w:r>
        <w:t xml:space="preserve">indeterminate outcome calls for repairing evidence or computation before making a scientific</w:t>
      </w:r>
      <w:r>
        <w:t xml:space="preserve"> </w:t>
      </w:r>
      <w:r>
        <w:t xml:space="preserve">claim.</w:t>
      </w:r>
    </w:p>
    <w:bookmarkEnd w:id="58"/>
    <w:bookmarkStart w:id="59" w:name="X79ccc338503bda46f596d94c4146a16a033b639"/>
    <w:p>
      <w:pPr>
        <w:pStyle w:val="Heading2"/>
        <w:keepNext/>
        <w:keepLines/>
        <w:widowControl/>
      </w:pPr>
      <w:r>
        <w:t xml:space="preserve">Greater complexity is not automatically greater efficiency</w:t>
      </w:r>
    </w:p>
    <w:p>
      <w:pPr>
        <w:pStyle w:val="FirstParagraph"/>
        <w:widowControl/>
      </w:pPr>
      <w:r>
        <w:t xml:space="preserve">Benchmark E supplies a concrete caution: adaptive fidelity saved resources relative to exhaustive</w:t>
      </w:r>
      <w:r>
        <w:t xml:space="preserve"> </w:t>
      </w:r>
      <w:r>
        <w:t xml:space="preserve">search, but one salted pseudo-random early-stopping order was cheaper while reaching the same</w:t>
      </w:r>
      <w:r>
        <w:t xml:space="preserve"> </w:t>
      </w:r>
      <w:r>
        <w:t xml:space="preserve">decisions. The two static orders differed only by prespecified salts, not by a learned scientific</w:t>
      </w:r>
      <w:r>
        <w:t xml:space="preserve"> </w:t>
      </w:r>
      <w:r>
        <w:t xml:space="preserve">prior. Adaptation helps only when information gains exceed overhead. This constructed comparison</w:t>
      </w:r>
      <w:r>
        <w:t xml:space="preserve"> </w:t>
      </w:r>
      <w:r>
        <w:t xml:space="preserve">supports neither a universal fixed ordering nor a rejection of multifidelity methods.</w:t>
      </w:r>
    </w:p>
    <w:bookmarkEnd w:id="59"/>
    <w:bookmarkStart w:id="60" w:name="X4e29773e139e707ee497d79b6768e4c589e5aa5"/>
    <w:p>
      <w:pPr>
        <w:pStyle w:val="Heading2"/>
        <w:keepNext/>
        <w:keepLines/>
        <w:widowControl/>
      </w:pPr>
      <w:r>
        <w:t xml:space="preserve">Conditions under which APHFS would lose practical value</w:t>
      </w:r>
    </w:p>
    <w:p>
      <w:pPr>
        <w:pStyle w:val="FirstParagraph"/>
        <w:widowControl/>
      </w:pPr>
      <w:r>
        <w:t xml:space="preserve">APHFS would lose practical value if it abstains so often that it cannot guide the next</w:t>
      </w:r>
      <w:r>
        <w:t xml:space="preserve"> </w:t>
      </w:r>
      <w:r>
        <w:t xml:space="preserve">measurement; if, across registered domain studies, its decisions repeatedly match a much cheaper</w:t>
      </w:r>
      <w:r>
        <w:t xml:space="preserve"> </w:t>
      </w:r>
      <w:r>
        <w:t xml:space="preserve">baseline without compensating evidential benefit; if reasonable probe changes make the operational</w:t>
      </w:r>
      <w:r>
        <w:t xml:space="preserve"> </w:t>
      </w:r>
      <w:r>
        <w:t xml:space="preserve">signature partition unstable; if candidate languages repeatedly fail every domain bridge without</w:t>
      </w:r>
      <w:r>
        <w:t xml:space="preserve"> </w:t>
      </w:r>
      <w:r>
        <w:t xml:space="preserve">producing informative revisions; or if the declared resource burden makes evaluation infeasible.</w:t>
      </w:r>
      <w:r>
        <w:t xml:space="preserve"> </w:t>
      </w:r>
      <w:r>
        <w:t xml:space="preserve">These are failure criteria for the usefulness of the framework, distinct from failure of one</w:t>
      </w:r>
      <w:r>
        <w:t xml:space="preserve"> </w:t>
      </w:r>
      <w:r>
        <w:t xml:space="preserve">candidate model. They require future comparative studies rather than reinterpretation of the</w:t>
      </w:r>
      <w:r>
        <w:t xml:space="preserve"> </w:t>
      </w:r>
      <w:r>
        <w:t xml:space="preserve">current locked blocks.</w:t>
      </w:r>
    </w:p>
    <w:bookmarkEnd w:id="60"/>
    <w:bookmarkStart w:id="61" w:name="the-next-registered-biochemical-bridge"/>
    <w:p>
      <w:pPr>
        <w:pStyle w:val="Heading2"/>
        <w:keepNext/>
        <w:keepLines/>
        <w:widowControl/>
      </w:pPr>
      <w:r>
        <w:t xml:space="preserve">The next registered biochemical bridge</w:t>
      </w:r>
    </w:p>
    <w:p>
      <w:pPr>
        <w:pStyle w:val="FirstParagraph"/>
        <w:widowControl/>
      </w:pPr>
      <w:r>
        <w:t xml:space="preserve">The next study can be publicly preregistered around a finite enzyme-kinetics grammar that separates</w:t>
      </w:r>
      <w:r>
        <w:t xml:space="preserve"> </w:t>
      </w:r>
      <w:r>
        <w:t xml:space="preserve">mechanistic mass-action systems from reduced rate laws. Its in-class language would include bounded</w:t>
      </w:r>
      <w:r>
        <w:t xml:space="preserve"> </w:t>
      </w:r>
      <w:r>
        <w:t xml:space="preserve">Michaelis–Menten, Hill/cooperative, competitive- and noncompetitive-inhibition, substrate-</w:t>
      </w:r>
      <w:r>
        <w:t xml:space="preserve"> </w:t>
      </w:r>
      <w:r>
        <w:t xml:space="preserve">inhibition, delay, and allosteric candidates, with equations, units, parameter domains, initial</w:t>
      </w:r>
      <w:r>
        <w:t xml:space="preserve"> </w:t>
      </w:r>
      <w:r>
        <w:t xml:space="preserve">conditions, conservation constraints, and semantic duplicates fixed. A new data-generating law</w:t>
      </w:r>
      <w:r>
        <w:t xml:space="preserve"> </w:t>
      </w:r>
      <w:r>
        <w:t xml:space="preserve">would define perturbations, substrate and inhibitor levels, sampling times, replicates, batches,</w:t>
      </w:r>
      <w:r>
        <w:t xml:space="preserve"> </w:t>
      </w:r>
      <w:r>
        <w:t xml:space="preserve">noise, censoring, missingness, and detection limits. Partial steady-state and time-series</w:t>
      </w:r>
      <w:r>
        <w:t xml:space="preserve"> </w:t>
      </w:r>
      <w:r>
        <w:t xml:space="preserve">concentrations would then test operational non-identifiability, while an explicitly excluded but</w:t>
      </w:r>
      <w:r>
        <w:t xml:space="preserve"> </w:t>
      </w:r>
      <w:r>
        <w:t xml:space="preserve">distinguishable mechanism could provide a prespecified class-inadequacy challenge.</w:t>
      </w:r>
    </w:p>
    <w:p>
      <w:pPr>
        <w:pStyle w:val="BodyText"/>
        <w:widowControl/>
      </w:pPr>
      <w:r>
        <w:t xml:space="preserve">The study would define a recovery- or homeostasis-relevant upper observable after substrate or</w:t>
      </w:r>
      <w:r>
        <w:t xml:space="preserve"> </w:t>
      </w:r>
      <w:r>
        <w:t xml:space="preserve">inhibitor perturbation. Solver tolerance, time step, state resolution, and horizon refinements</w:t>
      </w:r>
      <w:r>
        <w:t xml:space="preserve"> </w:t>
      </w:r>
      <w:r>
        <w:t xml:space="preserve">would be accepted only when that observable and its retain/inadequate/indeterminate decision remain</w:t>
      </w:r>
      <w:r>
        <w:t xml:space="preserve"> </w:t>
      </w:r>
      <w:r>
        <w:t xml:space="preserve">stable. New development, calibration, and held-out roles would be generated for this study; the</w:t>
      </w:r>
      <w:r>
        <w:t xml:space="preserve"> </w:t>
      </w:r>
      <w:r>
        <w:t xml:space="preserve">current ECA roles would not be reused. The new protocol would define sample size, power,</w:t>
      </w:r>
      <w:r>
        <w:t xml:space="preserve"> </w:t>
      </w:r>
      <w:r>
        <w:t xml:space="preserve">multiplicity, stopping, and fair cost accounting before evaluation. AIC, BIC, profile likelihood,</w:t>
      </w:r>
      <w:r>
        <w:t xml:space="preserve"> </w:t>
      </w:r>
      <w:r>
        <w:t xml:space="preserve">top-1 selection, or SINDy could enter only as prespecified empirical baselines under the same</w:t>
      </w:r>
      <w:r>
        <w:t xml:space="preserve"> </w:t>
      </w:r>
      <w:r>
        <w:t xml:space="preserve">observations and budgets. Ambiguity, class</w:t>
      </w:r>
      <w:r>
        <w:t xml:space="preserve"> </w:t>
      </w:r>
      <w:r>
        <w:t xml:space="preserve">inadequacy, fidelity failure, and policy non-advantage would remain admissible rather than being</w:t>
      </w:r>
      <w:r>
        <w:t xml:space="preserve"> </w:t>
      </w:r>
      <w:r>
        <w:t xml:space="preserve">recoded as success. This blueprint is a future study, not biochemical evidence in the present one.</w:t>
      </w:r>
    </w:p>
    <w:p>
      <w:pPr>
        <w:pStyle w:val="BodyText"/>
        <w:widowControl/>
      </w:pPr>
      <w:r>
        <w:t xml:space="preserve">Repeated bridges of this kind are required before movement toward cellular organization.</w:t>
      </w:r>
      <w:r>
        <w:t xml:space="preserve"> </w:t>
      </w:r>
      <w:r>
        <w:t xml:space="preserve">Whole-cell models illustrate both integrative reach and demanding validation</w:t>
      </w:r>
      <w:r>
        <w:t xml:space="preserve"> </w:t>
      </w:r>
      <w:r>
        <w:t xml:space="preserve">(Karr et al. 2012;</w:t>
      </w:r>
      <w:r>
        <w:t xml:space="preserve"> </w:t>
      </w:r>
      <w:r>
        <w:t xml:space="preserve">Thornburg et al.</w:t>
      </w:r>
      <w:r>
        <w:t xml:space="preserve"> </w:t>
      </w:r>
      <w:r>
        <w:t xml:space="preserve">2022, 2026a, 2026b)</w:t>
      </w:r>
      <w:r>
        <w:t xml:space="preserve">. Aging becomes testable only</w:t>
      </w:r>
      <w:r>
        <w:t xml:space="preserve"> </w:t>
      </w:r>
      <w:r>
        <w:t xml:space="preserve">when models predict longitudinal homeostatic drift and recovery under suitable data</w:t>
      </w:r>
      <w:r>
        <w:t xml:space="preserve"> </w:t>
      </w:r>
      <w:r>
        <w:t xml:space="preserve">(López-Otín et al. 2013, 2023)</w:t>
      </w:r>
      <w:r>
        <w:t xml:space="preserve">; rejuvenation follows later through causal,</w:t>
      </w:r>
      <w:r>
        <w:t xml:space="preserve"> </w:t>
      </w:r>
      <w:r>
        <w:t xml:space="preserve">safety-constrained intervention studies. More classical or quantum compute may expand the</w:t>
      </w:r>
      <w:r>
        <w:t xml:space="preserve"> </w:t>
      </w:r>
      <w:r>
        <w:t xml:space="preserve">evaluation, but it cannot substitute for domain evidence; no quantum advantage was tested here.</w:t>
      </w:r>
    </w:p>
    <w:bookmarkEnd w:id="61"/>
    <w:bookmarkEnd w:id="62"/>
    <w:bookmarkStart w:id="63" w:name="limitations"/>
    <w:p>
      <w:pPr>
        <w:pStyle w:val="Heading1"/>
        <w:keepNext/>
        <w:keepLines/>
        <w:widowControl/>
      </w:pPr>
      <w:r>
        <w:t xml:space="preserve">Limitations</w:t>
      </w:r>
    </w:p>
    <w:p>
      <w:pPr>
        <w:pStyle w:val="FirstParagraph"/>
        <w:widowControl/>
      </w:pPr>
      <w:r>
        <w:t xml:space="preserve">The study is deliberately narrow. Completeness applies only to the 256 radius-one binary rule</w:t>
      </w:r>
      <w:r>
        <w:t xml:space="preserve"> </w:t>
      </w:r>
      <w:r>
        <w:t xml:space="preserve">addresses under the specified interfaces. A0 is internal implementation conformance; C, D0, D1,</w:t>
      </w:r>
      <w:r>
        <w:t xml:space="preserve"> </w:t>
      </w:r>
      <w:r>
        <w:t xml:space="preserve">and D2-MEM are analytical, deterministic, or formula checks. A1, B0, B1, E, and F0 are constructed</w:t>
      </w:r>
      <w:r>
        <w:t xml:space="preserve"> </w:t>
      </w:r>
      <w:r>
        <w:t xml:space="preserve">workload-conformance endpoints whose blockwise intervals concern adverse implementation or</w:t>
      </w:r>
      <w:r>
        <w:t xml:space="preserve"> </w:t>
      </w:r>
      <w:r>
        <w:t xml:space="preserve">accounting events under the reference role law, not general discovery accuracy. B1 is deliberately</w:t>
      </w:r>
      <w:r>
        <w:t xml:space="preserve"> </w:t>
      </w:r>
      <w:r>
        <w:t xml:space="preserve">distinguishable and F0 uses project-defined fixtures. D2-CERT checks certificate machinery on an</w:t>
      </w:r>
      <w:r>
        <w:t xml:space="preserve"> </w:t>
      </w:r>
      <w:r>
        <w:t xml:space="preserve">analytically closed Rule 170 density map; its exact status is non-withdrawal, not confirmation.</w:t>
      </w:r>
      <w:r>
        <w:t xml:space="preserve"> </w:t>
      </w:r>
      <w:r>
        <w:t xml:space="preserve">Endpoint-wise exact-binomial intervals are not a simultaneous family-wide guarantee, and their</w:t>
      </w:r>
      <w:r>
        <w:t xml:space="preserve"> </w:t>
      </w:r>
      <w:r>
        <w:t xml:space="preserve">exactness applies to the iid reference law with the disclosed conditioning correction for the</w:t>
      </w:r>
      <w:r>
        <w:t xml:space="preserve"> </w:t>
      </w:r>
      <w:r>
        <w:t xml:space="preserve">implemented roles.</w:t>
      </w:r>
    </w:p>
    <w:p>
      <w:pPr>
        <w:pStyle w:val="BodyText"/>
        <w:widowControl/>
      </w:pPr>
      <w:r>
        <w:t xml:space="preserve">The scalar reference and vectorized production paths were written separately but within the same</w:t>
      </w:r>
      <w:r>
        <w:t xml:space="preserve"> </w:t>
      </w:r>
      <w:r>
        <w:t xml:space="preserve">project with substantive AI assistance; their agreement is not external replication. Benchmark E’s ranking is</w:t>
      </w:r>
      <w:r>
        <w:t xml:space="preserve"> </w:t>
      </w:r>
      <w:r>
        <w:t xml:space="preserve">specific to two salted pseudo-random orders, one constructed workload, and one cost map. No quantum</w:t>
      </w:r>
      <w:r>
        <w:t xml:space="preserve"> </w:t>
      </w:r>
      <w:r>
        <w:t xml:space="preserve">interface was implemented, and no external particle, chemical, molecular,</w:t>
      </w:r>
      <w:r>
        <w:t xml:space="preserve"> </w:t>
      </w:r>
      <w:r>
        <w:t xml:space="preserve">cellular, aging, clinical, or intervention data were analyzed. The present contribution is a</w:t>
      </w:r>
      <w:r>
        <w:t xml:space="preserve"> </w:t>
      </w:r>
      <w:r>
        <w:t xml:space="preserve">methodological systems-biology architecture and finite ECA machinery test, not a validated domain</w:t>
      </w:r>
      <w:r>
        <w:t xml:space="preserve"> </w:t>
      </w:r>
      <w:r>
        <w:t xml:space="preserve">model or therapeutic claim.</w:t>
      </w:r>
    </w:p>
    <w:bookmarkEnd w:id="63"/>
    <w:bookmarkStart w:id="64" w:name="data-and-code-availability"/>
    <w:p>
      <w:pPr>
        <w:pStyle w:val="Heading1"/>
        <w:keepNext/>
        <w:keepLines/>
        <w:widowControl/>
      </w:pPr>
      <w:r>
        <w:t xml:space="preserve">Data and code availability</w:t>
      </w:r>
    </w:p>
    <w:p>
      <w:pPr>
        <w:pStyle w:val="FirstParagraph"/>
        <w:widowControl/>
      </w:pPr>
      <w:r>
        <w:t xml:space="preserve">The accompanying Supplement and versioned reproducibility archive provide the executable source</w:t>
      </w:r>
      <w:r>
        <w:t xml:space="preserve"> </w:t>
      </w:r>
      <w:r>
        <w:t xml:space="preserve">tree, fixed configurations and schemas, environment locks, safe aggregate source tables,</w:t>
      </w:r>
      <w:r>
        <w:t xml:space="preserve"> </w:t>
      </w:r>
      <w:r>
        <w:t xml:space="preserve">figure-generation code, A0 candidate/signature records, and read-only tools for reconstructing</w:t>
      </w:r>
      <w:r>
        <w:t xml:space="preserve"> </w:t>
      </w:r>
      <w:r>
        <w:t xml:space="preserve">reported endpoint counts, exact-binomial calculations, aggregate tables, figures, intervals, and</w:t>
      </w:r>
      <w:r>
        <w:t xml:space="preserve"> </w:t>
      </w:r>
      <w:r>
        <w:t xml:space="preserve">costs. The archive does not rerun the original one-time evaluation and is not an independently</w:t>
      </w:r>
      <w:r>
        <w:t xml:space="preserve"> </w:t>
      </w:r>
      <w:r>
        <w:t xml:space="preserve">written implementation, new-role replication, or validation on new data. Code is licensed under</w:t>
      </w:r>
      <w:r>
        <w:t xml:space="preserve"> </w:t>
      </w:r>
      <w:r>
        <w:t xml:space="preserve">the MIT License; the manuscript, documentation, and released aggregate data use CC BY 4.0. A</w:t>
      </w:r>
      <w:r>
        <w:t xml:space="preserve"> </w:t>
      </w:r>
      <w:r>
        <w:t xml:space="preserve">public repository URL will be added only after the author separately authorizes publication and</w:t>
      </w:r>
      <w:r>
        <w:t xml:space="preserve"> </w:t>
      </w:r>
      <w:r>
        <w:t xml:space="preserve">verifies the final remote contents.</w:t>
      </w:r>
    </w:p>
    <w:bookmarkEnd w:id="64"/>
    <w:bookmarkStart w:id="72" w:name="declarations"/>
    <w:p>
      <w:pPr>
        <w:pStyle w:val="Heading1"/>
        <w:keepNext/>
        <w:keepLines/>
        <w:widowControl/>
      </w:pPr>
      <w:r>
        <w:t xml:space="preserve">Declarations</w:t>
      </w:r>
    </w:p>
    <w:bookmarkStart w:id="65" w:name="X632919a2dee5202ba170bf6ed39b2775b4d443d"/>
    <w:p>
      <w:pPr>
        <w:pStyle w:val="ScientificLabel"/>
        <w:widowControl/>
      </w:pPr>
      <w:r>
        <w:t xml:space="preserve">Intellectual origin and author responsibility.</w:t>
      </w:r>
    </w:p>
    <w:p>
      <w:pPr>
        <w:pStyle w:val="FirstParagraph"/>
        <w:widowControl/>
      </w:pPr>
      <w:r>
        <w:t xml:space="preserve">Mingyuan Chen conceived the APHFS research program and its central thesis for this project,</w:t>
      </w:r>
      <w:r>
        <w:t xml:space="preserve"> </w:t>
      </w:r>
      <w:r>
        <w:t xml:space="preserve">selected the scientific questions and claim boundaries, approved the study design, and made the</w:t>
      </w:r>
      <w:r>
        <w:t xml:space="preserve"> </w:t>
      </w:r>
      <w:r>
        <w:t xml:space="preserve">final scientific judgments. AI systems contributed substantive methodological, formal, software,</w:t>
      </w:r>
      <w:r>
        <w:t xml:space="preserve"> </w:t>
      </w:r>
      <w:r>
        <w:t xml:space="preserve">and editorial assistance as disclosed below; the author decided what to adopt and accepts</w:t>
      </w:r>
      <w:r>
        <w:t xml:space="preserve"> </w:t>
      </w:r>
      <w:r>
        <w:t xml:space="preserve">responsibility for the work. This origin statement records authorship of the present APHFS</w:t>
      </w:r>
      <w:r>
        <w:t xml:space="preserve"> </w:t>
      </w:r>
      <w:r>
        <w:t xml:space="preserve">integration, not historical priority for its established components, automated discovery, or</w:t>
      </w:r>
      <w:r>
        <w:t xml:space="preserve"> </w:t>
      </w:r>
      <w:r>
        <w:t xml:space="preserve">computational descriptions of nature.</w:t>
      </w:r>
    </w:p>
    <w:bookmarkEnd w:id="65"/>
    <w:bookmarkStart w:id="66" w:name="author-contributions."/>
    <w:p>
      <w:pPr>
        <w:pStyle w:val="ScientificLabel"/>
        <w:widowControl/>
      </w:pPr>
      <w:r>
        <w:t xml:space="preserve">Author contributions.</w:t>
      </w:r>
    </w:p>
    <w:p>
      <w:pPr>
        <w:pStyle w:val="FirstParagraph"/>
        <w:widowControl/>
      </w:pPr>
      <w:r>
        <w:t xml:space="preserve">Mingyuan Chen: Conceptualization, Methodology, Formal analysis, Validation,</w:t>
      </w:r>
      <w:r>
        <w:t xml:space="preserve"> </w:t>
      </w:r>
      <w:r>
        <w:t xml:space="preserve">Investigation, Data curation, Visualization, Writing–original draft, Writing–review &amp; editing,</w:t>
      </w:r>
      <w:r>
        <w:t xml:space="preserve"> </w:t>
      </w:r>
      <w:r>
        <w:t xml:space="preserve">and Project administration.</w:t>
      </w:r>
    </w:p>
    <w:bookmarkEnd w:id="66"/>
    <w:bookmarkStart w:id="67" w:name="funding."/>
    <w:p>
      <w:pPr>
        <w:pStyle w:val="ScientificLabel"/>
        <w:widowControl/>
      </w:pPr>
      <w:r>
        <w:t xml:space="preserve">Funding.</w:t>
      </w:r>
    </w:p>
    <w:p>
      <w:pPr>
        <w:pStyle w:val="FirstParagraph"/>
        <w:widowControl/>
      </w:pPr>
      <w:r>
        <w:t xml:space="preserve">No external funding was received for this work.</w:t>
      </w:r>
    </w:p>
    <w:bookmarkEnd w:id="67"/>
    <w:bookmarkStart w:id="68" w:name="competing-interests."/>
    <w:p>
      <w:pPr>
        <w:pStyle w:val="ScientificLabel"/>
        <w:widowControl/>
      </w:pPr>
      <w:r>
        <w:t xml:space="preserve">Competing interests.</w:t>
      </w:r>
    </w:p>
    <w:p>
      <w:pPr>
        <w:pStyle w:val="FirstParagraph"/>
        <w:widowControl/>
      </w:pPr>
      <w:r>
        <w:t xml:space="preserve">The author declares no competing interests.</w:t>
      </w:r>
    </w:p>
    <w:bookmarkEnd w:id="68"/>
    <w:bookmarkStart w:id="69" w:name="ethics-statement."/>
    <w:p>
      <w:pPr>
        <w:pStyle w:val="ScientificLabel"/>
        <w:widowControl/>
      </w:pPr>
      <w:r>
        <w:t xml:space="preserve">Ethics statement.</w:t>
      </w:r>
    </w:p>
    <w:p>
      <w:pPr>
        <w:pStyle w:val="FirstParagraph"/>
        <w:widowControl/>
      </w:pPr>
      <w:r>
        <w:t xml:space="preserve">Not applicable. This theoretical and computational study used no human participants, human data,</w:t>
      </w:r>
      <w:r>
        <w:t xml:space="preserve"> </w:t>
      </w:r>
      <w:r>
        <w:t xml:space="preserve">animals, clinical intervention, or identifiable private data.</w:t>
      </w:r>
    </w:p>
    <w:bookmarkEnd w:id="69"/>
    <w:bookmarkStart w:id="70" w:name="acknowledgments."/>
    <w:p>
      <w:pPr>
        <w:pStyle w:val="ScientificLabel"/>
        <w:widowControl/>
      </w:pPr>
      <w:r>
        <w:t xml:space="preserve">Acknowledgments.</w:t>
      </w:r>
    </w:p>
    <w:p>
      <w:pPr>
        <w:pStyle w:val="FirstParagraph"/>
        <w:widowControl/>
      </w:pPr>
      <w:r>
        <w:t xml:space="preserve">None.</w:t>
      </w:r>
    </w:p>
    <w:bookmarkEnd w:id="70"/>
    <w:bookmarkStart w:id="71" w:name="ai-assisted-technologies."/>
    <w:p>
      <w:pPr>
        <w:pStyle w:val="ScientificLabel"/>
        <w:widowControl/>
      </w:pPr>
      <w:r>
        <w:t xml:space="preserve">AI-assisted technologies.</w:t>
      </w:r>
    </w:p>
    <w:p>
      <w:pPr>
        <w:pStyle w:val="FirstParagraph"/>
        <w:widowControl/>
      </w:pPr>
      <w:r>
        <w:t xml:space="preserve">The author used OpenAI ChatGPT (primarily GPT-5.6 Sol through the standard and reasoning settings</w:t>
      </w:r>
      <w:r>
        <w:t xml:space="preserve"> </w:t>
      </w:r>
      <w:r>
        <w:t xml:space="preserve">available in the author’s account) and OpenAI Codex for outlining and drafting, methodological and</w:t>
      </w:r>
      <w:r>
        <w:t xml:space="preserve"> </w:t>
      </w:r>
      <w:r>
        <w:t xml:space="preserve">formal suggestions, software implementation and refactoring, tests, mathematical exposition,</w:t>
      </w:r>
      <w:r>
        <w:t xml:space="preserve"> </w:t>
      </w:r>
      <w:r>
        <w:t xml:space="preserve">figure preparation, literature organization, adversarial review, release engineering, and</w:t>
      </w:r>
      <w:r>
        <w:t xml:space="preserve"> </w:t>
      </w:r>
      <w:r>
        <w:t xml:space="preserve">editing. Anthropic Claude (primarily Claude Opus 5 and Claude Fable 5.1) was used for methodological</w:t>
      </w:r>
      <w:r>
        <w:t xml:space="preserve"> </w:t>
      </w:r>
      <w:r>
        <w:t xml:space="preserve">critique, adversarial review, and revision suggestions. Google Gemini and xAI Grok were used only</w:t>
      </w:r>
      <w:r>
        <w:t xml:space="preserve"> </w:t>
      </w:r>
      <w:r>
        <w:t xml:space="preserve">for limited exploratory critique; their exact versions were not recorded, and no specific</w:t>
      </w:r>
      <w:r>
        <w:t xml:space="preserve"> </w:t>
      </w:r>
      <w:r>
        <w:t xml:space="preserve">retained substantive contribution is attributed to them. The model-version history is therefore</w:t>
      </w:r>
      <w:r>
        <w:t xml:space="preserve"> </w:t>
      </w:r>
      <w:r>
        <w:t xml:space="preserve">partial.</w:t>
      </w:r>
    </w:p>
    <w:p>
      <w:pPr>
        <w:pStyle w:val="BodyText"/>
        <w:widowControl/>
      </w:pPr>
      <w:r>
        <w:t xml:space="preserve">AI outputs were treated as provisional suggestions, not evidence or independent validation.</w:t>
      </w:r>
      <w:r>
        <w:t xml:space="preserve"> </w:t>
      </w:r>
      <w:r>
        <w:t xml:space="preserve">Mingyuan Chen originated the central research direction, set the scientific questions and claim</w:t>
      </w:r>
      <w:r>
        <w:t xml:space="preserve"> </w:t>
      </w:r>
      <w:r>
        <w:t xml:space="preserve">boundaries, reviewed the manuscript and reported results, checked the functions and assumptions of</w:t>
      </w:r>
      <w:r>
        <w:t xml:space="preserve"> </w:t>
      </w:r>
      <w:r>
        <w:t xml:space="preserve">Equations (1)–(10), the Clopper–Pearson calculations, relevant portions of load-bearing sources,</w:t>
      </w:r>
      <w:r>
        <w:t xml:space="preserve"> </w:t>
      </w:r>
      <w:r>
        <w:t xml:space="preserve">reported file-integrity checks, and directly observed the public read-only aggregate</w:t>
      </w:r>
      <w:r>
        <w:t xml:space="preserve"> </w:t>
      </w:r>
      <w:r>
        <w:t xml:space="preserve">recomputation. The author has functional-level understanding of the core scientific code but did</w:t>
      </w:r>
      <w:r>
        <w:t xml:space="preserve"> </w:t>
      </w:r>
      <w:r>
        <w:t xml:space="preserve">not conduct a repository-wide line-by-line review. The author made the final scientific decisions</w:t>
      </w:r>
      <w:r>
        <w:t xml:space="preserve"> </w:t>
      </w:r>
      <w:r>
        <w:t xml:space="preserve">and accepts responsibility for the work within this disclosed review scope. No human, animal,</w:t>
      </w:r>
      <w:r>
        <w:t xml:space="preserve"> </w:t>
      </w:r>
      <w:r>
        <w:t xml:space="preserve">clinical, or identifiable private biological data were supplied to these systems. AI systems are</w:t>
      </w:r>
      <w:r>
        <w:t xml:space="preserve"> </w:t>
      </w:r>
      <w:r>
        <w:t xml:space="preserve">not authors or CRediT contributors.</w:t>
      </w:r>
    </w:p>
    <w:bookmarkEnd w:id="71"/>
    <w:bookmarkEnd w:id="72"/>
    <w:bookmarkStart w:id="73" w:name="conclusion"/>
    <w:p>
      <w:pPr>
        <w:pStyle w:val="Heading1"/>
        <w:keepNext/>
        <w:keepLines/>
        <w:widowControl/>
      </w:pPr>
      <w:r>
        <w:t xml:space="preserve">Conclusion</w:t>
      </w:r>
    </w:p>
    <w:p>
      <w:pPr>
        <w:pStyle w:val="FirstParagraph"/>
        <w:widowControl/>
      </w:pPr>
      <w:r>
        <w:t xml:space="preserve">APHFS is a discipline for moving from imagination through executable mathematics to evidence.</w:t>
      </w:r>
      <w:r>
        <w:t xml:space="preserve"> </w:t>
      </w:r>
      <w:r>
        <w:t xml:space="preserve">Bottom-up candidate generation meets top-down reality constraints; complete accounting within a</w:t>
      </w:r>
      <w:r>
        <w:t xml:space="preserve"> </w:t>
      </w:r>
      <w:r>
        <w:t xml:space="preserve">finite grammar leaves room for ambiguity, whole-class inadequacy, and an indeterminate result.</w:t>
      </w:r>
      <w:r>
        <w:t xml:space="preserve"> </w:t>
      </w:r>
      <w:r>
        <w:t xml:space="preserve">Coarse-graining is not accepted prematurely, and fidelity is sufficient only when refinements</w:t>
      </w:r>
      <w:r>
        <w:t xml:space="preserve"> </w:t>
      </w:r>
      <w:r>
        <w:t xml:space="preserve">preserve upper-level observables and decisions. Compute expands evaluation; evidence constrains</w:t>
      </w:r>
      <w:r>
        <w:t xml:space="preserve"> </w:t>
      </w:r>
      <w:r>
        <w:t xml:space="preserve">justification. A future fault-tolerant quantum layer could expand which pre-particle or</w:t>
      </w:r>
      <w:r>
        <w:t xml:space="preserve"> </w:t>
      </w:r>
      <w:r>
        <w:t xml:space="preserve">quantum-native dynamics are executable, but it would neither remove the output burden of complete</w:t>
      </w:r>
      <w:r>
        <w:t xml:space="preserve"> </w:t>
      </w:r>
      <w:r>
        <w:t xml:space="preserve">terminal-ledger accounting nor supply empirical support. Biology, aging, and rejuvenation remain</w:t>
      </w:r>
      <w:r>
        <w:t xml:space="preserve"> </w:t>
      </w:r>
      <w:r>
        <w:t xml:space="preserve">downstream research destinations.</w:t>
      </w:r>
    </w:p>
    <w:p>
      <w:pPr>
        <w:pStyle w:val="BodyText"/>
        <w:widowControl/>
      </w:pPr>
      <w:r>
        <w:t xml:space="preserve">In the complete 256-rule ECA testbed, the generating rule was retained but was not always unique;</w:t>
      </w:r>
      <w:r>
        <w:t xml:space="preserve"> </w:t>
      </w:r>
      <w:r>
        <w:t xml:space="preserve">the constructed B1 setting rejected an inadequate class while B0 retained its in-class control;</w:t>
      </w:r>
      <w:r>
        <w:t xml:space="preserve"> </w:t>
      </w:r>
      <w:r>
        <w:t xml:space="preserve">and the provably density-preserving Rule 170 construction exercised certificate machinery without</w:t>
      </w:r>
      <w:r>
        <w:t xml:space="preserve"> </w:t>
      </w:r>
      <w:r>
        <w:t xml:space="preserve">withdrawing or confirming a broader claim. All policies agreed with exhaustive search, yet one</w:t>
      </w:r>
      <w:r>
        <w:t xml:space="preserve"> </w:t>
      </w:r>
      <w:r>
        <w:t xml:space="preserve">prespecified salted pseudo-random order was least costly on this workload and adaptive fidelity did</w:t>
      </w:r>
      <w:r>
        <w:t xml:space="preserve"> </w:t>
      </w:r>
      <w:r>
        <w:t xml:space="preserve">not win. Ambiguity, constructed scope, and a negative method comparison are part of the result.</w:t>
      </w:r>
    </w:p>
    <w:p>
      <w:pPr>
        <w:pStyle w:val="BodyText"/>
        <w:widowControl/>
      </w:pPr>
      <w:r>
        <w:t xml:space="preserve">The next bridge should test a small biochemical model class with domain observations collected</w:t>
      </w:r>
      <w:r>
        <w:t xml:space="preserve"> </w:t>
      </w:r>
      <w:r>
        <w:t xml:space="preserve">independently of model development, new role-separated data, protected recovery observables, and</w:t>
      </w:r>
      <w:r>
        <w:t xml:space="preserve"> </w:t>
      </w:r>
      <w:r>
        <w:t xml:space="preserve">the same permission to fail. Only repeated empirical bridges could justify movement toward</w:t>
      </w:r>
      <w:r>
        <w:t xml:space="preserve"> </w:t>
      </w:r>
      <w:r>
        <w:t xml:space="preserve">cellular models, aging as loss of resilience, and eventually safety-constrained rejuvenation</w:t>
      </w:r>
      <w:r>
        <w:t xml:space="preserve"> </w:t>
      </w:r>
      <w:r>
        <w:t xml:space="preserve">research.</w:t>
      </w:r>
    </w:p>
    <w:bookmarkEnd w:id="73"/>
    <w:bookmarkStart w:id="103" w:name="sec:supplement"/>
    <w:p>
      <w:pPr>
        <w:pStyle w:val="Heading1"/>
        <w:keepNext/>
        <w:keepLines/>
        <w:pageBreakBefore/>
        <w:widowControl/>
      </w:pPr>
      <w:r>
        <w:t>Supplementary derivations, protocol, and immutable results</w:t>
      </w:r>
    </w:p>
    <w:p>
      <w:pPr>
        <w:pStyle w:val="FirstParagraph"/>
        <w:widowControl/>
        <w:jc w:val="left"/>
      </w:pPr>
      <w:r>
        <w:t xml:space="preserve">This supplement provides derivations, the complete frozen protocol, safe aggregate outcomes, and</w:t>
      </w:r>
      <w:r>
        <w:t xml:space="preserve"> </w:t>
      </w:r>
      <w:r>
        <w:t xml:space="preserve">provenance commitments for the accompanying APHFS preprint. It reports only safe aggregates and</w:t>
      </w:r>
      <w:r>
        <w:t xml:space="preserve"> </w:t>
      </w:r>
      <w:r>
        <w:t xml:space="preserve">commitments read from the immutable first-and-only locked result and source data checked by</w:t>
      </w:r>
      <w:r>
        <w:t xml:space="preserve"> </w:t>
      </w:r>
      <w:r>
        <w:t xml:space="preserve">independent read-only recomputation. The result bundle SHA-256 is</w:t>
      </w:r>
      <w:r>
        <w:t xml:space="preserve"> </w:t>
      </w:r>
      <w:r>
        <w:rPr>
          <w:rStyle w:val="VerbatimChar"/>
        </w:rPr>
        <w:t xml:space="preserve">6fb3f08e48b4d3496e190fbc38b029ee7c15e327c504924f8c03b6e2083aec9c</w:t>
      </w:r>
      <w:r>
        <w:t xml:space="preserve">, and the</w:t>
      </w:r>
      <w:r>
        <w:t xml:space="preserve"> </w:t>
      </w:r>
      <w:r>
        <w:t xml:space="preserve">execution-receipt SHA-256 is</w:t>
      </w:r>
      <w:r>
        <w:t xml:space="preserve"> </w:t>
      </w:r>
      <w:r>
        <w:rPr>
          <w:rStyle w:val="VerbatimChar"/>
        </w:rPr>
        <w:t xml:space="preserve">730bfe099a74b1ccfa281e653e9330bf91a5e73c30b24a58cf52dd88028c4766</w:t>
      </w:r>
      <w:r>
        <w:t xml:space="preserve">.</w:t>
      </w:r>
      <w:r>
        <w:t xml:space="preserve"> </w:t>
      </w:r>
      <w:r>
        <w:t xml:space="preserve">No raw calibration or locked role value is reproduced here, and no development or public-mock</w:t>
      </w:r>
      <w:r>
        <w:t xml:space="preserve"> </w:t>
      </w:r>
      <w:r>
        <w:t xml:space="preserve">output is relabeled as scientific evidence. The locked result was not rerun, replaced, tuned, or</w:t>
      </w:r>
      <w:r>
        <w:t xml:space="preserve"> </w:t>
      </w:r>
      <w:r>
        <w:t xml:space="preserve">used to add a result-dependent endpoint.</w:t>
      </w:r>
    </w:p>
    <w:bookmarkStart w:id="75" w:name="supp:finite"/>
    <w:p>
      <w:pPr>
        <w:pStyle w:val="Heading2"/>
        <w:keepNext/>
        <w:keepLines/>
        <w:widowControl/>
      </w:pPr>
      <w:r>
        <w:t xml:space="preserve">Finite-class derivation and scheduling</w:t>
      </w:r>
    </w:p>
    <w:p>
      <w:pPr>
        <w:pStyle w:val="FirstParagraph"/>
        <w:widowControl/>
      </w:pPr>
      <w:r>
        <w:t xml:space="preserve">For fixed</w:t>
      </w:r>
      <w:r>
        <w:t xml:space="preserve"> </w:t>
      </w:r>
      <m:oMath>
        <m:r>
          <m:t>h</m:t>
        </m:r>
      </m:oMath>
      <w:r>
        <w:t xml:space="preserve">, Hoeffding’s inequality gives</w:t>
      </w:r>
      <w:r>
        <w:t xml:space="preserve"> </w:t>
      </w:r>
      <w:r>
        <w:t xml:space="preserve">(Hoeffding 1963)</w:t>
      </w:r>
    </w:p>
    <w:p>
      <w:pPr>
        <w:pStyle w:val="BodyText"/>
        <w:widowControl/>
      </w:pPr>
      <m:oMathPara>
        <m:oMathParaPr>
          <m:jc m:val="center"/>
        </m:oMathParaPr>
        <m:oMath>
          <m:r>
            <m:rPr>
              <m:sty m:val="p"/>
            </m:rPr>
            <m:t>Pr</m:t>
          </m:r>
          <m:r>
            <m:t/>
          </m:r>
          <m:d>
            <m:dPr>
              <m:begChr m:val="("/>
              <m:sepChr m:val=""/>
              <m:endChr m:val=")"/>
              <m:grow/>
            </m:dPr>
            <m:e>
              <m:d>
                <m:dPr>
                  <m:begChr m:val="|"/>
                  <m:sepChr m:val=""/>
                  <m:endChr m:val="|"/>
                  <m:grow/>
                </m:dPr>
                <m:e>
                  <m:sSub>
                    <m:e>
                      <m:acc>
                        <m:accPr>
                          <m:chr m:val="̂"/>
                        </m:accPr>
                        <m:e>
                          <m:r>
                            <m:t>R</m:t>
                          </m:r>
                        </m:e>
                      </m:acc>
                    </m:e>
                    <m:sub>
                      <m:r>
                        <m:t>n</m:t>
                      </m:r>
                    </m:sub>
                  </m:sSub>
                  <m:r>
                    <m:rPr>
                      <m:sty m:val="p"/>
                    </m:rPr>
                    <m:t>(</m:t>
                  </m:r>
                  <m:r>
                    <m:t>h</m:t>
                  </m:r>
                  <m:r>
                    <m:rPr>
                      <m:sty m:val="p"/>
                    </m:rPr>
                    <m:t>)</m:t>
                  </m:r>
                  <m:r>
                    <m:rPr>
                      <m:sty m:val="p"/>
                    </m:rPr>
                    <m:t>−</m:t>
                  </m:r>
                  <m:r>
                    <m:t>R</m:t>
                  </m:r>
                  <m:r>
                    <m:rPr>
                      <m:sty m:val="p"/>
                    </m:rPr>
                    <m:t>(</m:t>
                  </m:r>
                  <m:r>
                    <m:t>h</m:t>
                  </m:r>
                  <m:r>
                    <m:rPr>
                      <m:sty m:val="p"/>
                    </m:rPr>
                    <m:t>)</m:t>
                  </m:r>
                </m:e>
              </m:d>
              <m:r>
                <m:rPr>
                  <m:sty m:val="p"/>
                </m:rPr>
                <m:t>&gt;</m:t>
              </m:r>
              <m:r>
                <m:t>u</m:t>
              </m:r>
            </m:e>
          </m:d>
          <m:r>
            <m:rPr>
              <m:sty m:val="p"/>
            </m:rPr>
            <m:t>≤</m:t>
          </m:r>
          <m:r>
            <m:t>2</m:t>
          </m:r>
          <m:sSup>
            <m:e>
              <m:r>
                <m:t>e</m:t>
              </m:r>
            </m:e>
            <m:sup>
              <m:r>
                <m:rPr>
                  <m:sty m:val="p"/>
                </m:rPr>
                <m:t>−</m:t>
              </m:r>
              <m:r>
                <m:t>2</m:t>
              </m:r>
              <m:r>
                <m:t>n</m:t>
              </m:r>
              <m:sSup>
                <m:e>
                  <m:r>
                    <m:t>u</m:t>
                  </m:r>
                </m:e>
                <m:sup>
                  <m:r>
                    <m:t>2</m:t>
                  </m:r>
                </m:sup>
              </m:sSup>
            </m:sup>
          </m:sSup>
          <m:r>
            <m:rPr>
              <m:sty m:val="p"/>
            </m:rPr>
            <m:t>.</m:t>
          </m:r>
        </m:oMath>
      </m:oMathPara>
    </w:p>
    <w:p>
      <w:pPr>
        <w:pStyle w:val="FirstParagraph"/>
        <w:widowControl/>
      </w:pPr>
      <w:r>
        <w:t xml:space="preserve">For the fixed single-valued parser and address set</w:t>
      </w:r>
      <w:r>
        <w:t xml:space="preserve"> </w:t>
      </w:r>
      <m:oMath>
        <m:sSub>
          <m:e>
            <m:r>
              <m:rPr>
                <m:scr m:val="script"/>
                <m:sty m:val="p"/>
              </m:rPr>
              <m:t>A</m:t>
            </m:r>
          </m:e>
          <m:sub>
            <m:r>
              <m:t>b</m:t>
            </m:r>
          </m:sub>
        </m:sSub>
        <m:r>
          <m:rPr>
            <m:sty m:val="p"/>
          </m:rPr>
          <m:t>=</m:t>
        </m:r>
        <m:sSubSup>
          <m:e>
            <m:r>
              <m:rPr>
                <m:sty m:val="p"/>
              </m:rPr>
              <m:t>⋃</m:t>
            </m:r>
          </m:e>
          <m:sub>
            <m:r>
              <m:t>j</m:t>
            </m:r>
            <m:r>
              <m:rPr>
                <m:sty m:val="p"/>
              </m:rPr>
              <m:t>=</m:t>
            </m:r>
            <m:r>
              <m:t>0</m:t>
            </m:r>
          </m:sub>
          <m:sup>
            <m:r>
              <m:t>b</m:t>
            </m:r>
          </m:sup>
        </m:sSubSup>
        <m:r>
          <m:rPr>
            <m:sty m:val="p"/>
          </m:rPr>
          <m:t>{</m:t>
        </m:r>
        <m:r>
          <m:t>0</m:t>
        </m:r>
        <m:r>
          <m:rPr>
            <m:sty m:val="p"/>
          </m:rPr>
          <m:t>,</m:t>
        </m:r>
        <m:r>
          <m:t>1</m:t>
        </m:r>
        <m:sSup>
          <m:e>
            <m:r>
              <m:rPr>
                <m:sty m:val="p"/>
              </m:rPr>
              <m:t>}</m:t>
            </m:r>
          </m:e>
          <m:sup>
            <m:r>
              <m:t>j</m:t>
            </m:r>
          </m:sup>
        </m:sSup>
      </m:oMath>
      <w:r>
        <w:t xml:space="preserve">, the executable semantic image obeys</w:t>
      </w:r>
    </w:p>
    <w:p>
      <w:pPr>
        <w:pStyle w:val="BodyText"/>
        <w:widowControl/>
      </w:pPr>
      <m:oMathPara>
        <m:oMathParaPr>
          <m:jc m:val="center"/>
        </m:oMathParaPr>
        <m:oMath>
          <m:sSub>
            <m:e>
              <m:r>
                <m:t>N</m:t>
              </m:r>
            </m:e>
            <m:sub>
              <m:r>
                <m:t>b</m:t>
              </m:r>
              <m:r>
                <m:rPr>
                  <m:sty m:val="p"/>
                </m:rPr>
                <m:t>,</m:t>
              </m:r>
              <m:r>
                <m:t>r</m:t>
              </m:r>
            </m:sub>
          </m:sSub>
          <m:r>
            <m:rPr>
              <m:sty m:val="p"/>
            </m:rPr>
            <m:t>=</m:t>
          </m:r>
          <m:r>
            <m:rPr>
              <m:sty m:val="p"/>
            </m:rPr>
            <m:t>|</m:t>
          </m:r>
          <m:sSub>
            <m:e>
              <m:r>
                <m:rPr>
                  <m:scr m:val="script"/>
                  <m:sty m:val="p"/>
                </m:rPr>
                <m:t>H</m:t>
              </m:r>
            </m:e>
            <m:sub>
              <m:r>
                <m:t>b</m:t>
              </m:r>
              <m:r>
                <m:rPr>
                  <m:sty m:val="p"/>
                </m:rPr>
                <m:t>,</m:t>
              </m:r>
              <m:r>
                <m:t>r</m:t>
              </m:r>
            </m:sub>
          </m:sSub>
          <m:r>
            <m:rPr>
              <m:sty m:val="p"/>
            </m:rPr>
            <m:t>|</m:t>
          </m:r>
          <m:r>
            <m:rPr>
              <m:sty m:val="p"/>
            </m:rPr>
            <m:t>≤</m:t>
          </m:r>
          <m:r>
            <m:rPr>
              <m:sty m:val="p"/>
            </m:rPr>
            <m:t>|</m:t>
          </m:r>
          <m:sSub>
            <m:e>
              <m:r>
                <m:rPr>
                  <m:scr m:val="script"/>
                  <m:sty m:val="p"/>
                </m:rPr>
                <m:t>A</m:t>
              </m:r>
            </m:e>
            <m:sub>
              <m:r>
                <m:t>b</m:t>
              </m:r>
            </m:sub>
          </m:sSub>
          <m:r>
            <m:rPr>
              <m:sty m:val="p"/>
            </m:rPr>
            <m:t>|</m:t>
          </m:r>
          <m:r>
            <m:rPr>
              <m:sty m:val="p"/>
            </m:rPr>
            <m:t>=</m:t>
          </m:r>
          <m:sSup>
            <m:e>
              <m:r>
                <m:t>2</m:t>
              </m:r>
            </m:e>
            <m:sup>
              <m:r>
                <m:t>b</m:t>
              </m:r>
              <m:r>
                <m:rPr>
                  <m:sty m:val="p"/>
                </m:rPr>
                <m:t>+</m:t>
              </m:r>
              <m:r>
                <m:t>1</m:t>
              </m:r>
            </m:sup>
          </m:sSup>
          <m:r>
            <m:rPr>
              <m:sty m:val="p"/>
            </m:rPr>
            <m:t>−</m:t>
          </m:r>
          <m:r>
            <m:t>1</m:t>
          </m:r>
          <m:r>
            <m:rPr>
              <m:sty m:val="p"/>
            </m:rPr>
            <m:t>&lt;</m:t>
          </m:r>
          <m:sSup>
            <m:e>
              <m:r>
                <m:t>2</m:t>
              </m:r>
            </m:e>
            <m:sup>
              <m:r>
                <m:t>b</m:t>
              </m:r>
              <m:r>
                <m:rPr>
                  <m:sty m:val="p"/>
                </m:rPr>
                <m:t>+</m:t>
              </m:r>
              <m:r>
                <m:t>1</m:t>
              </m:r>
            </m:sup>
          </m:sSup>
          <m:r>
            <m:rPr>
              <m:sty m:val="p"/>
            </m:rPr>
            <m:t>.</m:t>
          </m:r>
        </m:oMath>
      </m:oMathPara>
    </w:p>
    <w:p>
      <w:pPr>
        <w:pStyle w:val="FirstParagraph"/>
        <w:widowControl/>
      </w:pPr>
      <w:r>
        <w:t xml:space="preserve">The ledger itself is address-indexed: invalid and resource-infeasible addresses receive terminal</w:t>
      </w:r>
      <w:r>
        <w:t xml:space="preserve"> </w:t>
      </w:r>
      <w:r>
        <w:t xml:space="preserve">rows, while parser aliases remain separate unless a canonical-address rule was fixed in advance.</w:t>
      </w:r>
      <w:r>
        <w:t xml:space="preserve"> </w:t>
      </w:r>
      <w:r>
        <w:t xml:space="preserve">Thus complete accounting is relative to the declared parser/address policy, not to all semantic</w:t>
      </w:r>
      <w:r>
        <w:t xml:space="preserve"> </w:t>
      </w:r>
      <w:r>
        <w:t xml:space="preserve">models or nature.</w:t>
      </w:r>
      <w:r>
        <w:t xml:space="preserve"> </w:t>
      </w:r>
      <w:r>
        <w:t xml:space="preserve">Therefore the union bound is</w:t>
      </w:r>
    </w:p>
    <w:p>
      <w:pPr>
        <w:pStyle w:val="BodyText"/>
        <w:widowControl/>
      </w:pPr>
      <m:oMathPara>
        <m:oMathParaPr>
          <m:jc m:val="center"/>
        </m:oMathParaPr>
        <m:oMath>
          <m:r>
            <m:rPr>
              <m:sty m:val="p"/>
            </m:rPr>
            <m:t>Pr</m:t>
          </m:r>
          <m:r>
            <m:t/>
          </m:r>
          <m:d>
            <m:dPr>
              <m:begChr m:val="("/>
              <m:sepChr m:val=""/>
              <m:endChr m:val=")"/>
              <m:grow/>
            </m:dPr>
            <m:e>
              <m:limLow>
                <m:e>
                  <m:r>
                    <m:rPr>
                      <m:sty m:val="p"/>
                    </m:rPr>
                    <m:t>max</m:t>
                  </m:r>
                </m:e>
                <m:lim>
                  <m:r>
                    <m:t>h</m:t>
                  </m:r>
                  <m:r>
                    <m:rPr>
                      <m:sty m:val="p"/>
                    </m:rPr>
                    <m:t>∈</m:t>
                  </m:r>
                  <m:sSub>
                    <m:e>
                      <m:r>
                        <m:rPr>
                          <m:scr m:val="script"/>
                          <m:sty m:val="p"/>
                        </m:rPr>
                        <m:t>H</m:t>
                      </m:r>
                    </m:e>
                    <m:sub>
                      <m:r>
                        <m:t>b</m:t>
                      </m:r>
                      <m:r>
                        <m:rPr>
                          <m:sty m:val="p"/>
                        </m:rPr>
                        <m:t>,</m:t>
                      </m:r>
                      <m:r>
                        <m:t>r</m:t>
                      </m:r>
                    </m:sub>
                  </m:sSub>
                </m:lim>
              </m:limLow>
              <m:d>
                <m:dPr>
                  <m:begChr m:val="|"/>
                  <m:sepChr m:val=""/>
                  <m:endChr m:val="|"/>
                  <m:grow/>
                </m:dPr>
                <m:e>
                  <m:sSub>
                    <m:e>
                      <m:acc>
                        <m:accPr>
                          <m:chr m:val="̂"/>
                        </m:accPr>
                        <m:e>
                          <m:r>
                            <m:t>R</m:t>
                          </m:r>
                        </m:e>
                      </m:acc>
                    </m:e>
                    <m:sub>
                      <m:r>
                        <m:t>n</m:t>
                      </m:r>
                    </m:sub>
                  </m:sSub>
                  <m:r>
                    <m:rPr>
                      <m:sty m:val="p"/>
                    </m:rPr>
                    <m:t>(</m:t>
                  </m:r>
                  <m:r>
                    <m:t>h</m:t>
                  </m:r>
                  <m:r>
                    <m:rPr>
                      <m:sty m:val="p"/>
                    </m:rPr>
                    <m:t>)</m:t>
                  </m:r>
                  <m:r>
                    <m:rPr>
                      <m:sty m:val="p"/>
                    </m:rPr>
                    <m:t>−</m:t>
                  </m:r>
                  <m:r>
                    <m:t>R</m:t>
                  </m:r>
                  <m:r>
                    <m:rPr>
                      <m:sty m:val="p"/>
                    </m:rPr>
                    <m:t>(</m:t>
                  </m:r>
                  <m:r>
                    <m:t>h</m:t>
                  </m:r>
                  <m:r>
                    <m:rPr>
                      <m:sty m:val="p"/>
                    </m:rPr>
                    <m:t>)</m:t>
                  </m:r>
                </m:e>
              </m:d>
              <m:r>
                <m:rPr>
                  <m:sty m:val="p"/>
                </m:rPr>
                <m:t>&gt;</m:t>
              </m:r>
              <m:r>
                <m:t>u</m:t>
              </m:r>
            </m:e>
          </m:d>
          <m:r>
            <m:rPr>
              <m:sty m:val="p"/>
            </m:rPr>
            <m:t>≤</m:t>
          </m:r>
          <m:r>
            <m:t>2</m:t>
          </m:r>
          <m:sSub>
            <m:e>
              <m:r>
                <m:t>N</m:t>
              </m:r>
            </m:e>
            <m:sub>
              <m:r>
                <m:t>b</m:t>
              </m:r>
              <m:r>
                <m:rPr>
                  <m:sty m:val="p"/>
                </m:rPr>
                <m:t>,</m:t>
              </m:r>
              <m:r>
                <m:t>r</m:t>
              </m:r>
            </m:sub>
          </m:sSub>
          <m:sSup>
            <m:e>
              <m:r>
                <m:t>e</m:t>
              </m:r>
            </m:e>
            <m:sup>
              <m:r>
                <m:rPr>
                  <m:sty m:val="p"/>
                </m:rPr>
                <m:t>−</m:t>
              </m:r>
              <m:r>
                <m:t>2</m:t>
              </m:r>
              <m:r>
                <m:t>n</m:t>
              </m:r>
              <m:sSup>
                <m:e>
                  <m:r>
                    <m:t>u</m:t>
                  </m:r>
                </m:e>
                <m:sup>
                  <m:r>
                    <m:t>2</m:t>
                  </m:r>
                </m:sup>
              </m:sSup>
            </m:sup>
          </m:sSup>
          <m:r>
            <m:rPr>
              <m:sty m:val="p"/>
            </m:rPr>
            <m:t>.</m:t>
          </m:r>
        </m:oMath>
      </m:oMathPara>
    </w:p>
    <w:p>
      <w:pPr>
        <w:pStyle w:val="FirstParagraph"/>
        <w:widowControl/>
      </w:pPr>
      <w:r>
        <w:t xml:space="preserve">Setting</w:t>
      </w:r>
    </w:p>
    <w:p>
      <w:pPr>
        <w:pStyle w:val="BodyText"/>
        <w:widowControl/>
      </w:pPr>
      <m:oMathPara>
        <m:oMathParaPr>
          <m:jc m:val="center"/>
        </m:oMathParaPr>
        <m:oMath>
          <m:sSub>
            <m:e>
              <m:r>
                <m:t>c</m:t>
              </m:r>
            </m:e>
            <m:sub>
              <m:r>
                <m:t>b</m:t>
              </m:r>
            </m:sub>
          </m:sSub>
          <m:r>
            <m:rPr>
              <m:sty m:val="p"/>
            </m:rPr>
            <m:t>(</m:t>
          </m:r>
          <m:sSub>
            <m:e>
              <m:r>
                <m:t>δ</m:t>
              </m:r>
            </m:e>
            <m:sub>
              <m:r>
                <m:rPr>
                  <m:sty m:val="p"/>
                </m:rPr>
                <m:t>c</m:t>
              </m:r>
              <m:r>
                <m:rPr>
                  <m:sty m:val="p"/>
                </m:rPr>
                <m:t>o</m:t>
              </m:r>
              <m:r>
                <m:rPr>
                  <m:sty m:val="p"/>
                </m:rPr>
                <m:t>n</m:t>
              </m:r>
              <m:r>
                <m:rPr>
                  <m:sty m:val="p"/>
                </m:rPr>
                <m:t>f</m:t>
              </m:r>
            </m:sub>
          </m:sSub>
          <m:r>
            <m:rPr>
              <m:sty m:val="p"/>
            </m:rPr>
            <m:t>)</m:t>
          </m:r>
          <m:r>
            <m:rPr>
              <m:sty m:val="p"/>
            </m:rPr>
            <m:t>=</m:t>
          </m:r>
          <m:rad>
            <m:radPr>
              <m:degHide m:val="on"/>
            </m:radPr>
            <m:deg/>
            <m:e>
              <m:f>
                <m:fPr>
                  <m:type m:val="bar"/>
                </m:fPr>
                <m:num>
                  <m:r>
                    <m:rPr>
                      <m:sty m:val="p"/>
                    </m:rPr>
                    <m:t>(</m:t>
                  </m:r>
                  <m:r>
                    <m:t>b</m:t>
                  </m:r>
                  <m:r>
                    <m:rPr>
                      <m:sty m:val="p"/>
                    </m:rPr>
                    <m:t>+</m:t>
                  </m:r>
                  <m:r>
                    <m:t>2</m:t>
                  </m:r>
                  <m:r>
                    <m:rPr>
                      <m:sty m:val="p"/>
                    </m:rPr>
                    <m:t>)</m:t>
                  </m:r>
                  <m:r>
                    <m:rPr>
                      <m:sty m:val="p"/>
                    </m:rPr>
                    <m:t>log</m:t>
                  </m:r>
                  <m:r>
                    <m:t>2</m:t>
                  </m:r>
                  <m:r>
                    <m:rPr>
                      <m:sty m:val="p"/>
                    </m:rPr>
                    <m:t>+</m:t>
                  </m:r>
                  <m:r>
                    <m:rPr>
                      <m:sty m:val="p"/>
                    </m:rPr>
                    <m:t>log</m:t>
                  </m:r>
                  <m:r>
                    <m:rPr>
                      <m:sty m:val="p"/>
                    </m:rPr>
                    <m:t>(</m:t>
                  </m:r>
                  <m:r>
                    <m:t>1</m:t>
                  </m:r>
                  <m:r>
                    <m:rPr>
                      <m:sty m:val="p"/>
                    </m:rPr>
                    <m:t>/</m:t>
                  </m:r>
                  <m:sSub>
                    <m:e>
                      <m:r>
                        <m:t>δ</m:t>
                      </m:r>
                    </m:e>
                    <m:sub>
                      <m:r>
                        <m:rPr>
                          <m:sty m:val="p"/>
                        </m:rPr>
                        <m:t>c</m:t>
                      </m:r>
                      <m:r>
                        <m:rPr>
                          <m:sty m:val="p"/>
                        </m:rPr>
                        <m:t>o</m:t>
                      </m:r>
                      <m:r>
                        <m:rPr>
                          <m:sty m:val="p"/>
                        </m:rPr>
                        <m:t>n</m:t>
                      </m:r>
                      <m:r>
                        <m:rPr>
                          <m:sty m:val="p"/>
                        </m:rPr>
                        <m:t>f</m:t>
                      </m:r>
                    </m:sub>
                  </m:sSub>
                  <m:r>
                    <m:rPr>
                      <m:sty m:val="p"/>
                    </m:rPr>
                    <m:t>)</m:t>
                  </m:r>
                </m:num>
                <m:den>
                  <m:r>
                    <m:t>2</m:t>
                  </m:r>
                  <m:r>
                    <m:t>n</m:t>
                  </m:r>
                </m:den>
              </m:f>
            </m:e>
          </m:rad>
        </m:oMath>
      </m:oMathPara>
    </w:p>
    <w:p>
      <w:pPr>
        <w:pStyle w:val="FirstParagraph"/>
        <w:widowControl/>
      </w:pPr>
      <w:r>
        <w:t xml:space="preserve">makes the right-hand side no greater than</w:t>
      </w:r>
      <w:r>
        <w:t xml:space="preserve"> </w:t>
      </w:r>
      <m:oMath>
        <m:sSub>
          <m:e>
            <m:r>
              <m:t>δ</m:t>
            </m:r>
          </m:e>
          <m:sub>
            <m:r>
              <m:rPr>
                <m:sty m:val="p"/>
              </m:rPr>
              <m:t>c</m:t>
            </m:r>
            <m:r>
              <m:rPr>
                <m:sty m:val="p"/>
              </m:rPr>
              <m:t>o</m:t>
            </m:r>
            <m:r>
              <m:rPr>
                <m:sty m:val="p"/>
              </m:rPr>
              <m:t>n</m:t>
            </m:r>
            <m:r>
              <m:rPr>
                <m:sty m:val="p"/>
              </m:rPr>
              <m:t>f</m:t>
            </m:r>
          </m:sub>
        </m:sSub>
      </m:oMath>
      <w:r>
        <w:t xml:space="preserve">. The optimizer is required to satisfy</w:t>
      </w:r>
    </w:p>
    <w:p>
      <w:pPr>
        <w:pStyle w:val="BodyText"/>
        <w:widowControl/>
      </w:pPr>
      <m:oMathPara>
        <m:oMathParaPr>
          <m:jc m:val="center"/>
        </m:oMathParaPr>
        <m:oMath>
          <m:sSub>
            <m:e>
              <m:acc>
                <m:accPr>
                  <m:chr m:val="̂"/>
                </m:accPr>
                <m:e>
                  <m:r>
                    <m:t>R</m:t>
                  </m:r>
                </m:e>
              </m:acc>
            </m:e>
            <m:sub>
              <m:r>
                <m:t>n</m:t>
              </m:r>
            </m:sub>
          </m:sSub>
          <m:r>
            <m:rPr>
              <m:sty m:val="p"/>
            </m:rPr>
            <m:t>(</m:t>
          </m:r>
          <m:sSub>
            <m:e>
              <m:acc>
                <m:accPr>
                  <m:chr m:val="̂"/>
                </m:accPr>
                <m:e>
                  <m:r>
                    <m:t>h</m:t>
                  </m:r>
                </m:e>
              </m:acc>
            </m:e>
            <m:sub>
              <m:r>
                <m:t>n</m:t>
              </m:r>
            </m:sub>
          </m:sSub>
          <m:r>
            <m:rPr>
              <m:sty m:val="p"/>
            </m:rPr>
            <m:t>)</m:t>
          </m:r>
          <m:r>
            <m:rPr>
              <m:sty m:val="p"/>
            </m:rPr>
            <m:t>+</m:t>
          </m:r>
          <m:sSub>
            <m:e>
              <m:r>
                <m:t>λ</m:t>
              </m:r>
            </m:e>
            <m:sub>
              <m:r>
                <m:t>n</m:t>
              </m:r>
            </m:sub>
          </m:sSub>
          <m:sSub>
            <m:e>
              <m:r>
                <m:t>L</m:t>
              </m:r>
            </m:e>
            <m:sub>
              <m:r>
                <m:t>d</m:t>
              </m:r>
            </m:sub>
          </m:sSub>
          <m:r>
            <m:rPr>
              <m:sty m:val="p"/>
            </m:rPr>
            <m:t>(</m:t>
          </m:r>
          <m:sSub>
            <m:e>
              <m:acc>
                <m:accPr>
                  <m:chr m:val="̂"/>
                </m:accPr>
                <m:e>
                  <m:r>
                    <m:t>h</m:t>
                  </m:r>
                </m:e>
              </m:acc>
            </m:e>
            <m:sub>
              <m:r>
                <m:t>n</m:t>
              </m:r>
            </m:sub>
          </m:sSub>
          <m:r>
            <m:rPr>
              <m:sty m:val="p"/>
            </m:rPr>
            <m:t>)</m:t>
          </m:r>
          <m:r>
            <m:rPr>
              <m:sty m:val="p"/>
            </m:rPr>
            <m:t>≤</m:t>
          </m:r>
          <m:limLow>
            <m:e>
              <m:r>
                <m:rPr>
                  <m:sty m:val="p"/>
                </m:rPr>
                <m:t>min</m:t>
              </m:r>
            </m:e>
            <m:lim>
              <m:r>
                <m:t>h</m:t>
              </m:r>
              <m:r>
                <m:rPr>
                  <m:sty m:val="p"/>
                </m:rPr>
                <m:t>∈</m:t>
              </m:r>
              <m:sSub>
                <m:e>
                  <m:r>
                    <m:rPr>
                      <m:scr m:val="script"/>
                      <m:sty m:val="p"/>
                    </m:rPr>
                    <m:t>H</m:t>
                  </m:r>
                </m:e>
                <m:sub>
                  <m:r>
                    <m:t>b</m:t>
                  </m:r>
                  <m:r>
                    <m:rPr>
                      <m:sty m:val="p"/>
                    </m:rPr>
                    <m:t>,</m:t>
                  </m:r>
                  <m:r>
                    <m:t>r</m:t>
                  </m:r>
                </m:sub>
              </m:sSub>
            </m:lim>
          </m:limLow>
          <m:r>
            <m:rPr>
              <m:sty m:val="p"/>
            </m:rPr>
            <m:t>{</m:t>
          </m:r>
          <m:sSub>
            <m:e>
              <m:acc>
                <m:accPr>
                  <m:chr m:val="̂"/>
                </m:accPr>
                <m:e>
                  <m:r>
                    <m:t>R</m:t>
                  </m:r>
                </m:e>
              </m:acc>
            </m:e>
            <m:sub>
              <m:r>
                <m:t>n</m:t>
              </m:r>
            </m:sub>
          </m:sSub>
          <m:r>
            <m:rPr>
              <m:sty m:val="p"/>
            </m:rPr>
            <m:t>(</m:t>
          </m:r>
          <m:r>
            <m:t>h</m:t>
          </m:r>
          <m:r>
            <m:rPr>
              <m:sty m:val="p"/>
            </m:rPr>
            <m:t>)</m:t>
          </m:r>
          <m:r>
            <m:rPr>
              <m:sty m:val="p"/>
            </m:rPr>
            <m:t>+</m:t>
          </m:r>
          <m:sSub>
            <m:e>
              <m:r>
                <m:t>λ</m:t>
              </m:r>
            </m:e>
            <m:sub>
              <m:r>
                <m:t>n</m:t>
              </m:r>
            </m:sub>
          </m:sSub>
          <m:sSub>
            <m:e>
              <m:r>
                <m:t>L</m:t>
              </m:r>
            </m:e>
            <m:sub>
              <m:r>
                <m:t>d</m:t>
              </m:r>
            </m:sub>
          </m:sSub>
          <m:r>
            <m:rPr>
              <m:sty m:val="p"/>
            </m:rPr>
            <m:t>(</m:t>
          </m:r>
          <m:r>
            <m:t>h</m:t>
          </m:r>
          <m:r>
            <m:rPr>
              <m:sty m:val="p"/>
            </m:rPr>
            <m:t>)</m:t>
          </m:r>
          <m:r>
            <m:rPr>
              <m:sty m:val="p"/>
            </m:rPr>
            <m:t>}</m:t>
          </m:r>
          <m:r>
            <m:rPr>
              <m:sty m:val="p"/>
            </m:rPr>
            <m:t>+</m:t>
          </m:r>
          <m:sSub>
            <m:e>
              <m:r>
                <m:t>ξ</m:t>
              </m:r>
            </m:e>
            <m:sub>
              <m:r>
                <m:t>n</m:t>
              </m:r>
            </m:sub>
          </m:sSub>
          <m:r>
            <m:rPr>
              <m:sty m:val="p"/>
            </m:rPr>
            <m:t>.</m:t>
          </m:r>
        </m:oMath>
      </m:oMathPara>
    </w:p>
    <w:p>
      <w:pPr>
        <w:pStyle w:val="FirstParagraph"/>
        <w:widowControl/>
      </w:pPr>
      <w:r>
        <w:t xml:space="preserve">The three-line comparison in Theorem </w:t>
      </w:r>
      <w:hyperlink w:anchor="thm:finite">
        <w:r>
          <w:rPr>
            <w:rStyle w:val="Hyperlink"/>
          </w:rPr>
          <w:t xml:space="preserve">1</w:t>
        </w:r>
      </w:hyperlink>
      <w:r>
        <w:t xml:space="preserve"> </w:t>
      </w:r>
      <w:r>
        <w:t xml:space="preserve">uses</w:t>
      </w:r>
      <w:r>
        <w:t xml:space="preserve"> </w:t>
      </w:r>
      <m:oMath>
        <m:sSub>
          <m:e>
            <m:r>
              <m:t>L</m:t>
            </m:r>
          </m:e>
          <m:sub>
            <m:r>
              <m:t>d</m:t>
            </m:r>
          </m:sub>
        </m:sSub>
        <m:r>
          <m:rPr>
            <m:sty m:val="p"/>
          </m:rPr>
          <m:t>(</m:t>
        </m:r>
        <m:sSubSup>
          <m:e>
            <m:r>
              <m:t>h</m:t>
            </m:r>
          </m:e>
          <m:sub>
            <m:r>
              <m:t>b</m:t>
            </m:r>
            <m:r>
              <m:rPr>
                <m:sty m:val="p"/>
              </m:rPr>
              <m:t>,</m:t>
            </m:r>
            <m:r>
              <m:t>r</m:t>
            </m:r>
          </m:sub>
          <m:sup>
            <m:r>
              <m:rPr>
                <m:sty m:val="p"/>
              </m:rPr>
              <m:t>⋆</m:t>
            </m:r>
          </m:sup>
        </m:sSubSup>
        <m:r>
          <m:rPr>
            <m:sty m:val="p"/>
          </m:rPr>
          <m:t>)</m:t>
        </m:r>
        <m:r>
          <m:rPr>
            <m:sty m:val="p"/>
          </m:rPr>
          <m:t>≤</m:t>
        </m:r>
        <m:r>
          <m:t>b</m:t>
        </m:r>
      </m:oMath>
      <w:r>
        <w:t xml:space="preserve">,</w:t>
      </w:r>
      <w:r>
        <w:t xml:space="preserve"> </w:t>
      </w:r>
      <m:oMath>
        <m:r>
          <m:rPr>
            <m:sty m:val="p"/>
          </m:rPr>
          <m:t>−</m:t>
        </m:r>
        <m:sSub>
          <m:e>
            <m:r>
              <m:t>L</m:t>
            </m:r>
          </m:e>
          <m:sub>
            <m:r>
              <m:t>d</m:t>
            </m:r>
          </m:sub>
        </m:sSub>
        <m:r>
          <m:rPr>
            <m:sty m:val="p"/>
          </m:rPr>
          <m:t>(</m:t>
        </m:r>
        <m:sSub>
          <m:e>
            <m:acc>
              <m:accPr>
                <m:chr m:val="̂"/>
              </m:accPr>
              <m:e>
                <m:r>
                  <m:t>h</m:t>
                </m:r>
              </m:e>
            </m:acc>
          </m:e>
          <m:sub>
            <m:r>
              <m:t>n</m:t>
            </m:r>
          </m:sub>
        </m:sSub>
        <m:r>
          <m:rPr>
            <m:sty m:val="p"/>
          </m:rPr>
          <m:t>)</m:t>
        </m:r>
        <m:r>
          <m:rPr>
            <m:sty m:val="p"/>
          </m:rPr>
          <m:t>≤</m:t>
        </m:r>
        <m:r>
          <m:t>0</m:t>
        </m:r>
      </m:oMath>
      <w:r>
        <w:t xml:space="preserve">, and</w:t>
      </w:r>
      <w:r>
        <w:t xml:space="preserve"> </w:t>
      </w:r>
      <m:oMath>
        <m:sSub>
          <m:e>
            <m:r>
              <m:t>λ</m:t>
            </m:r>
          </m:e>
          <m:sub>
            <m:r>
              <m:t>n</m:t>
            </m:r>
          </m:sub>
        </m:sSub>
        <m:r>
          <m:rPr>
            <m:sty m:val="p"/>
          </m:rPr>
          <m:t>≥</m:t>
        </m:r>
        <m:r>
          <m:t>0</m:t>
        </m:r>
      </m:oMath>
      <w:r>
        <w:t xml:space="preserve">. Because</w:t>
      </w:r>
      <w:r>
        <w:t xml:space="preserve"> </w:t>
      </w:r>
      <m:oMath>
        <m:sSub>
          <m:e>
            <m:r>
              <m:rPr>
                <m:scr m:val="script"/>
                <m:sty m:val="p"/>
              </m:rPr>
              <m:t>H</m:t>
            </m:r>
          </m:e>
          <m:sub>
            <m:r>
              <m:t>b</m:t>
            </m:r>
            <m:r>
              <m:rPr>
                <m:sty m:val="p"/>
              </m:rPr>
              <m:t>,</m:t>
            </m:r>
            <m:r>
              <m:t>r</m:t>
            </m:r>
          </m:sub>
        </m:sSub>
      </m:oMath>
      <w:r>
        <w:t xml:space="preserve"> </w:t>
      </w:r>
      <w:r>
        <w:t xml:space="preserve">is explicitly assumed nonempty and finite, its risk minimum is attained;</w:t>
      </w:r>
      <w:r>
        <w:t xml:space="preserve"> </w:t>
      </w:r>
      <w:r>
        <w:t xml:space="preserve">no infimizing-sequence step is needed. The nonempty registered envelope, common measurable</w:t>
      </w:r>
      <w:r>
        <w:t xml:space="preserve"> </w:t>
      </w:r>
      <m:oMath>
        <m:r>
          <m:rPr>
            <m:sty m:val="p"/>
          </m:rPr>
          <m:t>[</m:t>
        </m:r>
        <m:r>
          <m:t>0</m:t>
        </m:r>
        <m:r>
          <m:rPr>
            <m:sty m:val="p"/>
          </m:rPr>
          <m:t>,</m:t>
        </m:r>
        <m:r>
          <m:t>1</m:t>
        </m:r>
        <m:r>
          <m:rPr>
            <m:sty m:val="p"/>
          </m:rPr>
          <m:t>]</m:t>
        </m:r>
      </m:oMath>
      <w:r>
        <w:t xml:space="preserve">-valued loss interface, and common evaluation distribution are all fixed before and</w:t>
      </w:r>
      <w:r>
        <w:t xml:space="preserve"> </w:t>
      </w:r>
      <w:r>
        <w:t xml:space="preserve">without using the evaluation sample; that same loss and distribution define every displayed risk. The</w:t>
      </w:r>
      <w:r>
        <w:t xml:space="preserve"> </w:t>
      </w:r>
      <w:r>
        <w:t xml:space="preserve">inclusion</w:t>
      </w:r>
      <w:r>
        <w:t xml:space="preserve"> </w:t>
      </w:r>
      <m:oMath>
        <m:sSub>
          <m:e>
            <m:r>
              <m:rPr>
                <m:scr m:val="script"/>
                <m:sty m:val="p"/>
              </m:rPr>
              <m:t>H</m:t>
            </m:r>
          </m:e>
          <m:sub>
            <m:r>
              <m:rPr>
                <m:sty m:val="p"/>
              </m:rPr>
              <m:t>∞</m:t>
            </m:r>
          </m:sub>
        </m:sSub>
        <m:r>
          <m:rPr>
            <m:sty m:val="p"/>
          </m:rPr>
          <m:t>⊇</m:t>
        </m:r>
        <m:sSub>
          <m:e>
            <m:r>
              <m:rPr>
                <m:scr m:val="script"/>
                <m:sty m:val="p"/>
              </m:rPr>
              <m:t>H</m:t>
            </m:r>
          </m:e>
          <m:sub>
            <m:r>
              <m:t>b</m:t>
            </m:r>
            <m:r>
              <m:rPr>
                <m:sty m:val="p"/>
              </m:rPr>
              <m:t>,</m:t>
            </m:r>
            <m:r>
              <m:t>r</m:t>
            </m:r>
          </m:sub>
        </m:sSub>
      </m:oMath>
      <w:r>
        <w:t xml:space="preserve"> </w:t>
      </w:r>
      <w:r>
        <w:t xml:space="preserve">makes</w:t>
      </w:r>
      <w:r>
        <w:t xml:space="preserve"> </w:t>
      </w:r>
      <m:oMath>
        <m:sSub>
          <m:e>
            <m:r>
              <m:t>ε</m:t>
            </m:r>
          </m:e>
          <m:sub>
            <m:r>
              <m:rPr>
                <m:nor/>
              </m:rPr>
              <m:t>app</m:t>
            </m:r>
          </m:sub>
        </m:sSub>
        <m:r>
          <m:rPr>
            <m:sty m:val="p"/>
          </m:rPr>
          <m:t>(</m:t>
        </m:r>
        <m:r>
          <m:t>b</m:t>
        </m:r>
        <m:r>
          <m:rPr>
            <m:sty m:val="p"/>
          </m:rPr>
          <m:t>,</m:t>
        </m:r>
        <m:r>
          <m:t>r</m:t>
        </m:r>
        <m:r>
          <m:rPr>
            <m:sty m:val="p"/>
          </m:rPr>
          <m:t>)</m:t>
        </m:r>
        <m:r>
          <m:rPr>
            <m:sty m:val="p"/>
          </m:rPr>
          <m:t>=</m:t>
        </m:r>
        <m:sSubSup>
          <m:e>
            <m:r>
              <m:t>R</m:t>
            </m:r>
          </m:e>
          <m:sub>
            <m:r>
              <m:t>b</m:t>
            </m:r>
            <m:r>
              <m:rPr>
                <m:sty m:val="p"/>
              </m:rPr>
              <m:t>,</m:t>
            </m:r>
            <m:r>
              <m:t>r</m:t>
            </m:r>
          </m:sub>
          <m:sup>
            <m:r>
              <m:rPr>
                <m:sty m:val="p"/>
              </m:rPr>
              <m:t>⋆</m:t>
            </m:r>
          </m:sup>
        </m:sSubSup>
        <m:r>
          <m:rPr>
            <m:sty m:val="p"/>
          </m:rPr>
          <m:t>−</m:t>
        </m:r>
        <m:sSubSup>
          <m:e>
            <m:r>
              <m:t>R</m:t>
            </m:r>
          </m:e>
          <m:sub>
            <m:r>
              <m:rPr>
                <m:sty m:val="p"/>
              </m:rPr>
              <m:t>∞</m:t>
            </m:r>
          </m:sub>
          <m:sup>
            <m:r>
              <m:rPr>
                <m:sty m:val="p"/>
              </m:rPr>
              <m:t>⋆</m:t>
            </m:r>
          </m:sup>
        </m:sSubSup>
      </m:oMath>
      <w:r>
        <w:t xml:space="preserve"> </w:t>
      </w:r>
      <w:r>
        <w:t xml:space="preserve">nonnegative. The resource vector</w:t>
      </w:r>
      <w:r>
        <w:t xml:space="preserve"> </w:t>
      </w:r>
      <m:oMath>
        <m:r>
          <m:t>r</m:t>
        </m:r>
      </m:oMath>
      <w:r>
        <w:t xml:space="preserve"> </w:t>
      </w:r>
      <w:r>
        <w:t xml:space="preserve">restricts which descriptions execute, while the displayed cardinality exponent depends only on</w:t>
      </w:r>
      <w:r>
        <w:t xml:space="preserve"> </w:t>
      </w:r>
      <w:r>
        <w:t xml:space="preserve">the bit budget</w:t>
      </w:r>
      <w:r>
        <w:t xml:space="preserve"> </w:t>
      </w:r>
      <m:oMath>
        <m:r>
          <m:t>b</m:t>
        </m:r>
      </m:oMath>
      <w:r>
        <w:t xml:space="preserve">.</w:t>
      </w:r>
    </w:p>
    <w:p>
      <w:pPr>
        <w:pStyle w:val="BodyText"/>
        <w:widowControl/>
      </w:pPr>
      <w:r>
        <w:t xml:space="preserve">A sufficient prespecified scheduling regime makes every term on the right side of</w:t>
      </w:r>
      <w:r>
        <w:t xml:space="preserve"> </w:t>
      </w:r>
      <w:r>
        <w:t xml:space="preserve">Equation </w:t>
      </w:r>
      <w:hyperlink w:anchor="eq:oracle">
        <w:r>
          <w:rPr>
            <w:rStyle w:val="Hyperlink"/>
          </w:rPr>
          <w:t xml:space="preserve">(2)</w:t>
        </w:r>
      </w:hyperlink>
      <w:r>
        <w:t xml:space="preserve"> </w:t>
      </w:r>
      <w:r>
        <w:t xml:space="preserve">vanish:</w:t>
      </w:r>
      <w:r>
        <w:t xml:space="preserve"> </w:t>
      </w:r>
      <m:oMath>
        <m:sSub>
          <m:e>
            <m:r>
              <m:t>b</m:t>
            </m:r>
          </m:e>
          <m:sub>
            <m:r>
              <m:t>n</m:t>
            </m:r>
          </m:sub>
        </m:sSub>
        <m:r>
          <m:rPr>
            <m:sty m:val="p"/>
          </m:rPr>
          <m:t>→</m:t>
        </m:r>
        <m:r>
          <m:rPr>
            <m:sty m:val="p"/>
          </m:rPr>
          <m:t>∞</m:t>
        </m:r>
      </m:oMath>
      <w:r>
        <w:t xml:space="preserve">,</w:t>
      </w:r>
      <w:r>
        <w:t xml:space="preserve"> </w:t>
      </w:r>
      <m:oMath>
        <m:sSub>
          <m:e>
            <m:r>
              <m:t>ε</m:t>
            </m:r>
          </m:e>
          <m:sub>
            <m:r>
              <m:rPr>
                <m:nor/>
              </m:rPr>
              <m:t>app</m:t>
            </m:r>
          </m:sub>
        </m:sSub>
        <m:r>
          <m:rPr>
            <m:sty m:val="p"/>
          </m:rPr>
          <m:t>(</m:t>
        </m:r>
        <m:sSub>
          <m:e>
            <m:r>
              <m:t>b</m:t>
            </m:r>
          </m:e>
          <m:sub>
            <m:r>
              <m:t>n</m:t>
            </m:r>
          </m:sub>
        </m:sSub>
        <m:r>
          <m:rPr>
            <m:sty m:val="p"/>
          </m:rPr>
          <m:t>,</m:t>
        </m:r>
        <m:sSub>
          <m:e>
            <m:r>
              <m:t>r</m:t>
            </m:r>
          </m:e>
          <m:sub>
            <m:r>
              <m:t>n</m:t>
            </m:r>
          </m:sub>
        </m:sSub>
        <m:r>
          <m:rPr>
            <m:sty m:val="p"/>
          </m:rPr>
          <m:t>)</m:t>
        </m:r>
        <m:r>
          <m:rPr>
            <m:sty m:val="p"/>
          </m:rPr>
          <m:t>→</m:t>
        </m:r>
        <m:r>
          <m:t>0</m:t>
        </m:r>
      </m:oMath>
      <w:r>
        <w:t xml:space="preserve">,</w:t>
      </w:r>
      <w:r>
        <w:t xml:space="preserve"> </w:t>
      </w:r>
      <m:oMath>
        <m:sSub>
          <m:e>
            <m:r>
              <m:t>b</m:t>
            </m:r>
          </m:e>
          <m:sub>
            <m:r>
              <m:t>n</m:t>
            </m:r>
          </m:sub>
        </m:sSub>
        <m:r>
          <m:rPr>
            <m:sty m:val="p"/>
          </m:rPr>
          <m:t>/</m:t>
        </m:r>
        <m:r>
          <m:t>n</m:t>
        </m:r>
        <m:r>
          <m:rPr>
            <m:sty m:val="p"/>
          </m:rPr>
          <m:t>→</m:t>
        </m:r>
        <m:r>
          <m:t>0</m:t>
        </m:r>
      </m:oMath>
      <w:r>
        <w:t xml:space="preserve">,</w:t>
      </w:r>
      <w:r>
        <w:t xml:space="preserve"> </w:t>
      </w:r>
      <m:oMath>
        <m:sSub>
          <m:e>
            <m:r>
              <m:t>δ</m:t>
            </m:r>
          </m:e>
          <m:sub>
            <m:r>
              <m:rPr>
                <m:sty m:val="p"/>
              </m:rPr>
              <m:t>c</m:t>
            </m:r>
            <m:r>
              <m:rPr>
                <m:sty m:val="p"/>
              </m:rPr>
              <m:t>o</m:t>
            </m:r>
            <m:r>
              <m:rPr>
                <m:sty m:val="p"/>
              </m:rPr>
              <m:t>n</m:t>
            </m:r>
            <m:r>
              <m:rPr>
                <m:sty m:val="p"/>
              </m:rPr>
              <m:t>f</m:t>
            </m:r>
            <m:r>
              <m:rPr>
                <m:sty m:val="p"/>
              </m:rPr>
              <m:t>,</m:t>
            </m:r>
            <m:r>
              <m:t>n</m:t>
            </m:r>
          </m:sub>
        </m:sSub>
        <m:r>
          <m:rPr>
            <m:sty m:val="p"/>
          </m:rPr>
          <m:t>→</m:t>
        </m:r>
        <m:r>
          <m:t>0</m:t>
        </m:r>
      </m:oMath>
      <w:r>
        <w:t xml:space="preserve">,</w:t>
      </w:r>
      <w:r>
        <w:t xml:space="preserve"> </w:t>
      </w:r>
      <m:oMath>
        <m:r>
          <m:rPr>
            <m:sty m:val="p"/>
          </m:rPr>
          <m:t>log</m:t>
        </m:r>
        <m:r>
          <m:rPr>
            <m:sty m:val="p"/>
          </m:rPr>
          <m:t>(</m:t>
        </m:r>
        <m:r>
          <m:t>1</m:t>
        </m:r>
        <m:r>
          <m:rPr>
            <m:sty m:val="p"/>
          </m:rPr>
          <m:t>/</m:t>
        </m:r>
        <m:sSub>
          <m:e>
            <m:r>
              <m:t>δ</m:t>
            </m:r>
          </m:e>
          <m:sub>
            <m:r>
              <m:rPr>
                <m:sty m:val="p"/>
              </m:rPr>
              <m:t>c</m:t>
            </m:r>
            <m:r>
              <m:rPr>
                <m:sty m:val="p"/>
              </m:rPr>
              <m:t>o</m:t>
            </m:r>
            <m:r>
              <m:rPr>
                <m:sty m:val="p"/>
              </m:rPr>
              <m:t>n</m:t>
            </m:r>
            <m:r>
              <m:rPr>
                <m:sty m:val="p"/>
              </m:rPr>
              <m:t>f</m:t>
            </m:r>
            <m:r>
              <m:rPr>
                <m:sty m:val="p"/>
              </m:rPr>
              <m:t>,</m:t>
            </m:r>
            <m:r>
              <m:t>n</m:t>
            </m:r>
          </m:sub>
        </m:sSub>
        <m:r>
          <m:rPr>
            <m:sty m:val="p"/>
          </m:rPr>
          <m:t>)</m:t>
        </m:r>
        <m:r>
          <m:rPr>
            <m:sty m:val="p"/>
          </m:rPr>
          <m:t>/</m:t>
        </m:r>
        <m:r>
          <m:t>n</m:t>
        </m:r>
        <m:r>
          <m:rPr>
            <m:sty m:val="p"/>
          </m:rPr>
          <m:t>→</m:t>
        </m:r>
        <m:r>
          <m:t>0</m:t>
        </m:r>
      </m:oMath>
      <w:r>
        <w:t xml:space="preserve">, and</w:t>
      </w:r>
      <w:r>
        <w:t xml:space="preserve"> </w:t>
      </w:r>
      <m:oMath>
        <m:sSub>
          <m:e>
            <m:r>
              <m:t>λ</m:t>
            </m:r>
          </m:e>
          <m:sub>
            <m:r>
              <m:t>n</m:t>
            </m:r>
          </m:sub>
        </m:sSub>
        <m:sSub>
          <m:e>
            <m:r>
              <m:t>b</m:t>
            </m:r>
          </m:e>
          <m:sub>
            <m:r>
              <m:t>n</m:t>
            </m:r>
          </m:sub>
        </m:sSub>
        <m:r>
          <m:rPr>
            <m:sty m:val="p"/>
          </m:rPr>
          <m:t>+</m:t>
        </m:r>
        <m:sSub>
          <m:e>
            <m:r>
              <m:t>ξ</m:t>
            </m:r>
          </m:e>
          <m:sub>
            <m:r>
              <m:t>n</m:t>
            </m:r>
          </m:sub>
        </m:sSub>
        <m:r>
          <m:rPr>
            <m:sty m:val="p"/>
          </m:rPr>
          <m:t>→</m:t>
        </m:r>
        <m:r>
          <m:t>0</m:t>
        </m:r>
      </m:oMath>
      <w:r>
        <w:t xml:space="preserve">. This yields convergence in probability relative to the declared</w:t>
      </w:r>
      <w:r>
        <w:t xml:space="preserve"> </w:t>
      </w:r>
      <w:r>
        <w:t xml:space="preserve">envelope comparator, not natural truth risk or model identification. Almost-sure convergence</w:t>
      </w:r>
      <w:r>
        <w:t xml:space="preserve"> </w:t>
      </w:r>
      <w:r>
        <w:t xml:space="preserve">additionally needs a summable failure schedule</w:t>
      </w:r>
      <w:r>
        <w:t xml:space="preserve"> </w:t>
      </w:r>
      <m:oMath>
        <m:nary>
          <m:naryPr>
            <m:chr m:val="∑"/>
            <m:limLoc m:val="undOvr"/>
            <m:subHide m:val="off"/>
            <m:supHide m:val="on"/>
          </m:naryPr>
          <m:sub>
            <m:r>
              <m:t>n</m:t>
            </m:r>
          </m:sub>
          <m:sup>
            <m:r>
              <m:t/>
            </m:r>
          </m:sup>
          <m:e>
            <m:sSub>
              <m:e>
                <m:r>
                  <m:t>δ</m:t>
                </m:r>
              </m:e>
              <m:sub>
                <m:r>
                  <m:rPr>
                    <m:sty m:val="p"/>
                  </m:rPr>
                  <m:t>c</m:t>
                </m:r>
                <m:r>
                  <m:rPr>
                    <m:sty m:val="p"/>
                  </m:rPr>
                  <m:t>o</m:t>
                </m:r>
                <m:r>
                  <m:rPr>
                    <m:sty m:val="p"/>
                  </m:rPr>
                  <m:t>n</m:t>
                </m:r>
                <m:r>
                  <m:rPr>
                    <m:sty m:val="p"/>
                  </m:rPr>
                  <m:t>f</m:t>
                </m:r>
                <m:r>
                  <m:rPr>
                    <m:sty m:val="p"/>
                  </m:rPr>
                  <m:t>,</m:t>
                </m:r>
                <m:r>
                  <m:t>n</m:t>
                </m:r>
              </m:sub>
            </m:sSub>
          </m:e>
        </m:nary>
        <m:r>
          <m:rPr>
            <m:sty m:val="p"/>
          </m:rPr>
          <m:t>&lt;</m:t>
        </m:r>
        <m:r>
          <m:rPr>
            <m:sty m:val="p"/>
          </m:rPr>
          <m:t>∞</m:t>
        </m:r>
      </m:oMath>
      <w:r>
        <w:t xml:space="preserve">. The class, loss, distribution interface, and resource</w:t>
      </w:r>
      <w:r>
        <w:t xml:space="preserve"> </w:t>
      </w:r>
      <w:r>
        <w:t xml:space="preserve">schedule are fixed before each evaluation sample; the conclusion does not cover adapting a grammar</w:t>
      </w:r>
      <w:r>
        <w:t xml:space="preserve"> </w:t>
      </w:r>
      <w:r>
        <w:t xml:space="preserve">to the same evaluation data. The schedule need not be nested for the in-probability statement. A separate</w:t>
      </w:r>
      <w:r>
        <w:t xml:space="preserve"> </w:t>
      </w:r>
      <m:oMath>
        <m:sSup>
          <m:e>
            <m:r>
              <m:t>b</m:t>
            </m:r>
          </m:e>
          <m:sup>
            <m:r>
              <m:rPr>
                <m:sty m:val="p"/>
              </m:rPr>
              <m:t>−</m:t>
            </m:r>
            <m:r>
              <m:t>ν</m:t>
            </m:r>
          </m:sup>
        </m:sSup>
      </m:oMath>
      <w:r>
        <w:t xml:space="preserve"> </w:t>
      </w:r>
      <w:r>
        <w:t xml:space="preserve">rate</w:t>
      </w:r>
      <w:r>
        <w:t xml:space="preserve"> </w:t>
      </w:r>
      <w:r>
        <w:t xml:space="preserve">illustration would additionally require a nested or otherwise monotone approximation structure</w:t>
      </w:r>
      <w:r>
        <w:t xml:space="preserve"> </w:t>
      </w:r>
      <w:r>
        <w:t xml:space="preserve">that validates the approximation law along the schedule.</w:t>
      </w:r>
    </w:p>
    <w:bookmarkStart w:id="74" w:name="tab:notation-register"/>
    <w:p>
      <w:pPr>
        <w:pStyle w:val="TableCaption"/>
        <w:widowControl/>
      </w:pPr>
      <w:r>
        <w:t>Table 2. Notation register for the formal interfaces. Symbols are scoped so that a confidence level, certificate tolerance, fidelity tolerance, and look index cannot silently exchange meanings.</w:t>
      </w:r>
    </w:p>
    <w:tbl>
      <w:tblPr>
        <w:tblStyle w:val="Table"/>
        <w:tblW w:type="dxa" w:w="9360"/>
        <w:jc w:val="left"/>
        <w:tblLayout w:type="fixed"/>
        <w:tblLook w:firstRow="1" w:lastRow="0" w:firstColumn="0" w:lastColumn="0" w:noHBand="0" w:noVBand="0" w:val="0020"/>
        <w:tblCaption w:val="Notation register for the formal interfaces. Symbols are scoped so that a confidence level, certificate tolerance, fidelity tolerance, and look index cannot silently exchange meaning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2645"/>
        <w:gridCol w:w="3064"/>
        <w:gridCol w:w="3651"/>
      </w:tblGrid>
      <w:tr>
        <w:trPr>
          <w:tblHeader w:val="on"/>
          <w:cantSplit/>
        </w:trPr>
        <w:tc>
          <w:tcPr>
            <w:tcW w:type="dxa" w:w="2645"/>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6"/>
              </w:rPr>
              <w:t xml:space="preserve">Symbol</w:t>
            </w:r>
          </w:p>
        </w:tc>
        <w:tc>
          <w:tcPr>
            <w:tcW w:type="dxa" w:w="3064"/>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Meaning</w:t>
            </w:r>
          </w:p>
        </w:tc>
        <w:tc>
          <w:tcPr>
            <w:tcW w:type="dxa" w:w="365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Scope boundary</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r>
                <m:t>a</m:t>
              </m:r>
              <m:r>
                <m:rPr>
                  <m:sty m:val="p"/>
                </m:rPr>
                <m:t>∈</m:t>
              </m:r>
              <m:sSub>
                <m:e>
                  <m:r>
                    <m:rPr>
                      <m:scr m:val="script"/>
                      <m:sty m:val="p"/>
                    </m:rPr>
                    <m:t>A</m:t>
                  </m:r>
                </m:e>
                <m:sub>
                  <m:r>
                    <m:t>b</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Declared ledger address</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the semantic candidate itself.</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r>
                <m:t>r</m:t>
              </m:r>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Classical execution-resource envelope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Distinct from the repeated-look radius</w:t>
            </w:r>
            <w:r>
              <w:rPr>
                <w:rFonts w:ascii="Calibri" w:hAnsi="Calibri" w:eastAsia="Calibri" w:cs="Calibri"/>
                <w:b w:val="0"/>
                <w:color w:val="151515"/>
                <w:sz w:val="16"/>
              </w:rPr>
              <w:t xml:space="preserve"> </w:t>
            </w:r>
            <m:oMath>
              <m:sSub>
                <m:e>
                  <m:r>
                    <m:t>r</m:t>
                  </m:r>
                </m:e>
                <m:sub>
                  <m:r>
                    <m:t>h</m:t>
                  </m:r>
                  <m:r>
                    <m:t>g</m:t>
                  </m:r>
                  <m:r>
                    <m:t>s</m:t>
                  </m:r>
                </m:sub>
              </m:sSub>
            </m:oMath>
            <w:r>
              <w:rPr>
                <w:rFonts w:ascii="Calibri" w:hAnsi="Calibri" w:eastAsia="Calibri" w:cs="Calibri"/>
                <w:b w:val="0"/>
                <w:color w:val="151515"/>
                <w:sz w:val="16"/>
              </w:rPr>
              <w:t xml:space="preserve">.</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δ</m:t>
                  </m:r>
                </m:e>
                <m:sub>
                  <m:r>
                    <m:rPr>
                      <m:sty m:val="p"/>
                    </m:rPr>
                    <m:t>c</m:t>
                  </m:r>
                  <m:r>
                    <m:rPr>
                      <m:sty m:val="p"/>
                    </m:rPr>
                    <m:t>o</m:t>
                  </m:r>
                  <m:r>
                    <m:rPr>
                      <m:sty m:val="p"/>
                    </m:rPr>
                    <m:t>n</m:t>
                  </m:r>
                  <m:r>
                    <m:rPr>
                      <m:sty m:val="p"/>
                    </m:rPr>
                    <m:t>f</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Theorem </w:t>
            </w:r>
            <w:hyperlink w:anchor="thm:finite">
              <w:r>
                <w:rPr>
                  <w:rStyle w:val="Hyperlink"/>
                </w:rPr>
                <w:t xml:space="preserve">1</w:t>
              </w:r>
            </w:hyperlink>
            <w:r>
              <w:rPr>
                <w:rFonts w:ascii="Calibri" w:hAnsi="Calibri" w:eastAsia="Calibri" w:cs="Calibri"/>
                <w:b w:val="0"/>
                <w:color w:val="151515"/>
                <w:sz w:val="16"/>
              </w:rPr>
              <w:t xml:space="preserve"> </w:t>
            </w:r>
            <w:r>
              <w:rPr>
                <w:rFonts w:ascii="Calibri" w:hAnsi="Calibri" w:eastAsia="Calibri" w:cs="Calibri"/>
                <w:b w:val="0"/>
                <w:color w:val="151515"/>
                <w:sz w:val="16"/>
              </w:rPr>
              <w:t xml:space="preserve">tail-failure probability</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a</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certificate target.</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ε</m:t>
                  </m:r>
                </m:e>
                <m:sub>
                  <m:r>
                    <m:rPr>
                      <m:nor/>
                    </m:rPr>
                    <m:t>app</m:t>
                  </m:r>
                </m:sub>
              </m:sSub>
              <m:r>
                <m:rPr>
                  <m:sty m:val="p"/>
                </m:rPr>
                <m:t>(</m:t>
              </m:r>
              <m:r>
                <m:t>b</m:t>
              </m:r>
              <m:r>
                <m:rPr>
                  <m:sty m:val="p"/>
                </m:rPr>
                <m:t>,</m:t>
              </m:r>
              <m:r>
                <m:t>r</m:t>
              </m:r>
              <m:r>
                <m:rPr>
                  <m:sty m:val="p"/>
                </m:rPr>
                <m:t>)</m:t>
              </m:r>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Approximation gap to the declared comparison envelope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a certificate or fidelity tolerance.</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κ</m:t>
                  </m:r>
                </m:e>
                <m:sub>
                  <m:r>
                    <m:t>t</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Paired-path local discrepancy in Equation </w:t>
            </w:r>
            <w:hyperlink w:anchor="eq:path">
              <w:r>
                <w:rPr>
                  <w:rStyle w:val="Hyperlink"/>
                </w:rPr>
                <w:t xml:space="preserve">(5)</w:t>
              </w:r>
            </w:hyperlink>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Defined at</w:t>
            </w:r>
            <w:r>
              <w:rPr>
                <w:rFonts w:ascii="Calibri" w:hAnsi="Calibri" w:eastAsia="Calibri" w:cs="Calibri"/>
                <w:b w:val="0"/>
                <w:color w:val="151515"/>
                <w:sz w:val="16"/>
              </w:rPr>
              <w:t xml:space="preserve"> </w:t>
            </w:r>
            <m:oMath>
              <m:sSub>
                <m:e>
                  <m:acc>
                    <m:accPr>
                      <m:chr m:val="̂"/>
                    </m:accPr>
                    <m:e>
                      <m:r>
                        <m:t>x</m:t>
                      </m:r>
                    </m:e>
                  </m:acc>
                </m:e>
                <m:sub>
                  <m:r>
                    <m:t>t</m:t>
                  </m:r>
                </m:sub>
              </m:sSub>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in the registered metric and domain.</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η</m:t>
                  </m:r>
                </m:e>
                <m:sub>
                  <m:r>
                    <m:t>ℓ</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One-level cross-scale commutation defect</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Conditional on typed maps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admissible intermediate images.</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ε</m:t>
                  </m:r>
                </m:e>
                <m:sub>
                  <m:r>
                    <m:rPr>
                      <m:nor/>
                    </m:rPr>
                    <m:t>cert</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Coarse-certificate event tolerance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Fixed with the event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reference law before calibration.</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δ</m:t>
                  </m:r>
                </m:e>
                <m:sub>
                  <m:r>
                    <m:rPr>
                      <m:nor/>
                    </m:rPr>
                    <m:t>cert</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Certificate grant/withdrawal probability target</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the theorem</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tail probability.</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Sup>
                <m:e>
                  <m:r>
                    <m:t>ε</m:t>
                  </m:r>
                </m:e>
                <m:sub>
                  <m:r>
                    <m:t>j</m:t>
                  </m:r>
                </m:sub>
                <m:sup>
                  <m:r>
                    <m:rPr>
                      <m:nor/>
                    </m:rPr>
                    <m:t>fid</m:t>
                  </m:r>
                </m:sup>
              </m:sSubSup>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Observable-specific fidelity tolerance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Relative to one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protected observable, horizon, input law, and refinement family.</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r>
                <m:t>s</m:t>
              </m:r>
            </m:oMath>
            <w:r>
              <w:rPr>
                <w:rFonts w:ascii="Calibri" w:hAnsi="Calibri" w:eastAsia="Calibri" w:cs="Calibri"/>
                <w:b w:val="0"/>
                <w:bCs/>
                <w:color w:val="151515"/>
                <w:sz w:val="16"/>
              </w:rPr>
              <w:t xml:space="preserve">,</w:t>
            </w:r>
            <w:r>
              <w:rPr>
                <w:rFonts w:ascii="Calibri" w:hAnsi="Calibri" w:eastAsia="Calibri" w:cs="Calibri"/>
                <w:b w:val="0"/>
                <w:bCs/>
                <w:color w:val="151515"/>
                <w:sz w:val="16"/>
              </w:rPr>
              <w:t xml:space="preserve"> </w:t>
            </w:r>
            <m:oMath>
              <m:sSub>
                <m:e>
                  <m:r>
                    <m:t>n</m:t>
                  </m:r>
                </m:e>
                <m:sub>
                  <m:r>
                    <m:t>s</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Registered look index; cumulative observations at that look</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Only</w:t>
            </w:r>
            <w:r>
              <w:rPr>
                <w:rFonts w:ascii="Calibri" w:hAnsi="Calibri" w:eastAsia="Calibri" w:cs="Calibri"/>
                <w:b w:val="0"/>
                <w:color w:val="151515"/>
                <w:sz w:val="16"/>
              </w:rPr>
              <w:t xml:space="preserve"> </w:t>
            </w:r>
            <m:oMath>
              <m:r>
                <m:t>s</m:t>
              </m:r>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enters alpha spending; only</w:t>
            </w:r>
            <w:r>
              <w:rPr>
                <w:rFonts w:ascii="Calibri" w:hAnsi="Calibri" w:eastAsia="Calibri" w:cs="Calibri"/>
                <w:b w:val="0"/>
                <w:color w:val="151515"/>
                <w:sz w:val="16"/>
              </w:rPr>
              <w:t xml:space="preserve"> </w:t>
            </w:r>
            <m:oMath>
              <m:sSub>
                <m:e>
                  <m:r>
                    <m:t>n</m:t>
                  </m:r>
                </m:e>
                <m:sub>
                  <m:r>
                    <m:t>s</m:t>
                  </m:r>
                </m:sub>
              </m:sSub>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enters the radius denominator.</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q</m:t>
                  </m:r>
                </m:e>
                <m:sub>
                  <m:r>
                    <m:rPr>
                      <m:nor/>
                    </m:rPr>
                    <m:t>cal</m:t>
                  </m:r>
                </m:sub>
              </m:sSub>
              <m:r>
                <m:rPr>
                  <m:sty m:val="p"/>
                </m:rPr>
                <m:t>,</m:t>
              </m:r>
              <m:sSub>
                <m:e>
                  <m:r>
                    <m:t>q</m:t>
                  </m:r>
                </m:e>
                <m:sub>
                  <m:r>
                    <m:rPr>
                      <m:nor/>
                    </m:rPr>
                    <m:t>locked</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Total-variation bounds induced by role acceptance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quantizers; quantizers retain the notation</w:t>
            </w:r>
            <w:r>
              <w:rPr>
                <w:rFonts w:ascii="Calibri" w:hAnsi="Calibri" w:eastAsia="Calibri" w:cs="Calibri"/>
                <w:b w:val="0"/>
                <w:color w:val="151515"/>
                <w:sz w:val="16"/>
              </w:rPr>
              <w:t xml:space="preserve"> </w:t>
            </w:r>
            <m:oMath>
              <m:sSub>
                <m:e>
                  <m:r>
                    <m:t>q</m:t>
                  </m:r>
                </m:e>
                <m:sub>
                  <m:r>
                    <m:t>j</m:t>
                  </m:r>
                </m:sub>
              </m:sSub>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only inside Equation </w:t>
            </w:r>
            <w:hyperlink w:anchor="eq:signature">
              <w:r>
                <w:rPr>
                  <w:rStyle w:val="Hyperlink"/>
                </w:rPr>
                <w:t xml:space="preserve">(3)</w:t>
              </w:r>
            </w:hyperlink>
            <w:r>
              <w:rPr>
                <w:rFonts w:ascii="Calibri" w:hAnsi="Calibri" w:eastAsia="Calibri" w:cs="Calibri"/>
                <w:b w:val="0"/>
                <w:color w:val="151515"/>
                <w:sz w:val="16"/>
              </w:rPr>
              <w:t xml:space="preserve">.</w:t>
            </w:r>
          </w:p>
        </w:tc>
      </w:tr>
    </w:tbl>
    <w:bookmarkEnd w:id="74"/>
    <w:bookmarkEnd w:id="75"/>
    <w:bookmarkStart w:id="76" w:name="path-error-induction"/>
    <w:p>
      <w:pPr>
        <w:pStyle w:val="Heading2"/>
        <w:keepNext/>
        <w:keepLines/>
        <w:widowControl/>
      </w:pPr>
      <w:r>
        <w:t xml:space="preserve">Path-error induction</w:t>
      </w:r>
    </w:p>
    <w:p>
      <w:pPr>
        <w:pStyle w:val="FirstParagraph"/>
        <w:widowControl/>
      </w:pPr>
      <w:r>
        <w:t xml:space="preserve">Let</w:t>
      </w:r>
      <w:r>
        <w:t xml:space="preserve"> </w:t>
      </w:r>
      <m:oMath>
        <m:sSub>
          <m:e>
            <m:r>
              <m:t>e</m:t>
            </m:r>
          </m:e>
          <m:sub>
            <m:r>
              <m:t>t</m:t>
            </m:r>
          </m:sub>
        </m:sSub>
        <m:r>
          <m:rPr>
            <m:sty m:val="p"/>
          </m:rPr>
          <m:t>=</m:t>
        </m:r>
        <m:r>
          <m:t>d</m:t>
        </m:r>
        <m:r>
          <m:rPr>
            <m:sty m:val="p"/>
          </m:rPr>
          <m:t>(</m:t>
        </m:r>
        <m:sSub>
          <m:e>
            <m:r>
              <m:t>x</m:t>
            </m:r>
          </m:e>
          <m:sub>
            <m:r>
              <m:t>t</m:t>
            </m:r>
          </m:sub>
        </m:sSub>
        <m:r>
          <m:rPr>
            <m:sty m:val="p"/>
          </m:rPr>
          <m:t>,</m:t>
        </m:r>
        <m:sSub>
          <m:e>
            <m:acc>
              <m:accPr>
                <m:chr m:val="̂"/>
              </m:accPr>
              <m:e>
                <m:r>
                  <m:t>x</m:t>
                </m:r>
              </m:e>
            </m:acc>
          </m:e>
          <m:sub>
            <m:r>
              <m:t>t</m:t>
            </m:r>
          </m:sub>
        </m:sSub>
        <m:r>
          <m:rPr>
            <m:sty m:val="p"/>
          </m:rPr>
          <m:t>)</m:t>
        </m:r>
      </m:oMath>
      <w:r>
        <w:t xml:space="preserve">. The triangle inequality, Lipschitz property, and registered</w:t>
      </w:r>
      <w:r>
        <w:t xml:space="preserve"> </w:t>
      </w:r>
      <w:r>
        <w:t xml:space="preserve">one-step discrepancy yield</w:t>
      </w:r>
    </w:p>
    <w:p>
      <w:pPr>
        <w:pStyle w:val="BodyText"/>
        <w:widowControl/>
      </w:pPr>
      <m:oMathPara>
        <m:oMathParaPr>
          <m:jc m:val="center"/>
        </m:oMathParaPr>
        <m:oMath>
          <m:eqArr>
            <m:e>
              <m:sSub>
                <m:e>
                  <m:r>
                    <m:t>e</m:t>
                  </m:r>
                </m:e>
                <m:sub>
                  <m:r>
                    <m:t>t</m:t>
                  </m:r>
                  <m:r>
                    <m:rPr>
                      <m:sty m:val="p"/>
                    </m:rPr>
                    <m:t>+</m:t>
                  </m:r>
                  <m:r>
                    <m:t>1</m:t>
                  </m:r>
                </m:sub>
              </m:sSub>
              <m:r>
                <m:rPr>
                  <m:sty m:val="p"/>
                </m:rPr>
                <m:t>=</m:t>
              </m:r>
              <m:r>
                <m:t>d</m:t>
              </m:r>
              <m:r>
                <m:rPr>
                  <m:sty m:val="p"/>
                </m:rPr>
                <m:t>(</m:t>
              </m:r>
              <m:sSub>
                <m:e>
                  <m:r>
                    <m:t>F</m:t>
                  </m:r>
                </m:e>
                <m:sub>
                  <m:r>
                    <m:t>t</m:t>
                  </m:r>
                </m:sub>
              </m:sSub>
              <m:r>
                <m:rPr>
                  <m:sty m:val="p"/>
                </m:rPr>
                <m:t>(</m:t>
              </m:r>
              <m:sSub>
                <m:e>
                  <m:r>
                    <m:t>x</m:t>
                  </m:r>
                </m:e>
                <m:sub>
                  <m:r>
                    <m:t>t</m:t>
                  </m:r>
                </m:sub>
              </m:sSub>
              <m:r>
                <m:rPr>
                  <m:sty m:val="p"/>
                </m:rPr>
                <m:t>)</m:t>
              </m:r>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r>
                <m:rPr>
                  <m:sty m:val="p"/>
                </m:rPr>
                <m:t>)</m:t>
              </m:r>
            </m:e>
            <m:e>
              <m:r>
                <m:rPr>
                  <m:sty m:val="p"/>
                </m:rPr>
                <m:t>≤</m:t>
              </m:r>
              <m:r>
                <m:t>d</m:t>
              </m:r>
              <m:r>
                <m:rPr>
                  <m:sty m:val="p"/>
                </m:rPr>
                <m:t>(</m:t>
              </m:r>
              <m:sSub>
                <m:e>
                  <m:r>
                    <m:t>F</m:t>
                  </m:r>
                </m:e>
                <m:sub>
                  <m:r>
                    <m:t>t</m:t>
                  </m:r>
                </m:sub>
              </m:sSub>
              <m:r>
                <m:rPr>
                  <m:sty m:val="p"/>
                </m:rPr>
                <m:t>(</m:t>
              </m:r>
              <m:sSub>
                <m:e>
                  <m:r>
                    <m:t>x</m:t>
                  </m:r>
                </m:e>
                <m:sub>
                  <m:r>
                    <m:t>t</m:t>
                  </m:r>
                </m:sub>
              </m:sSub>
              <m:r>
                <m:rPr>
                  <m:sty m:val="p"/>
                </m:rPr>
                <m:t>)</m:t>
              </m:r>
              <m:r>
                <m:rPr>
                  <m:sty m:val="p"/>
                </m:rPr>
                <m:t>,</m:t>
              </m:r>
              <m:sSub>
                <m:e>
                  <m:r>
                    <m:t>F</m:t>
                  </m:r>
                </m:e>
                <m:sub>
                  <m:r>
                    <m:t>t</m:t>
                  </m:r>
                </m:sub>
              </m:sSub>
              <m:r>
                <m:rPr>
                  <m:sty m:val="p"/>
                </m:rPr>
                <m:t>(</m:t>
              </m:r>
              <m:sSub>
                <m:e>
                  <m:acc>
                    <m:accPr>
                      <m:chr m:val="̂"/>
                    </m:accPr>
                    <m:e>
                      <m:r>
                        <m:t>x</m:t>
                      </m:r>
                    </m:e>
                  </m:acc>
                </m:e>
                <m:sub>
                  <m:r>
                    <m:t>t</m:t>
                  </m:r>
                </m:sub>
              </m:sSub>
              <m:r>
                <m:rPr>
                  <m:sty m:val="p"/>
                </m:rPr>
                <m:t>)</m:t>
              </m:r>
              <m:r>
                <m:rPr>
                  <m:sty m:val="p"/>
                </m:rPr>
                <m:t>)</m:t>
              </m:r>
              <m:r>
                <m:rPr>
                  <m:sty m:val="p"/>
                </m:rPr>
                <m:t>+</m:t>
              </m:r>
              <m:r>
                <m:t>d</m:t>
              </m:r>
              <m:r>
                <m:rPr>
                  <m:sty m:val="p"/>
                </m:rPr>
                <m:t>(</m:t>
              </m:r>
              <m:sSub>
                <m:e>
                  <m:r>
                    <m:t>F</m:t>
                  </m:r>
                </m:e>
                <m:sub>
                  <m:r>
                    <m:t>t</m:t>
                  </m:r>
                </m:sub>
              </m:sSub>
              <m:r>
                <m:rPr>
                  <m:sty m:val="p"/>
                </m:rPr>
                <m:t>(</m:t>
              </m:r>
              <m:sSub>
                <m:e>
                  <m:acc>
                    <m:accPr>
                      <m:chr m:val="̂"/>
                    </m:accPr>
                    <m:e>
                      <m:r>
                        <m:t>x</m:t>
                      </m:r>
                    </m:e>
                  </m:acc>
                </m:e>
                <m:sub>
                  <m:r>
                    <m:t>t</m:t>
                  </m:r>
                </m:sub>
              </m:sSub>
              <m:r>
                <m:rPr>
                  <m:sty m:val="p"/>
                </m:rPr>
                <m:t>)</m:t>
              </m:r>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r>
                <m:rPr>
                  <m:sty m:val="p"/>
                </m:rPr>
                <m:t>)</m:t>
              </m:r>
            </m:e>
            <m:e>
              <m:r>
                <m:rPr>
                  <m:sty m:val="p"/>
                </m:rPr>
                <m:t>≤</m:t>
              </m:r>
              <m:sSub>
                <m:e>
                  <m:r>
                    <m:t>L</m:t>
                  </m:r>
                </m:e>
                <m:sub>
                  <m:r>
                    <m:t>t</m:t>
                  </m:r>
                </m:sub>
              </m:sSub>
              <m:sSub>
                <m:e>
                  <m:r>
                    <m:t>e</m:t>
                  </m:r>
                </m:e>
                <m:sub>
                  <m:r>
                    <m:t>t</m:t>
                  </m:r>
                </m:sub>
              </m:sSub>
              <m:r>
                <m:rPr>
                  <m:sty m:val="p"/>
                </m:rPr>
                <m:t>+</m:t>
              </m:r>
              <m:sSub>
                <m:e>
                  <m:r>
                    <m:t>κ</m:t>
                  </m:r>
                </m:e>
                <m:sub>
                  <m:r>
                    <m:t>t</m:t>
                  </m:r>
                </m:sub>
              </m:sSub>
              <m:r>
                <m:rPr>
                  <m:sty m:val="p"/>
                </m:rPr>
                <m:t>.</m:t>
              </m:r>
            </m:e>
          </m:eqArr>
        </m:oMath>
      </m:oMathPara>
    </w:p>
    <w:p>
      <w:pPr>
        <w:pStyle w:val="FirstParagraph"/>
        <w:widowControl/>
      </w:pPr>
      <w:r>
        <w:t xml:space="preserve">Repeated substitution gives Equation </w:t>
      </w:r>
      <w:hyperlink w:anchor="eq:path">
        <w:r>
          <w:rPr>
            <w:rStyle w:val="Hyperlink"/>
          </w:rPr>
          <w:t xml:space="preserve">(5)</w:t>
        </w:r>
      </w:hyperlink>
      <w:r>
        <w:t xml:space="preserve">. Here</w:t>
      </w:r>
      <w:r>
        <w:t xml:space="preserve"> </w:t>
      </w:r>
      <m:oMath>
        <m:sSub>
          <m:e>
            <m:r>
              <m:t>κ</m:t>
            </m:r>
          </m:e>
          <m:sub>
            <m:r>
              <m:t>t</m:t>
            </m:r>
          </m:sub>
        </m:sSub>
      </m:oMath>
      <w:r>
        <w:t xml:space="preserve"> </w:t>
      </w:r>
      <w:r>
        <w:t xml:space="preserve">bounds the second distance</w:t>
      </w:r>
      <w:r>
        <w:t xml:space="preserve"> </w:t>
      </w:r>
      <w:r>
        <w:t xml:space="preserve">at the candidate-side point</w:t>
      </w:r>
      <w:r>
        <w:t xml:space="preserve"> </w:t>
      </w:r>
      <m:oMath>
        <m:sSub>
          <m:e>
            <m:acc>
              <m:accPr>
                <m:chr m:val="̂"/>
              </m:accPr>
              <m:e>
                <m:r>
                  <m:t>x</m:t>
                </m:r>
              </m:e>
            </m:acc>
          </m:e>
          <m:sub>
            <m:r>
              <m:t>t</m:t>
            </m:r>
          </m:sub>
        </m:sSub>
      </m:oMath>
      <w:r>
        <w:t xml:space="preserve"> </w:t>
      </w:r>
      <w:r>
        <w:t xml:space="preserve">on the registered paired path in the same metric</w:t>
      </w:r>
      <w:r>
        <w:t xml:space="preserve"> </w:t>
      </w:r>
      <m:oMath>
        <m:r>
          <m:t>d</m:t>
        </m:r>
      </m:oMath>
      <w:r>
        <w:t xml:space="preserve">. This deterministic derivation is withdrawn if either trajectory leaves the region on which</w:t>
      </w:r>
      <w:r>
        <w:t xml:space="preserve"> </w:t>
      </w:r>
      <m:oMath>
        <m:sSub>
          <m:e>
            <m:r>
              <m:t>L</m:t>
            </m:r>
          </m:e>
          <m:sub>
            <m:r>
              <m:t>t</m:t>
            </m:r>
          </m:sub>
        </m:sSub>
      </m:oMath>
      <w:r>
        <w:t xml:space="preserve"> </w:t>
      </w:r>
      <w:r>
        <w:t xml:space="preserve">and</w:t>
      </w:r>
      <w:r>
        <w:t xml:space="preserve"> </w:t>
      </w:r>
      <m:oMath>
        <m:sSub>
          <m:e>
            <m:r>
              <m:t>κ</m:t>
            </m:r>
          </m:e>
          <m:sub>
            <m:r>
              <m:t>t</m:t>
            </m:r>
          </m:sub>
        </m:sSub>
      </m:oMath>
      <w:r>
        <w:t xml:space="preserve"> </w:t>
      </w:r>
      <w:r>
        <w:t xml:space="preserve">are valid or if the local discrepancy was bounded on a different path.</w:t>
      </w:r>
    </w:p>
    <w:bookmarkEnd w:id="76"/>
    <w:bookmarkStart w:id="77" w:name="cross-scale-composition"/>
    <w:p>
      <w:pPr>
        <w:pStyle w:val="Heading2"/>
        <w:keepNext/>
        <w:keepLines/>
        <w:widowControl/>
      </w:pPr>
      <w:r>
        <w:t xml:space="preserve">Cross-scale composition</w:t>
      </w:r>
    </w:p>
    <w:p>
      <w:pPr>
        <w:pStyle w:val="FirstParagraph"/>
        <w:widowControl/>
      </w:pPr>
      <w:r>
        <w:t xml:space="preserve">Set</w:t>
      </w:r>
    </w:p>
    <w:p>
      <w:pPr>
        <w:pStyle w:val="BodyText"/>
        <w:widowControl/>
      </w:pPr>
      <m:oMathPara>
        <m:oMathParaPr>
          <m:jc m:val="center"/>
        </m:oMathParaPr>
        <m:oMath>
          <m:sSub>
            <m:e>
              <m:r>
                <m:rPr>
                  <m:sty m:val="p"/>
                </m:rPr>
                <m:t>Γ</m:t>
              </m:r>
            </m:e>
            <m:sub>
              <m:r>
                <m:t>ℓ</m:t>
              </m:r>
              <m:r>
                <m:rPr>
                  <m:sty m:val="p"/>
                </m:rPr>
                <m:t>:</m:t>
              </m:r>
              <m:r>
                <m:t>ℓ</m:t>
              </m:r>
            </m:sub>
          </m:sSub>
          <m:r>
            <m:rPr>
              <m:sty m:val="p"/>
            </m:rPr>
            <m:t>=</m:t>
          </m:r>
          <m:sSub>
            <m:e>
              <m:r>
                <m:rPr>
                  <m:nor/>
                </m:rPr>
                <m:t>id</m:t>
              </m:r>
            </m:e>
            <m:sub>
              <m:sSub>
                <m:e>
                  <m:r>
                    <m:t>X</m:t>
                  </m:r>
                </m:e>
                <m:sub>
                  <m:r>
                    <m:t>ℓ</m:t>
                  </m:r>
                </m:sub>
              </m:sSub>
            </m:sub>
          </m:sSub>
          <m:r>
            <m:rPr>
              <m:sty m:val="p"/>
            </m:rPr>
            <m:t>,</m:t>
          </m:r>
          <m:r>
            <m:t>  </m:t>
          </m:r>
          <m:sSub>
            <m:e>
              <m:r>
                <m:rPr>
                  <m:sty m:val="p"/>
                </m:rPr>
                <m:t>Γ</m:t>
              </m:r>
            </m:e>
            <m:sub>
              <m:r>
                <m:t>ℓ</m:t>
              </m:r>
              <m:r>
                <m:rPr>
                  <m:sty m:val="p"/>
                </m:rPr>
                <m:t>:</m:t>
              </m:r>
              <m:r>
                <m:t>ℓ</m:t>
              </m:r>
              <m:r>
                <m:rPr>
                  <m:sty m:val="p"/>
                </m:rPr>
                <m:t>+</m:t>
              </m:r>
              <m:r>
                <m:t>q</m:t>
              </m:r>
            </m:sub>
          </m:sSub>
          <m:r>
            <m:rPr>
              <m:sty m:val="p"/>
            </m:rPr>
            <m:t>=</m:t>
          </m:r>
          <m:sSub>
            <m:e>
              <m:r>
                <m:rPr>
                  <m:sty m:val="p"/>
                </m:rPr>
                <m:t>Γ</m:t>
              </m:r>
            </m:e>
            <m:sub>
              <m:r>
                <m:t>ℓ</m:t>
              </m:r>
              <m:r>
                <m:rPr>
                  <m:sty m:val="p"/>
                </m:rPr>
                <m:t>+</m:t>
              </m:r>
              <m:r>
                <m:t>q</m:t>
              </m:r>
              <m:r>
                <m:rPr>
                  <m:sty m:val="p"/>
                </m:rPr>
                <m:t>−</m:t>
              </m:r>
              <m:r>
                <m:t>1</m:t>
              </m:r>
            </m:sub>
          </m:sSub>
          <m:r>
            <m:rPr>
              <m:sty m:val="p"/>
            </m:rPr>
            <m:t>∘</m:t>
          </m:r>
          <m:r>
            <m:rPr>
              <m:sty m:val="p"/>
            </m:rPr>
            <m:t>⋯</m:t>
          </m:r>
          <m:r>
            <m:rPr>
              <m:sty m:val="p"/>
            </m:rPr>
            <m:t>∘</m:t>
          </m:r>
          <m:sSub>
            <m:e>
              <m:r>
                <m:rPr>
                  <m:sty m:val="p"/>
                </m:rPr>
                <m:t>Γ</m:t>
              </m:r>
            </m:e>
            <m:sub>
              <m:r>
                <m:t>ℓ</m:t>
              </m:r>
            </m:sub>
          </m:sSub>
          <m:r>
            <m:t> </m:t>
          </m:r>
          <m:r>
            <m:rPr>
              <m:sty m:val="p"/>
            </m:rPr>
            <m:t>(</m:t>
          </m:r>
          <m:r>
            <m:t>q</m:t>
          </m:r>
          <m:r>
            <m:rPr>
              <m:sty m:val="p"/>
            </m:rPr>
            <m:t>≥</m:t>
          </m:r>
          <m:r>
            <m:t>1</m:t>
          </m:r>
          <m:r>
            <m:rPr>
              <m:sty m:val="p"/>
            </m:rPr>
            <m:t>)</m:t>
          </m:r>
          <m:r>
            <m:rPr>
              <m:sty m:val="p"/>
            </m:rPr>
            <m:t>.</m:t>
          </m:r>
        </m:oMath>
      </m:oMathPara>
    </w:p>
    <w:p>
      <w:pPr>
        <w:pStyle w:val="FirstParagraph"/>
        <w:widowControl/>
      </w:pPr>
      <w:r>
        <w:t xml:space="preserve">For every level used below, register the nonempty domain</w:t>
      </w:r>
    </w:p>
    <w:p>
      <w:pPr>
        <w:pStyle w:val="BodyText"/>
        <w:widowControl/>
      </w:pPr>
      <m:oMathPara>
        <m:oMathParaPr>
          <m:jc m:val="center"/>
        </m:oMathParaPr>
        <m:oMath>
          <m:sSubSup>
            <m:e>
              <m:r>
                <m:t>A</m:t>
              </m:r>
            </m:e>
            <m:sub>
              <m:r>
                <m:t>j</m:t>
              </m:r>
            </m:sub>
            <m:sup>
              <m:r>
                <m:rPr>
                  <m:sty m:val="p"/>
                </m:rPr>
                <m:t>c</m:t>
              </m:r>
              <m:r>
                <m:rPr>
                  <m:sty m:val="p"/>
                </m:rPr>
                <m:t>o</m:t>
              </m:r>
              <m:r>
                <m:rPr>
                  <m:sty m:val="p"/>
                </m:rPr>
                <m:t>m</m:t>
              </m:r>
              <m:r>
                <m:rPr>
                  <m:sty m:val="p"/>
                </m:rPr>
                <m:t>m</m:t>
              </m:r>
            </m:sup>
          </m:sSubSup>
          <m:r>
            <m:rPr>
              <m:sty m:val="p"/>
            </m:rPr>
            <m:t>=</m:t>
          </m:r>
          <m:r>
            <m:rPr>
              <m:sty m:val="p"/>
            </m:rPr>
            <m:t>{</m:t>
          </m:r>
          <m:r>
            <m:t>z</m:t>
          </m:r>
          <m:r>
            <m:rPr>
              <m:sty m:val="p"/>
            </m:rPr>
            <m:t>∈</m:t>
          </m:r>
          <m:sSub>
            <m:e>
              <m:r>
                <m:t>A</m:t>
              </m:r>
            </m:e>
            <m:sub>
              <m:r>
                <m:t>j</m:t>
              </m:r>
            </m:sub>
          </m:sSub>
          <m:r>
            <m:rPr>
              <m:sty m:val="p"/>
            </m:rPr>
            <m:t>∩</m:t>
          </m:r>
          <m:sSub>
            <m:e>
              <m:r>
                <m:t>B</m:t>
              </m:r>
            </m:e>
            <m:sub>
              <m:r>
                <m:t>j</m:t>
              </m:r>
            </m:sub>
          </m:sSub>
          <m:r>
            <m:rPr>
              <m:sty m:val="p"/>
            </m:rPr>
            <m:t>:</m:t>
          </m:r>
          <m:sSub>
            <m:e>
              <m:r>
                <m:t>F</m:t>
              </m:r>
            </m:e>
            <m:sub>
              <m:r>
                <m:t>j</m:t>
              </m:r>
            </m:sub>
          </m:sSub>
          <m:r>
            <m:rPr>
              <m:sty m:val="p"/>
            </m:rPr>
            <m:t>(</m:t>
          </m:r>
          <m:r>
            <m:t>z</m:t>
          </m:r>
          <m:r>
            <m:rPr>
              <m:sty m:val="p"/>
            </m:rPr>
            <m:t>)</m:t>
          </m:r>
          <m:r>
            <m:rPr>
              <m:sty m:val="p"/>
            </m:rPr>
            <m:t>∈</m:t>
          </m:r>
          <m:sSub>
            <m:e>
              <m:r>
                <m:t>B</m:t>
              </m:r>
            </m:e>
            <m:sub>
              <m:r>
                <m:t>j</m:t>
              </m:r>
            </m:sub>
          </m:sSub>
          <m:r>
            <m:rPr>
              <m:sty m:val="p"/>
            </m:rPr>
            <m:t>,</m:t>
          </m:r>
          <m:r>
            <m:t> </m:t>
          </m:r>
          <m:sSub>
            <m:e>
              <m:r>
                <m:rPr>
                  <m:sty m:val="p"/>
                </m:rPr>
                <m:t>Γ</m:t>
              </m:r>
            </m:e>
            <m:sub>
              <m:r>
                <m:t>j</m:t>
              </m:r>
            </m:sub>
          </m:sSub>
          <m:r>
            <m:rPr>
              <m:sty m:val="p"/>
            </m:rPr>
            <m:t>(</m:t>
          </m:r>
          <m:r>
            <m:t>z</m:t>
          </m:r>
          <m:r>
            <m:rPr>
              <m:sty m:val="p"/>
            </m:rPr>
            <m:t>)</m:t>
          </m:r>
          <m:r>
            <m:rPr>
              <m:sty m:val="p"/>
            </m:rPr>
            <m:t>∈</m:t>
          </m:r>
          <m:sSub>
            <m:e>
              <m:r>
                <m:t>A</m:t>
              </m:r>
            </m:e>
            <m:sub>
              <m:r>
                <m:t>j</m:t>
              </m:r>
              <m:r>
                <m:rPr>
                  <m:sty m:val="p"/>
                </m:rPr>
                <m:t>+</m:t>
              </m:r>
              <m:r>
                <m:t>1</m:t>
              </m:r>
            </m:sub>
          </m:sSub>
          <m:r>
            <m:rPr>
              <m:sty m:val="p"/>
            </m:rPr>
            <m:t>}</m:t>
          </m:r>
          <m:r>
            <m:rPr>
              <m:sty m:val="p"/>
            </m:rPr>
            <m:t>,</m:t>
          </m:r>
        </m:oMath>
      </m:oMathPara>
    </w:p>
    <w:p>
      <w:pPr>
        <w:pStyle w:val="FirstParagraph"/>
        <w:widowControl/>
      </w:pPr>
      <w:r>
        <w:t xml:space="preserve">so both compositions in the definition of</w:t>
      </w:r>
      <w:r>
        <w:t xml:space="preserve"> </w:t>
      </w:r>
      <m:oMath>
        <m:sSub>
          <m:e>
            <m:r>
              <m:t>η</m:t>
            </m:r>
          </m:e>
          <m:sub>
            <m:r>
              <m:t>j</m:t>
            </m:r>
          </m:sub>
        </m:sSub>
      </m:oMath>
      <w:r>
        <w:t xml:space="preserve"> </w:t>
      </w:r>
      <w:r>
        <w:t xml:space="preserve">are typed. For the particular</w:t>
      </w:r>
      <w:r>
        <w:t xml:space="preserve"> </w:t>
      </w:r>
      <m:oMath>
        <m:r>
          <m:t>x</m:t>
        </m:r>
        <m:r>
          <m:rPr>
            <m:sty m:val="p"/>
          </m:rPr>
          <m:t>∈</m:t>
        </m:r>
        <m:sSubSup>
          <m:e>
            <m:r>
              <m:t>A</m:t>
            </m:r>
          </m:e>
          <m:sub>
            <m:r>
              <m:t>ℓ</m:t>
            </m:r>
          </m:sub>
          <m:sup>
            <m:r>
              <m:rPr>
                <m:sty m:val="p"/>
              </m:rPr>
              <m:t>c</m:t>
            </m:r>
            <m:r>
              <m:rPr>
                <m:sty m:val="p"/>
              </m:rPr>
              <m:t>o</m:t>
            </m:r>
            <m:r>
              <m:rPr>
                <m:sty m:val="p"/>
              </m:rPr>
              <m:t>m</m:t>
            </m:r>
            <m:r>
              <m:rPr>
                <m:sty m:val="p"/>
              </m:rPr>
              <m:t>m</m:t>
            </m:r>
          </m:sup>
        </m:sSubSup>
      </m:oMath>
      <w:r>
        <w:t xml:space="preserve">, assume for every</w:t>
      </w:r>
      <w:r>
        <w:t xml:space="preserve"> </w:t>
      </w:r>
      <m:oMath>
        <m:r>
          <m:t>q</m:t>
        </m:r>
        <m:r>
          <m:rPr>
            <m:sty m:val="p"/>
          </m:rPr>
          <m:t>=</m:t>
        </m:r>
        <m:r>
          <m:t>0</m:t>
        </m:r>
        <m:r>
          <m:rPr>
            <m:sty m:val="p"/>
          </m:rPr>
          <m:t>,</m:t>
        </m:r>
        <m:r>
          <m:rPr>
            <m:sty m:val="p"/>
          </m:rPr>
          <m:t>…</m:t>
        </m:r>
        <m:r>
          <m:rPr>
            <m:sty m:val="p"/>
          </m:rPr>
          <m:t>,</m:t>
        </m:r>
        <m:r>
          <m:t>r</m:t>
        </m:r>
        <m:r>
          <m:rPr>
            <m:sty m:val="p"/>
          </m:rPr>
          <m:t>−</m:t>
        </m:r>
        <m:r>
          <m:t>1</m:t>
        </m:r>
      </m:oMath>
      <w:r>
        <w:t xml:space="preserve"> </w:t>
      </w:r>
      <w:r>
        <w:t xml:space="preserve">that</w:t>
      </w:r>
      <w:r>
        <w:t xml:space="preserve"> </w:t>
      </w:r>
      <m:oMath>
        <m:sSub>
          <m:e>
            <m:r>
              <m:rPr>
                <m:sty m:val="p"/>
              </m:rPr>
              <m:t>Γ</m:t>
            </m:r>
          </m:e>
          <m:sub>
            <m:r>
              <m:t>ℓ</m:t>
            </m:r>
            <m:r>
              <m:rPr>
                <m:sty m:val="p"/>
              </m:rPr>
              <m:t>:</m:t>
            </m:r>
            <m:r>
              <m:t>ℓ</m:t>
            </m:r>
            <m:r>
              <m:rPr>
                <m:sty m:val="p"/>
              </m:rPr>
              <m:t>+</m:t>
            </m:r>
            <m:r>
              <m:t>q</m:t>
            </m:r>
          </m:sub>
        </m:sSub>
        <m:r>
          <m:rPr>
            <m:sty m:val="p"/>
          </m:rPr>
          <m:t>(</m:t>
        </m:r>
        <m:r>
          <m:t>x</m:t>
        </m:r>
        <m:r>
          <m:rPr>
            <m:sty m:val="p"/>
          </m:rPr>
          <m:t>)</m:t>
        </m:r>
        <m:r>
          <m:rPr>
            <m:sty m:val="p"/>
          </m:rPr>
          <m:t>∈</m:t>
        </m:r>
        <m:sSubSup>
          <m:e>
            <m:r>
              <m:t>A</m:t>
            </m:r>
          </m:e>
          <m:sub>
            <m:r>
              <m:t>ℓ</m:t>
            </m:r>
            <m:r>
              <m:rPr>
                <m:sty m:val="p"/>
              </m:rPr>
              <m:t>+</m:t>
            </m:r>
            <m:r>
              <m:t>q</m:t>
            </m:r>
          </m:sub>
          <m:sup>
            <m:r>
              <m:rPr>
                <m:sty m:val="p"/>
              </m:rPr>
              <m:t>c</m:t>
            </m:r>
            <m:r>
              <m:rPr>
                <m:sty m:val="p"/>
              </m:rPr>
              <m:t>o</m:t>
            </m:r>
            <m:r>
              <m:rPr>
                <m:sty m:val="p"/>
              </m:rPr>
              <m:t>m</m:t>
            </m:r>
            <m:r>
              <m:rPr>
                <m:sty m:val="p"/>
              </m:rPr>
              <m:t>m</m:t>
            </m:r>
          </m:sup>
        </m:sSubSup>
      </m:oMath>
      <w:r>
        <w:t xml:space="preserve">, and assume both</w:t>
      </w:r>
      <w:r>
        <w:t xml:space="preserve"> </w:t>
      </w:r>
      <m:oMath>
        <m:sSub>
          <m:e>
            <m:r>
              <m:rPr>
                <m:sty m:val="p"/>
              </m:rPr>
              <m:t>Γ</m:t>
            </m:r>
          </m:e>
          <m:sub>
            <m:r>
              <m:t>ℓ</m:t>
            </m:r>
            <m:r>
              <m:rPr>
                <m:sty m:val="p"/>
              </m:rPr>
              <m:t>:</m:t>
            </m:r>
            <m:r>
              <m:t>ℓ</m:t>
            </m:r>
            <m:r>
              <m:rPr>
                <m:sty m:val="p"/>
              </m:rPr>
              <m:t>+</m:t>
            </m:r>
            <m:r>
              <m:t>q</m:t>
            </m:r>
          </m:sub>
        </m:sSub>
        <m:sSub>
          <m:e>
            <m:r>
              <m:t>F</m:t>
            </m:r>
          </m:e>
          <m:sub>
            <m:r>
              <m:t>ℓ</m:t>
            </m:r>
          </m:sub>
        </m:sSub>
        <m:r>
          <m:rPr>
            <m:sty m:val="p"/>
          </m:rPr>
          <m:t>(</m:t>
        </m:r>
        <m:r>
          <m:t>x</m:t>
        </m:r>
        <m:r>
          <m:rPr>
            <m:sty m:val="p"/>
          </m:rPr>
          <m:t>)</m:t>
        </m:r>
      </m:oMath>
      <w:r>
        <w:t xml:space="preserve"> </w:t>
      </w:r>
      <w:r>
        <w:t xml:space="preserve">and</w:t>
      </w:r>
      <w:r>
        <w:t xml:space="preserve"> </w:t>
      </w:r>
      <m:oMath>
        <m:sSub>
          <m:e>
            <m:r>
              <m:t>F</m:t>
            </m:r>
          </m:e>
          <m:sub>
            <m:r>
              <m:t>ℓ</m:t>
            </m:r>
            <m:r>
              <m:rPr>
                <m:sty m:val="p"/>
              </m:rPr>
              <m:t>+</m:t>
            </m:r>
            <m:r>
              <m:t>q</m:t>
            </m:r>
          </m:sub>
        </m:sSub>
        <m:sSub>
          <m:e>
            <m:r>
              <m:rPr>
                <m:sty m:val="p"/>
              </m:rPr>
              <m:t>Γ</m:t>
            </m:r>
          </m:e>
          <m:sub>
            <m:r>
              <m:t>ℓ</m:t>
            </m:r>
            <m:r>
              <m:rPr>
                <m:sty m:val="p"/>
              </m:rPr>
              <m:t>:</m:t>
            </m:r>
            <m:r>
              <m:t>ℓ</m:t>
            </m:r>
            <m:r>
              <m:rPr>
                <m:sty m:val="p"/>
              </m:rPr>
              <m:t>+</m:t>
            </m:r>
            <m:r>
              <m:t>q</m:t>
            </m:r>
          </m:sub>
        </m:sSub>
        <m:r>
          <m:rPr>
            <m:sty m:val="p"/>
          </m:rPr>
          <m:t>(</m:t>
        </m:r>
        <m:r>
          <m:t>x</m:t>
        </m:r>
        <m:r>
          <m:rPr>
            <m:sty m:val="p"/>
          </m:rPr>
          <m:t>)</m:t>
        </m:r>
      </m:oMath>
      <w:r>
        <w:t xml:space="preserve"> </w:t>
      </w:r>
      <w:r>
        <w:t xml:space="preserve">lie in the registered region on which</w:t>
      </w:r>
      <w:r>
        <w:t xml:space="preserve"> </w:t>
      </w:r>
      <m:oMath>
        <m:sSub>
          <m:e>
            <m:r>
              <m:rPr>
                <m:sty m:val="p"/>
              </m:rPr>
              <m:t>Γ</m:t>
            </m:r>
          </m:e>
          <m:sub>
            <m:r>
              <m:t>ℓ</m:t>
            </m:r>
            <m:r>
              <m:rPr>
                <m:sty m:val="p"/>
              </m:rPr>
              <m:t>+</m:t>
            </m:r>
            <m:r>
              <m:t>q</m:t>
            </m:r>
          </m:sub>
        </m:sSub>
      </m:oMath>
      <w:r>
        <w:t xml:space="preserve"> </w:t>
      </w:r>
      <w:r>
        <w:t xml:space="preserve">has constant</w:t>
      </w:r>
      <w:r>
        <w:t xml:space="preserve"> </w:t>
      </w:r>
      <m:oMath>
        <m:sSub>
          <m:e>
            <m:r>
              <m:t>G</m:t>
            </m:r>
          </m:e>
          <m:sub>
            <m:r>
              <m:t>ℓ</m:t>
            </m:r>
            <m:r>
              <m:rPr>
                <m:sty m:val="p"/>
              </m:rPr>
              <m:t>+</m:t>
            </m:r>
            <m:r>
              <m:t>q</m:t>
            </m:r>
          </m:sub>
        </m:sSub>
      </m:oMath>
      <w:r>
        <w:t xml:space="preserve">.</w:t>
      </w:r>
      <w:r>
        <w:t xml:space="preserve"> </w:t>
      </w:r>
      <w:r>
        <w:t xml:space="preserve">For</w:t>
      </w:r>
      <w:r>
        <w:t xml:space="preserve"> </w:t>
      </w:r>
      <m:oMath>
        <m:r>
          <m:t>r</m:t>
        </m:r>
        <m:r>
          <m:rPr>
            <m:sty m:val="p"/>
          </m:rPr>
          <m:t>=</m:t>
        </m:r>
        <m:r>
          <m:t>1</m:t>
        </m:r>
      </m:oMath>
      <w:r>
        <w:t xml:space="preserve">, Equation </w:t>
      </w:r>
      <w:hyperlink w:anchor="eq:cross">
        <w:r>
          <w:rPr>
            <w:rStyle w:val="Hyperlink"/>
          </w:rPr>
          <w:t xml:space="preserve">(6)</w:t>
        </w:r>
      </w:hyperlink>
      <w:r>
        <w:t xml:space="preserve"> </w:t>
      </w:r>
      <w:r>
        <w:t xml:space="preserve">is exactly the definition of</w:t>
      </w:r>
      <w:r>
        <w:t xml:space="preserve"> </w:t>
      </w:r>
      <m:oMath>
        <m:sSub>
          <m:e>
            <m:r>
              <m:t>η</m:t>
            </m:r>
          </m:e>
          <m:sub>
            <m:r>
              <m:t>ℓ</m:t>
            </m:r>
          </m:sub>
        </m:sSub>
      </m:oMath>
      <w:r>
        <w:t xml:space="preserve">.</w:t>
      </w:r>
      <w:r>
        <w:t xml:space="preserve"> </w:t>
      </w:r>
      <w:r>
        <w:t xml:space="preserve">Assume the result for</w:t>
      </w:r>
      <w:r>
        <w:t xml:space="preserve"> </w:t>
      </w:r>
      <m:oMath>
        <m:r>
          <m:t>r</m:t>
        </m:r>
      </m:oMath>
      <w:r>
        <w:t xml:space="preserve">. Insert</w:t>
      </w:r>
      <w:r>
        <w:t xml:space="preserve"> </w:t>
      </w:r>
      <m:oMath>
        <m:sSub>
          <m:e>
            <m:r>
              <m:rPr>
                <m:sty m:val="p"/>
              </m:rPr>
              <m:t>Γ</m:t>
            </m:r>
          </m:e>
          <m:sub>
            <m:r>
              <m:t>ℓ</m:t>
            </m:r>
            <m:r>
              <m:rPr>
                <m:sty m:val="p"/>
              </m:rPr>
              <m:t>+</m:t>
            </m:r>
            <m:r>
              <m:t>r</m:t>
            </m:r>
          </m:sub>
        </m:sSub>
        <m:sSub>
          <m:e>
            <m:r>
              <m:t>F</m:t>
            </m:r>
          </m:e>
          <m:sub>
            <m:r>
              <m:t>ℓ</m:t>
            </m:r>
            <m:r>
              <m:rPr>
                <m:sty m:val="p"/>
              </m:rPr>
              <m:t>+</m:t>
            </m:r>
            <m:r>
              <m:t>r</m:t>
            </m:r>
          </m:sub>
        </m:sSub>
        <m:sSub>
          <m:e>
            <m:r>
              <m:rPr>
                <m:sty m:val="p"/>
              </m:rPr>
              <m:t>Γ</m:t>
            </m:r>
          </m:e>
          <m:sub>
            <m:r>
              <m:t>ℓ</m:t>
            </m:r>
            <m:r>
              <m:rPr>
                <m:sty m:val="p"/>
              </m:rPr>
              <m:t>:</m:t>
            </m:r>
            <m:r>
              <m:t>ℓ</m:t>
            </m:r>
            <m:r>
              <m:rPr>
                <m:sty m:val="p"/>
              </m:rPr>
              <m:t>+</m:t>
            </m:r>
            <m:r>
              <m:t>r</m:t>
            </m:r>
          </m:sub>
        </m:sSub>
        <m:r>
          <m:rPr>
            <m:sty m:val="p"/>
          </m:rPr>
          <m:t>(</m:t>
        </m:r>
        <m:r>
          <m:t>x</m:t>
        </m:r>
        <m:r>
          <m:rPr>
            <m:sty m:val="p"/>
          </m:rPr>
          <m:t>)</m:t>
        </m:r>
      </m:oMath>
      <w:r>
        <w:t xml:space="preserve"> </w:t>
      </w:r>
      <w:r>
        <w:t xml:space="preserve">between the two terms at</w:t>
      </w:r>
      <w:r>
        <w:t xml:space="preserve"> </w:t>
      </w:r>
      <w:r>
        <w:t xml:space="preserve">level</w:t>
      </w:r>
      <w:r>
        <w:t xml:space="preserve"> </w:t>
      </w:r>
      <m:oMath>
        <m:r>
          <m:t>ℓ</m:t>
        </m:r>
        <m:r>
          <m:rPr>
            <m:sty m:val="p"/>
          </m:rPr>
          <m:t>+</m:t>
        </m:r>
        <m:r>
          <m:t>r</m:t>
        </m:r>
        <m:r>
          <m:rPr>
            <m:sty m:val="p"/>
          </m:rPr>
          <m:t>+</m:t>
        </m:r>
        <m:r>
          <m:t>1</m:t>
        </m:r>
      </m:oMath>
      <w:r>
        <w:t xml:space="preserve">. The Lipschitz property of</w:t>
      </w:r>
      <w:r>
        <w:t xml:space="preserve"> </w:t>
      </w:r>
      <m:oMath>
        <m:sSub>
          <m:e>
            <m:r>
              <m:rPr>
                <m:sty m:val="p"/>
              </m:rPr>
              <m:t>Γ</m:t>
            </m:r>
          </m:e>
          <m:sub>
            <m:r>
              <m:t>ℓ</m:t>
            </m:r>
            <m:r>
              <m:rPr>
                <m:sty m:val="p"/>
              </m:rPr>
              <m:t>+</m:t>
            </m:r>
            <m:r>
              <m:t>r</m:t>
            </m:r>
          </m:sub>
        </m:sSub>
      </m:oMath>
      <w:r>
        <w:t xml:space="preserve"> </w:t>
      </w:r>
      <w:r>
        <w:t xml:space="preserve">multiplies the existing</w:t>
      </w:r>
      <w:r>
        <w:t xml:space="preserve"> </w:t>
      </w:r>
      <m:oMath>
        <m:r>
          <m:t>r</m:t>
        </m:r>
      </m:oMath>
      <w:r>
        <w:t xml:space="preserve">-level discrepancy by</w:t>
      </w:r>
      <w:r>
        <w:t xml:space="preserve"> </w:t>
      </w:r>
      <m:oMath>
        <m:sSub>
          <m:e>
            <m:r>
              <m:t>G</m:t>
            </m:r>
          </m:e>
          <m:sub>
            <m:r>
              <m:t>ℓ</m:t>
            </m:r>
            <m:r>
              <m:rPr>
                <m:sty m:val="p"/>
              </m:rPr>
              <m:t>+</m:t>
            </m:r>
            <m:r>
              <m:t>r</m:t>
            </m:r>
          </m:sub>
        </m:sSub>
      </m:oMath>
      <w:r>
        <w:t xml:space="preserve">, while the newly inserted one-step commutation</w:t>
      </w:r>
      <w:r>
        <w:t xml:space="preserve"> </w:t>
      </w:r>
      <w:r>
        <w:t xml:space="preserve">term is at most</w:t>
      </w:r>
      <w:r>
        <w:t xml:space="preserve"> </w:t>
      </w:r>
      <m:oMath>
        <m:sSub>
          <m:e>
            <m:r>
              <m:t>η</m:t>
            </m:r>
          </m:e>
          <m:sub>
            <m:r>
              <m:t>ℓ</m:t>
            </m:r>
            <m:r>
              <m:rPr>
                <m:sty m:val="p"/>
              </m:rPr>
              <m:t>+</m:t>
            </m:r>
            <m:r>
              <m:t>r</m:t>
            </m:r>
          </m:sub>
        </m:sSub>
      </m:oMath>
      <w:r>
        <w:t xml:space="preserve">. Hence</w:t>
      </w:r>
    </w:p>
    <w:p>
      <w:pPr>
        <w:pStyle w:val="BodyText"/>
        <w:widowControl/>
      </w:pPr>
      <m:oMathPara>
        <m:oMathParaPr>
          <m:jc m:val="center"/>
        </m:oMathParaPr>
        <m:oMath>
          <m:sSub>
            <m:e>
              <m:r>
                <m:t>E</m:t>
              </m:r>
            </m:e>
            <m:sub>
              <m:r>
                <m:t>r</m:t>
              </m:r>
              <m:r>
                <m:rPr>
                  <m:sty m:val="p"/>
                </m:rPr>
                <m:t>+</m:t>
              </m:r>
              <m:r>
                <m:t>1</m:t>
              </m:r>
            </m:sub>
          </m:sSub>
          <m:r>
            <m:rPr>
              <m:sty m:val="p"/>
            </m:rPr>
            <m:t>≤</m:t>
          </m:r>
          <m:sSub>
            <m:e>
              <m:r>
                <m:t>G</m:t>
              </m:r>
            </m:e>
            <m:sub>
              <m:r>
                <m:t>ℓ</m:t>
              </m:r>
              <m:r>
                <m:rPr>
                  <m:sty m:val="p"/>
                </m:rPr>
                <m:t>+</m:t>
              </m:r>
              <m:r>
                <m:t>r</m:t>
              </m:r>
            </m:sub>
          </m:sSub>
          <m:sSub>
            <m:e>
              <m:r>
                <m:t>E</m:t>
              </m:r>
            </m:e>
            <m:sub>
              <m:r>
                <m:t>r</m:t>
              </m:r>
            </m:sub>
          </m:sSub>
          <m:r>
            <m:rPr>
              <m:sty m:val="p"/>
            </m:rPr>
            <m:t>+</m:t>
          </m:r>
          <m:sSub>
            <m:e>
              <m:r>
                <m:t>η</m:t>
              </m:r>
            </m:e>
            <m:sub>
              <m:r>
                <m:t>ℓ</m:t>
              </m:r>
              <m:r>
                <m:rPr>
                  <m:sty m:val="p"/>
                </m:rPr>
                <m:t>+</m:t>
              </m:r>
              <m:r>
                <m:t>r</m:t>
              </m:r>
            </m:sub>
          </m:sSub>
          <m:r>
            <m:rPr>
              <m:sty m:val="p"/>
            </m:rPr>
            <m:t>,</m:t>
          </m:r>
        </m:oMath>
      </m:oMathPara>
    </w:p>
    <w:p>
      <w:pPr>
        <w:pStyle w:val="FirstParagraph"/>
        <w:widowControl/>
        <w:jc w:val="left"/>
      </w:pPr>
      <w:r>
        <w:t xml:space="preserve">which expands to Equation </w:t>
      </w:r>
      <w:hyperlink w:anchor="eq:cross">
        <w:r>
          <w:rPr>
            <w:rStyle w:val="Hyperlink"/>
          </w:rPr>
          <w:t xml:space="preserve">(6)</w:t>
        </w:r>
      </w:hyperlink>
      <w:r>
        <w:t xml:space="preserve"> </w:t>
      </w:r>
      <w:r>
        <w:t xml:space="preserve">for</w:t>
      </w:r>
      <w:r>
        <w:t xml:space="preserve"> </w:t>
      </w:r>
      <m:oMath>
        <m:r>
          <m:t>r</m:t>
        </m:r>
        <m:r>
          <m:rPr>
            <m:sty m:val="p"/>
          </m:rPr>
          <m:t>+</m:t>
        </m:r>
        <m:r>
          <m:t>1</m:t>
        </m:r>
      </m:oMath>
      <w:r>
        <w:t xml:space="preserve">. This induction proves the displayed</w:t>
      </w:r>
      <w:r>
        <w:t xml:space="preserve"> </w:t>
      </w:r>
      <w:r>
        <w:t xml:space="preserve">weighted sum. The empty product preserves the newest defect with coefficient one. There is no</w:t>
      </w:r>
      <w:r>
        <w:t xml:space="preserve"> </w:t>
      </w:r>
      <w:r>
        <w:t xml:space="preserve">initial mismatch because both sides begin at the same</w:t>
      </w:r>
      <w:r>
        <w:t xml:space="preserve"> </w:t>
      </w:r>
      <m:oMath>
        <m:r>
          <m:t>x</m:t>
        </m:r>
      </m:oMath>
      <w:r>
        <w:t xml:space="preserve">; different starting states invoke the</w:t>
      </w:r>
      <w:r>
        <w:t xml:space="preserve"> </w:t>
      </w:r>
      <w:r>
        <w:t xml:space="preserve">separate path bound. Every composition must type-check, and every quantified intermediate image</w:t>
      </w:r>
      <w:r>
        <w:t xml:space="preserve"> </w:t>
      </w:r>
      <w:r>
        <w:t xml:space="preserve">and paired point must satisfy its registered admissibility/Lipschitz premise. If even one premise</w:t>
      </w:r>
      <w:r>
        <w:t xml:space="preserve"> </w:t>
      </w:r>
      <w:r>
        <w:t xml:space="preserve">is false or unrecorded, the only valid output is</w:t>
      </w:r>
      <w:r>
        <w:t xml:space="preserve"> </w:t>
      </w:r>
      <w:r>
        <w:rPr>
          <w:rStyle w:val="VerbatimChar"/>
        </w:rPr>
        <w:t xml:space="preserve">CROSS_SCALE_BOUND_WITHDRAWN</w:t>
      </w:r>
      <w:r>
        <w:t xml:space="preserve">; no finite bound may be returned.</w:t>
      </w:r>
    </w:p>
    <w:bookmarkEnd w:id="77"/>
    <w:bookmarkStart w:id="82" w:name="Xb50a530e765bfb17a276732dbfb915467551a5e"/>
    <w:p>
      <w:pPr>
        <w:pStyle w:val="Heading2"/>
        <w:keepNext/>
        <w:keepLines/>
        <w:widowControl/>
      </w:pPr>
      <w:r>
        <w:t xml:space="preserve">Exact-binomial coverage and the zero-violation threshold</w:t>
      </w:r>
    </w:p>
    <w:p>
      <w:pPr>
        <w:pStyle w:val="FirstParagraph"/>
        <w:widowControl/>
      </w:pPr>
      <w:r>
        <w:t xml:space="preserve">For fixed</w:t>
      </w:r>
      <w:r>
        <w:t xml:space="preserve"> </w:t>
      </w:r>
      <m:oMath>
        <m:r>
          <m:t>C</m:t>
        </m:r>
        <m:r>
          <m:rPr>
            <m:sty m:val="p"/>
          </m:rPr>
          <m:t>,</m:t>
        </m:r>
        <m:sSub>
          <m:e>
            <m:r>
              <m:t>F</m:t>
            </m:r>
          </m:e>
          <m:sub>
            <m:r>
              <m:t>C</m:t>
            </m:r>
          </m:sub>
        </m:sSub>
        <m:r>
          <m:rPr>
            <m:sty m:val="p"/>
          </m:rPr>
          <m:t>,</m:t>
        </m:r>
        <m:r>
          <m:t>D</m:t>
        </m:r>
        <m:r>
          <m:rPr>
            <m:sty m:val="p"/>
          </m:rPr>
          <m:t>,</m:t>
        </m:r>
        <m:sSub>
          <m:e>
            <m:r>
              <m:t>ε</m:t>
            </m:r>
          </m:e>
          <m:sub>
            <m:r>
              <m:rPr>
                <m:nor/>
              </m:rPr>
              <m:t>cert</m:t>
            </m:r>
          </m:sub>
        </m:sSub>
        <m:r>
          <m:rPr>
            <m:sty m:val="p"/>
          </m:rPr>
          <m:t>,</m:t>
        </m:r>
        <m:r>
          <m:t>Q</m:t>
        </m:r>
      </m:oMath>
      <w:r>
        <w:t xml:space="preserve">, let</w:t>
      </w:r>
      <w:r>
        <w:t xml:space="preserve"> </w:t>
      </w:r>
      <m:oMath>
        <m:sSub>
          <m:e>
            <m:r>
              <m:t>W</m:t>
            </m:r>
          </m:e>
          <m:sub>
            <m:r>
              <m:t>i</m:t>
            </m:r>
          </m:sub>
        </m:sSub>
        <m:limUpp>
          <m:e>
            <m:r>
              <m:rPr>
                <m:sty m:val="p"/>
              </m:rPr>
              <m:t>∼</m:t>
            </m:r>
          </m:e>
          <m:lim>
            <m:r>
              <m:rPr>
                <m:sty m:val="p"/>
              </m:rPr>
              <m:t>i</m:t>
            </m:r>
            <m:r>
              <m:rPr>
                <m:nor/>
              </m:rPr>
              <m:t>id</m:t>
            </m:r>
          </m:lim>
        </m:limUpp>
        <m:r>
          <m:t>Q</m:t>
        </m:r>
      </m:oMath>
      <w:r>
        <w:t xml:space="preserve"> </w:t>
      </w:r>
      <w:r>
        <w:t xml:space="preserve">under the</w:t>
      </w:r>
      <w:r>
        <w:t xml:space="preserve"> </w:t>
      </w:r>
      <w:r>
        <w:t xml:space="preserve">reference law and define</w:t>
      </w:r>
    </w:p>
    <w:p>
      <w:pPr>
        <w:pStyle w:val="BodyText"/>
        <w:widowControl/>
      </w:pPr>
      <m:oMathPara>
        <m:oMathParaPr>
          <m:jc m:val="center"/>
        </m:oMathParaPr>
        <m:oMath>
          <m:sSub>
            <m:e>
              <m:r>
                <m:t>V</m:t>
              </m:r>
            </m:e>
            <m:sub>
              <m:r>
                <m:t>i</m:t>
              </m:r>
            </m:sub>
          </m:sSub>
          <m:r>
            <m:rPr>
              <m:sty m:val="p"/>
            </m:rPr>
            <m:t>=</m:t>
          </m:r>
          <m:r>
            <m:rPr>
              <m:sty m:val="b"/>
            </m:rPr>
            <m:t>1</m:t>
          </m:r>
          <m:r>
            <m:rPr>
              <m:sty m:val="p"/>
            </m:rPr>
            <m:t>{</m:t>
          </m:r>
          <m:r>
            <m:t>D</m:t>
          </m:r>
          <m:r>
            <m:rPr>
              <m:sty m:val="p"/>
            </m:rPr>
            <m:t>(</m:t>
          </m:r>
          <m:sSub>
            <m:e>
              <m:r>
                <m:t>W</m:t>
              </m:r>
            </m:e>
            <m:sub>
              <m:r>
                <m:t>i</m:t>
              </m:r>
            </m:sub>
          </m:sSub>
          <m:r>
            <m:rPr>
              <m:sty m:val="p"/>
            </m:rPr>
            <m:t>)</m:t>
          </m:r>
          <m:r>
            <m:rPr>
              <m:sty m:val="p"/>
            </m:rPr>
            <m:t>&gt;</m:t>
          </m:r>
          <m:sSub>
            <m:e>
              <m:r>
                <m:t>ε</m:t>
              </m:r>
            </m:e>
            <m:sub>
              <m:r>
                <m:rPr>
                  <m:nor/>
                </m:rPr>
                <m:t>cert</m:t>
              </m:r>
            </m:sub>
          </m:sSub>
          <m:r>
            <m:rPr>
              <m:sty m:val="p"/>
            </m:rPr>
            <m:t>}</m:t>
          </m:r>
        </m:oMath>
      </m:oMathPara>
    </w:p>
    <w:p>
      <w:pPr>
        <w:pStyle w:val="FirstParagraph"/>
        <w:widowControl/>
      </w:pPr>
      <w:r>
        <w:t xml:space="preserve">so that the indicators</w:t>
      </w:r>
      <w:r>
        <w:t xml:space="preserve"> </w:t>
      </w:r>
      <m:oMath>
        <m:sSub>
          <m:e>
            <m:r>
              <m:t>V</m:t>
            </m:r>
          </m:e>
          <m:sub>
            <m:r>
              <m:t>i</m:t>
            </m:r>
          </m:sub>
        </m:sSub>
      </m:oMath>
      <w:r>
        <w:t xml:space="preserve"> </w:t>
      </w:r>
      <w:r>
        <w:t xml:space="preserve">are iid Bernoulli with parameter</w:t>
      </w:r>
      <w:r>
        <w:t xml:space="preserve"> </w:t>
      </w:r>
      <m:oMath>
        <m:sSub>
          <m:e>
            <m:r>
              <m:t>p</m:t>
            </m:r>
          </m:e>
          <m:sub>
            <m:r>
              <m:t>Q</m:t>
            </m:r>
          </m:sub>
        </m:sSub>
        <m:r>
          <m:rPr>
            <m:sty m:val="p"/>
          </m:rPr>
          <m:t>=</m:t>
        </m:r>
        <m:sSub>
          <m:e>
            <m:r>
              <m:rPr>
                <m:sty m:val="p"/>
              </m:rPr>
              <m:t>Pr</m:t>
            </m:r>
          </m:e>
          <m:sub>
            <m:r>
              <m:t>Q</m:t>
            </m:r>
          </m:sub>
        </m:sSub>
        <m:r>
          <m:rPr>
            <m:sty m:val="p"/>
          </m:rPr>
          <m:t>{</m:t>
        </m:r>
        <m:r>
          <m:t>D</m:t>
        </m:r>
        <m:r>
          <m:rPr>
            <m:sty m:val="p"/>
          </m:rPr>
          <m:t>(</m:t>
        </m:r>
        <m:r>
          <m:t>W</m:t>
        </m:r>
        <m:r>
          <m:rPr>
            <m:sty m:val="p"/>
          </m:rPr>
          <m:t>)</m:t>
        </m:r>
        <m:r>
          <m:rPr>
            <m:sty m:val="p"/>
          </m:rPr>
          <m:t>&gt;</m:t>
        </m:r>
        <m:sSub>
          <m:e>
            <m:r>
              <m:t>ε</m:t>
            </m:r>
          </m:e>
          <m:sub>
            <m:r>
              <m:rPr>
                <m:nor/>
              </m:rPr>
              <m:t>cert</m:t>
            </m:r>
          </m:sub>
        </m:sSub>
        <m:r>
          <m:rPr>
            <m:sty m:val="p"/>
          </m:rPr>
          <m:t>}</m:t>
        </m:r>
      </m:oMath>
      <w:r>
        <w:t xml:space="preserve">. The one-sided Clopper–Pearson construction in</w:t>
      </w:r>
      <w:r>
        <w:t xml:space="preserve"> </w:t>
      </w:r>
      <w:r>
        <w:t xml:space="preserve">Equation </w:t>
      </w:r>
      <w:hyperlink w:anchor="eq:cp">
        <w:r>
          <w:rPr>
            <w:rStyle w:val="Hyperlink"/>
          </w:rPr>
          <w:t xml:space="preserve">(7)</w:t>
        </w:r>
      </w:hyperlink>
      <w:r>
        <w:t xml:space="preserve"> </w:t>
      </w:r>
      <w:r>
        <w:t xml:space="preserve">inverts an exact binomial test and has coverage at least</w:t>
      </w:r>
      <w:r>
        <w:t xml:space="preserve"> </w:t>
      </w:r>
      <m:oMath>
        <m:r>
          <m:t>1</m:t>
        </m:r>
        <m:r>
          <m:rPr>
            <m:sty m:val="p"/>
          </m:rPr>
          <m:t>−</m:t>
        </m:r>
        <m:r>
          <m:t>β</m:t>
        </m:r>
      </m:oMath>
      <w:r>
        <w:t xml:space="preserve"> </w:t>
      </w:r>
      <w:r>
        <w:t xml:space="preserve">(Clopper and Pearson 1934)</w:t>
      </w:r>
      <w:r>
        <w:t xml:space="preserve">.</w:t>
      </w:r>
      <w:r>
        <w:t xml:space="preserve"> </w:t>
      </w:r>
      <w:r>
        <w:t xml:space="preserve">Consequently, the decision</w:t>
      </w:r>
      <w:r>
        <w:t xml:space="preserve"> </w:t>
      </w:r>
      <m:oMath>
        <m:sSub>
          <m:e>
            <m:r>
              <m:t>U</m:t>
            </m:r>
          </m:e>
          <m:sub>
            <m:r>
              <m:rPr>
                <m:nor/>
              </m:rPr>
              <m:t>CP</m:t>
            </m:r>
          </m:sub>
        </m:sSub>
        <m:r>
          <m:rPr>
            <m:sty m:val="p"/>
          </m:rPr>
          <m:t>≤</m:t>
        </m:r>
        <m:sSub>
          <m:e>
            <m:r>
              <m:t>δ</m:t>
            </m:r>
          </m:e>
          <m:sub>
            <m:r>
              <m:rPr>
                <m:nor/>
              </m:rPr>
              <m:t>cert</m:t>
            </m:r>
          </m:sub>
        </m:sSub>
      </m:oMath>
      <w:r>
        <w:t xml:space="preserve"> </w:t>
      </w:r>
      <w:r>
        <w:t xml:space="preserve">supports</w:t>
      </w:r>
      <w:r>
        <w:t xml:space="preserve"> </w:t>
      </w:r>
      <m:oMath>
        <m:sSub>
          <m:e>
            <m:r>
              <m:t>p</m:t>
            </m:r>
          </m:e>
          <m:sub>
            <m:r>
              <m:t>Q</m:t>
            </m:r>
          </m:sub>
        </m:sSub>
        <m:r>
          <m:rPr>
            <m:sty m:val="p"/>
          </m:rPr>
          <m:t>≤</m:t>
        </m:r>
        <m:sSub>
          <m:e>
            <m:r>
              <m:t>δ</m:t>
            </m:r>
          </m:e>
          <m:sub>
            <m:r>
              <m:rPr>
                <m:nor/>
              </m:rPr>
              <m:t>cert</m:t>
            </m:r>
          </m:sub>
        </m:sSub>
      </m:oMath>
      <w:r>
        <w:t xml:space="preserve"> </w:t>
      </w:r>
      <w:r>
        <w:t xml:space="preserve">at that confidence level. At</w:t>
      </w:r>
      <w:r>
        <w:t xml:space="preserve"> </w:t>
      </w:r>
      <m:oMath>
        <m:r>
          <m:t>K</m:t>
        </m:r>
        <m:r>
          <m:rPr>
            <m:sty m:val="p"/>
          </m:rPr>
          <m:t>=</m:t>
        </m:r>
        <m:r>
          <m:t>0</m:t>
        </m:r>
      </m:oMath>
      <w:r>
        <w:t xml:space="preserve">, solving</w:t>
      </w:r>
      <w:r>
        <w:t xml:space="preserve"> </w:t>
      </w:r>
      <m:oMath>
        <m:r>
          <m:t>1</m:t>
        </m:r>
        <m:r>
          <m:rPr>
            <m:sty m:val="p"/>
          </m:rPr>
          <m:t>−</m:t>
        </m:r>
        <m:sSup>
          <m:e>
            <m:r>
              <m:t>β</m:t>
            </m:r>
          </m:e>
          <m:sup>
            <m:r>
              <m:t>1</m:t>
            </m:r>
            <m:r>
              <m:rPr>
                <m:sty m:val="p"/>
              </m:rPr>
              <m:t>/</m:t>
            </m:r>
            <m:r>
              <m:t>m</m:t>
            </m:r>
          </m:sup>
        </m:sSup>
        <m:r>
          <m:rPr>
            <m:sty m:val="p"/>
          </m:rPr>
          <m:t>≤</m:t>
        </m:r>
        <m:sSub>
          <m:e>
            <m:r>
              <m:t>δ</m:t>
            </m:r>
          </m:e>
          <m:sub>
            <m:r>
              <m:rPr>
                <m:nor/>
              </m:rPr>
              <m:t>cert</m:t>
            </m:r>
          </m:sub>
        </m:sSub>
      </m:oMath>
      <w:r>
        <w:t xml:space="preserve"> </w:t>
      </w:r>
      <w:r>
        <w:t xml:space="preserve">gives</w:t>
      </w:r>
    </w:p>
    <w:p>
      <w:pPr>
        <w:pStyle w:val="BodyText"/>
        <w:widowControl/>
      </w:pPr>
      <m:oMathPara>
        <m:oMathParaPr>
          <m:jc m:val="center"/>
        </m:oMathParaPr>
        <m:oMath>
          <m:r>
            <m:t>m</m:t>
          </m:r>
          <m:r>
            <m:rPr>
              <m:sty m:val="p"/>
            </m:rPr>
            <m:t>≥</m:t>
          </m:r>
          <m:d>
            <m:dPr>
              <m:begChr m:val="⌈"/>
              <m:sepChr m:val=""/>
              <m:endChr m:val="⌉"/>
              <m:grow/>
            </m:dPr>
            <m:e>
              <m:f>
                <m:fPr>
                  <m:type m:val="bar"/>
                </m:fPr>
                <m:num>
                  <m:r>
                    <m:rPr>
                      <m:sty m:val="p"/>
                    </m:rPr>
                    <m:t>log</m:t>
                  </m:r>
                  <m:r>
                    <m:t>β</m:t>
                  </m:r>
                </m:num>
                <m:den>
                  <m:r>
                    <m:rPr>
                      <m:sty m:val="p"/>
                    </m:rPr>
                    <m:t>log</m:t>
                  </m:r>
                  <m:r>
                    <m:rPr>
                      <m:sty m:val="p"/>
                    </m:rPr>
                    <m:t>(</m:t>
                  </m:r>
                  <m:r>
                    <m:t>1</m:t>
                  </m:r>
                  <m:r>
                    <m:rPr>
                      <m:sty m:val="p"/>
                    </m:rPr>
                    <m:t>−</m:t>
                  </m:r>
                  <m:sSub>
                    <m:e>
                      <m:r>
                        <m:t>δ</m:t>
                      </m:r>
                    </m:e>
                    <m:sub>
                      <m:r>
                        <m:rPr>
                          <m:nor/>
                        </m:rPr>
                        <m:t>cert</m:t>
                      </m:r>
                    </m:sub>
                  </m:sSub>
                  <m:r>
                    <m:rPr>
                      <m:sty m:val="p"/>
                    </m:rPr>
                    <m:t>)</m:t>
                  </m:r>
                </m:den>
              </m:f>
            </m:e>
          </m:d>
          <m:r>
            <m:rPr>
              <m:sty m:val="p"/>
            </m:rPr>
            <m:t>.</m:t>
          </m:r>
        </m:oMath>
      </m:oMathPara>
    </w:p>
    <w:p>
      <w:pPr>
        <w:pStyle w:val="FirstParagraph"/>
        <w:widowControl/>
      </w:pPr>
      <w:r>
        <w:t xml:space="preserve">Substitution of</w:t>
      </w:r>
      <w:r>
        <w:t xml:space="preserve"> </w:t>
      </w:r>
      <m:oMath>
        <m:r>
          <m:t>β</m:t>
        </m:r>
        <m:r>
          <m:rPr>
            <m:sty m:val="p"/>
          </m:rPr>
          <m:t>=</m:t>
        </m:r>
        <m:sSub>
          <m:e>
            <m:r>
              <m:t>δ</m:t>
            </m:r>
          </m:e>
          <m:sub>
            <m:r>
              <m:rPr>
                <m:nor/>
              </m:rPr>
              <m:t>cert</m:t>
            </m:r>
          </m:sub>
        </m:sSub>
        <m:r>
          <m:rPr>
            <m:sty m:val="p"/>
          </m:rPr>
          <m:t>=</m:t>
        </m:r>
        <m:r>
          <m:t>0.05</m:t>
        </m:r>
      </m:oMath>
      <w:r>
        <w:t xml:space="preserve"> </w:t>
      </w:r>
      <w:r>
        <w:t xml:space="preserve">yields</w:t>
      </w:r>
      <w:r>
        <w:t xml:space="preserve"> </w:t>
      </w:r>
      <m:oMath>
        <m:r>
          <m:t>m</m:t>
        </m:r>
        <m:r>
          <m:rPr>
            <m:sty m:val="p"/>
          </m:rPr>
          <m:t>≥</m:t>
        </m:r>
        <m:r>
          <m:t>59</m:t>
        </m:r>
      </m:oMath>
      <w:r>
        <w:t xml:space="preserve">. This threshold is the minimum block count</w:t>
      </w:r>
      <w:r>
        <w:t xml:space="preserve"> </w:t>
      </w:r>
      <w:r>
        <w:t xml:space="preserve">for the</w:t>
      </w:r>
      <w:r>
        <w:t xml:space="preserve"> </w:t>
      </w:r>
      <m:oMath>
        <m:r>
          <m:t>K</m:t>
        </m:r>
        <m:r>
          <m:rPr>
            <m:sty m:val="p"/>
          </m:rPr>
          <m:t>=</m:t>
        </m:r>
        <m:r>
          <m:t>0</m:t>
        </m:r>
      </m:oMath>
      <w:r>
        <w:t xml:space="preserve"> </w:t>
      </w:r>
      <w:r>
        <w:t xml:space="preserve">design case; a design that permits</w:t>
      </w:r>
      <w:r>
        <w:t xml:space="preserve"> </w:t>
      </w:r>
      <m:oMath>
        <m:r>
          <m:t>K</m:t>
        </m:r>
        <m:r>
          <m:rPr>
            <m:sty m:val="p"/>
          </m:rPr>
          <m:t>&gt;</m:t>
        </m:r>
        <m:r>
          <m:t>0</m:t>
        </m:r>
      </m:oMath>
      <w:r>
        <w:t xml:space="preserve"> </w:t>
      </w:r>
      <w:r>
        <w:t xml:space="preserve">requires a separate calculation. It is</w:t>
      </w:r>
      <w:r>
        <w:t xml:space="preserve"> </w:t>
      </w:r>
      <w:r>
        <w:t xml:space="preserve">a planning result under the iid reference law rather than an empirical estimate or an outcome-</w:t>
      </w:r>
      <w:r>
        <w:t xml:space="preserve"> </w:t>
      </w:r>
      <w:r>
        <w:t xml:space="preserve">dependent stopping rule: the upper endpoint is</w:t>
      </w:r>
      <w:r>
        <w:t xml:space="preserve"> </w:t>
      </w:r>
      <m:oMath>
        <m:r>
          <m:t>0.05033933833042015</m:t>
        </m:r>
      </m:oMath>
      <w:r>
        <w:t xml:space="preserve"> </w:t>
      </w:r>
      <w:r>
        <w:t xml:space="preserve">at</w:t>
      </w:r>
      <w:r>
        <w:t xml:space="preserve"> </w:t>
      </w:r>
      <m:oMath>
        <m:r>
          <m:t>m</m:t>
        </m:r>
        <m:r>
          <m:rPr>
            <m:sty m:val="p"/>
          </m:rPr>
          <m:t>=</m:t>
        </m:r>
        <m:r>
          <m:t>58</m:t>
        </m:r>
      </m:oMath>
      <w:r>
        <w:t xml:space="preserve"> </w:t>
      </w:r>
      <w:r>
        <w:t xml:space="preserve">and</w:t>
      </w:r>
      <w:r>
        <w:t xml:space="preserve"> </w:t>
      </w:r>
      <m:oMath>
        <m:r>
          <m:t>0.049507609888227</m:t>
        </m:r>
      </m:oMath>
      <w:r>
        <w:t xml:space="preserve"> </w:t>
      </w:r>
      <w:r>
        <w:t xml:space="preserve">at</w:t>
      </w:r>
      <w:r>
        <w:t xml:space="preserve"> </w:t>
      </w:r>
      <m:oMath>
        <m:r>
          <m:t>m</m:t>
        </m:r>
        <m:r>
          <m:rPr>
            <m:sty m:val="p"/>
          </m:rPr>
          <m:t>=</m:t>
        </m:r>
        <m:r>
          <m:t>59</m:t>
        </m:r>
      </m:oMath>
      <w:r>
        <w:t xml:space="preserve">. The actual calibration and held-out counts were each fixed at</w:t>
      </w:r>
      <w:r>
        <w:t xml:space="preserve"> </w:t>
      </w:r>
      <w:r>
        <w:t xml:space="preserve">64; neither stopped after observing 59 zeroes. In the</w:t>
      </w:r>
      <w:r>
        <w:t xml:space="preserve"> </w:t>
      </w:r>
      <w:r>
        <w:t xml:space="preserve">subsequently authorized first-and-only</w:t>
      </w:r>
      <w:r>
        <w:t xml:space="preserve"> </w:t>
      </w:r>
      <w:r>
        <w:t xml:space="preserve">locked audit, A1, B0, B1, E, and F0 each observed zero adverse blocks among 64, giving the</w:t>
      </w:r>
      <w:r>
        <w:t xml:space="preserve"> </w:t>
      </w:r>
      <w:r>
        <w:t xml:space="preserve">endpoint-wise one-sided 95% upper endpoint</w:t>
      </w:r>
      <w:r>
        <w:t xml:space="preserve"> </w:t>
      </w:r>
      <m:oMath>
        <m:r>
          <m:t>0.04572970233076246</m:t>
        </m:r>
      </m:oMath>
      <w:r>
        <w:t xml:space="preserve"> </w:t>
      </w:r>
      <w:r>
        <w:t xml:space="preserve">and descriptive two-sided 95% interval</w:t>
      </w:r>
      <w:r>
        <w:t xml:space="preserve"> </w:t>
      </w:r>
      <m:oMath>
        <m:r>
          <m:rPr>
            <m:sty m:val="p"/>
          </m:rPr>
          <m:t>[</m:t>
        </m:r>
        <m:r>
          <m:t>0</m:t>
        </m:r>
        <m:r>
          <m:rPr>
            <m:sty m:val="p"/>
          </m:rPr>
          <m:t>,</m:t>
        </m:r>
        <m:r>
          <m:t>0.05600908938663657</m:t>
        </m:r>
        <m:r>
          <m:rPr>
            <m:sty m:val="p"/>
          </m:rPr>
          <m:t>]</m:t>
        </m:r>
      </m:oMath>
      <w:r>
        <w:t xml:space="preserve">. D2-CERT separately observed zero violations among 64, giving the</w:t>
      </w:r>
      <w:r>
        <w:t xml:space="preserve"> </w:t>
      </w:r>
      <w:r>
        <w:t xml:space="preserve">endpoint-wise two-sided 95% interval</w:t>
      </w:r>
      <w:r>
        <w:t xml:space="preserve"> </w:t>
      </w:r>
      <m:oMath>
        <m:r>
          <m:rPr>
            <m:sty m:val="p"/>
          </m:rPr>
          <m:t>[</m:t>
        </m:r>
        <m:r>
          <m:t>0</m:t>
        </m:r>
        <m:r>
          <m:rPr>
            <m:sty m:val="p"/>
          </m:rPr>
          <m:t>,</m:t>
        </m:r>
        <m:r>
          <m:t>0.05600908938663657</m:t>
        </m:r>
        <m:r>
          <m:rPr>
            <m:sty m:val="p"/>
          </m:rPr>
          <m:t>]</m:t>
        </m:r>
      </m:oMath>
      <w:r>
        <w:t xml:space="preserve">, a one-sided locked lower</w:t>
      </w:r>
      <w:r>
        <w:t xml:space="preserve"> </w:t>
      </w:r>
      <w:r>
        <w:t xml:space="preserve">endpoint of zero, and no withdrawal. These intervals are not a family-wide 95% APHFS guarantee.</w:t>
      </w:r>
      <w:r>
        <w:t xml:space="preserve"> </w:t>
      </w:r>
      <w:r>
        <w:t xml:space="preserve">For A1, B0, B1, E, and F0, the block event is a frozen constructed-workload</w:t>
      </w:r>
      <w:r>
        <w:t xml:space="preserve"> </w:t>
      </w:r>
      <w:r>
        <w:t xml:space="preserve">implementation, accounting, fidelity, or decision-conformance event; the interval does not convert</w:t>
      </w:r>
      <w:r>
        <w:t xml:space="preserve"> </w:t>
      </w:r>
      <w:r>
        <w:t xml:space="preserve">any of those endpoints into an estimate of open-world discovery, model-class power, search-policy</w:t>
      </w:r>
      <w:r>
        <w:t xml:space="preserve"> </w:t>
      </w:r>
      <w:r>
        <w:t xml:space="preserve">superiority, or biological performance.</w:t>
      </w:r>
    </w:p>
    <w:p>
      <w:pPr>
        <w:pStyle w:val="BodyText"/>
        <w:widowControl/>
        <w:jc w:val="left"/>
      </w:pPr>
      <w:r>
        <w:t xml:space="preserve">For D2-CERT, however, the registered scientific event is constructive. With the project’s Wolfram</w:t>
      </w:r>
      <w:r>
        <w:t xml:space="preserve"> </w:t>
      </w:r>
      <w:r>
        <w:t xml:space="preserve">bit convention, Rule 170 returns the right-neighbor bit. Periodic boundaries therefore give</w:t>
      </w:r>
      <w:r>
        <w:t xml:space="preserve"> </w:t>
      </w:r>
      <m:oMath>
        <m:r>
          <m:rPr>
            <m:sty m:val="p"/>
          </m:rPr>
          <m:t>(</m:t>
        </m:r>
        <m:sSub>
          <m:e>
            <m:r>
              <m:t>F</m:t>
            </m:r>
          </m:e>
          <m:sub>
            <m:r>
              <m:t>170</m:t>
            </m:r>
          </m:sub>
        </m:sSub>
        <m:r>
          <m:t>x</m:t>
        </m:r>
        <m:sSub>
          <m:e>
            <m:r>
              <m:rPr>
                <m:sty m:val="p"/>
              </m:rPr>
              <m:t>)</m:t>
            </m:r>
          </m:e>
          <m:sub>
            <m:r>
              <m:t>j</m:t>
            </m:r>
          </m:sub>
        </m:sSub>
        <m:r>
          <m:rPr>
            <m:sty m:val="p"/>
          </m:rPr>
          <m:t>=</m:t>
        </m:r>
        <m:sSub>
          <m:e>
            <m:r>
              <m:t>x</m:t>
            </m:r>
          </m:e>
          <m:sub>
            <m:r>
              <m:t>j</m:t>
            </m:r>
            <m:r>
              <m:rPr>
                <m:sty m:val="p"/>
              </m:rPr>
              <m:t>+</m:t>
            </m:r>
            <m:r>
              <m:t>1</m:t>
            </m:r>
            <m:r>
              <m:t> </m:t>
            </m:r>
            <m:r>
              <m:rPr>
                <m:sty m:val="p"/>
              </m:rPr>
              <m:t>mod</m:t>
            </m:r>
            <m:r>
              <m:t> </m:t>
            </m:r>
            <m:r>
              <m:t>w</m:t>
            </m:r>
          </m:sub>
        </m:sSub>
      </m:oMath>
      <w:r>
        <w:t xml:space="preserve">, a cyclic permutation, so global density is exactly invariant for</w:t>
      </w:r>
      <w:r>
        <w:t xml:space="preserve"> </w:t>
      </w:r>
      <w:r>
        <w:t xml:space="preserve">every binary initial state and time. The coarse predictor is identity and the event tolerance is</w:t>
      </w:r>
      <w:r>
        <w:t xml:space="preserve"> </w:t>
      </w:r>
      <w:r>
        <w:t xml:space="preserve">zero. A violation is impossible for a correct implementation; the 0/64 calibration and 0/64</w:t>
      </w:r>
      <w:r>
        <w:t xml:space="preserve"> </w:t>
      </w:r>
      <w:r>
        <w:t xml:space="preserve">held-out records exercise certificate-state, role-separation, and paired simulator/fidelity</w:t>
      </w:r>
      <w:r>
        <w:t xml:space="preserve"> </w:t>
      </w:r>
      <w:r>
        <w:t xml:space="preserve">machinery under this proved closure. Their CP calculations may describe a hypothetical block-level</w:t>
      </w:r>
      <w:r>
        <w:t xml:space="preserve"> </w:t>
      </w:r>
      <w:r>
        <w:t xml:space="preserve">implementation/conformance-failure rate under the iid reference law, but not uncertainty about the</w:t>
      </w:r>
      <w:r>
        <w:t xml:space="preserve"> </w:t>
      </w:r>
      <w:r>
        <w:t xml:space="preserve">density identity. This evidence class is</w:t>
      </w:r>
      <w:r>
        <w:t xml:space="preserve"> </w:t>
      </w:r>
      <w:r>
        <w:rPr>
          <w:i/>
          <w:iCs/>
        </w:rPr>
        <w:t xml:space="preserve">constructed closed-map certificate-pipeline conformance</w:t>
      </w:r>
      <w:r>
        <w:t xml:space="preserve">; the immutable machine</w:t>
      </w:r>
      <w:r>
        <w:t xml:space="preserve"> </w:t>
      </w:r>
      <w:r>
        <w:t xml:space="preserve">status remains</w:t>
      </w:r>
      <w:r>
        <w:t xml:space="preserve"> </w:t>
      </w:r>
      <w:r>
        <w:rPr>
          <w:rStyle w:val="VerbatimChar"/>
        </w:rPr>
        <w:t xml:space="preserve">NOT_CONTRADICTED_BY_LOCKED_AUDIT</w:t>
      </w:r>
      <w:r>
        <w:t xml:space="preserve">.</w:t>
      </w:r>
    </w:p>
    <w:p>
      <w:pPr>
        <w:pStyle w:val="BodyText"/>
        <w:widowControl/>
      </w:pPr>
      <w:r>
        <w:t xml:space="preserve">The actual successful role manifests follow this iid reference law conditioned on materializer</w:t>
      </w:r>
      <w:r>
        <w:t xml:space="preserve"> </w:t>
      </w:r>
      <w:r>
        <w:t xml:space="preserve">acceptance. Calibration required 64 distinct 256-bit values; a union bound gives</w:t>
      </w:r>
    </w:p>
    <w:p>
      <w:pPr>
        <w:pStyle w:val="BodyText"/>
        <w:widowControl/>
      </w:pPr>
      <m:oMathPara>
        <m:oMathParaPr>
          <m:jc m:val="center"/>
        </m:oMathParaPr>
        <m:oMath>
          <m:sSub>
            <m:e>
              <m:r>
                <m:t>q</m:t>
              </m:r>
            </m:e>
            <m:sub>
              <m:r>
                <m:rPr>
                  <m:nor/>
                </m:rPr>
                <m:t>cal</m:t>
              </m:r>
            </m:sub>
          </m:sSub>
          <m:r>
            <m:rPr>
              <m:sty m:val="p"/>
            </m:rPr>
            <m:t>≤</m:t>
          </m:r>
          <m:d>
            <m:dPr>
              <m:begChr m:val="("/>
              <m:sepChr m:val=""/>
              <m:endChr m:val=")"/>
              <m:grow/>
            </m:dPr>
            <m:e>
              <m:f>
                <m:fPr>
                  <m:type m:val="noBar"/>
                </m:fPr>
                <m:num>
                  <m:r>
                    <m:t>64</m:t>
                  </m:r>
                </m:num>
                <m:den>
                  <m:r>
                    <m:t>2</m:t>
                  </m:r>
                </m:den>
              </m:f>
            </m:e>
          </m:d>
          <m:sSup>
            <m:e>
              <m:r>
                <m:t>2</m:t>
              </m:r>
            </m:e>
            <m:sup>
              <m:r>
                <m:rPr>
                  <m:sty m:val="p"/>
                </m:rPr>
                <m:t>−</m:t>
              </m:r>
              <m:r>
                <m:t>256</m:t>
              </m:r>
            </m:sup>
          </m:sSup>
          <m:r>
            <m:rPr>
              <m:sty m:val="p"/>
            </m:rPr>
            <m:t>=</m:t>
          </m:r>
          <m:r>
            <m:t>2016</m:t>
          </m:r>
          <m:r>
            <m:rPr>
              <m:sty m:val="p"/>
            </m:rPr>
            <m:t>/</m:t>
          </m:r>
          <m:sSup>
            <m:e>
              <m:r>
                <m:t>2</m:t>
              </m:r>
            </m:e>
            <m:sup>
              <m:r>
                <m:t>256</m:t>
              </m:r>
            </m:sup>
          </m:sSup>
          <m:r>
            <m:rPr>
              <m:sty m:val="p"/>
            </m:rPr>
            <m:t>=</m:t>
          </m:r>
          <m:r>
            <m:t>1.74105158070704</m:t>
          </m:r>
          <m:r>
            <m:rPr>
              <m:sty m:val="p"/>
            </m:rPr>
            <m:t>×</m:t>
          </m:r>
          <m:sSup>
            <m:e>
              <m:r>
                <m:t>10</m:t>
              </m:r>
            </m:e>
            <m:sup>
              <m:r>
                <m:rPr>
                  <m:sty m:val="p"/>
                </m:rPr>
                <m:t>−</m:t>
              </m:r>
              <m:r>
                <m:t>74</m:t>
              </m:r>
            </m:sup>
          </m:sSup>
          <m:r>
            <m:rPr>
              <m:sty m:val="p"/>
            </m:rPr>
            <m:t>.</m:t>
          </m:r>
        </m:oMath>
      </m:oMathPara>
    </w:p>
    <w:p>
      <w:pPr>
        <w:pStyle w:val="FirstParagraph"/>
        <w:widowControl/>
      </w:pPr>
      <w:r>
        <w:t xml:space="preserve">The held-out role additionally had to avoid all 64 calibration values, giving</w:t>
      </w:r>
    </w:p>
    <w:p>
      <w:pPr>
        <w:pStyle w:val="BodyText"/>
        <w:widowControl/>
      </w:pPr>
      <m:oMathPara>
        <m:oMathParaPr>
          <m:jc m:val="center"/>
        </m:oMathParaPr>
        <m:oMath>
          <m:sSub>
            <m:e>
              <m:r>
                <m:t>q</m:t>
              </m:r>
            </m:e>
            <m:sub>
              <m:r>
                <m:rPr>
                  <m:nor/>
                </m:rPr>
                <m:t>locked</m:t>
              </m:r>
            </m:sub>
          </m:sSub>
          <m:r>
            <m:rPr>
              <m:sty m:val="p"/>
            </m:rPr>
            <m:t>≤</m:t>
          </m:r>
          <m:d>
            <m:dPr>
              <m:begChr m:val="["/>
              <m:sepChr m:val=""/>
              <m:endChr m:val="]"/>
              <m:grow/>
            </m:dPr>
            <m:e>
              <m:d>
                <m:dPr>
                  <m:begChr m:val="("/>
                  <m:sepChr m:val=""/>
                  <m:endChr m:val=")"/>
                  <m:grow/>
                </m:dPr>
                <m:e>
                  <m:f>
                    <m:fPr>
                      <m:type m:val="noBar"/>
                    </m:fPr>
                    <m:num>
                      <m:r>
                        <m:t>64</m:t>
                      </m:r>
                    </m:num>
                    <m:den>
                      <m:r>
                        <m:t>2</m:t>
                      </m:r>
                    </m:den>
                  </m:f>
                </m:e>
              </m:d>
              <m:r>
                <m:rPr>
                  <m:sty m:val="p"/>
                </m:rPr>
                <m:t>+</m:t>
              </m:r>
              <m:sSup>
                <m:e>
                  <m:r>
                    <m:t>64</m:t>
                  </m:r>
                </m:e>
                <m:sup>
                  <m:r>
                    <m:t>2</m:t>
                  </m:r>
                </m:sup>
              </m:sSup>
            </m:e>
          </m:d>
          <m:sSup>
            <m:e>
              <m:r>
                <m:t>2</m:t>
              </m:r>
            </m:e>
            <m:sup>
              <m:r>
                <m:rPr>
                  <m:sty m:val="p"/>
                </m:rPr>
                <m:t>−</m:t>
              </m:r>
              <m:r>
                <m:t>256</m:t>
              </m:r>
            </m:sup>
          </m:sSup>
          <m:r>
            <m:rPr>
              <m:sty m:val="p"/>
            </m:rPr>
            <m:t>=</m:t>
          </m:r>
          <m:r>
            <m:t>6112</m:t>
          </m:r>
          <m:r>
            <m:rPr>
              <m:sty m:val="p"/>
            </m:rPr>
            <m:t>/</m:t>
          </m:r>
          <m:sSup>
            <m:e>
              <m:r>
                <m:t>2</m:t>
              </m:r>
            </m:e>
            <m:sup>
              <m:r>
                <m:t>256</m:t>
              </m:r>
            </m:sup>
          </m:sSup>
          <m:r>
            <m:rPr>
              <m:sty m:val="p"/>
            </m:rPr>
            <m:t>=</m:t>
          </m:r>
          <m:r>
            <m:t>5.27842622087372</m:t>
          </m:r>
          <m:r>
            <m:rPr>
              <m:sty m:val="p"/>
            </m:rPr>
            <m:t>×</m:t>
          </m:r>
          <m:sSup>
            <m:e>
              <m:r>
                <m:t>10</m:t>
              </m:r>
            </m:e>
            <m:sup>
              <m:r>
                <m:rPr>
                  <m:sty m:val="p"/>
                </m:rPr>
                <m:t>−</m:t>
              </m:r>
              <m:r>
                <m:t>74</m:t>
              </m:r>
            </m:sup>
          </m:sSup>
          <m:r>
            <m:rPr>
              <m:sty m:val="p"/>
            </m:rPr>
            <m:t>.</m:t>
          </m:r>
        </m:oMath>
      </m:oMathPara>
    </w:p>
    <w:p>
      <w:pPr>
        <w:pStyle w:val="FirstParagraph"/>
        <w:widowControl/>
      </w:pPr>
      <w:r>
        <w:t xml:space="preserve">Conditioning means the implemented laws are not literally iid. By total variation, the reference-</w:t>
      </w:r>
      <w:r>
        <w:t xml:space="preserve"> </w:t>
      </w:r>
      <w:r>
        <w:t xml:space="preserve">law coverage guarantees transfer conservatively as at least</w:t>
      </w:r>
      <w:r>
        <w:t xml:space="preserve"> </w:t>
      </w:r>
      <m:oMath>
        <m:r>
          <m:t>1</m:t>
        </m:r>
        <m:r>
          <m:rPr>
            <m:sty m:val="p"/>
          </m:rPr>
          <m:t>−</m:t>
        </m:r>
        <m:r>
          <m:t>β</m:t>
        </m:r>
        <m:r>
          <m:rPr>
            <m:sty m:val="p"/>
          </m:rPr>
          <m:t>−</m:t>
        </m:r>
        <m:sSub>
          <m:e>
            <m:r>
              <m:t>q</m:t>
            </m:r>
          </m:e>
          <m:sub>
            <m:r>
              <m:rPr>
                <m:nor/>
              </m:rPr>
              <m:t>cal</m:t>
            </m:r>
          </m:sub>
        </m:sSub>
      </m:oMath>
      <w:r>
        <w:t xml:space="preserve"> </w:t>
      </w:r>
      <w:r>
        <w:t xml:space="preserve">and</w:t>
      </w:r>
      <w:r>
        <w:t xml:space="preserve"> </w:t>
      </w:r>
      <m:oMath>
        <m:r>
          <m:t>1</m:t>
        </m:r>
        <m:r>
          <m:rPr>
            <m:sty m:val="p"/>
          </m:rPr>
          <m:t>−</m:t>
        </m:r>
        <m:r>
          <m:t>γ</m:t>
        </m:r>
        <m:r>
          <m:rPr>
            <m:sty m:val="p"/>
          </m:rPr>
          <m:t>−</m:t>
        </m:r>
        <m:sSub>
          <m:e>
            <m:r>
              <m:t>q</m:t>
            </m:r>
          </m:e>
          <m:sub>
            <m:r>
              <m:rPr>
                <m:nor/>
              </m:rPr>
              <m:t>locked</m:t>
            </m:r>
          </m:sub>
        </m:sSub>
      </m:oMath>
      <w:r>
        <w:t xml:space="preserve">. The tiny corrections alter no</w:t>
      </w:r>
      <w:r>
        <w:t xml:space="preserve"> </w:t>
      </w:r>
      <w:r>
        <w:t xml:space="preserve">reported interval, threshold, decision, or status.</w:t>
      </w:r>
    </w:p>
    <w:p>
      <w:pPr>
        <w:pStyle w:val="BodyText"/>
        <w:widowControl/>
      </w:pPr>
      <w:r>
        <w:t xml:space="preserve">Calibration grants only the statement defined by Equation </w:t>
      </w:r>
      <w:hyperlink w:anchor="eq:cp">
        <w:r>
          <w:rPr>
            <w:rStyle w:val="Hyperlink"/>
          </w:rPr>
          <w:t xml:space="preserve">(7)</w:t>
        </w:r>
      </w:hyperlink>
      <w:r>
        <w:t xml:space="preserve">: for the frozen violation</w:t>
      </w:r>
      <w:r>
        <w:t xml:space="preserve"> </w:t>
      </w:r>
      <w:r>
        <w:t xml:space="preserve">event under the iid reference law</w:t>
      </w:r>
      <w:r>
        <w:t xml:space="preserve"> </w:t>
      </w:r>
      <m:oMath>
        <m:r>
          <m:t>Q</m:t>
        </m:r>
      </m:oMath>
      <w:r>
        <w:t xml:space="preserve">, the one-sided upper endpoint covers</w:t>
      </w:r>
      <w:r>
        <w:t xml:space="preserve"> </w:t>
      </w:r>
      <m:oMath>
        <m:sSub>
          <m:e>
            <m:r>
              <m:t>p</m:t>
            </m:r>
          </m:e>
          <m:sub>
            <m:r>
              <m:t>Q</m:t>
            </m:r>
          </m:sub>
        </m:sSub>
      </m:oMath>
      <w:r>
        <w:t xml:space="preserve">, and the certificate is</w:t>
      </w:r>
      <w:r>
        <w:t xml:space="preserve"> </w:t>
      </w:r>
      <w:r>
        <w:t xml:space="preserve">granted only when that endpoint is at most</w:t>
      </w:r>
      <w:r>
        <w:t xml:space="preserve"> </w:t>
      </w:r>
      <m:oMath>
        <m:sSub>
          <m:e>
            <m:r>
              <m:t>δ</m:t>
            </m:r>
          </m:e>
          <m:sub>
            <m:r>
              <m:rPr>
                <m:nor/>
              </m:rPr>
              <m:t>cert</m:t>
            </m:r>
          </m:sub>
        </m:sSub>
      </m:oMath>
      <w:r>
        <w:t xml:space="preserve">. The separately authorized locked audit</w:t>
      </w:r>
      <w:r>
        <w:t xml:space="preserve"> </w:t>
      </w:r>
      <w:r>
        <w:t xml:space="preserve">evaluated a different question: whether a held-out, role-separated violation count contradicted</w:t>
      </w:r>
      <w:r>
        <w:t xml:space="preserve"> </w:t>
      </w:r>
      <m:oMath>
        <m:sSub>
          <m:e>
            <m:r>
              <m:t>p</m:t>
            </m:r>
          </m:e>
          <m:sub>
            <m:r>
              <m:t>Q</m:t>
            </m:r>
          </m:sub>
        </m:sSub>
        <m:r>
          <m:rPr>
            <m:sty m:val="p"/>
          </m:rPr>
          <m:t>≤</m:t>
        </m:r>
        <m:sSub>
          <m:e>
            <m:r>
              <m:t>δ</m:t>
            </m:r>
          </m:e>
          <m:sub>
            <m:r>
              <m:rPr>
                <m:nor/>
              </m:rPr>
              <m:t>cert</m:t>
            </m:r>
          </m:sub>
        </m:sSub>
      </m:oMath>
      <w:r>
        <w:t xml:space="preserve"> </w:t>
      </w:r>
      <w:r>
        <w:t xml:space="preserve">under its frozen decision rule. It reports a two-sided exact interval and the</w:t>
      </w:r>
      <w:r>
        <w:t xml:space="preserve"> </w:t>
      </w:r>
      <w:r>
        <w:t xml:space="preserve">one-sided lower endpoint in</w:t>
      </w:r>
      <w:r>
        <w:t xml:space="preserve"> </w:t>
      </w:r>
      <w:r>
        <w:t xml:space="preserve">Equation </w:t>
      </w:r>
      <w:hyperlink w:anchor="eq:cp-audit">
        <w:r>
          <w:rPr>
            <w:rStyle w:val="Hyperlink"/>
          </w:rPr>
          <w:t xml:space="preserve">(8)</w:t>
        </w:r>
      </w:hyperlink>
      <w:r>
        <w:t xml:space="preserve">. The certificate is withdrawn only when that lower endpoint exceeds</w:t>
      </w:r>
      <w:r>
        <w:t xml:space="preserve"> </w:t>
      </w:r>
      <m:oMath>
        <m:sSub>
          <m:e>
            <m:r>
              <m:t>δ</m:t>
            </m:r>
          </m:e>
          <m:sub>
            <m:r>
              <m:rPr>
                <m:nor/>
              </m:rPr>
              <m:t>cert</m:t>
            </m:r>
          </m:sub>
        </m:sSub>
      </m:oMath>
      <w:r>
        <w:t xml:space="preserve">; a raw locked fraction above</w:t>
      </w:r>
      <w:r>
        <w:t xml:space="preserve"> </w:t>
      </w:r>
      <m:oMath>
        <m:sSub>
          <m:e>
            <m:r>
              <m:t>δ</m:t>
            </m:r>
          </m:e>
          <m:sub>
            <m:r>
              <m:rPr>
                <m:nor/>
              </m:rPr>
              <m:t>cert</m:t>
            </m:r>
          </m:sub>
        </m:sSub>
      </m:oMath>
      <w:r>
        <w:t xml:space="preserve"> </w:t>
      </w:r>
      <w:r>
        <w:t xml:space="preserve">is not itself mathematical disproof. Failure to</w:t>
      </w:r>
      <w:r>
        <w:t xml:space="preserve"> </w:t>
      </w:r>
      <w:r>
        <w:t xml:space="preserve">reject is labeled not contradicted, not confirmed.</w:t>
      </w:r>
    </w:p>
    <w:p>
      <w:pPr>
        <w:pStyle w:val="BodyText"/>
        <w:widowControl/>
        <w:jc w:val="left"/>
      </w:pPr>
      <w:r>
        <w:t xml:space="preserve">Public-mock calibration reports only</w:t>
      </w:r>
      <w:r>
        <w:t xml:space="preserve"> </w:t>
      </w:r>
      <w:r>
        <w:rPr>
          <w:rStyle w:val="VerbatimChar"/>
        </w:rPr>
        <w:t xml:space="preserve">PUBLIC_MOCK_CALIBRATION_CRITERION_MET</w:t>
      </w:r>
      <w:r>
        <w:t xml:space="preserve"> </w:t>
      </w:r>
      <w:r>
        <w:t xml:space="preserve">or its not-met counterpart and never grants a</w:t>
      </w:r>
      <w:r>
        <w:t xml:space="preserve"> </w:t>
      </w:r>
      <w:r>
        <w:t xml:space="preserve">certificate. An actual grant is new-written as an immutable certificate record binding the</w:t>
      </w:r>
      <w:r>
        <w:t xml:space="preserve"> </w:t>
      </w:r>
      <w:r>
        <w:t xml:space="preserve">approved freeze, runtime inventory, protocol/config/fidelity hashes, calibration role commitment,</w:t>
      </w:r>
      <w:r>
        <w:t xml:space="preserve"> </w:t>
      </w:r>
      <w:r>
        <w:t xml:space="preserve">complete result bundle, separate</w:t>
      </w:r>
      <w:r>
        <w:t xml:space="preserve"> </w:t>
      </w:r>
      <m:oMath>
        <m:r>
          <m:t>β</m:t>
        </m:r>
      </m:oMath>
      <w:r>
        <w:t xml:space="preserve"> </w:t>
      </w:r>
      <w:r>
        <w:t xml:space="preserve">and</w:t>
      </w:r>
      <w:r>
        <w:t xml:space="preserve"> </w:t>
      </w:r>
      <m:oMath>
        <m:r>
          <m:t>γ</m:t>
        </m:r>
      </m:oMath>
      <w:r>
        <w:t xml:space="preserve">, exact event,</w:t>
      </w:r>
      <w:r>
        <w:t xml:space="preserve"> </w:t>
      </w:r>
      <m:oMath>
        <m:r>
          <m:t>Q</m:t>
        </m:r>
      </m:oMath>
      <w:r>
        <w:t xml:space="preserve">, and no-retuning</w:t>
      </w:r>
      <w:r>
        <w:t xml:space="preserve"> </w:t>
      </w:r>
      <w:r>
        <w:t xml:space="preserve">declaration; the completed workflow created that record and completed its documented calibration-review</w:t>
      </w:r>
      <w:r>
        <w:t xml:space="preserve"> </w:t>
      </w:r>
      <w:r>
        <w:t xml:space="preserve">step before locked authorization. Locked D2 is inapplicable without that granted record plus a</w:t>
      </w:r>
      <w:r>
        <w:t xml:space="preserve"> </w:t>
      </w:r>
      <w:r>
        <w:t xml:space="preserve">schema-valid calibration-review approval bound to the raw result and certificate; it cannot grant a certificate. The four</w:t>
      </w:r>
      <w:r>
        <w:t xml:space="preserve"> </w:t>
      </w:r>
      <w:r>
        <w:t xml:space="preserve">state fields</w:t>
      </w:r>
      <w:r>
        <w:t xml:space="preserve"> </w:t>
      </w:r>
      <w:r>
        <w:rPr>
          <w:rStyle w:val="VerbatimChar"/>
        </w:rPr>
        <w:t xml:space="preserve">calibration_executed</w:t>
      </w:r>
      <w:r>
        <w:t xml:space="preserve">,</w:t>
      </w:r>
      <w:r>
        <w:t xml:space="preserve"> </w:t>
      </w:r>
      <w:r>
        <w:rPr>
          <w:rStyle w:val="VerbatimChar"/>
        </w:rPr>
        <w:t xml:space="preserve">locked_audit_executed</w:t>
      </w:r>
      <w:r>
        <w:t xml:space="preserve">,</w:t>
      </w:r>
      <w:r>
        <w:t xml:space="preserve"> </w:t>
      </w:r>
      <w:r>
        <w:rPr>
          <w:rStyle w:val="VerbatimChar"/>
        </w:rPr>
        <w:t xml:space="preserve">certificate_granted</w:t>
      </w:r>
      <w:r>
        <w:t xml:space="preserve">, and</w:t>
      </w:r>
      <w:r>
        <w:t xml:space="preserve"> </w:t>
      </w:r>
      <w:r>
        <w:rPr>
          <w:rStyle w:val="VerbatimChar"/>
        </w:rPr>
        <w:t xml:space="preserve">certificate_reviewed</w:t>
      </w:r>
      <w:r>
        <w:t xml:space="preserve"> </w:t>
      </w:r>
      <w:r>
        <w:t xml:space="preserve">are separate facts and may not</w:t>
      </w:r>
      <w:r>
        <w:t xml:space="preserve"> </w:t>
      </w:r>
      <w:r>
        <w:t xml:space="preserve">be inferred from one another.</w:t>
      </w:r>
    </w:p>
    <w:bookmarkStart w:id="80" w:name="X62967503e5bd8e4eb080442697187b52f05aac3"/>
    <w:p>
      <w:pPr>
        <w:pStyle w:val="ScientificLabel"/>
        <w:widowControl/>
      </w:pPr>
      <w:r>
        <w:t xml:space="preserve">Post-hoc D2 withdrawal-rule operating characteristics.</w:t>
      </w:r>
    </w:p>
    <w:p>
      <w:pPr>
        <w:pStyle w:val="FirstParagraph"/>
        <w:widowControl/>
        <w:jc w:val="left"/>
      </w:pPr>
      <w:r>
        <w:t xml:space="preserve">This paragraph and Table </w:t>
      </w:r>
      <w:hyperlink w:anchor="tab:d2-power">
        <w:r>
          <w:rPr>
            <w:rStyle w:val="Hyperlink"/>
          </w:rPr>
          <w:t xml:space="preserve">3</w:t>
        </w:r>
      </w:hyperlink>
      <w:r>
        <w:t xml:space="preserve"> </w:t>
      </w:r>
      <w:r>
        <w:t xml:space="preserve">carry the labels</w:t>
      </w:r>
      <w:r>
        <w:t xml:space="preserve"> </w:t>
      </w:r>
      <w:r>
        <w:rPr>
          <w:rStyle w:val="VerbatimChar"/>
        </w:rPr>
        <w:t xml:space="preserve">POST_HOC_OPERATING_CHARACTERISTIC_ANALYSIS</w:t>
      </w:r>
      <w:r>
        <w:t xml:space="preserve">,</w:t>
      </w:r>
      <w:r>
        <w:t xml:space="preserve"> </w:t>
      </w:r>
      <w:r>
        <w:rPr>
          <w:rStyle w:val="VerbatimChar"/>
        </w:rPr>
        <w:t xml:space="preserve">NOT_A_PREREGISTERED_ENDPOINT</w:t>
      </w:r>
      <w:r>
        <w:t xml:space="preserve">, and</w:t>
      </w:r>
      <w:r>
        <w:t xml:space="preserve"> </w:t>
      </w:r>
      <w:r>
        <w:rPr>
          <w:rStyle w:val="VerbatimChar"/>
        </w:rPr>
        <w:t xml:space="preserve">DOES_NOT_CHANGE_D2_STATUS</w:t>
      </w:r>
      <w:r>
        <w:t xml:space="preserve">. For</w:t>
      </w:r>
      <w:r>
        <w:t xml:space="preserve"> </w:t>
      </w:r>
      <m:oMath>
        <m:sSub>
          <m:e>
            <m:r>
              <m:t>m</m:t>
            </m:r>
          </m:e>
          <m:sub>
            <m:r>
              <m:t>L</m:t>
            </m:r>
          </m:sub>
        </m:sSub>
        <m:r>
          <m:rPr>
            <m:sty m:val="p"/>
          </m:rPr>
          <m:t>=</m:t>
        </m:r>
        <m:r>
          <m:t>64</m:t>
        </m:r>
      </m:oMath>
      <w:r>
        <w:t xml:space="preserve">,</w:t>
      </w:r>
      <w:r>
        <w:t xml:space="preserve"> </w:t>
      </w:r>
      <m:oMath>
        <m:r>
          <m:t>γ</m:t>
        </m:r>
        <m:r>
          <m:rPr>
            <m:sty m:val="p"/>
          </m:rPr>
          <m:t>=</m:t>
        </m:r>
        <m:sSub>
          <m:e>
            <m:r>
              <m:t>δ</m:t>
            </m:r>
          </m:e>
          <m:sub>
            <m:r>
              <m:rPr>
                <m:nor/>
              </m:rPr>
              <m:t>cert</m:t>
            </m:r>
          </m:sub>
        </m:sSub>
        <m:r>
          <m:rPr>
            <m:sty m:val="p"/>
          </m:rPr>
          <m:t>=</m:t>
        </m:r>
        <m:r>
          <m:t>0.05</m:t>
        </m:r>
      </m:oMath>
      <w:r>
        <w:t xml:space="preserve">, the frozen one-sided lower-bound rule first satisfies</w:t>
      </w:r>
      <w:r>
        <w:t xml:space="preserve"> </w:t>
      </w:r>
      <m:oMath>
        <m:sSub>
          <m:e>
            <m:r>
              <m:t>L</m:t>
            </m:r>
          </m:e>
          <m:sub>
            <m:r>
              <m:rPr>
                <m:nor/>
              </m:rPr>
              <m:t>CP</m:t>
            </m:r>
          </m:sub>
        </m:sSub>
        <m:r>
          <m:rPr>
            <m:sty m:val="p"/>
          </m:rPr>
          <m:t>(</m:t>
        </m:r>
        <m:sSub>
          <m:e>
            <m:r>
              <m:t>K</m:t>
            </m:r>
          </m:e>
          <m:sub>
            <m:r>
              <m:t>L</m:t>
            </m:r>
          </m:sub>
        </m:sSub>
        <m:r>
          <m:rPr>
            <m:sty m:val="p"/>
          </m:rPr>
          <m:t>,</m:t>
        </m:r>
        <m:r>
          <m:t>64</m:t>
        </m:r>
        <m:r>
          <m:rPr>
            <m:sty m:val="p"/>
          </m:rPr>
          <m:t>;</m:t>
        </m:r>
        <m:r>
          <m:t>0.95</m:t>
        </m:r>
        <m:r>
          <m:rPr>
            <m:sty m:val="p"/>
          </m:rPr>
          <m:t>)</m:t>
        </m:r>
        <m:r>
          <m:rPr>
            <m:sty m:val="p"/>
          </m:rPr>
          <m:t>&gt;</m:t>
        </m:r>
        <m:r>
          <m:t>0.05</m:t>
        </m:r>
      </m:oMath>
      <w:r>
        <w:t xml:space="preserve"> </w:t>
      </w:r>
      <w:r>
        <w:t xml:space="preserve">at</w:t>
      </w:r>
      <w:r>
        <w:t xml:space="preserve"> </w:t>
      </w:r>
      <m:oMath>
        <m:sSub>
          <m:e>
            <m:r>
              <m:t>K</m:t>
            </m:r>
          </m:e>
          <m:sub>
            <m:r>
              <m:t>L</m:t>
            </m:r>
          </m:sub>
        </m:sSub>
        <m:r>
          <m:rPr>
            <m:sty m:val="p"/>
          </m:rPr>
          <m:t>=</m:t>
        </m:r>
        <m:r>
          <m:t>7</m:t>
        </m:r>
      </m:oMath>
      <w:r>
        <w:t xml:space="preserve">:</w:t>
      </w:r>
    </w:p>
    <w:p>
      <w:pPr>
        <w:pStyle w:val="BodyText"/>
        <w:widowControl/>
      </w:pPr>
      <m:oMathPara>
        <m:oMathParaPr>
          <m:jc m:val="center"/>
        </m:oMathParaPr>
        <m:oMath>
          <m:eqArr>
            <m:e>
              <m:sSub>
                <m:e>
                  <m:r>
                    <m:t>L</m:t>
                  </m:r>
                </m:e>
                <m:sub>
                  <m:r>
                    <m:rPr>
                      <m:nor/>
                    </m:rPr>
                    <m:t>CP</m:t>
                  </m:r>
                </m:sub>
              </m:sSub>
              <m:r>
                <m:rPr>
                  <m:sty m:val="p"/>
                </m:rPr>
                <m:t>(</m:t>
              </m:r>
              <m:r>
                <m:t>6</m:t>
              </m:r>
              <m:r>
                <m:rPr>
                  <m:sty m:val="p"/>
                </m:rPr>
                <m:t>,</m:t>
              </m:r>
              <m:r>
                <m:t>64</m:t>
              </m:r>
              <m:r>
                <m:rPr>
                  <m:sty m:val="p"/>
                </m:rPr>
                <m:t>;</m:t>
              </m:r>
              <m:r>
                <m:t>0.95</m:t>
              </m:r>
              <m:r>
                <m:rPr>
                  <m:sty m:val="p"/>
                </m:rPr>
                <m:t>)</m:t>
              </m:r>
              <m:r>
                <m:rPr>
                  <m:sty m:val="p"/>
                </m:rPr>
                <m:t>=</m:t>
              </m:r>
              <m:r>
                <m:t>0.04161966005858663</m:t>
              </m:r>
              <m:r>
                <m:rPr>
                  <m:sty m:val="p"/>
                </m:rPr>
                <m:t>,</m:t>
              </m:r>
            </m:e>
            <m:e>
              <m:sSub>
                <m:e>
                  <m:r>
                    <m:t>L</m:t>
                  </m:r>
                </m:e>
                <m:sub>
                  <m:r>
                    <m:rPr>
                      <m:nor/>
                    </m:rPr>
                    <m:t>CP</m:t>
                  </m:r>
                </m:sub>
              </m:sSub>
              <m:r>
                <m:rPr>
                  <m:sty m:val="p"/>
                </m:rPr>
                <m:t>(</m:t>
              </m:r>
              <m:r>
                <m:t>7</m:t>
              </m:r>
              <m:r>
                <m:rPr>
                  <m:sty m:val="p"/>
                </m:rPr>
                <m:t>,</m:t>
              </m:r>
              <m:r>
                <m:t>64</m:t>
              </m:r>
              <m:r>
                <m:rPr>
                  <m:sty m:val="p"/>
                </m:rPr>
                <m:t>;</m:t>
              </m:r>
              <m:r>
                <m:t>0.95</m:t>
              </m:r>
              <m:r>
                <m:rPr>
                  <m:sty m:val="p"/>
                </m:rPr>
                <m:t>)</m:t>
              </m:r>
              <m:r>
                <m:rPr>
                  <m:sty m:val="p"/>
                </m:rPr>
                <m:t>=</m:t>
              </m:r>
              <m:r>
                <m:t>0.05247175276586141</m:t>
              </m:r>
              <m:r>
                <m:rPr>
                  <m:sty m:val="p"/>
                </m:rPr>
                <m:t>.</m:t>
              </m:r>
            </m:e>
          </m:eqArr>
        </m:oMath>
      </m:oMathPara>
    </w:p>
    <w:p>
      <w:pPr>
        <w:pStyle w:val="FirstParagraph"/>
        <w:widowControl/>
      </w:pPr>
      <w:r>
        <w:t xml:space="preserve">Thus the trigger event is</w:t>
      </w:r>
      <w:r>
        <w:t xml:space="preserve"> </w:t>
      </w:r>
      <m:oMath>
        <m:sSub>
          <m:e>
            <m:r>
              <m:t>K</m:t>
            </m:r>
          </m:e>
          <m:sub>
            <m:r>
              <m:t>L</m:t>
            </m:r>
          </m:sub>
        </m:sSub>
        <m:r>
          <m:rPr>
            <m:sty m:val="p"/>
          </m:rPr>
          <m:t>≥</m:t>
        </m:r>
        <m:r>
          <m:t>7</m:t>
        </m:r>
      </m:oMath>
      <w:r>
        <w:t xml:space="preserve">. Under a hypothetical true violation probability</w:t>
      </w:r>
      <w:r>
        <w:t xml:space="preserve"> </w:t>
      </w:r>
      <m:oMath>
        <m:r>
          <m:t>p</m:t>
        </m:r>
      </m:oMath>
      <w:r>
        <w:t xml:space="preserve">,</w:t>
      </w:r>
      <w:r>
        <w:t xml:space="preserve"> </w:t>
      </w:r>
      <w:r>
        <w:t xml:space="preserve">its withdrawal probability is the binomial tail</w:t>
      </w:r>
    </w:p>
    <w:p>
      <w:pPr>
        <w:pStyle w:val="BodyText"/>
        <w:widowControl/>
      </w:pPr>
      <m:oMathPara>
        <m:oMathParaPr>
          <m:jc m:val="center"/>
        </m:oMathParaPr>
        <m:oMath>
          <m:limLow>
            <m:e>
              <m:r>
                <m:rPr>
                  <m:sty m:val="p"/>
                </m:rPr>
                <m:t>Pr</m:t>
              </m:r>
            </m:e>
            <m:lim>
              <m:r>
                <m:t>p</m:t>
              </m:r>
            </m:lim>
          </m:limLow>
          <m:r>
            <m:rPr>
              <m:sty m:val="p"/>
            </m:rPr>
            <m:t>(</m:t>
          </m:r>
          <m:sSub>
            <m:e>
              <m:r>
                <m:t>K</m:t>
              </m:r>
            </m:e>
            <m:sub>
              <m:r>
                <m:t>L</m:t>
              </m:r>
            </m:sub>
          </m:sSub>
          <m:r>
            <m:rPr>
              <m:sty m:val="p"/>
            </m:rPr>
            <m:t>≥</m:t>
          </m:r>
          <m:r>
            <m:t>7</m:t>
          </m:r>
          <m:r>
            <m:rPr>
              <m:sty m:val="p"/>
            </m:rPr>
            <m:t>)</m:t>
          </m:r>
          <m:r>
            <m:rPr>
              <m:sty m:val="p"/>
            </m:rPr>
            <m:t>=</m:t>
          </m:r>
          <m:r>
            <m:t>1</m:t>
          </m:r>
          <m:r>
            <m:rPr>
              <m:sty m:val="p"/>
            </m:rPr>
            <m:t>−</m:t>
          </m:r>
          <m:nary>
            <m:naryPr>
              <m:chr m:val="∑"/>
              <m:limLoc m:val="undOvr"/>
              <m:subHide m:val="off"/>
              <m:supHide m:val="off"/>
            </m:naryPr>
            <m:sub>
              <m:r>
                <m:t>j</m:t>
              </m:r>
              <m:r>
                <m:rPr>
                  <m:sty m:val="p"/>
                </m:rPr>
                <m:t>=</m:t>
              </m:r>
              <m:r>
                <m:t>0</m:t>
              </m:r>
            </m:sub>
            <m:sup>
              <m:r>
                <m:t>6</m:t>
              </m:r>
            </m:sup>
            <m:e>
              <m:d>
                <m:dPr>
                  <m:begChr m:val="("/>
                  <m:sepChr m:val=""/>
                  <m:endChr m:val=")"/>
                  <m:grow/>
                </m:dPr>
                <m:e>
                  <m:f>
                    <m:fPr>
                      <m:type m:val="noBar"/>
                    </m:fPr>
                    <m:num>
                      <m:r>
                        <m:t>64</m:t>
                      </m:r>
                    </m:num>
                    <m:den>
                      <m:r>
                        <m:t>j</m:t>
                      </m:r>
                    </m:den>
                  </m:f>
                </m:e>
              </m:d>
            </m:e>
          </m:nary>
          <m:sSup>
            <m:e>
              <m:r>
                <m:t>p</m:t>
              </m:r>
            </m:e>
            <m:sup>
              <m:r>
                <m:t>j</m:t>
              </m:r>
            </m:sup>
          </m:sSup>
          <m:r>
            <m:rPr>
              <m:sty m:val="p"/>
            </m:rPr>
            <m:t>(</m:t>
          </m:r>
          <m:r>
            <m:t>1</m:t>
          </m:r>
          <m:r>
            <m:rPr>
              <m:sty m:val="p"/>
            </m:rPr>
            <m:t>−</m:t>
          </m:r>
          <m:r>
            <m:t>p</m:t>
          </m:r>
          <m:sSup>
            <m:e>
              <m:r>
                <m:rPr>
                  <m:sty m:val="p"/>
                </m:rPr>
                <m:t>)</m:t>
              </m:r>
            </m:e>
            <m:sup>
              <m:r>
                <m:t>64</m:t>
              </m:r>
              <m:r>
                <m:rPr>
                  <m:sty m:val="p"/>
                </m:rPr>
                <m:t>−</m:t>
              </m:r>
              <m:r>
                <m:t>j</m:t>
              </m:r>
            </m:sup>
          </m:sSup>
          <m:r>
            <m:rPr>
              <m:sty m:val="p"/>
            </m:rPr>
            <m:t>.</m:t>
          </m:r>
        </m:oMath>
      </m:oMathPara>
    </w:p>
    <w:p>
      <w:pPr>
        <w:pStyle w:val="FirstParagraph"/>
        <w:widowControl/>
      </w:pPr>
      <w:r>
        <w:t xml:space="preserve">The domain is a hypothetical iid Bernoulli sequence of block-level implementation/event-mechanism</w:t>
      </w:r>
      <w:r>
        <w:t xml:space="preserve"> </w:t>
      </w:r>
      <w:r>
        <w:t xml:space="preserve">failures governed by the unchanged rule. The calculation does not reuse role values, is not</w:t>
      </w:r>
      <w:r>
        <w:t xml:space="preserve"> </w:t>
      </w:r>
      <w:r>
        <w:t xml:space="preserve">evidence about the observed blocks, and is not uncertainty about Rule 170’s analytical identity.</w:t>
      </w:r>
    </w:p>
    <w:bookmarkStart w:id="78" w:name="tab:d2-power"/>
    <w:p>
      <w:pPr>
        <w:pStyle w:val="TableCaption"/>
        <w:widowControl/>
      </w:pPr>
      <w:r>
        <w:t>Table 3. Post-hoc operating characteristics of the unchanged D2-CERT withdrawal machinery under hypothetical block-level failures. Values are deterministic binomial-tail calculations, not new endpoint outcomes or evidence against the proved Rule 170 density identity.</w:t>
      </w:r>
    </w:p>
    <w:tbl>
      <w:tblPr>
        <w:tblStyle w:val="Table"/>
        <w:tblW w:type="dxa" w:w="9360"/>
        <w:jc w:val="left"/>
        <w:tblLayout w:type="fixed"/>
        <w:tblLook w:firstRow="1" w:lastRow="0" w:firstColumn="0" w:lastColumn="0" w:noHBand="0" w:noVBand="0" w:val="0020"/>
        <w:tblCaption w:val="Post-hoc operating characteristics of the unchanged D2-CERT withdrawal machinery under hypothetical block-level failures. Values are deterministic binomial-tail calculations, not new endpoint outcomes or evidence against the proved Rule 170 density identity."/>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rPr>
          <w:tblHeader w:val="on"/>
          <w:cantSplit/>
        </w:trPr>
        <w:tc>
          <w:tcPr>
            <w:tcW w:type="dxa" w:w="312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Hypothetical block-failure rate</w:t>
            </w:r>
            <w:r>
              <w:rPr>
                <w:rFonts w:ascii="Calibri" w:hAnsi="Calibri" w:eastAsia="Calibri" w:cs="Calibri"/>
                <w:b/>
                <w:color w:val="142337"/>
                <w:sz w:val="16"/>
              </w:rPr>
              <w:t xml:space="preserve"> </w:t>
            </w:r>
            <m:oMath>
              <m:r>
                <m:t>p</m:t>
              </m:r>
            </m:oMath>
          </w:p>
        </w:tc>
        <w:tc>
          <w:tcPr>
            <w:tcW w:type="dxa" w:w="312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Trigger</w:t>
            </w:r>
          </w:p>
        </w:tc>
        <w:tc>
          <w:tcPr>
            <w:tcW w:type="dxa" w:w="312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Withdrawal probability</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0.05</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0.0402969</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0.08</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0.2498734</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0.10</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0.4609612</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0.12</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0.6602532</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0.15</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0.8635388</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0.20</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0.9817801</w:t>
            </w:r>
          </w:p>
        </w:tc>
      </w:tr>
    </w:tbl>
    <w:bookmarkEnd w:id="78"/>
    <w:p>
      <w:pPr>
        <w:widowControl/>
      </w:pPr>
    </w:p>
    <w:bookmarkStart w:id="79" w:name="tab:k0-planning"/>
    <w:p>
      <w:pPr>
        <w:pStyle w:val="TableCaption"/>
        <w:widowControl/>
      </w:pPr>
      <w:r>
        <w:t>Table 4. sample-size planning at . Each entry is the smallest integer  satisfying ; designs allowing violations require a different calculation.</w:t>
      </w:r>
    </w:p>
    <w:tbl>
      <w:tblPr>
        <w:tblStyle w:val="Table"/>
        <w:tblW w:type="dxa" w:w="9360"/>
        <w:jc w:val="left"/>
        <w:tblLayout w:type="fixed"/>
        <w:tblLook w:firstRow="1" w:lastRow="0" w:firstColumn="0" w:lastColumn="0" w:noHBand="0" w:noVBand="0" w:val="0020"/>
        <w:tblCaption w:val="K=0 sample-size planning at \beta=0.05. Each entry is the smallest integer m satisfying 1-\beta^{1/m}\le\delta_{\mathrm{cert}}; designs allowing violations require a different calculation."/>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rPr>
          <w:tblHeader w:val="on"/>
          <w:cantSplit/>
        </w:trPr>
        <w:tc>
          <w:tcPr>
            <w:tcW w:type="dxa" w:w="468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Target</w:t>
            </w:r>
            <w:r>
              <w:rPr>
                <w:rFonts w:ascii="Calibri" w:hAnsi="Calibri" w:eastAsia="Calibri" w:cs="Calibri"/>
                <w:b/>
                <w:color w:val="142337"/>
                <w:sz w:val="16"/>
              </w:rPr>
              <w:t xml:space="preserve"> </w:t>
            </w:r>
            <m:oMath>
              <m:sSub>
                <m:e>
                  <m:r>
                    <m:t>δ</m:t>
                  </m:r>
                </m:e>
                <m:sub>
                  <m:r>
                    <m:rPr>
                      <m:nor/>
                    </m:rPr>
                    <m:t>cert</m:t>
                  </m:r>
                </m:sub>
              </m:sSub>
            </m:oMath>
          </w:p>
        </w:tc>
        <w:tc>
          <w:tcPr>
            <w:tcW w:type="dxa" w:w="468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Minimum</w:t>
            </w:r>
            <w:r>
              <w:rPr>
                <w:rFonts w:ascii="Calibri" w:hAnsi="Calibri" w:eastAsia="Calibri" w:cs="Calibri"/>
                <w:b/>
                <w:color w:val="142337"/>
                <w:sz w:val="16"/>
              </w:rPr>
              <w:t xml:space="preserve"> </w:t>
            </w:r>
            <m:oMath>
              <m:r>
                <m:t>m</m:t>
              </m:r>
            </m:oMath>
            <w:r>
              <w:rPr>
                <w:rFonts w:ascii="Calibri" w:hAnsi="Calibri" w:eastAsia="Calibri" w:cs="Calibri"/>
                <w:b/>
                <w:color w:val="142337"/>
                <w:sz w:val="16"/>
              </w:rPr>
              <w:t xml:space="preserve"> </w:t>
            </w:r>
            <w:r>
              <w:rPr>
                <w:rFonts w:ascii="Calibri" w:hAnsi="Calibri" w:eastAsia="Calibri" w:cs="Calibri"/>
                <w:b/>
                <w:color w:val="142337"/>
                <w:sz w:val="16"/>
              </w:rPr>
              <w:t xml:space="preserve">for the</w:t>
            </w:r>
            <w:r>
              <w:rPr>
                <w:rFonts w:ascii="Calibri" w:hAnsi="Calibri" w:eastAsia="Calibri" w:cs="Calibri"/>
                <w:b/>
                <w:color w:val="142337"/>
                <w:sz w:val="16"/>
              </w:rPr>
              <w:t xml:space="preserve"> </w:t>
            </w:r>
            <m:oMath>
              <m:r>
                <m:t>K</m:t>
              </m:r>
              <m:r>
                <m:rPr>
                  <m:sty m:val="p"/>
                </m:rPr>
                <m:t>=</m:t>
              </m:r>
              <m:r>
                <m:t>0</m:t>
              </m:r>
            </m:oMath>
            <w:r>
              <w:rPr>
                <w:rFonts w:ascii="Calibri" w:hAnsi="Calibri" w:eastAsia="Calibri" w:cs="Calibri"/>
                <w:b/>
                <w:color w:val="142337"/>
                <w:sz w:val="16"/>
              </w:rPr>
              <w:t xml:space="preserve"> </w:t>
            </w:r>
            <w:r>
              <w:rPr>
                <w:rFonts w:ascii="Calibri" w:hAnsi="Calibri" w:eastAsia="Calibri" w:cs="Calibri"/>
                <w:b/>
                <w:color w:val="142337"/>
                <w:sz w:val="16"/>
              </w:rPr>
              <w:t xml:space="preserve">design</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0.05</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59</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0.02</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149</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0.01</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299</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0.005</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598</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0.001</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2995</w:t>
            </w:r>
          </w:p>
        </w:tc>
      </w:tr>
    </w:tbl>
    <w:bookmarkEnd w:id="79"/>
    <w:bookmarkEnd w:id="80"/>
    <w:bookmarkStart w:id="81" w:name="post-hoc-multiplicity-sensitivity."/>
    <w:p>
      <w:pPr>
        <w:pStyle w:val="ScientificLabel"/>
        <w:widowControl/>
      </w:pPr>
      <w:r>
        <w:t xml:space="preserve">Post-hoc multiplicity sensitivity.</w:t>
      </w:r>
    </w:p>
    <w:p>
      <w:pPr>
        <w:pStyle w:val="FirstParagraph"/>
        <w:widowControl/>
        <w:jc w:val="left"/>
      </w:pPr>
      <w:r>
        <w:t xml:space="preserve">The registered endpoint-wise summaries remain controlling. As an illustrative</w:t>
      </w:r>
      <w:r>
        <w:t xml:space="preserve"> </w:t>
      </w:r>
      <w:r>
        <w:rPr>
          <w:rStyle w:val="VerbatimChar"/>
        </w:rPr>
        <w:t xml:space="preserve">POST_HOC_MULTIPLICITY_SENSITIVITY</w:t>
      </w:r>
      <w:r>
        <w:t xml:space="preserve">, allocating a total one-sided tail probability</w:t>
      </w:r>
      <w:r>
        <w:t xml:space="preserve"> </w:t>
      </w:r>
      <w:r>
        <w:t xml:space="preserve">0.05 equally across the five homogeneous</w:t>
      </w:r>
      <w:r>
        <w:t xml:space="preserve"> </w:t>
      </w:r>
      <m:oMath>
        <m:r>
          <m:t>K</m:t>
        </m:r>
        <m:r>
          <m:rPr>
            <m:sty m:val="p"/>
          </m:rPr>
          <m:t>=</m:t>
        </m:r>
        <m:r>
          <m:t>0</m:t>
        </m:r>
        <m:r>
          <m:rPr>
            <m:sty m:val="p"/>
          </m:rPr>
          <m:t>,</m:t>
        </m:r>
        <m:r>
          <m:t>m</m:t>
        </m:r>
        <m:r>
          <m:rPr>
            <m:sty m:val="p"/>
          </m:rPr>
          <m:t>=</m:t>
        </m:r>
        <m:r>
          <m:t>64</m:t>
        </m:r>
      </m:oMath>
      <w:r>
        <w:t xml:space="preserve"> </w:t>
      </w:r>
      <w:r>
        <w:t xml:space="preserve">zero-adverse blockwise conformance</w:t>
      </w:r>
      <w:r>
        <w:t xml:space="preserve"> </w:t>
      </w:r>
      <w:r>
        <w:t xml:space="preserve">endpoints under the iid reference law gives</w:t>
      </w:r>
      <w:r>
        <w:t xml:space="preserve"> </w:t>
      </w:r>
      <m:oMath>
        <m:sSup>
          <m:e>
            <m:r>
              <m:t>β</m:t>
            </m:r>
          </m:e>
          <m:sup>
            <m:r>
              <m:rPr>
                <m:sty m:val="p"/>
              </m:rPr>
              <m:t>⋆</m:t>
            </m:r>
          </m:sup>
        </m:sSup>
        <m:r>
          <m:rPr>
            <m:sty m:val="p"/>
          </m:rPr>
          <m:t>=</m:t>
        </m:r>
        <m:r>
          <m:t>0.01</m:t>
        </m:r>
      </m:oMath>
      <w:r>
        <w:t xml:space="preserve"> </w:t>
      </w:r>
      <w:r>
        <w:t xml:space="preserve">and</w:t>
      </w:r>
    </w:p>
    <w:p>
      <w:pPr>
        <w:pStyle w:val="BodyText"/>
        <w:widowControl/>
      </w:pPr>
      <m:oMathPara>
        <m:oMathParaPr>
          <m:jc m:val="center"/>
        </m:oMathParaPr>
        <m:oMath>
          <m:r>
            <m:t>1</m:t>
          </m:r>
          <m:r>
            <m:rPr>
              <m:sty m:val="p"/>
            </m:rPr>
            <m:t>−</m:t>
          </m:r>
          <m:r>
            <m:rPr>
              <m:sty m:val="p"/>
            </m:rPr>
            <m:t>(</m:t>
          </m:r>
          <m:r>
            <m:t>0.01</m:t>
          </m:r>
          <m:sSup>
            <m:e>
              <m:r>
                <m:rPr>
                  <m:sty m:val="p"/>
                </m:rPr>
                <m:t>)</m:t>
              </m:r>
            </m:e>
            <m:sup>
              <m:r>
                <m:t>1</m:t>
              </m:r>
              <m:r>
                <m:rPr>
                  <m:sty m:val="p"/>
                </m:rPr>
                <m:t>/</m:t>
              </m:r>
              <m:r>
                <m:t>64</m:t>
              </m:r>
            </m:sup>
          </m:sSup>
          <m:r>
            <m:rPr>
              <m:sty m:val="p"/>
            </m:rPr>
            <m:t>=</m:t>
          </m:r>
          <m:r>
            <m:t>0.06942795907030102</m:t>
          </m:r>
          <m:r>
            <m:rPr>
              <m:sty m:val="p"/>
            </m:rPr>
            <m:t>.</m:t>
          </m:r>
        </m:oMath>
      </m:oMathPara>
    </w:p>
    <w:p>
      <w:pPr>
        <w:pStyle w:val="FirstParagraph"/>
        <w:widowControl/>
      </w:pPr>
      <w:r>
        <w:t xml:space="preserve">This Bonferroni calculation requires each component interval’s own binomial assumptions but not</w:t>
      </w:r>
      <w:r>
        <w:t xml:space="preserve"> </w:t>
      </w:r>
      <w:r>
        <w:t xml:space="preserve">independence among endpoints. It was not registered, changes no status, and is not substituted for</w:t>
      </w:r>
      <w:r>
        <w:t xml:space="preserve"> </w:t>
      </w:r>
      <w:r>
        <w:t xml:space="preserve">the endpoint-wise</w:t>
      </w:r>
      <w:r>
        <w:t xml:space="preserve"> </w:t>
      </w:r>
      <m:oMath>
        <m:r>
          <m:t>0.04572970233076246</m:t>
        </m:r>
      </m:oMath>
      <w:r>
        <w:t xml:space="preserve">. A calculation treating all eleven endpoints as</w:t>
      </w:r>
      <w:r>
        <w:t xml:space="preserve"> </w:t>
      </w:r>
      <w:r>
        <w:t xml:space="preserve">homogeneous is not reported as a family-wide result because five are deterministic or</w:t>
      </w:r>
      <w:r>
        <w:t xml:space="preserve"> </w:t>
      </w:r>
      <w:r>
        <w:t xml:space="preserve">formula-conformance checks, D2-CERT uses a different direction and role, and the endpoints do not</w:t>
      </w:r>
      <w:r>
        <w:t xml:space="preserve"> </w:t>
      </w:r>
      <w:r>
        <w:t xml:space="preserve">share one estimand.</w:t>
      </w:r>
    </w:p>
    <w:bookmarkEnd w:id="81"/>
    <w:bookmarkEnd w:id="82"/>
    <w:bookmarkStart w:id="86" w:name="supp:quantum-contract"/>
    <w:p>
      <w:pPr>
        <w:pStyle w:val="Heading2"/>
        <w:keepNext/>
        <w:keepLines/>
        <w:widowControl/>
      </w:pPr>
      <w:r>
        <w:t xml:space="preserve">Proposed APHFS-Q execution contract</w:t>
      </w:r>
    </w:p>
    <w:p>
      <w:pPr>
        <w:pStyle w:val="FirstParagraph"/>
        <w:widowControl/>
        <w:jc w:val="left"/>
      </w:pPr>
      <w:r>
        <w:t xml:space="preserve">This subsection is</w:t>
      </w:r>
      <w:r>
        <w:t xml:space="preserve"> </w:t>
      </w:r>
      <w:r>
        <w:rPr>
          <w:rStyle w:val="VerbatimChar"/>
        </w:rPr>
        <w:t xml:space="preserve">PROPOSED_QUANTUM_EXTENSION</w:t>
      </w:r>
      <w:r>
        <w:t xml:space="preserve"> </w:t>
      </w:r>
      <w:r>
        <w:t xml:space="preserve">and</w:t>
      </w:r>
      <w:r>
        <w:t xml:space="preserve"> </w:t>
      </w:r>
      <w:r>
        <w:rPr>
          <w:rStyle w:val="VerbatimChar"/>
        </w:rPr>
        <w:t xml:space="preserve">ROADMAP_ONLY</w:t>
      </w:r>
      <w:r>
        <w:t xml:space="preserve">. It defines an</w:t>
      </w:r>
      <w:r>
        <w:t xml:space="preserve"> </w:t>
      </w:r>
      <w:r>
        <w:t xml:space="preserve">interface for a future separately registered study; it reports no quantum execution, resource</w:t>
      </w:r>
      <w:r>
        <w:t xml:space="preserve"> </w:t>
      </w:r>
      <w:r>
        <w:t xml:space="preserve">estimate, endpoint, or scientific result. The scientific logic—declared candidate language,</w:t>
      </w:r>
      <w:r>
        <w:t xml:space="preserve"> </w:t>
      </w:r>
      <w:r>
        <w:t xml:space="preserve">complete accounting or disclosed sampling, operational ambiguity, class inadequacy,</w:t>
      </w:r>
      <w:r>
        <w:t xml:space="preserve"> </w:t>
      </w:r>
      <w:r>
        <w:t xml:space="preserve">indeterminacy, fidelity withdrawal, and role-separated evaluation—is hardware-independent.</w:t>
      </w:r>
    </w:p>
    <w:bookmarkStart w:id="83" w:name="tab:q-contract-full"/>
    <w:p>
      <w:pPr>
        <w:pStyle w:val="TableCaption"/>
        <w:widowControl/>
      </w:pPr>
      <w:r>
        <w:t>Table 5. Typed  for a future execution contract.</w:t>
      </w:r>
    </w:p>
    <w:tbl>
      <w:tblPr>
        <w:tblStyle w:val="Table"/>
        <w:tblW w:type="dxa" w:w="9360"/>
        <w:jc w:val="left"/>
        <w:tblLayout w:type="fixed"/>
        <w:tblLook w:firstRow="1" w:lastRow="0" w:firstColumn="0" w:lastColumn="0" w:noHBand="0" w:noVBand="0" w:val="0020"/>
        <w:tblCaption w:val="Typed \mathsf{QuantumResourceRecord} for a future execution contract."/>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978"/>
        <w:gridCol w:w="4645"/>
        <w:gridCol w:w="2737"/>
      </w:tblGrid>
      <w:tr>
        <w:trPr>
          <w:tblHeader w:val="on"/>
          <w:cantSplit/>
        </w:trPr>
        <w:tc>
          <w:tcPr>
            <w:tcW w:type="dxa" w:w="1978"/>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6"/>
              </w:rPr>
              <w:t xml:space="preserve">Field</w:t>
            </w:r>
          </w:p>
        </w:tc>
        <w:tc>
          <w:tcPr>
            <w:tcW w:type="dxa" w:w="4645"/>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Registered content</w:t>
            </w:r>
          </w:p>
        </w:tc>
        <w:tc>
          <w:tcPr>
            <w:tcW w:type="dxa" w:w="2737"/>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Missing/failed action</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semantics</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Finite or sampled grammar, canonical encoding, valid-state rules,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unitary, CPTP channel, Hamiltonian, circuit, quantum-walk, or QCA update semantics.</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Reject invalid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candidates; do not impute a favorable status.</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_preparation</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Input origin, normalization, preparation circuit/channel,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construction cost, target error, success probability, repetitions, and reusability.</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if correctness or cost is unsupported.</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operator_access</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Oracle, sparse access, LCU, block encoding, product formula, or other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access model, including normalization, construction/query cost, error, and reuse assumptions.</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 access-infeasible or</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logical_circuit</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Logical qubits, fixed native logical gate basis, gate counts/depth,</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circuit family, synthesis tolerance, and termination budget. Toffoli is either native or compiled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to T gates, never charged twice.</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 resource-infeasible or reject an untyped record.</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qec_mapping</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Code family, distance, physical-noise model, decoder, factories,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layout/connectivity, cycle time, and logical-failure allocation.</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without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an instance-specific mapping.</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physical_estimate</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Derived physical-qubit, cycle, wall-time, energy where available,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and factory estimates, reported as ranges or confidence statements.</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Do not present a point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estimate as exact or mix it with logical counts.</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_and_readout</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Observables, shots, estimators, simultaneous intervals,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quantization grid, guard bands, device readout, and mitigation.</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Return</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SIGNATURE_INDETERMINATE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when an interval touches a cell boundary.</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_postprocessing</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Decoding, estimator evaluation, result verification,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terminal-record materialization, storage, communication, and classical wall time.</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incomplete cost or output; do not hide classical work.</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error_budget</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Preparation, access, simulation, synthesis, logical/QEC, sampling,</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readout, classical-processing, and coarse-graining errors, each with domain and metric.</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Withdraw</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the affected inference or return</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provenance</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Candidate/config/software/hardware/calibration identifiers, compiler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mapping versions, hashes, failure records, and classical comparator.</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 advantage,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reproducibility, or domain claim without a complete binding.</w:t>
            </w:r>
          </w:p>
        </w:tc>
      </w:tr>
    </w:tbl>
    <w:bookmarkEnd w:id="83"/>
    <w:p>
      <w:pPr>
        <w:pStyle w:val="BodyText"/>
        <w:widowControl/>
      </w:pPr>
      <w:r>
        <w:t xml:space="preserve">Guard-banded signatures retain exact partition semantics only after statistical determination:</w:t>
      </w:r>
      <w:r>
        <w:t xml:space="preserve"> </w:t>
      </w:r>
      <w:r>
        <w:t xml:space="preserve">each simultaneous interval must lie wholly inside one prespecified quantization cell; otherwise</w:t>
      </w:r>
      <w:r>
        <w:t xml:space="preserve"> </w:t>
      </w:r>
      <w:r>
        <w:t xml:space="preserve">the candidate remains signature-indeterminate. This construction is a proposal, not a proved or</w:t>
      </w:r>
      <w:r>
        <w:t xml:space="preserve"> </w:t>
      </w:r>
      <w:r>
        <w:t xml:space="preserve">tested theorem. Likewise, no generic formula such as independent, equal logical-gate failure is</w:t>
      </w:r>
      <w:r>
        <w:t xml:space="preserve"> </w:t>
      </w:r>
      <w:r>
        <w:t xml:space="preserve">assumed. Probability terms may be combined by a valid proved bound or union bound only when their</w:t>
      </w:r>
      <w:r>
        <w:t xml:space="preserve"> </w:t>
      </w:r>
      <w:r>
        <w:t xml:space="preserve">events and assumptions are registered; quantities in different metrics remain separate.</w:t>
      </w:r>
    </w:p>
    <w:p>
      <w:pPr>
        <w:pStyle w:val="BodyText"/>
        <w:widowControl/>
      </w:pPr>
      <w:r>
        <w:t xml:space="preserve">These typed records are compared componentwise, with Pareto dominance as the default. A scalar</w:t>
      </w:r>
      <w:r>
        <w:t xml:space="preserve"> </w:t>
      </w:r>
      <w:r>
        <w:t xml:space="preserve">total is permitted only when its cost map, units, exchange rates, uncertainty treatment, and</w:t>
      </w:r>
      <w:r>
        <w:t xml:space="preserve"> </w:t>
      </w:r>
      <w:r>
        <w:t xml:space="preserve">classical baseline were prespecified. Physical-qubit requirements are derived from</w:t>
      </w:r>
      <w:r>
        <w:t xml:space="preserve"> </w:t>
      </w:r>
      <w:r>
        <w:rPr>
          <w:rStyle w:val="VerbatimChar"/>
        </w:rPr>
        <w:t xml:space="preserve">qec_mapping</w:t>
      </w:r>
      <w:r>
        <w:t xml:space="preserve">, not stored as a union-type alternative to a QEC model. The native logical</w:t>
      </w:r>
      <w:r>
        <w:t xml:space="preserve"> </w:t>
      </w:r>
      <w:r>
        <w:t xml:space="preserve">gate basis determines whether Toffoli is primitive or decomposed into T gates, preventing double</w:t>
      </w:r>
      <w:r>
        <w:t xml:space="preserve"> </w:t>
      </w:r>
      <w:r>
        <w:t xml:space="preserve">counting. Preparation, access, measurement/readout, terminal-record output, verification, storage,</w:t>
      </w:r>
      <w:r>
        <w:t xml:space="preserve"> </w:t>
      </w:r>
      <w:r>
        <w:t xml:space="preserve">and classical wall time are part of the end-to-end resource statement rather than free peripherals.</w:t>
      </w:r>
    </w:p>
    <w:bookmarkStart w:id="84" w:name="tab:q-milestones"/>
    <w:p>
      <w:pPr>
        <w:pStyle w:val="TableCaption"/>
        <w:widowControl/>
      </w:pPr>
      <w:r>
        <w:t>Table 6. Falsifiable milestones for a future quantum execution program.</w:t>
      </w:r>
    </w:p>
    <w:tbl>
      <w:tblPr>
        <w:tblStyle w:val="Table"/>
        <w:tblW w:type="dxa" w:w="9360"/>
        <w:jc w:val="left"/>
        <w:tblLayout w:type="fixed"/>
        <w:tblLook w:firstRow="1" w:lastRow="0" w:firstColumn="0" w:lastColumn="0" w:noHBand="0" w:noVBand="0" w:val="0020"/>
        <w:tblCaption w:val="Falsifiable milestones for a future quantum execution program."/>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2173"/>
        <w:gridCol w:w="2173"/>
        <w:gridCol w:w="2841"/>
        <w:gridCol w:w="2173"/>
      </w:tblGrid>
      <w:tr>
        <w:trPr>
          <w:tblHeader w:val="on"/>
          <w:cantSplit/>
        </w:trPr>
        <w:tc>
          <w:tcPr>
            <w:tcW w:type="dxa" w:w="2173"/>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Stage</w:t>
            </w:r>
          </w:p>
        </w:tc>
        <w:tc>
          <w:tcPr>
            <w:tcW w:type="dxa" w:w="2173"/>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Candidate object</w:t>
            </w:r>
          </w:p>
        </w:tc>
        <w:tc>
          <w:tcPr>
            <w:tcW w:type="dxa" w:w="284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Required evidence</w:t>
            </w:r>
          </w:p>
        </w:tc>
        <w:tc>
          <w:tcPr>
            <w:tcW w:type="dxa" w:w="2173"/>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action</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Q0</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Small local unitary or QCA</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classical small-instance encoding cross-check</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Reject encoding</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Q1</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Fixed quantum candidate</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Instance-specific logical qubits, depth, non-Clifford count,</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shots, and QEC model</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Mark resource-infeasible</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Q2</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Registered observable</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Classical/quantum comparison for the same observable and tolerance</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Withdraw fidelity</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Q3</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Finite quantum-native grammar</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New-role ambiguity and whole-class gate</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Retain set, reject class, or abstain</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Q4</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Physical or chemical signature</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Independently collected domain observations</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Reject or revise the candidate class</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Q5</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Reaction or molecular class</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Separate publicly preregistered future biological study</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No biological claim from earlier stages</w:t>
            </w:r>
          </w:p>
        </w:tc>
      </w:tr>
    </w:tbl>
    <w:bookmarkEnd w:id="84"/>
    <w:p>
      <w:pPr>
        <w:pStyle w:val="BodyText"/>
        <w:widowControl/>
      </w:pPr>
      <w:r>
        <w:t xml:space="preserve">Candidate classes must also state which physical premises they adopt: locality/causality,</w:t>
      </w:r>
      <w:r>
        <w:t xml:space="preserve"> </w:t>
      </w:r>
      <w:r>
        <w:t xml:space="preserve">no-signalling, symmetry/isotropy, unitarity or CPTP dynamics, conservation, continuum-limit</w:t>
      </w:r>
      <w:r>
        <w:t xml:space="preserve"> </w:t>
      </w:r>
      <w:r>
        <w:t xml:space="preserve">dispersion, and the relevant scattering or spectroscopic constraints. Bell’s theorem constrains</w:t>
      </w:r>
      <w:r>
        <w:t xml:space="preserve"> </w:t>
      </w:r>
      <w:r>
        <w:t xml:space="preserve">local hidden-variable accounts under its assumptions</w:t>
      </w:r>
      <w:r>
        <w:t xml:space="preserve"> </w:t>
      </w:r>
      <w:r>
        <w:t xml:space="preserve">(Bell 1964)</w:t>
      </w:r>
      <w:r>
        <w:t xml:space="preserve">; it does not force all</w:t>
      </w:r>
      <w:r>
        <w:t xml:space="preserve"> </w:t>
      </w:r>
      <w:r>
        <w:t xml:space="preserve">pre-particle grammars to be QCA. QCA remains one candidate family with substantial direct prior</w:t>
      </w:r>
      <w:r>
        <w:t xml:space="preserve"> </w:t>
      </w:r>
      <w:r>
        <w:t xml:space="preserve">art</w:t>
      </w:r>
      <w:r>
        <w:t xml:space="preserve"> </w:t>
      </w:r>
      <w:r>
        <w:t xml:space="preserve">(Watrous 1995; Meyer 1996; Białynicki-Birula 1994; Schumacher and Werner 2004; Arrighi et al. 2011; Gross et al. 2012; D’Ariano and Perinotti 2014, 2017; Farrelly 2020)</w:t>
      </w:r>
      <w:r>
        <w:t xml:space="preserve">.</w:t>
      </w:r>
    </w:p>
    <w:bookmarkStart w:id="85" w:name="tab:direct-method-comparison"/>
    <w:p>
      <w:pPr>
        <w:pStyle w:val="TableCaption"/>
        <w:widowControl/>
      </w:pPr>
      <w:r>
        <w:t>Table 7. Concrete direct-method comparison. This replaces broad capability checkmarks with the premise and conclusion of a cited procedure; no row assigns APHFS an intrinsic advantage.</w:t>
      </w:r>
    </w:p>
    <w:tbl>
      <w:tblPr>
        <w:tblStyle w:val="Table"/>
        <w:tblW w:type="dxa" w:w="9360"/>
        <w:jc w:val="left"/>
        <w:tblLayout w:type="fixed"/>
        <w:tblLook w:firstRow="1" w:lastRow="0" w:firstColumn="0" w:lastColumn="0" w:noHBand="0" w:noVBand="0" w:val="0020"/>
        <w:tblCaption w:val="Concrete direct-method comparison. This replaces broad capability checkmarks with the premise and conclusion of a cited procedure; no row assigns APHFS an intrinsic advantage."/>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559"/>
        <w:gridCol w:w="3901"/>
        <w:gridCol w:w="3900"/>
      </w:tblGrid>
      <w:tr>
        <w:trPr>
          <w:tblHeader w:val="on"/>
          <w:cantSplit/>
        </w:trPr>
        <w:tc>
          <w:tcPr>
            <w:tcW w:type="dxa" w:w="1559"/>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bCs/>
                <w:color w:val="142337"/>
                <w:sz w:val="16"/>
              </w:rPr>
              <w:t xml:space="preserve">Procedure</w:t>
            </w:r>
          </w:p>
        </w:tc>
        <w:tc>
          <w:tcPr>
            <w:tcW w:type="dxa" w:w="390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Direct precedent and premise</w:t>
            </w:r>
          </w:p>
        </w:tc>
        <w:tc>
          <w:tcPr>
            <w:tcW w:type="dxa" w:w="3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Relation to the proposed APHFS integration</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Cellular-automaton coarse-graining</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Israeli and Goldenfeld construct coarse descriptions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study predictability for cellular automata</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(Israeli and Goldenfeld 2004, 2006)</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Directly precedes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coarse-graining of ECA. APHFS adds a proposed requirement to bind acceptance to stated domains,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upper observables, tolerances, and decisions; the present ECA checks are not biological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multiscale validation.</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Version spaces and candidate elimination</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Candidate elimination maintains the hypotheses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consistent with examples, and generalization is framed as search in a hypothesis space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(Mitchell 1977, 1982)</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Directly precedes retained candidate sets. APHFS’s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additional proposal is address-level terminal accounting and explicit failure/class-inadequacy</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semantics, not priority for set-valued search.</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Finite-program synthesis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Sketching and syntax-guided synthesis search grammar-constrained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programs; unrealizability logic can prove that no program in a grammar satisfies a specification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(Solar-Lezama et al. 2006; Alur et al. 2013; Kim et al. 2023)</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These are formal-specification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procedures. APHFS instead proposes separating an executable grammar from empirical evidence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statistical class bounds; synthesis realizability is not empirical adequacy.</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Partial identification and model confidence sets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Partial identification and model-confidence-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set procedures return sets under their own sampling and decision assumptions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(Manski 2003; Hansen et al. 2011)</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They directly precede set-valued conclusions. APHFS operational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signatures, retained candidates, and class-inadequacy gate have different estimands and must not be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presented as replacements for those methods.</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Goal-oriented error control</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Quantity-of-interest error estimation, including a lattice-model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extension, protects selected outputs rather than every microscopic value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(Prudhomme and Oden 1999; Oden et al. 2005)</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This directly precedes observable-relative numerical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control. APHFS proposes linking it to candidate decisions and failure records; it does not claim</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the underlying principle as new.</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Systems-biology identifiability</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Structural and practical identifiability analyze whether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parameters or combinations are determined under a specified model and observation design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(Bellman and Åström 1970; Chis et al. 2011; Gutenkunst et al. 2007; Raue et al. 2009; Villaverde et al. 2016)</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APHFS’s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finite whole-candidate signature is a neighboring operational object, not a substitute for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parameter identifiability and not biological validation.</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QCA and discrete quantum dynamics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One-dimensional QCA, quantum lattice gases, localizability,</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and index theory formalize specific local quantum dynamics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(Watrous 1995; Meyer 1996; Arrighi et al. 2011; Gross et al. 2012)</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These are direct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predecessors of any future quantum candidate grammar. APHFS claims only a proposed accounting,</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failure, fidelity, and evidence interface around such candidates.</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End-to-end fault-tolerant resources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State preparation, surface-code mapping, and instance-level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resource studies expose costs omitted by query counts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(Plesch and Brukner 2011; Fowler et al. 2012; Gidney and Ekerå 2021; Low and Chuang 2019; Reiher et al. 2017; Liu et al. 2024; Eklund et al. 2026)</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They motivate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the typed resource record. No APHFS quantum implementation, instance estimate, or advantage was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performed here.</w:t>
            </w:r>
          </w:p>
        </w:tc>
      </w:tr>
    </w:tbl>
    <w:bookmarkEnd w:id="85"/>
    <w:bookmarkEnd w:id="86"/>
    <w:bookmarkStart w:id="88" w:name="supp:splits"/>
    <w:p>
      <w:pPr>
        <w:pStyle w:val="Heading2"/>
        <w:keepNext/>
        <w:keepLines/>
        <w:widowControl/>
      </w:pPr>
      <w:r>
        <w:t xml:space="preserve">Frozen split roles</w:t>
      </w:r>
    </w:p>
    <w:p>
      <w:pPr>
        <w:pStyle w:val="FirstParagraph"/>
        <w:widowControl/>
        <w:jc w:val="left"/>
      </w:pPr>
      <w:r>
        <w:t xml:space="preserve">The completed protected workflow retained the frozen role separation. D2-CERT alone used 64</w:t>
      </w:r>
      <w:r>
        <w:t xml:space="preserve"> </w:t>
      </w:r>
      <w:r>
        <w:t xml:space="preserve">calibration blocks. A1, B0, B1, D2-CERT, E, and F0 each used 64 locked blocks; A0, C, D0, D1,</w:t>
      </w:r>
      <w:r>
        <w:t xml:space="preserve"> </w:t>
      </w:r>
      <w:r>
        <w:t xml:space="preserve">and D2-MEM used their registered deterministic or complete finite censuses. The calibration role</w:t>
      </w:r>
      <w:r>
        <w:t xml:space="preserve"> </w:t>
      </w:r>
      <w:r>
        <w:t xml:space="preserve">was materialized once and calibration was executed once in the earlier authorized phase. The</w:t>
      </w:r>
      <w:r>
        <w:t xml:space="preserve"> </w:t>
      </w:r>
      <w:r>
        <w:t xml:space="preserve">locked role was materialized once and the locked audit was executed once. Neither role was</w:t>
      </w:r>
      <w:r>
        <w:t xml:space="preserve"> </w:t>
      </w:r>
      <w:r>
        <w:t xml:space="preserve">rematerialized, replaced, or reordered; neither protected execution was retried. Raw role values</w:t>
      </w:r>
      <w:r>
        <w:t xml:space="preserve"> </w:t>
      </w:r>
      <w:r>
        <w:t xml:space="preserve">remained sealed through confirmatory execution, separate result review, and independent read-only</w:t>
      </w:r>
      <w:r>
        <w:t xml:space="preserve"> </w:t>
      </w:r>
      <w:r>
        <w:t xml:space="preserve">recomputation of safe artifacts. They were approved</w:t>
      </w:r>
      <w:r>
        <w:t xml:space="preserve"> </w:t>
      </w:r>
      <w:r>
        <w:t xml:space="preserve">for subsequent release only as</w:t>
      </w:r>
      <w:r>
        <w:t xml:space="preserve"> </w:t>
      </w:r>
      <w:r>
        <w:rPr>
          <w:rStyle w:val="VerbatimChar"/>
        </w:rPr>
        <w:t xml:space="preserve">POST_AUDIT_REPRODUCTION_ONLY</w:t>
      </w:r>
      <w:r>
        <w:t xml:space="preserve">; any replay is</w:t>
      </w:r>
      <w:r>
        <w:t xml:space="preserve"> </w:t>
      </w:r>
      <w:r>
        <w:t xml:space="preserve">non-confirmatory and cannot replace the immutable result. No such replay was run for this release</w:t>
      </w:r>
      <w:r>
        <w:t xml:space="preserve"> </w:t>
      </w:r>
      <w:r>
        <w:t xml:space="preserve">candidate.</w:t>
      </w:r>
    </w:p>
    <w:p>
      <w:pPr>
        <w:pStyle w:val="BodyText"/>
        <w:widowControl/>
      </w:pPr>
      <w:r>
        <w:t xml:space="preserve">Role materialization enforced within-role uniqueness and calibration–locked nonintersection.</w:t>
      </w:r>
      <w:r>
        <w:t xml:space="preserve"> </w:t>
      </w:r>
      <w:r>
        <w:t xml:space="preserve">Consequently, the implemented role laws are the ideal iid reference laws conditioned on no</w:t>
      </w:r>
      <w:r>
        <w:t xml:space="preserve"> </w:t>
      </w:r>
      <w:r>
        <w:t xml:space="preserve">collision. The union-bound</w:t>
      </w:r>
      <w:r>
        <w:t xml:space="preserve"> </w:t>
      </w:r>
      <w:r>
        <w:t xml:space="preserve">total-variation deviations are at most</w:t>
      </w:r>
      <w:r>
        <w:t xml:space="preserve"> </w:t>
      </w:r>
      <m:oMath>
        <m:sSub>
          <m:e>
            <m:r>
              <m:t>q</m:t>
            </m:r>
          </m:e>
          <m:sub>
            <m:r>
              <m:rPr>
                <m:nor/>
              </m:rPr>
              <m:t>cal</m:t>
            </m:r>
          </m:sub>
        </m:sSub>
        <m:r>
          <m:rPr>
            <m:sty m:val="p"/>
          </m:rPr>
          <m:t>≤</m:t>
        </m:r>
        <m:r>
          <m:t>1.74105158070704</m:t>
        </m:r>
        <m:r>
          <m:rPr>
            <m:sty m:val="p"/>
          </m:rPr>
          <m:t>×</m:t>
        </m:r>
        <m:sSup>
          <m:e>
            <m:r>
              <m:t>10</m:t>
            </m:r>
          </m:e>
          <m:sup>
            <m:r>
              <m:rPr>
                <m:sty m:val="p"/>
              </m:rPr>
              <m:t>−</m:t>
            </m:r>
            <m:r>
              <m:t>74</m:t>
            </m:r>
          </m:sup>
        </m:sSup>
      </m:oMath>
      <w:r>
        <w:t xml:space="preserve"> </w:t>
      </w:r>
      <w:r>
        <w:t xml:space="preserve">and</w:t>
      </w:r>
      <w:r>
        <w:t xml:space="preserve"> </w:t>
      </w:r>
      <m:oMath>
        <m:sSub>
          <m:e>
            <m:r>
              <m:t>q</m:t>
            </m:r>
          </m:e>
          <m:sub>
            <m:r>
              <m:rPr>
                <m:nor/>
              </m:rPr>
              <m:t>locked</m:t>
            </m:r>
          </m:sub>
        </m:sSub>
        <m:r>
          <m:rPr>
            <m:sty m:val="p"/>
          </m:rPr>
          <m:t>≤</m:t>
        </m:r>
        <m:r>
          <m:t>5.27842622087372</m:t>
        </m:r>
        <m:r>
          <m:rPr>
            <m:sty m:val="p"/>
          </m:rPr>
          <m:t>×</m:t>
        </m:r>
        <m:sSup>
          <m:e>
            <m:r>
              <m:t>10</m:t>
            </m:r>
          </m:e>
          <m:sup>
            <m:r>
              <m:rPr>
                <m:sty m:val="p"/>
              </m:rPr>
              <m:t>−</m:t>
            </m:r>
            <m:r>
              <m:t>74</m:t>
            </m:r>
          </m:sup>
        </m:sSup>
      </m:oMath>
      <w:r>
        <w:t xml:space="preserve">. These disclosed conditioning terms do</w:t>
      </w:r>
      <w:r>
        <w:t xml:space="preserve"> </w:t>
      </w:r>
      <w:r>
        <w:t xml:space="preserve">not change any numerator, denominator, Clopper–Pearson interval, threshold, or decision.</w:t>
      </w:r>
    </w:p>
    <w:bookmarkStart w:id="87" w:name="tab:splits"/>
    <w:p>
      <w:pPr>
        <w:pStyle w:val="TableCaption"/>
        <w:widowControl/>
      </w:pPr>
      <w:r>
        <w:t>Table 8. Completed data-role separation and prohibited reuse.</w:t>
      </w:r>
    </w:p>
    <w:tbl>
      <w:tblPr>
        <w:tblStyle w:val="Table"/>
        <w:tblW w:type="dxa" w:w="9360"/>
        <w:jc w:val="left"/>
        <w:tblLayout w:type="fixed"/>
        <w:tblLook w:firstRow="1" w:lastRow="0" w:firstColumn="0" w:lastColumn="0" w:noHBand="0" w:noVBand="0" w:val="0020"/>
        <w:tblCaption w:val="Completed data-role separation and prohibited reuse."/>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500"/>
        <w:gridCol w:w="3780"/>
        <w:gridCol w:w="4080"/>
      </w:tblGrid>
      <w:tr>
        <w:trPr>
          <w:tblHeader w:val="on"/>
          <w:cantSplit/>
        </w:trPr>
        <w:tc>
          <w:tcPr>
            <w:tcW w:type="dxa" w:w="15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6"/>
              </w:rPr>
              <w:t xml:space="preserve">Role</w:t>
            </w:r>
          </w:p>
        </w:tc>
        <w:tc>
          <w:tcPr>
            <w:tcW w:type="dxa" w:w="378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Permitted use</w:t>
            </w:r>
          </w:p>
        </w:tc>
        <w:tc>
          <w:tcPr>
            <w:tcW w:type="dxa" w:w="408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Prohibited use</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Development</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Choose grammar features, probes, quantizers, maps, thresholds, and proposed filter order.</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Claim locked performance or calibrate the final Clopper–Pearson certificate.</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Calibration</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For D2-CERT only, evaluate the already frozen violation event under registered</w:t>
            </w:r>
            <w:r>
              <w:rPr>
                <w:rFonts w:ascii="Calibri" w:hAnsi="Calibri" w:eastAsia="Calibri" w:cs="Calibri"/>
                <w:b w:val="0"/>
                <w:color w:val="151515"/>
                <w:sz w:val="16"/>
              </w:rPr>
              <w:t xml:space="preserve"> </w:t>
            </w:r>
            <m:oMath>
              <m:r>
                <m:t>Q</m:t>
              </m:r>
            </m:oMath>
            <w:r>
              <w:rPr>
                <w:rFonts w:ascii="Calibri" w:hAnsi="Calibri" w:eastAsia="Calibri" w:cs="Calibri"/>
                <w:b w:val="0"/>
                <w:color w:val="151515"/>
                <w:sz w:val="16"/>
              </w:rPr>
              <w:t xml:space="preserve">; compute</w:t>
            </w:r>
            <w:r>
              <w:rPr>
                <w:rFonts w:ascii="Calibri" w:hAnsi="Calibri" w:eastAsia="Calibri" w:cs="Calibri"/>
                <w:b w:val="0"/>
                <w:color w:val="151515"/>
                <w:sz w:val="16"/>
              </w:rPr>
              <w:t xml:space="preserve"> </w:t>
            </w:r>
            <m:oMath>
              <m:sSub>
                <m:e>
                  <m:r>
                    <m:t>U</m:t>
                  </m:r>
                </m:e>
                <m:sub>
                  <m:r>
                    <m:rPr>
                      <m:nor/>
                    </m:rPr>
                    <m:t>CP</m:t>
                  </m:r>
                </m:sub>
              </m:sSub>
            </m:oMath>
            <w:r>
              <w:rPr>
                <w:rFonts w:ascii="Calibri" w:hAnsi="Calibri" w:eastAsia="Calibri" w:cs="Calibri"/>
                <w:b w:val="0"/>
                <w:color w:val="151515"/>
                <w:sz w:val="16"/>
              </w:rPr>
              <w:t xml:space="preserve">.</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Modify</w:t>
            </w:r>
            <w:r>
              <w:rPr>
                <w:rFonts w:ascii="Calibri" w:hAnsi="Calibri" w:eastAsia="Calibri" w:cs="Calibri"/>
                <w:b w:val="0"/>
                <w:color w:val="151515"/>
                <w:sz w:val="16"/>
              </w:rPr>
              <w:t xml:space="preserve"> </w:t>
            </w:r>
            <m:oMath>
              <m:r>
                <m:t>C</m:t>
              </m:r>
              <m:r>
                <m:rPr>
                  <m:sty m:val="p"/>
                </m:rPr>
                <m:t>,</m:t>
              </m:r>
              <m:sSub>
                <m:e>
                  <m:r>
                    <m:t>F</m:t>
                  </m:r>
                </m:e>
                <m:sub>
                  <m:r>
                    <m:t>C</m:t>
                  </m:r>
                </m:sub>
              </m:sSub>
              <m:r>
                <m:rPr>
                  <m:sty m:val="p"/>
                </m:rPr>
                <m:t>,</m:t>
              </m:r>
              <m:r>
                <m:t>D</m:t>
              </m:r>
              <m:r>
                <m:rPr>
                  <m:sty m:val="p"/>
                </m:rPr>
                <m:t>,</m:t>
              </m:r>
              <m:sSub>
                <m:e>
                  <m:r>
                    <m:t>ε</m:t>
                  </m:r>
                </m:e>
                <m:sub>
                  <m:r>
                    <m:rPr>
                      <m:nor/>
                    </m:rPr>
                    <m:t>cert</m:t>
                  </m:r>
                </m:sub>
              </m:sSub>
              <m:r>
                <m:rPr>
                  <m:sty m:val="p"/>
                </m:rPr>
                <m:t>,</m:t>
              </m:r>
              <m:r>
                <m:t>Q</m:t>
              </m:r>
            </m:oMath>
            <w:r>
              <w:rPr>
                <w:rFonts w:ascii="Calibri" w:hAnsi="Calibri" w:eastAsia="Calibri" w:cs="Calibri"/>
                <w:b w:val="0"/>
                <w:color w:val="151515"/>
                <w:sz w:val="16"/>
              </w:rPr>
              <w:t xml:space="preserve">, probes, memory lag, or the certificate threshold.</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Locked audit</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Evaluate the complete frozen decision pipeline once under the signed manifest;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report the exact interval and frozen withdrawal decision.</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Select candidates, tune thresholds, repair failures, or rerun until favorable.</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Exploratory follow-up</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Diagnose a failure and propose a new version.</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Replace the original locked result or inherit its confirmatory label.</w:t>
            </w:r>
          </w:p>
        </w:tc>
      </w:tr>
    </w:tbl>
    <w:bookmarkEnd w:id="87"/>
    <w:bookmarkEnd w:id="88"/>
    <w:bookmarkStart w:id="91" w:name="supp:protocol"/>
    <w:p>
      <w:pPr>
        <w:pStyle w:val="Heading2"/>
        <w:keepNext/>
        <w:keepLines/>
        <w:widowControl/>
      </w:pPr>
      <w:r>
        <w:t xml:space="preserve">Complete frozen endpoint and fidelity protocol</w:t>
      </w:r>
    </w:p>
    <w:p>
      <w:pPr>
        <w:pStyle w:val="FirstParagraph"/>
        <w:widowControl/>
      </w:pPr>
      <w:r>
        <w:t xml:space="preserve">Table </w:t>
      </w:r>
      <w:hyperlink w:anchor="tab:full-protocol">
        <w:r>
          <w:rPr>
            <w:rStyle w:val="Hyperlink"/>
          </w:rPr>
          <w:t xml:space="preserve">9</w:t>
        </w:r>
      </w:hyperlink>
      <w:r>
        <w:t xml:space="preserve"> </w:t>
      </w:r>
      <w:r>
        <w:t xml:space="preserve">preserves the implementation-facing details moved out of the main</w:t>
      </w:r>
      <w:r>
        <w:t xml:space="preserve"> </w:t>
      </w:r>
      <w:r>
        <w:t xml:space="preserve">scientific narrative. Nothing in this registry was changed after the locked outcome.</w:t>
      </w:r>
    </w:p>
    <w:p>
      <w:pPr>
        <w:pStyle w:val="BodyText"/>
        <w:widowControl/>
      </w:pPr>
      <w:r>
        <w:t xml:space="preserve">For A0,</w:t>
      </w:r>
      <w:r>
        <w:t xml:space="preserve"> </w:t>
      </w:r>
      <w:r>
        <w:rPr>
          <w:i/>
          <w:iCs/>
        </w:rPr>
        <w:t xml:space="preserve">production/reference</w:t>
      </w:r>
      <w:r>
        <w:t xml:space="preserve"> </w:t>
      </w:r>
      <w:r>
        <w:t xml:space="preserve">denotes implementation-path separation, not independent</w:t>
      </w:r>
      <w:r>
        <w:t xml:space="preserve"> </w:t>
      </w:r>
      <w:r>
        <w:t xml:space="preserve">origin. The scalar reference uses an explicit</w:t>
      </w:r>
      <w:r>
        <w:t xml:space="preserve"> </w:t>
      </w:r>
      <m:oMath>
        <m:r>
          <m:t>111</m:t>
        </m:r>
      </m:oMath>
      <w:r>
        <w:t xml:space="preserve">-to-</w:t>
      </w:r>
      <m:oMath>
        <m:r>
          <m:t>000</m:t>
        </m:r>
      </m:oMath>
      <w:r>
        <w:t xml:space="preserve"> </w:t>
      </w:r>
      <w:r>
        <w:t xml:space="preserve">rule-string lookup and a per-cell</w:t>
      </w:r>
      <w:r>
        <w:t xml:space="preserve"> </w:t>
      </w:r>
      <w:r>
        <w:t xml:space="preserve">update; the NumPy-vectorized production path uses bit indexing. They do not share rule-lookup or</w:t>
      </w:r>
      <w:r>
        <w:t xml:space="preserve"> </w:t>
      </w:r>
      <w:r>
        <w:t xml:space="preserve">one-step update functions, but both were developed within the same project under the same</w:t>
      </w:r>
      <w:r>
        <w:t xml:space="preserve"> </w:t>
      </w:r>
      <w:r>
        <w:t xml:space="preserve">specification with substantive AI assistance. The comparison is therefore an internal</w:t>
      </w:r>
      <w:r>
        <w:t xml:space="preserve"> </w:t>
      </w:r>
      <w:r>
        <w:t xml:space="preserve">deterministic implementation-conformance check, not an externally authored implementation or</w:t>
      </w:r>
      <w:r>
        <w:t xml:space="preserve"> </w:t>
      </w:r>
      <w:r>
        <w:t xml:space="preserve">independent replication. Legacy frozen field names containing</w:t>
      </w:r>
      <w:r>
        <w:t xml:space="preserve"> </w:t>
      </w:r>
      <w:r>
        <w:rPr>
          <w:i/>
          <w:iCs/>
        </w:rPr>
        <w:t xml:space="preserve">independent</w:t>
      </w:r>
      <w:r>
        <w:t xml:space="preserve"> </w:t>
      </w:r>
      <w:r>
        <w:t xml:space="preserve">are retained as</w:t>
      </w:r>
      <w:r>
        <w:t xml:space="preserve"> </w:t>
      </w:r>
      <w:r>
        <w:t xml:space="preserve">immutable schema labels and are interpreted only in this narrower sense.</w:t>
      </w:r>
      <w:r>
        <w:t xml:space="preserve"> </w:t>
      </w:r>
      <w:r>
        <w:t xml:space="preserve">The frozen boundary token</w:t>
      </w:r>
      <w:r>
        <w:t xml:space="preserve"> </w:t>
      </w:r>
      <w:r>
        <w:rPr>
          <w:rStyle w:val="VerbatimChar"/>
        </w:rPr>
        <w:t xml:space="preserve">reflect</w:t>
      </w:r>
      <w:r>
        <w:t xml:space="preserve"> </w:t>
      </w:r>
      <w:r>
        <w:t xml:space="preserve">implements edge replication: an out-of-range neighbor is</w:t>
      </w:r>
      <w:r>
        <w:t xml:space="preserve"> </w:t>
      </w:r>
      <w:r>
        <w:t xml:space="preserve">set to the nearest boundary cell, not to the next interior cell of a mirror-reflected array. The</w:t>
      </w:r>
      <w:r>
        <w:t xml:space="preserve"> </w:t>
      </w:r>
      <w:r>
        <w:t xml:space="preserve">scientific description therefore uses</w:t>
      </w:r>
      <w:r>
        <w:t xml:space="preserve"> </w:t>
      </w:r>
      <w:r>
        <w:rPr>
          <w:i/>
          <w:iCs/>
        </w:rPr>
        <w:t xml:space="preserve">edge-replicate</w:t>
      </w:r>
      <w:r>
        <w:t xml:space="preserve"> </w:t>
      </w:r>
      <w:r>
        <w:t xml:space="preserve">while retaining the historical token</w:t>
      </w:r>
      <w:r>
        <w:t xml:space="preserve"> </w:t>
      </w:r>
      <w:r>
        <w:t xml:space="preserve">where exact code/configuration identity matters.</w:t>
      </w:r>
    </w:p>
    <w:bookmarkStart w:id="89" w:name="tab:full-protocol"/>
    <w:p>
      <w:pPr>
        <w:pStyle w:val="TableCaption"/>
        <w:widowControl/>
      </w:pPr>
      <w:r>
        <w:t>Table 9. Complete frozen benchmark protocol and failure interpretation.</w:t>
      </w:r>
    </w:p>
    <w:tbl>
      <w:tblPr>
        <w:tblStyle w:val="Table"/>
        <w:tblW w:type="dxa" w:w="9360"/>
        <w:jc w:val="left"/>
        <w:tblLayout w:type="fixed"/>
        <w:tblLook w:firstRow="1" w:lastRow="0" w:firstColumn="0" w:lastColumn="0" w:noHBand="0" w:noVBand="0" w:val="0020"/>
        <w:tblCaption w:val="Complete frozen benchmark protocol and failure interpretation."/>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650"/>
        <w:gridCol w:w="1800"/>
        <w:gridCol w:w="2200"/>
        <w:gridCol w:w="2000"/>
        <w:gridCol w:w="2710"/>
      </w:tblGrid>
      <w:tr>
        <w:trPr>
          <w:tblHeader w:val="on"/>
          <w:cantSplit/>
        </w:trPr>
        <w:tc>
          <w:tcPr>
            <w:tcW w:type="dxa" w:w="6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ID</w:t>
            </w:r>
          </w:p>
        </w:tc>
        <w:tc>
          <w:tcPr>
            <w:tcW w:type="dxa" w:w="18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Registered target</w:t>
            </w:r>
          </w:p>
        </w:tc>
        <w:tc>
          <w:tcPr>
            <w:tcW w:type="dxa" w:w="22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Observation unit and sample</w:t>
            </w:r>
          </w:p>
        </w:tc>
        <w:tc>
          <w:tcPr>
            <w:tcW w:type="dxa" w:w="20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Decision rule</w:t>
            </w:r>
          </w:p>
        </w:tc>
        <w:tc>
          <w:tcPr>
            <w:tcW w:type="dxa" w:w="271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interpretation</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A0/A1</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Complete 256-rule ECA accounting; data-generating-rule and signature-class retention</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A0 is a deterministic 256-rule truth-table and paired production/reference trajectory census over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periodic, fixed-zero, fixed-one, and edge-replicate boundaries (historical code token:</w:t>
            </w:r>
            <w:r>
              <w:rPr>
                <w:rFonts w:ascii="Calibri" w:hAnsi="Calibri" w:eastAsia="Calibri" w:cs="Calibri"/>
                <w:b w:val="0"/>
                <w:color w:val="151515"/>
                <w:sz w:val="15"/>
              </w:rPr>
              <w:t xml:space="preserve"> </w:t>
            </w:r>
            <w:r>
              <w:rPr>
                <w:rStyle w:val="VerbatimChar"/>
                <w:rFonts w:ascii="Calibri" w:hAnsi="Calibri" w:eastAsia="Calibri" w:cs="Calibri"/>
                <w:b w:val="0"/>
                <w:color w:val="151515"/>
                <w:sz w:val="15"/>
              </w:rPr>
              <w:t xml:space="preserve">reflect</w:t>
            </w:r>
            <w:r>
              <w:rPr>
                <w:rFonts w:ascii="Calibri" w:hAnsi="Calibri" w:eastAsia="Calibri" w:cs="Calibri"/>
                <w:b w:val="0"/>
                <w:color w:val="151515"/>
                <w:sz w:val="15"/>
              </w:rPr>
              <w:t xml:space="preserve">). A1 uses 64 locked role-derived blocks under its separately registered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boundary/trajectory interface and no calibration blocks. Blocks, not cells or times, are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observation units. Its reference block law is iid; the implemented law is that law conditioned 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role uniqueness and calibration nonoverlap.</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candidate losses and a constructed-retention conformance event; endpoint-wise one-sided 95%</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CP upper bound under the iid reference law.</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Missing candidate/class, generating-class omission, failed execution, fidelity instability,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incomplete ledger is adverse. Multiplicity is retained rather than forced to one.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B0/B1</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Avoid false class inadequacy in-class and detect the constructed</w:t>
            </w:r>
            <w:r>
              <w:rPr>
                <w:rFonts w:ascii="Calibri" w:hAnsi="Calibri" w:eastAsia="Calibri" w:cs="Calibri"/>
                <w:b w:val="0"/>
                <w:color w:val="151515"/>
                <w:sz w:val="15"/>
              </w:rPr>
              <w:t xml:space="preserve"> </w:t>
            </w:r>
            <m:oMath>
              <m:r>
                <m:t>y</m:t>
              </m:r>
              <m:r>
                <m:rPr>
                  <m:sty m:val="p"/>
                </m:rPr>
                <m:t>=</m:t>
              </m:r>
              <m:sSub>
                <m:e>
                  <m:r>
                    <m:t>o</m:t>
                  </m:r>
                </m:e>
                <m:sub>
                  <m:r>
                    <m:t>L</m:t>
                  </m:r>
                </m:sub>
              </m:sSub>
              <m:r>
                <m:rPr>
                  <m:sty m:val="p"/>
                </m:rPr>
                <m:t>⊕</m:t>
              </m:r>
              <m:sSub>
                <m:e>
                  <m:r>
                    <m:t>o</m:t>
                  </m:r>
                </m:e>
                <m:sub>
                  <m:r>
                    <m:t>R</m:t>
                  </m:r>
                </m:sub>
              </m:sSub>
              <m:r>
                <m:rPr>
                  <m:sty m:val="p"/>
                </m:rPr>
                <m:t>⊕</m:t>
              </m:r>
              <m:sSub>
                <m:e>
                  <m:r>
                    <m:t>f</m:t>
                  </m:r>
                </m:e>
                <m:sub>
                  <m:r>
                    <m:t>θ</m:t>
                  </m:r>
                </m:sub>
              </m:sSub>
              <m:r>
                <m:rPr>
                  <m:sty m:val="p"/>
                </m:rPr>
                <m:t>(</m:t>
              </m:r>
              <m:r>
                <m:t>l</m:t>
              </m:r>
              <m:r>
                <m:rPr>
                  <m:sty m:val="p"/>
                </m:rPr>
                <m:t>,</m:t>
              </m:r>
              <m:r>
                <m:t>c</m:t>
              </m:r>
              <m:r>
                <m:rPr>
                  <m:sty m:val="p"/>
                </m:rPr>
                <m:t>,</m:t>
              </m:r>
              <m:r>
                <m:t>r</m:t>
              </m:r>
              <m:r>
                <m:rPr>
                  <m:sty m:val="p"/>
                </m:rPr>
                <m:t>)</m:t>
              </m:r>
            </m:oMath>
            <w:r>
              <w:rPr>
                <w:rFonts w:ascii="Calibri" w:hAnsi="Calibri" w:eastAsia="Calibri" w:cs="Calibri"/>
                <w:b w:val="0"/>
                <w:color w:val="151515"/>
                <w:sz w:val="15"/>
              </w:rPr>
              <w:t xml:space="preserve"> </w:t>
            </w:r>
            <w:r>
              <w:rPr>
                <w:rFonts w:ascii="Calibri" w:hAnsi="Calibri" w:eastAsia="Calibri" w:cs="Calibri"/>
                <w:b w:val="0"/>
                <w:color w:val="151515"/>
                <w:sz w:val="15"/>
              </w:rPr>
              <w:t xml:space="preserve">family</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Each role value creates one distinct complete-support block; 64 locked blocks and no calibration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blocks per endpoint. These are constructed workloads under the same reference/conditioned role-law</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distinction.</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complete-support candidate losses and singleton-class minima; B1 threshold</w:t>
            </w:r>
            <w:r>
              <w:rPr>
                <w:rFonts w:ascii="Calibri" w:hAnsi="Calibri" w:eastAsia="Calibri" w:cs="Calibri"/>
                <w:b w:val="0"/>
                <w:color w:val="151515"/>
                <w:sz w:val="15"/>
              </w:rPr>
              <w:t xml:space="preserve"> </w:t>
            </w:r>
            <m:oMath>
              <m:r>
                <m:t>0.2</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endpoint-wise CP conformance summary across blocks.</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Missing coverage or an invalid bound is indeterminate. False B0 rejection or a retained/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indeterminate B1 decision is adverse.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C</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Path-bound conformance for contractive, neutral, and expanding maps under three perturbation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types</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Nine deterministic constructed cases and 81 comparison points; no calibration or locked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randomness.</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Deterministic inequality with frozen</w:t>
            </w:r>
            <w:r>
              <w:rPr>
                <w:rFonts w:ascii="Calibri" w:hAnsi="Calibri" w:eastAsia="Calibri" w:cs="Calibri"/>
                <w:b w:val="0"/>
                <w:color w:val="151515"/>
                <w:sz w:val="15"/>
              </w:rPr>
              <w:t xml:space="preserve"> </w:t>
            </w:r>
            <m:oMath>
              <m:sSup>
                <m:e>
                  <m:r>
                    <m:t>10</m:t>
                  </m:r>
                </m:e>
                <m:sup>
                  <m:r>
                    <m:rPr>
                      <m:sty m:val="p"/>
                    </m:rPr>
                    <m:t>−</m:t>
                  </m:r>
                  <m:r>
                    <m:t>12</m:t>
                  </m:r>
                </m:sup>
              </m:sSup>
            </m:oMath>
            <w:r>
              <w:rPr>
                <w:rFonts w:ascii="Calibri" w:hAnsi="Calibri" w:eastAsia="Calibri" w:cs="Calibri"/>
                <w:b w:val="0"/>
                <w:color w:val="151515"/>
                <w:sz w:val="15"/>
              </w:rPr>
              <w:t xml:space="preserve"> </w:t>
            </w:r>
            <w:r>
              <w:rPr>
                <w:rFonts w:ascii="Calibri" w:hAnsi="Calibri" w:eastAsia="Calibri" w:cs="Calibri"/>
                <w:b w:val="0"/>
                <w:color w:val="151515"/>
                <w:sz w:val="15"/>
              </w:rPr>
              <w:t xml:space="preserve">comparison tolerance; domain exit is never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clipped.</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Any bound violation or unregistered domain exit is adverse.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D0–D2</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Rule 204 identity, Rule 90 density non-closure, Rule 170 global-density certificate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machinery, and two-bit memory repair</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D0, D1, and D2-MEM are deterministic. D2-CERT alone uses 64 calibration and 64 locked blocks under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the reference/conditioned role-law distinction.</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D2-CERT uses Equations </w:t>
            </w:r>
            <w:hyperlink w:anchor="eq:cp">
              <w:r>
                <w:rPr>
                  <w:rStyle w:val="Hyperlink"/>
                </w:rPr>
                <w:t xml:space="preserve">(7)</w:t>
              </w:r>
            </w:hyperlink>
            <w:r>
              <w:rPr>
                <w:rFonts w:ascii="Calibri" w:hAnsi="Calibri" w:eastAsia="Calibri" w:cs="Calibri"/>
                <w:b w:val="0"/>
                <w:color w:val="151515"/>
                <w:sz w:val="15"/>
              </w:rPr>
              <w:t xml:space="preserve"> </w:t>
            </w:r>
            <w:r>
              <w:rPr>
                <w:rFonts w:ascii="Calibri" w:hAnsi="Calibri" w:eastAsia="Calibri" w:cs="Calibri"/>
                <w:b w:val="0"/>
                <w:color w:val="151515"/>
                <w:sz w:val="15"/>
              </w:rPr>
              <w:t xml:space="preserve">and</w:t>
            </w:r>
            <w:r>
              <w:rPr>
                <w:rFonts w:ascii="Calibri" w:hAnsi="Calibri" w:eastAsia="Calibri" w:cs="Calibri"/>
                <w:b w:val="0"/>
                <w:color w:val="151515"/>
                <w:sz w:val="15"/>
              </w:rPr>
              <w:t xml:space="preserve"> </w:t>
            </w:r>
            <w:hyperlink w:anchor="eq:cp-audit">
              <w:r>
                <w:rPr>
                  <w:rStyle w:val="Hyperlink"/>
                </w:rPr>
                <w:t xml:space="preserve">(8)</w:t>
              </w:r>
            </w:hyperlink>
            <w:r>
              <w:rPr>
                <w:rFonts w:ascii="Calibri" w:hAnsi="Calibri" w:eastAsia="Calibri" w:cs="Calibri"/>
                <w:b w:val="0"/>
                <w:color w:val="151515"/>
                <w:sz w:val="15"/>
              </w:rPr>
              <w:t xml:space="preserve">; D2-MEM requires lag-0 ambiguity and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exact lag-1 repair.</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D2-CERT is constructed closed-map certificate-pipeline conformance under the provably closed periodic Rule 170 density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map; its exact status is a distribution-conditional non-withdrawal state, not confirmation. Missing</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support, fidelity instability, or incomplete records cannot pass.</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E</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Compare exhaustive, fixed-order, development-frozen-order, and adaptive-fidelity policies</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The same truth-table observation stream and 64 locked blocks; no calibration blocks. Both static</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orders are distinct salted-SHA-256 pseudo-random permutations fixed before protected execution;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neither encodes a scientific ordering prior.</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Every candidate-block step, ordering action, probe, reference refinement, retry, and termination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cost is billed under the registered bookkeeping map. Policy agreement is constructed-workload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decision conformance; totals and policy ranking are descriptive and not wall-clock estimates.</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Decision disagreement, unbilled access in the recorded trace, budget breach, missing trace, or unstable fidelity is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adverse.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F0</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Recover project-defined Rule 54/110 whole-trajectory fixtures</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Each of 64 locked blocks draws one project-defined fixture case from the iid reference mixture;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the implemented law is conditioned on role acceptance. Realized counts were 32 clean translations,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16 perturbations, and 16 negative controls.</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Endpoint-wise constructed-fixture conformance-failure summary under the iid reference law; realized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strata are descriptive.</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No velocity, lifetime, held-out prediction, persistent detection, literature-seed provenance,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novel-discovery claim is registered.</w:t>
            </w:r>
          </w:p>
        </w:tc>
      </w:tr>
    </w:tbl>
    <w:bookmarkEnd w:id="89"/>
    <w:p>
      <w:pPr>
        <w:widowControl/>
      </w:pPr>
    </w:p>
    <w:bookmarkStart w:id="90" w:name="tab:full-fidelity"/>
    <w:p>
      <w:pPr>
        <w:pStyle w:val="TableCaption"/>
        <w:widowControl/>
      </w:pPr>
      <w:r>
        <w:t>Table 10. Benchmark-specific fidelity profiles. Sufficiency is assessed at protected upper-level observables and decisions, not by raw datatype proximity.</w:t>
      </w:r>
    </w:p>
    <w:tbl>
      <w:tblPr>
        <w:tblStyle w:val="Table"/>
        <w:tblW w:type="dxa" w:w="9360"/>
        <w:jc w:val="left"/>
        <w:tblLayout w:type="fixed"/>
        <w:tblLook w:firstRow="1" w:lastRow="0" w:firstColumn="0" w:lastColumn="0" w:noHBand="0" w:noVBand="0" w:val="0020"/>
        <w:tblCaption w:val="Benchmark-specific fidelity profiles. Sufficiency is assessed at protected upper-level observables and decisions, not by raw datatype proximity."/>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150"/>
        <w:gridCol w:w="2450"/>
        <w:gridCol w:w="2850"/>
        <w:gridCol w:w="2910"/>
      </w:tblGrid>
      <w:tr>
        <w:trPr>
          <w:tblHeader w:val="on"/>
          <w:cantSplit/>
        </w:trPr>
        <w:tc>
          <w:tcPr>
            <w:tcW w:type="dxa" w:w="11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Profile</w:t>
            </w:r>
          </w:p>
        </w:tc>
        <w:tc>
          <w:tcPr>
            <w:tcW w:type="dxa" w:w="24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Registered/reference tiers</w:t>
            </w:r>
          </w:p>
        </w:tc>
        <w:tc>
          <w:tcPr>
            <w:tcW w:type="dxa" w:w="28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Protected observable</w:t>
            </w:r>
          </w:p>
        </w:tc>
        <w:tc>
          <w:tcPr>
            <w:tcW w:type="dxa" w:w="291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action</w:t>
            </w:r>
          </w:p>
        </w:tc>
      </w:tr>
      <w:tr>
        <w:trPr>
          <w:cantSplit/>
        </w:trPr>
        <w:tc>
          <w:tcPr>
            <w:tcW w:type="dxa" w:w="11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A1 / D0–D2</w:t>
            </w:r>
          </w:p>
        </w:tc>
        <w:tc>
          <w:tcPr>
            <w:tcW w:type="dxa" w:w="24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Same-block vector/scalar ECA evaluators; fixed Rule 204/90/170 identities</w:t>
            </w:r>
          </w:p>
        </w:tc>
        <w:tc>
          <w:tcPr>
            <w:tcW w:type="dxa" w:w="28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Candidate/class retention, complete microstate, density event, or memory-lag decision</w:t>
            </w:r>
          </w:p>
        </w:tc>
        <w:tc>
          <w:tcPr>
            <w:tcW w:type="dxa" w:w="29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Preserve paired records; instability is adverse; missing refinement is indeterminate.</w:t>
            </w:r>
          </w:p>
        </w:tc>
      </w:tr>
      <w:tr>
        <w:trPr>
          <w:cantSplit/>
        </w:trPr>
        <w:tc>
          <w:tcPr>
            <w:tcW w:type="dxa" w:w="11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B0 / B1 / C</w:t>
            </w:r>
          </w:p>
        </w:tc>
        <w:tc>
          <w:tcPr>
            <w:tcW w:type="dxa" w:w="24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Bit-index vs explicit-string; vector vs scalar; decimal-6 float vs decimal-12</w:t>
            </w:r>
            <w:r>
              <w:rPr>
                <w:rFonts w:ascii="Calibri" w:hAnsi="Calibri" w:eastAsia="Calibri" w:cs="Calibri"/>
                <w:b w:val="0"/>
                <w:color w:val="151515"/>
                <w:sz w:val="15"/>
              </w:rPr>
              <w:t xml:space="preserve"> </w:t>
            </w:r>
            <w:r>
              <w:rPr>
                <w:rStyle w:val="VerbatimChar"/>
                <w:rFonts w:ascii="Calibri" w:hAnsi="Calibri" w:eastAsia="Calibri" w:cs="Calibri"/>
                <w:b w:val="0"/>
                <w:color w:val="151515"/>
                <w:sz w:val="15"/>
              </w:rPr>
              <w:t xml:space="preserve">Decimal</w:t>
            </w:r>
          </w:p>
        </w:tc>
        <w:tc>
          <w:tcPr>
            <w:tcW w:type="dxa" w:w="28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candidate losses, class decision, bound violation, and domain exit</w:t>
            </w:r>
          </w:p>
        </w:tc>
        <w:tc>
          <w:tcPr>
            <w:tcW w:type="dxa" w:w="29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Missing support or tier disagreement is indeterminate; domain exit withdraws; never clip.</w:t>
            </w:r>
          </w:p>
        </w:tc>
      </w:tr>
      <w:tr>
        <w:trPr>
          <w:cantSplit/>
        </w:trPr>
        <w:tc>
          <w:tcPr>
            <w:tcW w:type="dxa" w:w="11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E / F0</w:t>
            </w:r>
          </w:p>
        </w:tc>
        <w:tc>
          <w:tcPr>
            <w:tcW w:type="dxa" w:w="24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Lazy cheap/full/reference evaluation; vector/scalar template conformance</w:t>
            </w:r>
          </w:p>
        </w:tc>
        <w:tc>
          <w:tcPr>
            <w:tcW w:type="dxa" w:w="28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Policy decision, best candidate, complete cost ledger, and fixture/control decision</w:t>
            </w:r>
          </w:p>
        </w:tc>
        <w:tc>
          <w:tcPr>
            <w:tcW w:type="dxa" w:w="29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Hidden cost, tier disagreement, or changed decision is adverse.</w:t>
            </w:r>
          </w:p>
        </w:tc>
      </w:tr>
    </w:tbl>
    <w:bookmarkEnd w:id="90"/>
    <w:bookmarkEnd w:id="91"/>
    <w:bookmarkStart w:id="92" w:name="candidate-gate-and-look-ledger"/>
    <w:p>
      <w:pPr>
        <w:pStyle w:val="Heading2"/>
        <w:keepNext/>
        <w:keepLines/>
        <w:widowControl/>
      </w:pPr>
      <w:r>
        <w:t xml:space="preserve">Candidate, gate, and look ledger</w:t>
      </w:r>
    </w:p>
    <w:p>
      <w:pPr>
        <w:pStyle w:val="FirstParagraph"/>
        <w:widowControl/>
      </w:pPr>
      <w:r>
        <w:t xml:space="preserve">The registered machine-readable candidate and look ledgers contain at least:</w:t>
      </w:r>
    </w:p>
    <w:p>
      <w:pPr>
        <w:pStyle w:val="BodyText"/>
        <w:widowControl/>
      </w:pPr>
      <m:oMathPara>
        <m:oMathParaPr>
          <m:jc m:val="center"/>
        </m:oMathParaPr>
        <m:oMath>
          <m:eqArr>
            <m:e>
              <m:r>
                <m:rPr>
                  <m:sty m:val="p"/>
                </m:rPr>
                <m:t>(</m:t>
              </m:r>
              <m:r>
                <m:rPr>
                  <m:nor/>
                  <m:scr m:val="monospace"/>
                  <m:sty m:val="p"/>
                </m:rPr>
                <m:t>run_id</m:t>
              </m:r>
              <m:r>
                <m:rPr>
                  <m:sty m:val="p"/>
                </m:rPr>
                <m:t>,</m:t>
              </m:r>
              <m:r>
                <m:rPr>
                  <m:nor/>
                  <m:scr m:val="monospace"/>
                  <m:sty m:val="p"/>
                </m:rPr>
                <m:t>config_hash</m:t>
              </m:r>
              <m:r>
                <m:rPr>
                  <m:sty m:val="p"/>
                </m:rPr>
                <m:t>,</m:t>
              </m:r>
              <m:r>
                <m:rPr>
                  <m:nor/>
                  <m:scr m:val="monospace"/>
                  <m:sty m:val="p"/>
                </m:rPr>
                <m:t>source_hash</m:t>
              </m:r>
              <m:r>
                <m:rPr>
                  <m:sty m:val="p"/>
                </m:rPr>
                <m:t>,</m:t>
              </m:r>
              <m:r>
                <m:rPr>
                  <m:nor/>
                  <m:scr m:val="monospace"/>
                  <m:sty m:val="p"/>
                </m:rPr>
                <m:t>candidate_id</m:t>
              </m:r>
              <m:r>
                <m:rPr>
                  <m:sty m:val="p"/>
                </m:rPr>
                <m:t>,</m:t>
              </m:r>
              <m:r>
                <m:rPr>
                  <m:nor/>
                  <m:scr m:val="monospace"/>
                  <m:sty m:val="p"/>
                </m:rPr>
                <m:t>description_bits</m:t>
              </m:r>
              <m:r>
                <m:rPr>
                  <m:sty m:val="p"/>
                </m:rPr>
                <m:t>,</m:t>
              </m:r>
              <m:r>
                <m:rPr>
                  <m:nor/>
                  <m:scr m:val="monospace"/>
                  <m:sty m:val="p"/>
                </m:rPr>
                <m:t>rule_id</m:t>
              </m:r>
              <m:r>
                <m:rPr>
                  <m:sty m:val="p"/>
                </m:rPr>
                <m:t>,</m:t>
              </m:r>
            </m:e>
            <m:e>
              <m:r>
                <m:rPr>
                  <m:nor/>
                  <m:scr m:val="monospace"/>
                  <m:sty m:val="p"/>
                </m:rPr>
                <m:t>parse_status</m:t>
              </m:r>
              <m:r>
                <m:rPr>
                  <m:sty m:val="p"/>
                </m:rPr>
                <m:t>,</m:t>
              </m:r>
              <m:r>
                <m:rPr>
                  <m:nor/>
                  <m:scr m:val="monospace"/>
                  <m:sty m:val="p"/>
                </m:rPr>
                <m:t>execution_status</m:t>
              </m:r>
              <m:r>
                <m:rPr>
                  <m:sty m:val="p"/>
                </m:rPr>
                <m:t>,</m:t>
              </m:r>
              <m:r>
                <m:rPr>
                  <m:nor/>
                  <m:scr m:val="monospace"/>
                  <m:sty m:val="p"/>
                </m:rPr>
                <m:t>signature_id</m:t>
              </m:r>
              <m:r>
                <m:rPr>
                  <m:sty m:val="p"/>
                </m:rPr>
                <m:t>,</m:t>
              </m:r>
              <m:r>
                <m:rPr>
                  <m:nor/>
                  <m:scr m:val="monospace"/>
                  <m:sty m:val="p"/>
                </m:rPr>
                <m:t>representative_id</m:t>
              </m:r>
              <m:r>
                <m:rPr>
                  <m:sty m:val="p"/>
                </m:rPr>
                <m:t>,</m:t>
              </m:r>
              <m:r>
                <m:rPr>
                  <m:nor/>
                  <m:scr m:val="monospace"/>
                  <m:sty m:val="p"/>
                </m:rPr>
                <m:t>resource_usage</m:t>
              </m:r>
              <m:r>
                <m:rPr>
                  <m:sty m:val="p"/>
                </m:rPr>
                <m:t>,</m:t>
              </m:r>
              <m:r>
                <m:rPr>
                  <m:nor/>
                  <m:scr m:val="monospace"/>
                  <m:sty m:val="p"/>
                </m:rPr>
                <m:t>gate_id</m:t>
              </m:r>
              <m:r>
                <m:rPr>
                  <m:sty m:val="p"/>
                </m:rPr>
                <m:t>,</m:t>
              </m:r>
            </m:e>
            <m:e>
              <m:r>
                <m:rPr>
                  <m:nor/>
                  <m:scr m:val="monospace"/>
                  <m:sty m:val="p"/>
                </m:rPr>
                <m:t>look</m:t>
              </m:r>
              <m:r>
                <m:rPr>
                  <m:sty m:val="p"/>
                </m:rPr>
                <m:t>,</m:t>
              </m:r>
              <m:r>
                <m:rPr>
                  <m:nor/>
                  <m:scr m:val="monospace"/>
                  <m:sty m:val="p"/>
                </m:rPr>
                <m:t>sample_count</m:t>
              </m:r>
              <m:r>
                <m:rPr>
                  <m:sty m:val="p"/>
                </m:rPr>
                <m:t>,</m:t>
              </m:r>
              <m:r>
                <m:rPr>
                  <m:nor/>
                  <m:scr m:val="monospace"/>
                  <m:sty m:val="p"/>
                </m:rPr>
                <m:t>split_id</m:t>
              </m:r>
              <m:r>
                <m:rPr>
                  <m:sty m:val="p"/>
                </m:rPr>
                <m:t>,</m:t>
              </m:r>
              <m:r>
                <m:rPr>
                  <m:nor/>
                  <m:scr m:val="monospace"/>
                  <m:sty m:val="p"/>
                </m:rPr>
                <m:t>alpha_allocated</m:t>
              </m:r>
              <m:r>
                <m:rPr>
                  <m:sty m:val="p"/>
                </m:rPr>
                <m:t>,</m:t>
              </m:r>
              <m:r>
                <m:rPr>
                  <m:nor/>
                  <m:scr m:val="monospace"/>
                  <m:sty m:val="p"/>
                </m:rPr>
                <m:t>bound_lower</m:t>
              </m:r>
              <m:r>
                <m:rPr>
                  <m:sty m:val="p"/>
                </m:rPr>
                <m:t>,</m:t>
              </m:r>
              <m:r>
                <m:rPr>
                  <m:nor/>
                  <m:scr m:val="monospace"/>
                  <m:sty m:val="p"/>
                </m:rPr>
                <m:t>bound_upper</m:t>
              </m:r>
              <m:r>
                <m:rPr>
                  <m:sty m:val="p"/>
                </m:rPr>
                <m:t>,</m:t>
              </m:r>
            </m:e>
            <m:e>
              <m:r>
                <m:rPr>
                  <m:nor/>
                  <m:scr m:val="monospace"/>
                  <m:sty m:val="p"/>
                </m:rPr>
                <m:t>threshold</m:t>
              </m:r>
              <m:r>
                <m:rPr>
                  <m:sty m:val="p"/>
                </m:rPr>
                <m:t>,</m:t>
              </m:r>
              <m:r>
                <m:rPr>
                  <m:nor/>
                  <m:scr m:val="monospace"/>
                  <m:sty m:val="p"/>
                </m:rPr>
                <m:t>decision</m:t>
              </m:r>
              <m:r>
                <m:rPr>
                  <m:sty m:val="p"/>
                </m:rPr>
                <m:t>,</m:t>
              </m:r>
              <m:r>
                <m:rPr>
                  <m:nor/>
                  <m:scr m:val="monospace"/>
                  <m:sty m:val="p"/>
                </m:rPr>
                <m:t>seed_block</m:t>
              </m:r>
              <m:r>
                <m:rPr>
                  <m:sty m:val="p"/>
                </m:rPr>
                <m:t>,</m:t>
              </m:r>
              <m:r>
                <m:rPr>
                  <m:nor/>
                  <m:scr m:val="monospace"/>
                  <m:sty m:val="p"/>
                </m:rPr>
                <m:t>precision_id</m:t>
              </m:r>
              <m:r>
                <m:rPr>
                  <m:sty m:val="p"/>
                </m:rPr>
                <m:t>,</m:t>
              </m:r>
              <m:r>
                <m:rPr>
                  <m:nor/>
                  <m:scr m:val="monospace"/>
                  <m:sty m:val="p"/>
                </m:rPr>
                <m:t>failure_code</m:t>
              </m:r>
              <m:r>
                <m:rPr>
                  <m:sty m:val="p"/>
                </m:rPr>
                <m:t>,</m:t>
              </m:r>
              <m:r>
                <m:rPr>
                  <m:nor/>
                  <m:scr m:val="monospace"/>
                  <m:sty m:val="p"/>
                </m:rPr>
                <m:t>timestamp</m:t>
              </m:r>
              <m:r>
                <m:rPr>
                  <m:sty m:val="p"/>
                </m:rPr>
                <m:t>)</m:t>
              </m:r>
              <m:r>
                <m:rPr>
                  <m:sty m:val="p"/>
                </m:rPr>
                <m:t>.</m:t>
              </m:r>
            </m:e>
          </m:eqArr>
        </m:oMath>
      </m:oMathPara>
    </w:p>
    <w:p>
      <w:pPr>
        <w:pStyle w:val="FirstParagraph"/>
        <w:widowControl/>
        <w:jc w:val="left"/>
      </w:pPr>
      <w:r>
        <w:t xml:space="preserve">This tuple is the general framework interface, not a claim that every field drove the immutable</w:t>
      </w:r>
      <w:r>
        <w:t xml:space="preserve"> </w:t>
      </w:r>
      <w:r>
        <w:t xml:space="preserve">study. The repeated-look construction in Equation </w:t>
      </w:r>
      <w:hyperlink w:anchor="eq:alpha">
        <w:r>
          <w:rPr>
            <w:rStyle w:val="Hyperlink"/>
          </w:rPr>
          <w:t xml:space="preserve">(9)</w:t>
        </w:r>
      </w:hyperlink>
      <w:r>
        <w:t xml:space="preserve"> </w:t>
      </w:r>
      <w:r>
        <w:t xml:space="preserve">was not in the protected</w:t>
      </w:r>
      <w:r>
        <w:t xml:space="preserve"> </w:t>
      </w:r>
      <w:r>
        <w:t xml:space="preserve">execution call graph. In that equation the radius denominator is the cumulative sample size</w:t>
      </w:r>
      <w:r>
        <w:t xml:space="preserve"> </w:t>
      </w:r>
      <m:oMath>
        <m:sSub>
          <m:e>
            <m:r>
              <m:t>n</m:t>
            </m:r>
          </m:e>
          <m:sub>
            <m:r>
              <m:t>s</m:t>
            </m:r>
          </m:sub>
        </m:sSub>
      </m:oMath>
      <w:r>
        <w:t xml:space="preserve"> </w:t>
      </w:r>
      <w:r>
        <w:t xml:space="preserve">available at look</w:t>
      </w:r>
      <w:r>
        <w:t xml:space="preserve"> </w:t>
      </w:r>
      <m:oMath>
        <m:r>
          <m:t>s</m:t>
        </m:r>
      </m:oMath>
      <w:r>
        <w:t xml:space="preserve">, not the look index</w:t>
      </w:r>
      <w:r>
        <w:t xml:space="preserve"> </w:t>
      </w:r>
      <m:oMath>
        <m:r>
          <m:t>s</m:t>
        </m:r>
      </m:oMath>
      <w:r>
        <w:t xml:space="preserve"> </w:t>
      </w:r>
      <w:r>
        <w:t xml:space="preserve">itself. Protected B0/B1 instead used</w:t>
      </w:r>
      <w:r>
        <w:t xml:space="preserve"> </w:t>
      </w:r>
      <w:r>
        <w:t xml:space="preserve">exact complete-support candidate losses, and every registered signature class in those gates was a</w:t>
      </w:r>
      <w:r>
        <w:t xml:space="preserve"> </w:t>
      </w:r>
      <w:r>
        <w:t xml:space="preserve">singleton. The frozen</w:t>
      </w:r>
      <w:r>
        <w:t xml:space="preserve"> </w:t>
      </w:r>
      <w:r>
        <w:rPr>
          <w:rStyle w:val="VerbatimChar"/>
        </w:rPr>
        <w:t xml:space="preserve">alpha_ledger_complete</w:t>
      </w:r>
      <w:r>
        <w:t xml:space="preserve"> </w:t>
      </w:r>
      <w:r>
        <w:t xml:space="preserve">field records complete 256-candidate</w:t>
      </w:r>
      <w:r>
        <w:t xml:space="preserve"> </w:t>
      </w:r>
      <w:r>
        <w:t xml:space="preserve">coverage; it does not establish that the repeated-look allocation was exercised. Consequently,</w:t>
      </w:r>
      <w:r>
        <w:t xml:space="preserve"> </w:t>
      </w:r>
      <w:r>
        <w:t xml:space="preserve">the class minima in Equation </w:t>
      </w:r>
      <w:hyperlink w:anchor="eq:inadequacy">
        <w:r>
          <w:rPr>
            <w:rStyle w:val="Hyperlink"/>
          </w:rPr>
          <w:t xml:space="preserve">(4)</w:t>
        </w:r>
      </w:hyperlink>
      <w:r>
        <w:t xml:space="preserve"> </w:t>
      </w:r>
      <w:r>
        <w:t xml:space="preserve">equal their candidate losses here. Neither its</w:t>
      </w:r>
      <w:r>
        <w:t xml:space="preserve"> </w:t>
      </w:r>
      <w:r>
        <w:t xml:space="preserve">non-singleton aggregation case nor Equation </w:t>
      </w:r>
      <w:hyperlink w:anchor="eq:alpha">
        <w:r>
          <w:rPr>
            <w:rStyle w:val="Hyperlink"/>
          </w:rPr>
          <w:t xml:space="preserve">(9)</w:t>
        </w:r>
      </w:hyperlink>
      <w:r>
        <w:t xml:space="preserve">’s repeated-look radius generated an</w:t>
      </w:r>
      <w:r>
        <w:t xml:space="preserve"> </w:t>
      </w:r>
      <w:r>
        <w:t xml:space="preserve">immutable endpoint result.</w:t>
      </w:r>
      <w:r>
        <w:t xml:space="preserve"> </w:t>
      </w:r>
      <w:r>
        <w:t xml:space="preserve">The release-source correction is recorded as</w:t>
      </w:r>
      <w:r>
        <w:t xml:space="preserve"> </w:t>
      </w:r>
      <w:r>
        <w:rPr>
          <w:rStyle w:val="VerbatimChar"/>
        </w:rPr>
        <w:t xml:space="preserve">POST_RESULT_FORMAL_CORRECTION</w:t>
      </w:r>
      <w:r>
        <w:t xml:space="preserve"> </w:t>
      </w:r>
      <w:r>
        <w:t xml:space="preserve">and</w:t>
      </w:r>
      <w:r>
        <w:t xml:space="preserve"> </w:t>
      </w:r>
      <w:r>
        <w:rPr>
          <w:rStyle w:val="VerbatimChar"/>
        </w:rPr>
        <w:t xml:space="preserve">NO_LOCKED_ENDPOINT_DEPENDED_ON_THIS_DISPLAY</w:t>
      </w:r>
      <w:r>
        <w:t xml:space="preserve">; the historical frozen source remains</w:t>
      </w:r>
      <w:r>
        <w:t xml:space="preserve"> </w:t>
      </w:r>
      <w:r>
        <w:t xml:space="preserve">unchanged.</w:t>
      </w:r>
    </w:p>
    <w:p>
      <w:pPr>
        <w:pStyle w:val="BodyText"/>
        <w:widowControl/>
        <w:jc w:val="left"/>
      </w:pPr>
      <w:r>
        <w:t xml:space="preserve">In an exhaustive run, each addressable description has exactly one terminal</w:t>
      </w:r>
      <w:r>
        <w:t xml:space="preserve"> </w:t>
      </w:r>
      <w:r>
        <w:rPr>
          <w:rStyle w:val="VerbatimChar"/>
        </w:rPr>
        <w:t xml:space="preserve">execution_status</w:t>
      </w:r>
      <w:r>
        <w:t xml:space="preserve"> </w:t>
      </w:r>
      <w:r>
        <w:t xml:space="preserve">under the accounting rule in Section </w:t>
      </w:r>
      <w:hyperlink w:anchor="sec:six-steps">
        <w:r>
          <w:rPr>
            <w:rStyle w:val="Hyperlink"/>
          </w:rPr>
          <w:t xml:space="preserve">3</w:t>
        </w:r>
      </w:hyperlink>
      <w:r>
        <w:t xml:space="preserve">. The ECA</w:t>
      </w:r>
      <w:r>
        <w:t xml:space="preserve"> </w:t>
      </w:r>
      <w:r>
        <w:t xml:space="preserve">registry has exactly 256</w:t>
      </w:r>
      <w:r>
        <w:t xml:space="preserve"> </w:t>
      </w:r>
      <w:r>
        <w:t xml:space="preserve">rule IDs.</w:t>
      </w:r>
      <w:r>
        <w:t xml:space="preserve"> </w:t>
      </w:r>
      <w:r>
        <w:rPr>
          <w:rStyle w:val="VerbatimChar"/>
        </w:rPr>
        <w:t xml:space="preserve">CANONICAL_DUPLICATE</w:t>
      </w:r>
      <w:r>
        <w:t xml:space="preserve"> </w:t>
      </w:r>
      <w:r>
        <w:t xml:space="preserve">requires a representative pointer and proof of equality on</w:t>
      </w:r>
      <w:r>
        <w:t xml:space="preserve"> </w:t>
      </w:r>
      <w:r>
        <w:t xml:space="preserve">the full registered evaluation interface; finite-probe signature membership alone never removes a</w:t>
      </w:r>
      <w:r>
        <w:t xml:space="preserve"> </w:t>
      </w:r>
      <w:r>
        <w:t xml:space="preserve">candidate from the locked estimand.</w:t>
      </w:r>
    </w:p>
    <w:p>
      <w:pPr>
        <w:pStyle w:val="BodyText"/>
        <w:widowControl/>
      </w:pPr>
      <w:r>
        <w:t xml:space="preserve">Each fidelity-refinement ledger row uses the same coupled observation block and must additionally</w:t>
      </w:r>
      <w:r>
        <w:t xml:space="preserve"> </w:t>
      </w:r>
      <w:r>
        <w:t xml:space="preserve">contain the lower-level precision or</w:t>
      </w:r>
      <w:r>
        <w:t xml:space="preserve"> </w:t>
      </w:r>
      <w:r>
        <w:t xml:space="preserve">resolution change, the protected upper-level observable, its frozen error tolerance, the time</w:t>
      </w:r>
      <w:r>
        <w:t xml:space="preserve"> </w:t>
      </w:r>
      <w:r>
        <w:t xml:space="preserve">horizon, the initial-state or environment distribution, the observable values before and after</w:t>
      </w:r>
      <w:r>
        <w:t xml:space="preserve"> </w:t>
      </w:r>
      <w:r>
        <w:t xml:space="preserve">refinement, the resulting observable change, the registered decisions before and after</w:t>
      </w:r>
      <w:r>
        <w:t xml:space="preserve"> </w:t>
      </w:r>
      <w:r>
        <w:t xml:space="preserve">refinement, whether that decision changed, and whether another refinement is required. Raw</w:t>
      </w:r>
      <w:r>
        <w:t xml:space="preserve"> </w:t>
      </w:r>
      <w:r>
        <w:t xml:space="preserve">float32–float64 proximity without this observable- and decision-level check is not a fidelity</w:t>
      </w:r>
      <w:r>
        <w:t xml:space="preserve"> </w:t>
      </w:r>
      <w:r>
        <w:t xml:space="preserve">certificate.</w:t>
      </w:r>
    </w:p>
    <w:p>
      <w:pPr>
        <w:pStyle w:val="BodyText"/>
        <w:widowControl/>
      </w:pPr>
      <w:r>
        <w:t xml:space="preserve">The canonical observable vocabulary uses</w:t>
      </w:r>
      <w:r>
        <w:t xml:space="preserve"> </w:t>
      </w:r>
      <w:r>
        <w:rPr>
          <w:rStyle w:val="VerbatimChar"/>
        </w:rPr>
        <w:t xml:space="preserve">final_state_density</w:t>
      </w:r>
      <w:r>
        <w:t xml:space="preserve">; the hyphenated or</w:t>
      </w:r>
      <w:r>
        <w:t xml:space="preserve"> </w:t>
      </w:r>
      <w:r>
        <w:t xml:space="preserve">space-separated spelling is invalid. All config, protocol, role-manifest, authorization, and</w:t>
      </w:r>
      <w:r>
        <w:t xml:space="preserve"> </w:t>
      </w:r>
      <w:r>
        <w:t xml:space="preserve">result-bundle boundaries are validated with JSON Schema Draft 2020-12 before use and after output.</w:t>
      </w:r>
    </w:p>
    <w:p>
      <w:pPr>
        <w:pStyle w:val="BodyText"/>
        <w:widowControl/>
      </w:pPr>
      <w:r>
        <w:t xml:space="preserve">Equation </w:t>
      </w:r>
      <w:hyperlink w:anchor="eq:alpha">
        <w:r>
          <w:rPr>
            <w:rStyle w:val="Hyperlink"/>
          </w:rPr>
          <w:t xml:space="preserve">(9)</w:t>
        </w:r>
      </w:hyperlink>
      <w:r>
        <w:t xml:space="preserve"> </w:t>
      </w:r>
      <w:r>
        <w:t xml:space="preserve">covers only registered frozen candidates and gates. If the candidate</w:t>
      </w:r>
      <w:r>
        <w:t xml:space="preserve"> </w:t>
      </w:r>
      <w:r>
        <w:t xml:space="preserve">universe is countable and adaptively revealed, each candidate must receive a nonnegative</w:t>
      </w:r>
      <w:r>
        <w:t xml:space="preserve"> </w:t>
      </w:r>
      <w:r>
        <w:t xml:space="preserve">preassigned weight</w:t>
      </w:r>
      <w:r>
        <w:t xml:space="preserve"> </w:t>
      </w:r>
      <m:oMath>
        <m:sSub>
          <m:e>
            <m:r>
              <m:t>w</m:t>
            </m:r>
          </m:e>
          <m:sub>
            <m:r>
              <m:t>h</m:t>
            </m:r>
          </m:sub>
        </m:sSub>
      </m:oMath>
      <w:r>
        <w:t xml:space="preserve"> </w:t>
      </w:r>
      <w:r>
        <w:t xml:space="preserve">with</w:t>
      </w:r>
      <w:r>
        <w:t xml:space="preserve"> </w:t>
      </w:r>
      <m:oMath>
        <m:nary>
          <m:naryPr>
            <m:chr m:val="∑"/>
            <m:limLoc m:val="undOvr"/>
            <m:subHide m:val="off"/>
            <m:supHide m:val="on"/>
          </m:naryPr>
          <m:sub>
            <m:r>
              <m:t>h</m:t>
            </m:r>
          </m:sub>
          <m:sup>
            <m:r>
              <m:t/>
            </m:r>
          </m:sup>
          <m:e>
            <m:sSub>
              <m:e>
                <m:r>
                  <m:t>w</m:t>
                </m:r>
              </m:e>
              <m:sub>
                <m:r>
                  <m:t>h</m:t>
                </m:r>
              </m:sub>
            </m:sSub>
          </m:e>
        </m:nary>
        <m:r>
          <m:rPr>
            <m:sty m:val="p"/>
          </m:rPr>
          <m:t>≤</m:t>
        </m:r>
        <m:r>
          <m:t>1</m:t>
        </m:r>
      </m:oMath>
      <w:r>
        <w:t xml:space="preserve">, replacing</w:t>
      </w:r>
      <w:r>
        <w:t xml:space="preserve"> </w:t>
      </w:r>
      <m:oMath>
        <m:r>
          <m:t>1</m:t>
        </m:r>
        <m:r>
          <m:rPr>
            <m:sty m:val="p"/>
          </m:rPr>
          <m:t>/</m:t>
        </m:r>
        <m:r>
          <m:t>N</m:t>
        </m:r>
      </m:oMath>
      <w:r>
        <w:t xml:space="preserve"> </w:t>
      </w:r>
      <w:r>
        <w:t xml:space="preserve">by</w:t>
      </w:r>
      <w:r>
        <w:t xml:space="preserve"> </w:t>
      </w:r>
      <m:oMath>
        <m:sSub>
          <m:e>
            <m:r>
              <m:t>w</m:t>
            </m:r>
          </m:e>
          <m:sub>
            <m:r>
              <m:t>h</m:t>
            </m:r>
          </m:sub>
        </m:sSub>
      </m:oMath>
      <w:r>
        <w:t xml:space="preserve">, before its data</w:t>
      </w:r>
      <w:r>
        <w:t xml:space="preserve"> </w:t>
      </w:r>
      <w:r>
        <w:t xml:space="preserve">are inspected. Otherwise a new error budget and a new confirmatory split are required.</w:t>
      </w:r>
    </w:p>
    <w:p>
      <w:pPr>
        <w:pStyle w:val="BodyText"/>
        <w:widowControl/>
      </w:pPr>
      <w:r>
        <w:t xml:space="preserve">The immutable result contains 718 block records and 452 fidelity records. All 452 fidelity rows</w:t>
      </w:r>
      <w:r>
        <w:t xml:space="preserve"> </w:t>
      </w:r>
      <w:r>
        <w:t xml:space="preserve">are</w:t>
      </w:r>
      <w:r>
        <w:t xml:space="preserve"> </w:t>
      </w:r>
      <w:r>
        <w:rPr>
          <w:rStyle w:val="VerbatimChar"/>
        </w:rPr>
        <w:t xml:space="preserve">PASS</w:t>
      </w:r>
      <w:r>
        <w:t xml:space="preserve">; no row has a changed protected decision, an observable change beyond its</w:t>
      </w:r>
      <w:r>
        <w:t xml:space="preserve"> </w:t>
      </w:r>
      <w:r>
        <w:t xml:space="preserve">registered tolerance, or a requirement for further refinement. These are observable- and</w:t>
      </w:r>
      <w:r>
        <w:t xml:space="preserve"> </w:t>
      </w:r>
      <w:r>
        <w:t xml:space="preserve">decision-level fidelity checks, not a claim based only on raw float agreement.</w:t>
      </w:r>
    </w:p>
    <w:bookmarkEnd w:id="92"/>
    <w:bookmarkStart w:id="97" w:name="first-and-only-locked-endpoint-registry"/>
    <w:p>
      <w:pPr>
        <w:pStyle w:val="Heading2"/>
        <w:keepNext/>
        <w:keepLines/>
        <w:widowControl/>
      </w:pPr>
      <w:r>
        <w:t xml:space="preserve">First-and-only locked endpoint registry</w:t>
      </w:r>
    </w:p>
    <w:p>
      <w:pPr>
        <w:pStyle w:val="FirstParagraph"/>
        <w:widowControl/>
      </w:pPr>
      <w:r>
        <w:t xml:space="preserve">Table </w:t>
      </w:r>
      <w:hyperlink w:anchor="tab:locked-outcomes">
        <w:r>
          <w:rPr>
            <w:rStyle w:val="Hyperlink"/>
          </w:rPr>
          <w:t xml:space="preserve">11</w:t>
        </w:r>
      </w:hyperlink>
      <w:r>
        <w:t xml:space="preserve"> </w:t>
      </w:r>
      <w:r>
        <w:t xml:space="preserve">preserves all eleven registered endpoint statuses without</w:t>
      </w:r>
      <w:r>
        <w:t xml:space="preserve"> </w:t>
      </w:r>
      <w:r>
        <w:t xml:space="preserve">collapsing their different evidentiary roles. Deterministic and formula-conformance controls do not</w:t>
      </w:r>
      <w:r>
        <w:t xml:space="preserve"> </w:t>
      </w:r>
      <w:r>
        <w:t xml:space="preserve">receive pseudo-replicated Clopper–Pearson intervals. Every interval shown for a 64-block endpoint</w:t>
      </w:r>
      <w:r>
        <w:t xml:space="preserve"> </w:t>
      </w:r>
      <w:r>
        <w:t xml:space="preserve">is endpoint-wise.</w:t>
      </w:r>
    </w:p>
    <w:bookmarkStart w:id="93" w:name="tab:locked-outcomes"/>
    <w:p>
      <w:pPr>
        <w:pStyle w:val="TableCaption"/>
        <w:widowControl/>
      </w:pPr>
      <w:r>
        <w:t>Table 11. First-and-only locked endpoint outcomes.</w:t>
      </w:r>
    </w:p>
    <w:tbl>
      <w:tblPr>
        <w:tblStyle w:val="Table"/>
        <w:tblW w:type="dxa" w:w="9360"/>
        <w:jc w:val="left"/>
        <w:tblLayout w:type="fixed"/>
        <w:tblLook w:firstRow="1" w:lastRow="0" w:firstColumn="0" w:lastColumn="0" w:noHBand="0" w:noVBand="0" w:val="0020"/>
        <w:tblCaption w:val="First-and-only locked endpoint outcome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800"/>
        <w:gridCol w:w="1650"/>
        <w:gridCol w:w="800"/>
        <w:gridCol w:w="3250"/>
        <w:gridCol w:w="2860"/>
      </w:tblGrid>
      <w:tr>
        <w:trPr>
          <w:tblHeader w:val="on"/>
          <w:cantSplit/>
        </w:trPr>
        <w:tc>
          <w:tcPr>
            <w:tcW w:type="dxa" w:w="8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Endpoint</w:t>
            </w:r>
          </w:p>
        </w:tc>
        <w:tc>
          <w:tcPr>
            <w:tcW w:type="dxa" w:w="16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Evidence category</w:t>
            </w:r>
          </w:p>
        </w:tc>
        <w:tc>
          <w:tcPr>
            <w:tcW w:type="dxa" w:w="8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5"/>
              </w:rPr>
              <w:t xml:space="preserve">Event count</w:t>
            </w:r>
          </w:p>
        </w:tc>
        <w:tc>
          <w:tcPr>
            <w:tcW w:type="dxa" w:w="32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Exact interval or frozen rule</w:t>
            </w:r>
          </w:p>
        </w:tc>
        <w:tc>
          <w:tcPr>
            <w:tcW w:type="dxa" w:w="28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5"/>
              </w:rPr>
              <w:t xml:space="preserve">Status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Deterministic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0/256</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Complete 256-rule census;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A1</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Constructed-workload retention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in-class gate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B1</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out-of-class gate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C</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Formula/domain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0/9</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Registered nine-case census;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Deterministic identity</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Rule 204 full-microstate identity;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D1</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Explicit formula witness</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0/1</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Rule 90 non-closure witness;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D2-CERT</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closed-map certificate-pipeline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locked lower</w:t>
            </w:r>
            <w:r>
              <w:rPr>
                <w:rFonts w:ascii="Calibri" w:hAnsi="Calibri" w:eastAsia="Calibri" w:cs="Calibri"/>
                <w:b w:val="0"/>
                <w:color w:val="151515"/>
                <w:sz w:val="15"/>
              </w:rPr>
              <w:t xml:space="preserve"> </w:t>
            </w:r>
            <m:oMath>
              <m:r>
                <m:rPr>
                  <m:sty m:val="p"/>
                </m:rPr>
                <m:t>=</m:t>
              </m:r>
              <m:r>
                <m:t>0</m:t>
              </m:r>
            </m:oMath>
            <w:r>
              <w:rPr>
                <w:rFonts w:ascii="Calibri" w:hAnsi="Calibri" w:eastAsia="Calibri" w:cs="Calibri"/>
                <w:b w:val="0"/>
                <w:color w:val="151515"/>
                <w:sz w:val="15"/>
              </w:rPr>
              <w:t xml:space="preserve">; no withdrawal</w:t>
            </w:r>
          </w:p>
        </w:tc>
        <w:tc>
          <w:tcPr>
            <w:tcW w:type="dxa" w:w="2860"/>
            <w:vAlign w:val="center"/>
            <w:tcMar>
              <w:top w:w="80" w:type="dxa"/>
              <w:start w:w="120" w:type="dxa"/>
              <w:bottom w:w="80" w:type="dxa"/>
              <w:end w:w="120" w:type="dxa"/>
            </w:tcMar>
          </w:tcPr>
          <w:p>
            <w:pPr>
              <w:pStyle w:val="Compact"/>
              <w:keepLines/>
              <w:widowControl/>
              <w:spacing w:before="0" w:after="0" w:line="240" w:lineRule="auto"/>
              <w:jc w:val="left"/>
            </w:pPr>
            <w:r>
              <w:rPr>
                <w:rFonts w:ascii="Arial" w:hAnsi="Arial" w:eastAsia="Arial" w:cs="Arial"/>
                <w:b w:val="0"/>
                <w:color w:val="000000"/>
                <w:sz w:val="14"/>
              </w:rPr>
              <w:t>NOT_CONTRADICTED_</w:t>
              <w:br/>
            </w:r>
            <w:r>
              <w:rPr>
                <w:rFonts w:ascii="Arial" w:hAnsi="Arial" w:eastAsia="Arial" w:cs="Arial"/>
                <w:b w:val="0"/>
                <w:color w:val="000000"/>
                <w:sz w:val="14"/>
              </w:rPr>
              <w:t>BY_LOCKED_AUDIT</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D2-MEM</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Complete finite-state formula census</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Lag 0 ambiguous; lag 1 exact;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E</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policy-decision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 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F0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fixture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 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bl>
    <w:bookmarkEnd w:id="93"/>
    <w:p>
      <w:pPr>
        <w:pStyle w:val="BodyText"/>
        <w:widowControl/>
      </w:pPr>
      <w:r>
        <w:t xml:space="preserve">For the five constructed-workload endpoints, the displayed exact-binomial intervals summarize the</w:t>
      </w:r>
      <w:r>
        <w:t xml:space="preserve"> </w:t>
      </w:r>
      <w:r>
        <w:t xml:space="preserve">rate of their registered blockwise adverse conformance event under the iid reference law. They do</w:t>
      </w:r>
      <w:r>
        <w:t xml:space="preserve"> </w:t>
      </w:r>
      <w:r>
        <w:t xml:space="preserve">not change the evidence category, and the implemented role law retains the conditioning correction</w:t>
      </w:r>
      <w:r>
        <w:t xml:space="preserve"> </w:t>
      </w:r>
      <w:r>
        <w:t xml:space="preserve">stated above. D2-CERT’s interval analogously audits the certificate machinery under hypothetical</w:t>
      </w:r>
      <w:r>
        <w:t xml:space="preserve"> </w:t>
      </w:r>
      <w:r>
        <w:t xml:space="preserve">block-level conformance failures; the underlying Rule 170 density identity is proved, not estimated</w:t>
      </w:r>
      <w:r>
        <w:t xml:space="preserve"> </w:t>
      </w:r>
      <w:r>
        <w:t xml:space="preserve">from 64 blocks.</w:t>
      </w:r>
    </w:p>
    <w:p>
      <w:pPr>
        <w:pStyle w:val="BodyText"/>
        <w:widowControl/>
      </w:pPr>
      <w:r>
        <w:t xml:space="preserve">The result-specific interpretations are deliberately narrower than the status column:</w:t>
      </w:r>
    </w:p>
    <w:p>
      <w:pPr>
        <w:widowControl/>
        <w:numPr>
          <w:ilvl w:val="0"/>
          <w:numId w:val="1001"/>
        </w:numPr>
      </w:pPr>
      <w:r>
        <w:rPr>
          <w:b/>
          <w:bCs/>
        </w:rPr>
        <w:t xml:space="preserve">A / conformance and ambiguity.</w:t>
      </w:r>
      <w:r>
        <w:t xml:space="preserve"> </w:t>
      </w:r>
      <w:r>
        <w:t xml:space="preserve">A0 recorded zero mismatches in the complete</w:t>
      </w:r>
      <w:r>
        <w:t xml:space="preserve"> </w:t>
      </w:r>
      <w:r>
        <w:t xml:space="preserve">256-rule truth-table and four-boundary production/reference trajectory census and formed 36 registered</w:t>
      </w:r>
      <w:r>
        <w:t xml:space="preserve"> </w:t>
      </w:r>
      <w:r>
        <w:t xml:space="preserve">canonical signature classes. A1 retained the data-generating rule and generating signature class</w:t>
      </w:r>
      <w:r>
        <w:t xml:space="preserve"> </w:t>
      </w:r>
      <w:r>
        <w:t xml:space="preserve">in all 64 blocks, with zero adverse blocks. It did not force unique identification: 59 blocks retained one rule and five</w:t>
      </w:r>
      <w:r>
        <w:t xml:space="preserve"> </w:t>
      </w:r>
      <w:r>
        <w:t xml:space="preserve">retained two; 61 blocks retained one signature class and three retained two. Cells and time points</w:t>
      </w:r>
      <w:r>
        <w:t xml:space="preserve"> </w:t>
      </w:r>
      <w:r>
        <w:t xml:space="preserve">were not treated as iid replicates.</w:t>
      </w:r>
      <w:r>
        <w:t xml:space="preserve"> </w:t>
      </w:r>
      <w:r>
        <w:t xml:space="preserve">The 36 classes are induced by a specific operational interface: width 32, eight updates, periodic</w:t>
      </w:r>
      <w:r>
        <w:t xml:space="preserve"> </w:t>
      </w:r>
      <w:r>
        <w:t xml:space="preserve">trajectories from, in order, the single-center and alternating probes, with final density followed by</w:t>
      </w:r>
      <w:r>
        <w:t xml:space="preserve"> </w:t>
      </w:r>
      <w:r>
        <w:t xml:space="preserve">whole-trajectory mean density for each probe. Quantizer boundaries</w:t>
      </w:r>
      <w:r>
        <w:t xml:space="preserve"> </w:t>
      </w:r>
      <m:oMath>
        <m:r>
          <m:t>0.125</m:t>
        </m:r>
        <m:r>
          <m:rPr>
            <m:sty m:val="p"/>
          </m:rPr>
          <m:t>,</m:t>
        </m:r>
        <m:r>
          <m:t>0.25</m:t>
        </m:r>
        <m:r>
          <m:rPr>
            <m:sty m:val="p"/>
          </m:rPr>
          <m:t>,</m:t>
        </m:r>
        <m:r>
          <m:t>0.5</m:t>
        </m:r>
        <m:r>
          <m:rPr>
            <m:sty m:val="p"/>
          </m:rPr>
          <m:t>,</m:t>
        </m:r>
        <m:r>
          <m:t>0.75</m:t>
        </m:r>
        <m:r>
          <m:rPr>
            <m:sty m:val="p"/>
          </m:rPr>
          <m:t>,</m:t>
        </m:r>
        <m:r>
          <m:t>0.875</m:t>
        </m:r>
      </m:oMath>
      <w:r>
        <w:t xml:space="preserve"> </w:t>
      </w:r>
      <w:r>
        <w:t xml:space="preserve">define half-open bins with exact boundary ties assigned to the</w:t>
      </w:r>
      <w:r>
        <w:t xml:space="preserve"> </w:t>
      </w:r>
      <w:r>
        <w:t xml:space="preserve">upper-index bin; a missing value would use code</w:t>
      </w:r>
      <w:r>
        <w:t xml:space="preserve"> </w:t>
      </w:r>
      <m:oMath>
        <m:r>
          <m:rPr>
            <m:sty m:val="p"/>
          </m:rPr>
          <m:t>−</m:t>
        </m:r>
        <m:r>
          <m:t>32768</m:t>
        </m:r>
      </m:oMath>
      <w:r>
        <w:t xml:space="preserve">. The four signed 16-bit bin codes and</w:t>
      </w:r>
      <w:r>
        <w:t xml:space="preserve"> </w:t>
      </w:r>
      <w:r>
        <w:t xml:space="preserve">canonical full specification header are serialized under</w:t>
      </w:r>
      <w:r>
        <w:t xml:space="preserve"> </w:t>
      </w:r>
      <w:r>
        <w:rPr>
          <w:rStyle w:val="VerbatimChar"/>
        </w:rPr>
        <w:t xml:space="preserve">eca-signature-v1</w:t>
      </w:r>
      <w:r>
        <w:t xml:space="preserve"> </w:t>
      </w:r>
      <w:r>
        <w:t xml:space="preserve">as the magic</w:t>
      </w:r>
      <w:r>
        <w:t xml:space="preserve"> </w:t>
      </w:r>
      <w:r>
        <w:t xml:space="preserve">prefix</w:t>
      </w:r>
      <w:r>
        <w:t xml:space="preserve"> </w:t>
      </w:r>
      <w:r>
        <w:rPr>
          <w:rStyle w:val="VerbatimChar"/>
        </w:rPr>
        <w:t xml:space="preserve">APHFS-SIG\0</w:t>
      </w:r>
      <w:r>
        <w:t xml:space="preserve">, a four-byte little-endian header length, the canonical</w:t>
      </w:r>
      <w:r>
        <w:t xml:space="preserve"> </w:t>
      </w:r>
      <w:r>
        <w:t xml:space="preserve">JSON header, and then the four little-endian signed 16-bit codes; the resulting bytes are hashed</w:t>
      </w:r>
      <w:r>
        <w:t xml:space="preserve"> </w:t>
      </w:r>
      <w:r>
        <w:t xml:space="preserve">with SHA-256. The other three A0 boundary conditions test</w:t>
      </w:r>
      <w:r>
        <w:t xml:space="preserve"> </w:t>
      </w:r>
      <w:r>
        <w:t xml:space="preserve">simulator conformance but do not enter the signature. These are therefore not universal ECA</w:t>
      </w:r>
      <w:r>
        <w:t xml:space="preserve"> </w:t>
      </w:r>
      <w:r>
        <w:t xml:space="preserve">dynamical-equivalence or standard symmetry classes. For a correct implementation, A1’s zero adverse</w:t>
      </w:r>
      <w:r>
        <w:t xml:space="preserve"> </w:t>
      </w:r>
      <w:r>
        <w:t xml:space="preserve">count follows from noiseless generation by an enumerated rule and retention of every exact-zero-loss</w:t>
      </w:r>
      <w:r>
        <w:t xml:space="preserve"> </w:t>
      </w:r>
      <w:r>
        <w:t xml:space="preserve">candidate; its block interval concerns implementation/accounting conformance, while the</w:t>
      </w:r>
      <w:r>
        <w:t xml:space="preserve"> </w:t>
      </w:r>
      <w:r>
        <w:t xml:space="preserve">scientifically informative outcome is the residual operational ambiguity.</w:t>
      </w:r>
    </w:p>
    <w:p>
      <w:pPr>
        <w:widowControl/>
        <w:numPr>
          <w:ilvl w:val="0"/>
          <w:numId w:val="1001"/>
        </w:numPr>
        <w:jc w:val="left"/>
      </w:pPr>
      <w:r>
        <w:rPr>
          <w:b/>
          <w:bCs/>
        </w:rPr>
        <w:t xml:space="preserve">B / inadequacy.</w:t>
      </w:r>
      <w:r>
        <w:t xml:space="preserve"> </w:t>
      </w:r>
      <w:r>
        <w:t xml:space="preserve">B0 returned</w:t>
      </w:r>
      <w:r>
        <w:t xml:space="preserve"> </w:t>
      </w:r>
      <w:r>
        <w:rPr>
          <w:rStyle w:val="VerbatimChar"/>
        </w:rPr>
        <w:t xml:space="preserve">RETAIN_CLASS</w:t>
      </w:r>
      <w:r>
        <w:t xml:space="preserve"> </w:t>
      </w:r>
      <w:r>
        <w:t xml:space="preserve">in all 64 in-class</w:t>
      </w:r>
      <w:r>
        <w:t xml:space="preserve"> </w:t>
      </w:r>
      <w:r>
        <w:t xml:space="preserve">complete-support blocks, with class minimum lower bound zero and no false</w:t>
      </w:r>
      <w:r>
        <w:t xml:space="preserve"> </w:t>
      </w:r>
      <w:r>
        <w:rPr>
          <w:rStyle w:val="VerbatimChar"/>
        </w:rPr>
        <w:t xml:space="preserve">MODEL_CLASS_INADEQUATE</w:t>
      </w:r>
      <w:r>
        <w:t xml:space="preserve"> </w:t>
      </w:r>
      <w:r>
        <w:t xml:space="preserve">decision. B1 returned</w:t>
      </w:r>
      <w:r>
        <w:t xml:space="preserve"> </w:t>
      </w:r>
      <w:r>
        <w:rPr>
          <w:rStyle w:val="VerbatimChar"/>
        </w:rPr>
        <w:t xml:space="preserve">MODEL_CLASS_INADEQUATE</w:t>
      </w:r>
      <w:r>
        <w:t xml:space="preserve"> </w:t>
      </w:r>
      <w:r>
        <w:t xml:space="preserve">in all 64 complete radius-two blocks; every</w:t>
      </w:r>
      <w:r>
        <w:t xml:space="preserve"> </w:t>
      </w:r>
      <w:r>
        <w:t xml:space="preserve">registered class minimum lower bound was</w:t>
      </w:r>
      <w:r>
        <w:t xml:space="preserve"> </w:t>
      </w:r>
      <m:oMath>
        <m:r>
          <m:t>0.5</m:t>
        </m:r>
      </m:oMath>
      <w:r>
        <w:t xml:space="preserve">, above the frozen threshold</w:t>
      </w:r>
      <w:r>
        <w:t xml:space="preserve"> </w:t>
      </w:r>
      <m:oMath>
        <m:r>
          <m:t>0.2</m:t>
        </m:r>
      </m:oMath>
      <w:r>
        <w:t xml:space="preserve">. B1 is a</w:t>
      </w:r>
      <w:r>
        <w:t xml:space="preserve"> </w:t>
      </w:r>
      <w:r>
        <w:t xml:space="preserve">constructed distinguishable out-of-class family: its outer-XOR construction makes every radius-one</w:t>
      </w:r>
      <w:r>
        <w:t xml:space="preserve"> </w:t>
      </w:r>
      <w:r>
        <w:t xml:space="preserve">candidate disagree on exactly half of the complete 32-row support. B0’s truth candidate has exact</w:t>
      </w:r>
      <w:r>
        <w:t xml:space="preserve"> </w:t>
      </w:r>
      <w:r>
        <w:t xml:space="preserve">loss zero. Because the registered classes in these gates are singletons, class minima equal exact</w:t>
      </w:r>
      <w:r>
        <w:t xml:space="preserve"> </w:t>
      </w:r>
      <w:r>
        <w:t xml:space="preserve">candidate losses; neither a non-singleton aggregation nor the general repeated-look radius was</w:t>
      </w:r>
      <w:r>
        <w:t xml:space="preserve"> </w:t>
      </w:r>
      <w:r>
        <w:t xml:space="preserve">exercised. The 64 role-derived repetitions are gate/ledger conformance checks, not evidence that</w:t>
      </w:r>
      <w:r>
        <w:t xml:space="preserve"> </w:t>
      </w:r>
      <w:r>
        <w:t xml:space="preserve">APHFS detects arbitrary model misspecification.</w:t>
      </w:r>
    </w:p>
    <w:p>
      <w:pPr>
        <w:widowControl/>
        <w:numPr>
          <w:ilvl w:val="0"/>
          <w:numId w:val="1001"/>
        </w:numPr>
      </w:pPr>
      <w:r>
        <w:rPr>
          <w:b/>
          <w:bCs/>
        </w:rPr>
        <w:t xml:space="preserve">C / formula and domain conformance.</w:t>
      </w:r>
      <w:r>
        <w:t xml:space="preserve"> </w:t>
      </w:r>
      <w:r>
        <w:t xml:space="preserve">All nine registered cases had zero bound</w:t>
      </w:r>
      <w:r>
        <w:t xml:space="preserve"> </w:t>
      </w:r>
      <w:r>
        <w:t xml:space="preserve">violations and zero domain exits. The largest raw absolute reference–candidate discrepancy was</w:t>
      </w:r>
      <w:r>
        <w:t xml:space="preserve"> </w:t>
      </w:r>
      <m:oMath>
        <m:r>
          <m:t>0.16618718314740488</m:t>
        </m:r>
      </m:oMath>
      <w:r>
        <w:t xml:space="preserve"> </w:t>
      </w:r>
      <w:r>
        <w:t xml:space="preserve">and is meaningful only relative to its registered bound. A smallest</w:t>
      </w:r>
      <w:r>
        <w:t xml:space="preserve"> </w:t>
      </w:r>
      <w:r>
        <w:t xml:space="preserve">margin near</w:t>
      </w:r>
      <w:r>
        <w:t xml:space="preserve"> </w:t>
      </w:r>
      <m:oMath>
        <m:r>
          <m:rPr>
            <m:sty m:val="p"/>
          </m:rPr>
          <m:t>−</m:t>
        </m:r>
        <m:sSup>
          <m:e>
            <m:r>
              <m:t>10</m:t>
            </m:r>
          </m:e>
          <m:sup>
            <m:r>
              <m:rPr>
                <m:sty m:val="p"/>
              </m:rPr>
              <m:t>−</m:t>
            </m:r>
            <m:r>
              <m:t>16</m:t>
            </m:r>
          </m:sup>
        </m:sSup>
      </m:oMath>
      <w:r>
        <w:t xml:space="preserve"> </w:t>
      </w:r>
      <w:r>
        <w:t xml:space="preserve">remained within the frozen</w:t>
      </w:r>
      <w:r>
        <w:t xml:space="preserve"> </w:t>
      </w:r>
      <m:oMath>
        <m:sSup>
          <m:e>
            <m:r>
              <m:t>10</m:t>
            </m:r>
          </m:e>
          <m:sup>
            <m:r>
              <m:rPr>
                <m:sty m:val="p"/>
              </m:rPr>
              <m:t>−</m:t>
            </m:r>
            <m:r>
              <m:t>12</m:t>
            </m:r>
          </m:sup>
        </m:sSup>
      </m:oMath>
      <w:r>
        <w:t xml:space="preserve"> </w:t>
      </w:r>
      <w:r>
        <w:t xml:space="preserve">comparison tolerance and did</w:t>
      </w:r>
      <w:r>
        <w:t xml:space="preserve"> </w:t>
      </w:r>
      <w:r>
        <w:t xml:space="preserve">not change a protected decision. This is a nine-case implementation audit, not a universal</w:t>
      </w:r>
      <w:r>
        <w:t xml:space="preserve"> </w:t>
      </w:r>
      <w:r>
        <w:t xml:space="preserve">numerical-accuracy result.</w:t>
      </w:r>
    </w:p>
    <w:p>
      <w:pPr>
        <w:widowControl/>
        <w:numPr>
          <w:ilvl w:val="0"/>
          <w:numId w:val="1001"/>
        </w:numPr>
        <w:jc w:val="left"/>
      </w:pPr>
      <w:r>
        <w:rPr>
          <w:b/>
          <w:bCs/>
        </w:rPr>
        <w:t xml:space="preserve">D / coarse dynamics.</w:t>
      </w:r>
      <w:r>
        <w:t xml:space="preserve"> </w:t>
      </w:r>
      <w:r>
        <w:t xml:space="preserve">D0 reproduced Rule 204 full-microstate identity. In the</w:t>
      </w:r>
      <w:r>
        <w:t xml:space="preserve"> </w:t>
      </w:r>
      <w:r>
        <w:t xml:space="preserve">registered Rule 90 non-closure witness, microstates</w:t>
      </w:r>
      <w:r>
        <w:t xml:space="preserve"> </w:t>
      </w:r>
      <m:oMath>
        <m:r>
          <m:rPr>
            <m:sty m:val="p"/>
          </m:rPr>
          <m:t>[</m:t>
        </m:r>
        <m:r>
          <m:t>1</m:t>
        </m:r>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0</m:t>
        </m:r>
        <m:r>
          <m:rPr>
            <m:sty m:val="p"/>
          </m:rPr>
          <m:t>,</m:t>
        </m:r>
        <m:r>
          <m:t>1</m:t>
        </m:r>
        <m:r>
          <m:rPr>
            <m:sty m:val="p"/>
          </m:rPr>
          <m:t>,</m:t>
        </m:r>
        <m:r>
          <m:t>0</m:t>
        </m:r>
        <m:r>
          <m:rPr>
            <m:sty m:val="p"/>
          </m:rPr>
          <m:t>]</m:t>
        </m:r>
      </m:oMath>
      <w:r>
        <w:t xml:space="preserve"> </w:t>
      </w:r>
      <w:r>
        <w:t xml:space="preserve">both had</w:t>
      </w:r>
      <w:r>
        <w:t xml:space="preserve"> </w:t>
      </w:r>
      <w:r>
        <w:t xml:space="preserve">current density</w:t>
      </w:r>
      <w:r>
        <w:t xml:space="preserve"> </w:t>
      </w:r>
      <m:oMath>
        <m:r>
          <m:t>0.5</m:t>
        </m:r>
      </m:oMath>
      <w:r>
        <w:t xml:space="preserve">, but their next densities were</w:t>
      </w:r>
      <w:r>
        <w:t xml:space="preserve"> </w:t>
      </w:r>
      <m:oMath>
        <m:r>
          <m:t>1</m:t>
        </m:r>
      </m:oMath>
      <w:r>
        <w:t xml:space="preserve"> </w:t>
      </w:r>
      <w:r>
        <w:t xml:space="preserve">and</w:t>
      </w:r>
      <w:r>
        <w:t xml:space="preserve"> </w:t>
      </w:r>
      <m:oMath>
        <m:r>
          <m:t>0</m:t>
        </m:r>
      </m:oMath>
      <w:r>
        <w:t xml:space="preserve">, respectively. D2-MEM</w:t>
      </w:r>
      <w:r>
        <w:t xml:space="preserve"> </w:t>
      </w:r>
      <w:r>
        <w:t xml:space="preserve">completed the four-state two-bit census with coarse sequences</w:t>
      </w:r>
      <w:r>
        <w:t xml:space="preserve"> </w:t>
      </w:r>
      <m:oMath>
        <m:r>
          <m:t>0000</m:t>
        </m:r>
      </m:oMath>
      <w:r>
        <w:t xml:space="preserve">,</w:t>
      </w:r>
      <w:r>
        <w:t xml:space="preserve"> </w:t>
      </w:r>
      <m:oMath>
        <m:r>
          <m:t>0101</m:t>
        </m:r>
      </m:oMath>
      <w:r>
        <w:t xml:space="preserve">,</w:t>
      </w:r>
      <w:r>
        <w:t xml:space="preserve"> </w:t>
      </w:r>
      <m:oMath>
        <m:r>
          <m:t>1010</m:t>
        </m:r>
      </m:oMath>
      <w:r>
        <w:t xml:space="preserve">, and</w:t>
      </w:r>
      <w:r>
        <w:t xml:space="preserve"> </w:t>
      </w:r>
      <m:oMath>
        <m:r>
          <m:t>1111</m:t>
        </m:r>
      </m:oMath>
      <w:r>
        <w:t xml:space="preserve">; lag 0 was ambiguous and lag 1 was exact. The previously granted Rule 170 certificate,</w:t>
      </w:r>
      <w:r>
        <w:t xml:space="preserve"> </w:t>
      </w:r>
      <w:r>
        <w:t xml:space="preserve">subsequently approved through the documented calibration-review step, entered a D2-CERT</w:t>
      </w:r>
      <w:r>
        <w:t xml:space="preserve"> </w:t>
      </w:r>
      <w:r>
        <w:t xml:space="preserve">machinery-conformance audit on a provably closed map. Under periodic boundaries Rule 170 is a</w:t>
      </w:r>
      <w:r>
        <w:t xml:space="preserve"> </w:t>
      </w:r>
      <w:r>
        <w:t xml:space="preserve">cyclic shift, so global density is preserved for every binary state and time. The certificate was</w:t>
      </w:r>
      <w:r>
        <w:t xml:space="preserve"> </w:t>
      </w:r>
      <w:r>
        <w:t xml:space="preserve">not contradicted by the D2-CERT locked audit:</w:t>
      </w:r>
      <w:r>
        <w:t xml:space="preserve"> </w:t>
      </w:r>
      <w:r>
        <w:t xml:space="preserve">zero violations among 64 yielded locked lower endpoint zero and did not trigger withdrawal. The</w:t>
      </w:r>
      <w:r>
        <w:t xml:space="preserve"> </w:t>
      </w:r>
      <w:r>
        <w:t xml:space="preserve">exact machine status is</w:t>
      </w:r>
      <w:r>
        <w:t xml:space="preserve"> </w:t>
      </w:r>
      <w:r>
        <w:rPr>
          <w:rStyle w:val="VerbatimChar"/>
        </w:rPr>
        <w:t xml:space="preserve">NOT_CONTRADICTED_BY_LOCKED_AUDIT</w:t>
      </w:r>
      <w:r>
        <w:t xml:space="preserve">. This exercises the</w:t>
      </w:r>
      <w:r>
        <w:t xml:space="preserve"> </w:t>
      </w:r>
      <w:r>
        <w:t xml:space="preserve">certificate state machine, paired simulators, fidelity checks, and role separation; it does not use</w:t>
      </w:r>
      <w:r>
        <w:t xml:space="preserve"> </w:t>
      </w:r>
      <w:r>
        <w:t xml:space="preserve">64 blocks to estimate whether the density identity is true, and the locked result did not grant,</w:t>
      </w:r>
      <w:r>
        <w:t xml:space="preserve"> </w:t>
      </w:r>
      <w:r>
        <w:t xml:space="preserve">prove, or universally validate a new certificate.</w:t>
      </w:r>
    </w:p>
    <w:p>
      <w:pPr>
        <w:widowControl/>
        <w:numPr>
          <w:ilvl w:val="0"/>
          <w:numId w:val="1001"/>
        </w:numPr>
      </w:pPr>
      <w:r>
        <w:rPr>
          <w:b/>
          <w:bCs/>
        </w:rPr>
        <w:t xml:space="preserve">E / policy agreement and cost.</w:t>
      </w:r>
      <w:r>
        <w:t xml:space="preserve"> </w:t>
      </w:r>
      <w:r>
        <w:t xml:space="preserve">All four policies matched exhaustive search on the</w:t>
      </w:r>
      <w:r>
        <w:t xml:space="preserve"> </w:t>
      </w:r>
      <w:r>
        <w:t xml:space="preserve">final decision, best valid candidate, and failure status in all 64 blocks. The frozen meter recorded</w:t>
      </w:r>
      <w:r>
        <w:t xml:space="preserve"> </w:t>
      </w:r>
      <w:r>
        <w:t xml:space="preserve">no unbilled loss access or budget overrun. Both</w:t>
      </w:r>
      <w:r>
        <w:t xml:space="preserve"> </w:t>
      </w:r>
      <w:r>
        <w:rPr>
          <w:rStyle w:val="VerbatimChar"/>
        </w:rPr>
        <w:t xml:space="preserve">fixed_order</w:t>
      </w:r>
      <w:r>
        <w:t xml:space="preserve"> </w:t>
      </w:r>
      <w:r>
        <w:t xml:space="preserve">and</w:t>
      </w:r>
      <w:r>
        <w:t xml:space="preserve"> </w:t>
      </w:r>
      <w:r>
        <w:rPr>
          <w:rStyle w:val="VerbatimChar"/>
        </w:rPr>
        <w:t xml:space="preserve">development_frozen_order</w:t>
      </w:r>
      <w:r>
        <w:t xml:space="preserve"> </w:t>
      </w:r>
      <w:r>
        <w:t xml:space="preserve">are distinct permutations of the same 256 candidates, obtained</w:t>
      </w:r>
      <w:r>
        <w:t xml:space="preserve"> </w:t>
      </w:r>
      <w:r>
        <w:t xml:space="preserve">before protected execution by sorting differently salted SHA-256 digests; neither is a scientific</w:t>
      </w:r>
      <w:r>
        <w:t xml:space="preserve"> </w:t>
      </w:r>
      <w:r>
        <w:t xml:space="preserve">prior or a learned ranking. All policies used the same per-block complete truth-table observation</w:t>
      </w:r>
      <w:r>
        <w:t xml:space="preserve"> </w:t>
      </w:r>
      <w:r>
        <w:t xml:space="preserve">stream. The no-unbilled-access statement is bounded to the frozen instrumented code path and</w:t>
      </w:r>
      <w:r>
        <w:t xml:space="preserve"> </w:t>
      </w:r>
      <w:r>
        <w:t xml:space="preserve">retained trace; it does not claim to rule out a hypothetical external cache outside that interface.</w:t>
      </w:r>
      <w:r>
        <w:t xml:space="preserve"> </w:t>
      </w:r>
      <w:r>
        <w:t xml:space="preserve">Total registered cost units were 132,096 for exhaustive, 75,080 for</w:t>
      </w:r>
      <w:r>
        <w:t xml:space="preserve"> </w:t>
      </w:r>
      <w:r>
        <w:rPr>
          <w:rStyle w:val="VerbatimChar"/>
        </w:rPr>
        <w:t xml:space="preserve">fixed_order</w:t>
      </w:r>
      <w:r>
        <w:t xml:space="preserve">, 89,816 for</w:t>
      </w:r>
      <w:r>
        <w:t xml:space="preserve"> </w:t>
      </w:r>
      <w:r>
        <w:rPr>
          <w:rStyle w:val="VerbatimChar"/>
        </w:rPr>
        <w:t xml:space="preserve">development_frozen_order</w:t>
      </w:r>
      <w:r>
        <w:t xml:space="preserve">, and 92,592 for adaptive fidelity.</w:t>
      </w:r>
      <w:r>
        <w:t xml:space="preserve"> </w:t>
      </w:r>
      <w:r>
        <w:t xml:space="preserve">Relative to exhaustive, these were 43.16%, 32.01%, and 29.91% lower for fixed order,</w:t>
      </w:r>
      <w:r>
        <w:t xml:space="preserve"> </w:t>
      </w:r>
      <w:r>
        <w:t xml:space="preserve">development-frozen order, and adaptive fidelity, respectively. The immutable policy labeled</w:t>
      </w:r>
      <w:r>
        <w:t xml:space="preserve"> </w:t>
      </w:r>
      <w:r>
        <w:rPr>
          <w:rStyle w:val="VerbatimChar"/>
        </w:rPr>
        <w:t xml:space="preserve">fixed_order</w:t>
      </w:r>
      <w:r>
        <w:t xml:space="preserve"> </w:t>
      </w:r>
      <w:r>
        <w:t xml:space="preserve">was cheapest on this constructed workload and registered bookkeeping map.</w:t>
      </w:r>
      <w:r>
        <w:t xml:space="preserve"> </w:t>
      </w:r>
      <w:r>
        <w:t xml:space="preserve">Adaptive fidelity did not win this finite grammar and carried about</w:t>
      </w:r>
      <w:r>
        <w:t xml:space="preserve"> </w:t>
      </w:r>
      <w:r>
        <w:t xml:space="preserve">23.32% more cost than fixed order and about 3.09% more than the development-frozen order. The</w:t>
      </w:r>
      <w:r>
        <w:t xml:space="preserve"> </w:t>
      </w:r>
      <w:r>
        <w:t xml:space="preserve">units are not wall-clock time, and this comparison supports neither a universal ordering policy nor</w:t>
      </w:r>
      <w:r>
        <w:t xml:space="preserve"> </w:t>
      </w:r>
      <w:r>
        <w:t xml:space="preserve">a rejection of multifidelity methods.</w:t>
      </w:r>
    </w:p>
    <w:p>
      <w:pPr>
        <w:widowControl/>
        <w:numPr>
          <w:ilvl w:val="0"/>
          <w:numId w:val="1001"/>
        </w:numPr>
      </w:pPr>
      <w:r>
        <w:rPr>
          <w:b/>
          <w:bCs/>
        </w:rPr>
        <w:t xml:space="preserve">F0 / known-template conformance.</w:t>
      </w:r>
      <w:r>
        <w:t xml:space="preserve"> </w:t>
      </w:r>
      <w:r>
        <w:t xml:space="preserve">The 64 project-defined Rule 54/110 fixture blocks</w:t>
      </w:r>
      <w:r>
        <w:t xml:space="preserve"> </w:t>
      </w:r>
      <w:r>
        <w:t xml:space="preserve">comprised 32 clean translations, 16 single-cell perturbations, and 16 negative controls. These</w:t>
      </w:r>
      <w:r>
        <w:t xml:space="preserve"> </w:t>
      </w:r>
      <w:r>
        <w:t xml:space="preserve">realized strata are descriptive. Clean similarity was 1; perturbation similarity was</w:t>
      </w:r>
      <w:r>
        <w:t xml:space="preserve"> </w:t>
      </w:r>
      <w:r>
        <w:t xml:space="preserve">0.9987980769230769; and negative-control similarity ranged from</w:t>
      </w:r>
      <w:r>
        <w:t xml:space="preserve"> </w:t>
      </w:r>
      <w:r>
        <w:t xml:space="preserve">0.5108173076923077 to 0.5540865384615384. Positive cases replay project-defined registered</w:t>
      </w:r>
      <w:r>
        <w:t xml:space="preserve"> </w:t>
      </w:r>
      <w:r>
        <w:t xml:space="preserve">whole-trajectory templates and negative controls use a project-defined digest construction. F0</w:t>
      </w:r>
      <w:r>
        <w:t xml:space="preserve"> </w:t>
      </w:r>
      <w:r>
        <w:t xml:space="preserve">therefore remains constructed known-fixture conformance, not velocity, lifetime, held-out</w:t>
      </w:r>
      <w:r>
        <w:t xml:space="preserve"> </w:t>
      </w:r>
      <w:r>
        <w:t xml:space="preserve">prediction, persistent-structure detection, literature-seed reproduction, or novel discovery.</w:t>
      </w:r>
    </w:p>
    <w:bookmarkStart w:id="94" w:name="tab:cost-components"/>
    <w:p>
      <w:pPr>
        <w:pStyle w:val="TableCaption"/>
        <w:widowControl/>
      </w:pPr>
      <w:r>
        <w:t>Table 12. Exact Benchmark E registered bookkeeping-cost composition. The five billed components sum to each immutable total; retry/other was zero for every policy. The two static orders are distinct prespecified salted-SHA-256 pseudo-random permutations, and the totals are not wall-clock measurements.</w:t>
      </w:r>
    </w:p>
    <w:tbl>
      <w:tblPr>
        <w:tblStyle w:val="Table"/>
        <w:tblW w:type="dxa" w:w="9360"/>
        <w:jc w:val="left"/>
        <w:tblLayout w:type="fixed"/>
        <w:tblLook w:firstRow="1" w:lastRow="0" w:firstColumn="0" w:lastColumn="0" w:noHBand="0" w:noVBand="0" w:val="0020"/>
        <w:tblCaption w:val="Exact Benchmark E registered bookkeeping-cost composition. The five billed components sum to each immutable total; retry/other was zero for every policy. The two static orders are distinct prespecified salted-SHA-256 pseudo-random permutations, and the totals are not wall-clock measurement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350"/>
        <w:gridCol w:w="1350"/>
        <w:gridCol w:w="1350"/>
        <w:gridCol w:w="1250"/>
        <w:gridCol w:w="1350"/>
        <w:gridCol w:w="1450"/>
        <w:gridCol w:w="1260"/>
      </w:tblGrid>
      <w:tr>
        <w:trPr>
          <w:tblHeader w:val="on"/>
          <w:cantSplit/>
        </w:trPr>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Policy</w:t>
            </w:r>
          </w:p>
        </w:tc>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Candidate</w:t>
            </w:r>
          </w:p>
        </w:tc>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Ordering</w:t>
            </w:r>
          </w:p>
        </w:tc>
        <w:tc>
          <w:tcPr>
            <w:tcW w:type="dxa" w:w="12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Probes</w:t>
            </w:r>
          </w:p>
        </w:tc>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Reference</w:t>
            </w:r>
          </w:p>
        </w:tc>
        <w:tc>
          <w:tcPr>
            <w:tcW w:type="dxa" w:w="14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Retry/other</w:t>
            </w:r>
          </w:p>
        </w:tc>
        <w:tc>
          <w:tcPr>
            <w:tcW w:type="dxa" w:w="12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Total</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4"/>
              </w:rPr>
              <w:t xml:space="preserve">fixed_order</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57,672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16,384</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75,080</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4"/>
              </w:rPr>
              <w:t xml:space="preserve">development_frozen_order</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72,408</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16,384</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89,816</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Adaptive fidelity</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70,360</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16,384</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5,336</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92,592</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Exhaustive</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131,072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132,096</w:t>
            </w:r>
          </w:p>
        </w:tc>
      </w:tr>
    </w:tbl>
    <w:bookmarkEnd w:id="94"/>
    <w:p>
      <w:pPr>
        <w:widowControl/>
      </w:pPr>
    </w:p>
    <w:bookmarkStart w:id="95" w:name="tab:a1-ambiguity"/>
    <w:p>
      <w:pPr>
        <w:pStyle w:val="TableCaption"/>
        <w:widowControl/>
      </w:pPr>
      <w:r>
        <w:t>Table 13. A1 retained ambiguity. Every block retained the registered data-generating rule; multiplicity records honest non-identifiability under the finite observation interface.</w:t>
      </w:r>
    </w:p>
    <w:tbl>
      <w:tblPr>
        <w:tblStyle w:val="Table"/>
        <w:tblW w:type="dxa" w:w="9360"/>
        <w:jc w:val="left"/>
        <w:tblLayout w:type="fixed"/>
        <w:tblLook w:firstRow="1" w:lastRow="0" w:firstColumn="0" w:lastColumn="0" w:noHBand="0" w:noVBand="0" w:val="0020"/>
        <w:tblCaption w:val="A1 retained ambiguity. Every block retained the registered data-generating rule; multiplicity records honest non-identifiability under the finite observation interface."/>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3100"/>
        <w:gridCol w:w="2100"/>
        <w:gridCol w:w="4160"/>
      </w:tblGrid>
      <w:tr>
        <w:trPr>
          <w:tblHeader w:val="on"/>
          <w:cantSplit/>
        </w:trPr>
        <w:tc>
          <w:tcPr>
            <w:tcW w:type="dxa" w:w="31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Retained object</w:t>
            </w:r>
          </w:p>
        </w:tc>
        <w:tc>
          <w:tcPr>
            <w:tcW w:type="dxa" w:w="21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Multiplicity</w:t>
            </w:r>
          </w:p>
        </w:tc>
        <w:tc>
          <w:tcPr>
            <w:tcW w:type="dxa" w:w="41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Number of blocks</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Candidate</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59</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Candidate</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Signature class</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61</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Signature class</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3</w:t>
            </w:r>
          </w:p>
        </w:tc>
      </w:tr>
    </w:tbl>
    <w:bookmarkEnd w:id="95"/>
    <w:p>
      <w:pPr>
        <w:widowControl/>
      </w:pPr>
    </w:p>
    <w:bookmarkStart w:id="96" w:name="tab:f0-strata"/>
    <w:p>
      <w:pPr>
        <w:pStyle w:val="TableCaption"/>
        <w:widowControl/>
      </w:pPr>
      <w:r>
        <w:t>Table 14. Descriptive F0 known-template strata. These are not separate inferential endpoints.</w:t>
      </w:r>
    </w:p>
    <w:tbl>
      <w:tblPr>
        <w:tblStyle w:val="Table"/>
        <w:tblW w:type="dxa" w:w="9360"/>
        <w:jc w:val="left"/>
        <w:tblLayout w:type="fixed"/>
        <w:tblLook w:firstRow="1" w:lastRow="0" w:firstColumn="0" w:lastColumn="0" w:noHBand="0" w:noVBand="0" w:val="0020"/>
        <w:tblCaption w:val="Descriptive F0 known-template strata. These are not separate inferential endpoint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3100"/>
        <w:gridCol w:w="1800"/>
        <w:gridCol w:w="4460"/>
      </w:tblGrid>
      <w:tr>
        <w:trPr>
          <w:tblHeader w:val="on"/>
          <w:cantSplit/>
        </w:trPr>
        <w:tc>
          <w:tcPr>
            <w:tcW w:type="dxa" w:w="31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Stratum</w:t>
            </w:r>
          </w:p>
        </w:tc>
        <w:tc>
          <w:tcPr>
            <w:tcW w:type="dxa" w:w="18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Blocks</w:t>
            </w:r>
          </w:p>
        </w:tc>
        <w:tc>
          <w:tcPr>
            <w:tcW w:type="dxa" w:w="44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Similarity</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Registered translation</w:t>
            </w:r>
          </w:p>
        </w:tc>
        <w:tc>
          <w:tcPr>
            <w:tcW w:type="dxa" w:w="1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32</w:t>
            </w:r>
          </w:p>
        </w:tc>
        <w:tc>
          <w:tcPr>
            <w:tcW w:type="dxa" w:w="4460"/>
            <w:vAlign w:val="center"/>
            <w:tcMar>
              <w:top w:w="80" w:type="dxa"/>
              <w:start w:w="120" w:type="dxa"/>
              <w:bottom w:w="80" w:type="dxa"/>
              <w:end w:w="120" w:type="dxa"/>
            </w:tcMar>
          </w:tcPr>
          <w:p>
            <w:pPr>
              <w:pStyle w:val="Compact"/>
              <w:keepLines/>
              <w:widowControl/>
              <w:spacing w:before="0" w:after="0" w:line="240" w:lineRule="auto"/>
              <w:jc w:val="center"/>
            </w:pPr>
            <m:oMath>
              <m:r>
                <m:t>1</m:t>
              </m:r>
            </m:oMath>
            <w:r>
              <w:rPr>
                <w:rFonts w:ascii="Calibri" w:hAnsi="Calibri" w:eastAsia="Calibri" w:cs="Calibri"/>
                <w:b w:val="0"/>
                <w:color w:val="151515"/>
                <w:sz w:val="16"/>
              </w:rPr>
              <w:t xml:space="preserve">​</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Single-cell perturbation</w:t>
            </w:r>
          </w:p>
        </w:tc>
        <w:tc>
          <w:tcPr>
            <w:tcW w:type="dxa" w:w="1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16</w:t>
            </w:r>
          </w:p>
        </w:tc>
        <w:tc>
          <w:tcPr>
            <w:tcW w:type="dxa" w:w="4460"/>
            <w:vAlign w:val="center"/>
            <w:tcMar>
              <w:top w:w="80" w:type="dxa"/>
              <w:start w:w="120" w:type="dxa"/>
              <w:bottom w:w="80" w:type="dxa"/>
              <w:end w:w="120" w:type="dxa"/>
            </w:tcMar>
          </w:tcPr>
          <w:p>
            <w:pPr>
              <w:pStyle w:val="Compact"/>
              <w:keepLines/>
              <w:widowControl/>
              <w:spacing w:before="0" w:after="0" w:line="240" w:lineRule="auto"/>
              <w:jc w:val="center"/>
            </w:pPr>
            <m:oMath>
              <m:r>
                <m:t>0.9987980769230769</m:t>
              </m:r>
            </m:oMath>
            <w:r>
              <w:rPr>
                <w:rFonts w:ascii="Calibri" w:hAnsi="Calibri" w:eastAsia="Calibri" w:cs="Calibri"/>
                <w:b w:val="0"/>
                <w:color w:val="151515"/>
                <w:sz w:val="16"/>
              </w:rPr>
              <w:t xml:space="preserve">​</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Negative control</w:t>
            </w:r>
          </w:p>
        </w:tc>
        <w:tc>
          <w:tcPr>
            <w:tcW w:type="dxa" w:w="1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16</w:t>
            </w:r>
          </w:p>
        </w:tc>
        <w:tc>
          <w:tcPr>
            <w:tcW w:type="dxa" w:w="4460"/>
            <w:vAlign w:val="center"/>
            <w:tcMar>
              <w:top w:w="80" w:type="dxa"/>
              <w:start w:w="120" w:type="dxa"/>
              <w:bottom w:w="80" w:type="dxa"/>
              <w:end w:w="120" w:type="dxa"/>
            </w:tcMar>
          </w:tcPr>
          <w:p>
            <w:pPr>
              <w:pStyle w:val="Compact"/>
              <w:keepLines/>
              <w:widowControl/>
              <w:spacing w:before="0" w:after="0" w:line="240" w:lineRule="auto"/>
              <w:jc w:val="center"/>
            </w:pPr>
            <m:oMath>
              <m:r>
                <m:t>0.5108173076923077</m:t>
              </m:r>
            </m:oMath>
            <w:r>
              <w:rPr>
                <w:rFonts w:ascii="Calibri" w:hAnsi="Calibri" w:eastAsia="Calibri" w:cs="Calibri"/>
                <w:b w:val="0"/>
                <w:color w:val="151515"/>
                <w:sz w:val="16"/>
              </w:rPr>
              <w:t xml:space="preserve">–</w:t>
            </w:r>
            <m:oMath>
              <m:r>
                <m:t>0.5540865384615384</m:t>
              </m:r>
            </m:oMath>
          </w:p>
        </w:tc>
      </w:tr>
    </w:tbl>
    <w:bookmarkEnd w:id="96"/>
    <w:bookmarkEnd w:id="97"/>
    <w:bookmarkStart w:id="100" w:name="X693672aaabdcdbf8dd01d5a0578c4f15963b4fb"/>
    <w:p>
      <w:pPr>
        <w:pStyle w:val="Heading2"/>
        <w:keepNext/>
        <w:keepLines/>
        <w:widowControl/>
      </w:pPr>
      <w:r>
        <w:t xml:space="preserve">One-time provenance and empty failure ledger</w:t>
      </w:r>
    </w:p>
    <w:p>
      <w:pPr>
        <w:pStyle w:val="FirstParagraph"/>
        <w:widowControl/>
      </w:pPr>
      <w:r>
        <w:t xml:space="preserve">The unique formal command was</w:t>
      </w:r>
      <w:r>
        <w:t xml:space="preserve"> </w:t>
      </w:r>
      <w:r>
        <w:rPr>
          <w:rStyle w:val="VerbatimChar"/>
        </w:rPr>
        <w:t xml:space="preserve">.venv-protected-freeze-v1/bin/python</w:t>
      </w:r>
      <w:r>
        <w:t xml:space="preserve"> </w:t>
      </w:r>
      <w:r>
        <w:rPr>
          <w:rStyle w:val="VerbatimChar"/>
        </w:rPr>
        <w:t xml:space="preserve">-I</w:t>
      </w:r>
      <w:r>
        <w:t xml:space="preserve"> </w:t>
      </w:r>
      <w:r>
        <w:rPr>
          <w:rStyle w:val="VerbatimChar"/>
        </w:rPr>
        <w:t xml:space="preserve">scripts/run_locked_audit_once.py</w:t>
      </w:r>
      <w:r>
        <w:t xml:space="preserve">.</w:t>
      </w:r>
      <w:r>
        <w:t xml:space="preserve"> </w:t>
      </w:r>
      <w:r>
        <w:t xml:space="preserve">It was invoked once, exited with code zero, and recorded a process duration of 12.904217 seconds.</w:t>
      </w:r>
      <w:r>
        <w:t xml:space="preserve"> </w:t>
      </w:r>
      <w:r>
        <w:t xml:space="preserve">The retry flag was false and the permanent guard was retained. Independent read-only recomputation</w:t>
      </w:r>
      <w:r>
        <w:t xml:space="preserve"> </w:t>
      </w:r>
      <w:r>
        <w:t xml:space="preserve">of released safe artifacts reviewed all 718 block records and 452 fidelity records and found zero discrepancy.</w:t>
      </w:r>
      <w:r>
        <w:t xml:space="preserve"> </w:t>
      </w:r>
      <w:r>
        <w:t xml:space="preserve">The scientific engine was not invoked during that recomputation.</w:t>
      </w:r>
    </w:p>
    <w:bookmarkStart w:id="98" w:name="tab:locked-provenance"/>
    <w:p>
      <w:pPr>
        <w:pStyle w:val="TableCaption"/>
        <w:widowControl/>
      </w:pPr>
      <w:r>
        <w:t>Table 15. Safe commitment chain for the first-and-only locked execution. Hashes bind artifacts; they do not disclose role values.</w:t>
      </w:r>
    </w:p>
    <w:tbl>
      <w:tblPr>
        <w:tblStyle w:val="Table"/>
        <w:tblW w:type="dxa" w:w="9360"/>
        <w:jc w:val="left"/>
        <w:tblLayout w:type="fixed"/>
        <w:tblLook w:firstRow="1" w:lastRow="0" w:firstColumn="0" w:lastColumn="0" w:noHBand="0" w:noVBand="0" w:val="0020"/>
        <w:tblCaption w:val="Safe commitment chain for the first-and-only locked execution. Hashes bind artifacts; they do not disclose role value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2900"/>
        <w:gridCol w:w="6460"/>
      </w:tblGrid>
      <w:tr>
        <w:trPr>
          <w:tblHeader w:val="on"/>
          <w:cantSplit/>
        </w:trPr>
        <w:tc>
          <w:tcPr>
            <w:tcW w:type="dxa" w:w="2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Artifact</w:t>
            </w:r>
          </w:p>
        </w:tc>
        <w:tc>
          <w:tcPr>
            <w:tcW w:type="dxa" w:w="646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SHA-256</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Approved final freeze</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ff4313397621301978fe296845b4aebecd30caae771bc880ebfae4d5b6939b4c</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Cumulative non-scientific amendment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af59253b4f8ac9e9c570120712462daed52322b4aab0a57c8a61b7a39cf5b949</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Amendment-review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90d46ec748908d919716190e507b2c1cb3ca2c888900121952954b9e0ba5a450</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Amended runtime inventory</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6ac8077cac3fa61ce05380ec93531fd63b63525ca83045815e9bc69fd77862b1</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Protected runtime environment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4bf6a93516fe3af6c5df828fd1b140812d178f94bb84891e700e015025ed7ed9</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Protocol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5c28bab547056fb188e5e24c9ff3f26aefc5b85117aa01439e362c7f72ad8527</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Configuration</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23da043818dd11ac5a47dfb6a94198af333aa3673d543381f5fcbb9b62a41ed9</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Fidelity contract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24c28988441d9f53beb7976b60e3807ea27e3f38104a99d51af09887a6d9f137</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 result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71bad876e585867a76aa7ab07df4faa60d196220ef4e94e252c13fb6e93e0ad5</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 certificate</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d39f19cc09b091cc41a63123ae8a72055bbe45d354cb0923b2374fd276f30fab</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Calibration-review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c9bc66388d49de797a26ade4fc15892bf3518d7d1db37f1c59776b728d9a7d7a</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 role commitment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c018abe17e6b9f5cbf80997bc03c086746867e1e87a58f0fea90f311a1782596</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Locked-materialization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d549df48c99b711ab5146b930a12aa347804fe4636b3a2e89e68d6404a824325</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Locked-execution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d2a1b18ace63bf83e22e33b171e9c7aa96ac470801cf7c266a7e1f3918ab7303</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 provenance context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8a3299e2b89fe37c125209c6d43d48b624300807c630755d15db6f2244259050</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Exact command commitment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cc09888f1e978ee2836032123278d34d5d00c702707e3dfb99bb8902d57ab97e</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Execution intent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08a09c51de5d1e82dfb026a5b41126ba2373ddd30c6b9d38dcf9f0d372a9ab8b</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Permanent guard</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f16af7237fbb7dd46225864166ba30eb14eb5c2004eddf32573191705cfc4c85</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 result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6fb3f08e48b4d3496e190fbc38b029ee7c15e327c504924f8c03b6e2083aec9c</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Execution receipt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730bfe099a74b1ccfa281e653e9330bf91a5e73c30b24a58cf52dd88028c4766</w:t>
            </w:r>
          </w:p>
        </w:tc>
      </w:tr>
    </w:tbl>
    <w:bookmarkEnd w:id="98"/>
    <w:p>
      <w:pPr>
        <w:pStyle w:val="BodyText"/>
        <w:widowControl/>
      </w:pPr>
      <w:r>
        <w:t xml:space="preserve">These hashes bind the disclosed artifact contents and make later alteration detectable. The</w:t>
      </w:r>
      <w:r>
        <w:t xml:space="preserve"> </w:t>
      </w:r>
      <w:r>
        <w:t xml:space="preserve">original freeze was not anchored to an external trusted timestamp or a public registration</w:t>
      </w:r>
      <w:r>
        <w:t xml:space="preserve"> </w:t>
      </w:r>
      <w:r>
        <w:t xml:space="preserve">service before execution. The chain therefore supports content integrity and internal provenance,</w:t>
      </w:r>
      <w:r>
        <w:t xml:space="preserve"> </w:t>
      </w:r>
      <w:r>
        <w:t xml:space="preserve">not independently verifiable third-party chronology. A future protected study should place its</w:t>
      </w:r>
      <w:r>
        <w:t xml:space="preserve"> </w:t>
      </w:r>
      <w:r>
        <w:t xml:space="preserve">protocol and commitments under an external timestamp or public preregistration before any</w:t>
      </w:r>
      <w:r>
        <w:t xml:space="preserve"> </w:t>
      </w:r>
      <w:r>
        <w:t xml:space="preserve">protected execution.</w:t>
      </w:r>
    </w:p>
    <w:p>
      <w:pPr>
        <w:pStyle w:val="BodyText"/>
        <w:widowControl/>
      </w:pPr>
      <w:r>
        <w:t xml:space="preserve">The immutable failure/indeterminate ledger has the registered columns shown in</w:t>
      </w:r>
      <w:r>
        <w:t xml:space="preserve"> </w:t>
      </w:r>
      <w:r>
        <w:t xml:space="preserve">Table </w:t>
      </w:r>
      <w:hyperlink w:anchor="tab:empty-failure-ledger">
        <w:r>
          <w:rPr>
            <w:rStyle w:val="Hyperlink"/>
          </w:rPr>
          <w:t xml:space="preserve">16</w:t>
        </w:r>
      </w:hyperlink>
      <w:r>
        <w:t xml:space="preserve"> </w:t>
      </w:r>
      <w:r>
        <w:t xml:space="preserve">and zero data rows. Empty means that no such record occurred</w:t>
      </w:r>
      <w:r>
        <w:t xml:space="preserve"> </w:t>
      </w:r>
      <w:r>
        <w:t xml:space="preserve">in the immutable result; it does not mean that a failed row was deleted, imputed, or retried.</w:t>
      </w:r>
    </w:p>
    <w:bookmarkStart w:id="99" w:name="tab:empty-failure-ledger"/>
    <w:p>
      <w:pPr>
        <w:pStyle w:val="TableCaption"/>
        <w:widowControl/>
      </w:pPr>
      <w:r>
        <w:t>Table 16. Complete locked failure/indeterminate ledger.</w:t>
      </w:r>
    </w:p>
    <w:tbl>
      <w:tblPr>
        <w:tblStyle w:val="Table"/>
        <w:tblW w:type="dxa" w:w="9360"/>
        <w:jc w:val="left"/>
        <w:tblLayout w:type="fixed"/>
        <w:tblLook w:firstRow="1" w:lastRow="0" w:firstColumn="0" w:lastColumn="0" w:noHBand="0" w:noVBand="0" w:val="0020"/>
        <w:tblCaption w:val="Complete locked failure/indeterminate ledger."/>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750"/>
        <w:gridCol w:w="1900"/>
        <w:gridCol w:w="1700"/>
        <w:gridCol w:w="2250"/>
        <w:gridCol w:w="1760"/>
      </w:tblGrid>
      <w:tr>
        <w:trPr>
          <w:tblHeader w:val="on"/>
          <w:cantSplit/>
        </w:trPr>
        <w:tc>
          <w:tcPr>
            <w:tcW w:type="dxa" w:w="17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Endpoint</w:t>
            </w:r>
          </w:p>
        </w:tc>
        <w:tc>
          <w:tcPr>
            <w:tcW w:type="dxa" w:w="1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Audit row ID</w:t>
            </w:r>
          </w:p>
        </w:tc>
        <w:tc>
          <w:tcPr>
            <w:tcW w:type="dxa" w:w="17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Source</w:t>
            </w:r>
          </w:p>
        </w:tc>
        <w:tc>
          <w:tcPr>
            <w:tcW w:type="dxa" w:w="22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code</w:t>
            </w:r>
          </w:p>
        </w:tc>
        <w:tc>
          <w:tcPr>
            <w:tcW w:type="dxa" w:w="176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Counts as adverse</w:t>
            </w:r>
          </w:p>
        </w:tc>
      </w:tr>
      <w:tr>
        <w:trPr>
          <w:cantSplit/>
        </w:trPr>
        <w:tc>
          <w:tcPr>
            <w:gridSpan w:val="5"/>
            <w:tcW w:type="dxa" w:w="176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No rows in the immutable first-and-only locked result.</w:t>
            </w:r>
          </w:p>
        </w:tc>
      </w:tr>
    </w:tbl>
    <w:bookmarkEnd w:id="99"/>
    <w:p>
      <w:pPr>
        <w:pStyle w:val="BodyText"/>
        <w:widowControl/>
      </w:pPr>
      <w:r>
        <w:t xml:space="preserve">The safe aggregates establish only conformance and registered machinery behavior in the complete</w:t>
      </w:r>
      <w:r>
        <w:t xml:space="preserve"> </w:t>
      </w:r>
      <w:r>
        <w:t xml:space="preserve">finite 256-rule ECA grammar. They do not establish physical-law discovery, particles, molecules,</w:t>
      </w:r>
      <w:r>
        <w:t xml:space="preserve"> </w:t>
      </w:r>
      <w:r>
        <w:t xml:space="preserve">cells, aging mechanisms, rejuvenation interventions, therapeutic benefit, quantum advantage, or</w:t>
      </w:r>
      <w:r>
        <w:t xml:space="preserve"> </w:t>
      </w:r>
      <w:r>
        <w:t xml:space="preserve">component-level novelty. The biochemical and biological path remains a conditional roadmap.</w:t>
      </w:r>
    </w:p>
    <w:bookmarkEnd w:id="100"/>
    <w:bookmarkStart w:id="102" w:name="falsification-and-withdrawal-matrix"/>
    <w:p>
      <w:pPr>
        <w:pStyle w:val="Heading2"/>
        <w:keepNext/>
        <w:keepLines/>
        <w:pageBreakBefore/>
        <w:widowControl/>
      </w:pPr>
      <w:r>
        <w:t xml:space="preserve">Falsification and withdrawal matrix</w:t>
      </w:r>
    </w:p>
    <w:bookmarkStart w:id="101" w:name="tab:withdraw"/>
    <w:p>
      <w:pPr>
        <w:pStyle w:val="TableCaption"/>
        <w:widowControl/>
      </w:pPr>
      <w:r>
        <w:t>Table 17. Statement-specific withdrawal conditions.</w:t>
      </w:r>
    </w:p>
    <w:tbl>
      <w:tblPr>
        <w:tblStyle w:val="Table"/>
        <w:tblW w:type="dxa" w:w="9360"/>
        <w:jc w:val="left"/>
        <w:tblLayout w:type="fixed"/>
        <w:tblLook w:firstRow="1" w:lastRow="0" w:firstColumn="0" w:lastColumn="0" w:noHBand="0" w:noVBand="0" w:val="0020"/>
        <w:tblCaption w:val="Statement-specific withdrawal condition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850"/>
        <w:gridCol w:w="3900"/>
        <w:gridCol w:w="3610"/>
      </w:tblGrid>
      <w:tr>
        <w:trPr>
          <w:tblHeader w:val="on"/>
          <w:cantSplit/>
        </w:trPr>
        <w:tc>
          <w:tcPr>
            <w:tcW w:type="dxa" w:w="18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Statement</w:t>
            </w:r>
          </w:p>
        </w:tc>
        <w:tc>
          <w:tcPr>
            <w:tcW w:type="dxa" w:w="3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Withdrawal trigger</w:t>
            </w:r>
          </w:p>
        </w:tc>
        <w:tc>
          <w:tcPr>
            <w:tcW w:type="dxa" w:w="361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Required report</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Finite-class oracle bound</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Class, loss, or budget adapted on evaluation data; dependence or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unbounded loss contradicts A1–A3</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 theorem inapplicable; do not patch with a fixed-class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formula.</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Signature partition</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Pairwise tolerance replaces exact serialized equality; quantizer changes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mid-run; finite-probe equality is used for unsafe representative-only evaluation</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Version a new</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partition, recompute every class, and restore candidate-level coverage.</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Class inadequacy</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Any candidate lacks a valid simultaneous lower bound; alpha ledger incomplete;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deduplication changes the estimand</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Return indeterminate, not</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MODEL_CLASS_INADEQUATE</w:t>
            </w:r>
            <w:r>
              <w:rPr>
                <w:rFonts w:ascii="Calibri" w:hAnsi="Calibri" w:eastAsia="Calibri" w:cs="Calibri"/>
                <w:b w:val="0"/>
                <w:color w:val="151515"/>
                <w:sz w:val="16"/>
              </w:rPr>
              <w:t xml:space="preserve">.</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Path/cross-scale bound</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Path leaves registered region; maps fail to type-check; a required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coarse-map Lipschitz constant or commutation-defect domain is missing</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Return</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CROSS_SCALE_BOUND_</w:t>
            </w:r>
            <w:r>
              <w:rPr>
                <w:rStyle w:val="VerbatimChar"/>
                <w:rFonts w:ascii="Calibri" w:hAnsi="Calibri" w:eastAsia="Calibri" w:cs="Calibri"/>
                <w:b w:val="0"/>
                <w:color w:val="151515"/>
                <w:sz w:val="16"/>
              </w:rPr>
              <w:t xml:space="preserve">WITHDRAWN</w:t>
            </w:r>
            <w:r>
              <w:rPr>
                <w:rFonts w:ascii="Calibri" w:hAnsi="Calibri" w:eastAsia="Calibri" w:cs="Calibri"/>
                <w:b w:val="0"/>
                <w:color w:val="151515"/>
                <w:sz w:val="16"/>
              </w:rPr>
              <w:t xml:space="preserve">, report the failed premise and affected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cases, and do not emit a finite cross-scale bound.</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Coarse certificate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 reused for tuning;</w:t>
            </w:r>
            <w:r>
              <w:rPr>
                <w:rFonts w:ascii="Calibri" w:hAnsi="Calibri" w:eastAsia="Calibri" w:cs="Calibri"/>
                <w:b w:val="0"/>
                <w:color w:val="151515"/>
                <w:sz w:val="16"/>
              </w:rPr>
              <w:t xml:space="preserve"> </w:t>
            </w:r>
            <m:oMath>
              <m:r>
                <m:t>Q</m:t>
              </m:r>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shifts without bound; event changes;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locked lower exact bound exceeds</w:t>
            </w:r>
            <w:r>
              <w:rPr>
                <w:rFonts w:ascii="Calibri" w:hAnsi="Calibri" w:eastAsia="Calibri" w:cs="Calibri"/>
                <w:b w:val="0"/>
                <w:color w:val="151515"/>
                <w:sz w:val="16"/>
              </w:rPr>
              <w:t xml:space="preserve"> </w:t>
            </w:r>
            <m:oMath>
              <m:sSub>
                <m:e>
                  <m:r>
                    <m:t>δ</m:t>
                  </m:r>
                </m:e>
                <m:sub>
                  <m:r>
                    <m:rPr>
                      <m:nor/>
                    </m:rPr>
                    <m:t>cert</m:t>
                  </m:r>
                </m:sub>
              </m:sSub>
            </m:oMath>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Withdraw certificate and recalibrate only after new</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registration and authorization.</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Anytime elimination</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Unregistered repeated looks or adaptively added candidates lack weights</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Void affected eliminations and report alpha-budget breach.</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Practical value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Immutable locked artifacts or safe source data fail independent read-only</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recomputation from released safe artifacts,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or a later external-domain study fails</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Preserve the original result and restrict the affected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claim to the reproducible formal or finite-grammar evidence.</w:t>
            </w:r>
          </w:p>
        </w:tc>
      </w:tr>
    </w:tbl>
    <w:bookmarkEnd w:id="101"/>
    <w:bookmarkEnd w:id="102"/>
    <w:bookmarkEnd w:id="103"/>
    <w:bookmarkStart w:id="273" w:name="bibliography"/>
    <w:p>
      <w:pPr>
        <w:pStyle w:val="Heading1"/>
        <w:keepNext/>
        <w:keepLines/>
        <w:pageBreakBefore/>
        <w:widowControl/>
      </w:pPr>
      <w:r>
        <w:t xml:space="preserve">References</w:t>
      </w:r>
    </w:p>
    <w:bookmarkStart w:id="272" w:name="refs"/>
    <w:bookmarkStart w:id="105" w:name="ref-alur2013sygus"/>
    <w:p>
      <w:pPr>
        <w:pStyle w:val="Bibliography"/>
        <w:widowControl/>
      </w:pPr>
      <w:r>
        <w:t xml:space="preserve">Alur, Rajeev, Rastislav Bodik, Garvit Juniwal, et al. 2013.</w:t>
      </w:r>
      <w:r>
        <w:t xml:space="preserve"> </w:t>
      </w:r>
      <w:r>
        <w:t xml:space="preserve">“Syntax-Guided Synthesis.”</w:t>
      </w:r>
      <w:r>
        <w:t xml:space="preserve"> </w:t>
      </w:r>
      <w:r>
        <w:rPr>
          <w:i/>
          <w:iCs/>
        </w:rPr>
        <w:t xml:space="preserve">2013 Formal Methods in Computer-Aided Design</w:t>
      </w:r>
      <w:r>
        <w:t xml:space="preserve">, 1–8.</w:t>
      </w:r>
      <w:r>
        <w:t xml:space="preserve"> </w:t>
      </w:r>
      <w:hyperlink r:id="rId104">
        <w:r>
          <w:rPr>
            <w:rStyle w:val="Hyperlink"/>
          </w:rPr>
          <w:t xml:space="preserve">https://doi.org/10.1109/FMCAD.2013.6679385</w:t>
        </w:r>
      </w:hyperlink>
      <w:r>
        <w:t xml:space="preserve">.</w:t>
      </w:r>
    </w:p>
    <w:bookmarkEnd w:id="105"/>
    <w:bookmarkStart w:id="107" w:name="ref-arrighi2019"/>
    <w:p>
      <w:pPr>
        <w:pStyle w:val="Bibliography"/>
        <w:widowControl/>
      </w:pPr>
      <w:r>
        <w:t xml:space="preserve">Arrighi, Pablo. 2019.</w:t>
      </w:r>
      <w:r>
        <w:t xml:space="preserve"> </w:t>
      </w:r>
      <w:r>
        <w:t xml:space="preserve">“An Overview of Quantum Cellular Automata.”</w:t>
      </w:r>
      <w:r>
        <w:t xml:space="preserve"> </w:t>
      </w:r>
      <w:r>
        <w:rPr>
          <w:i/>
          <w:iCs/>
        </w:rPr>
        <w:t xml:space="preserve">Natural Computing</w:t>
      </w:r>
      <w:r>
        <w:t xml:space="preserve"> </w:t>
      </w:r>
      <w:r>
        <w:t xml:space="preserve">18 (4): 885–99.</w:t>
      </w:r>
      <w:r>
        <w:t xml:space="preserve"> </w:t>
      </w:r>
      <w:hyperlink r:id="rId106">
        <w:r>
          <w:rPr>
            <w:rStyle w:val="Hyperlink"/>
          </w:rPr>
          <w:t xml:space="preserve">https://doi.org/10.1007/s11047-019-09762-6</w:t>
        </w:r>
      </w:hyperlink>
      <w:r>
        <w:t xml:space="preserve">.</w:t>
      </w:r>
    </w:p>
    <w:bookmarkEnd w:id="107"/>
    <w:bookmarkStart w:id="109" w:name="ref-arrighi2011localizability"/>
    <w:p>
      <w:pPr>
        <w:pStyle w:val="Bibliography"/>
        <w:widowControl/>
      </w:pPr>
      <w:r>
        <w:t xml:space="preserve">Arrighi, Pablo, Vincent Nesme, and Reinhard Werner. 2011.</w:t>
      </w:r>
      <w:r>
        <w:t xml:space="preserve"> </w:t>
      </w:r>
      <w:r>
        <w:t xml:space="preserve">“Unitarity Plus Causality Implies Localizability.”</w:t>
      </w:r>
      <w:r>
        <w:t xml:space="preserve"> </w:t>
      </w:r>
      <w:r>
        <w:rPr>
          <w:i/>
          <w:iCs/>
        </w:rPr>
        <w:t xml:space="preserve">Journal of Computer and System Sciences</w:t>
      </w:r>
      <w:r>
        <w:t xml:space="preserve"> </w:t>
      </w:r>
      <w:r>
        <w:t xml:space="preserve">77 (2): 372–78.</w:t>
      </w:r>
      <w:r>
        <w:t xml:space="preserve"> </w:t>
      </w:r>
      <w:hyperlink r:id="rId108">
        <w:r>
          <w:rPr>
            <w:rStyle w:val="Hyperlink"/>
          </w:rPr>
          <w:t xml:space="preserve">https://doi.org/10.1016/j.jcss.2010.05.004</w:t>
        </w:r>
      </w:hyperlink>
      <w:r>
        <w:t xml:space="preserve">.</w:t>
      </w:r>
    </w:p>
    <w:bookmarkEnd w:id="109"/>
    <w:bookmarkStart w:id="111" w:name="ref-babu2004"/>
    <w:p>
      <w:pPr>
        <w:pStyle w:val="Bibliography"/>
        <w:widowControl/>
      </w:pPr>
      <w:r>
        <w:t xml:space="preserve">Babu, Shivnath, Rajeev Motwani, Kamesh Munagala, Itaru Nishizawa, and Jennifer Widom. 2004.</w:t>
      </w:r>
      <w:r>
        <w:t xml:space="preserve"> </w:t>
      </w:r>
      <w:r>
        <w:t xml:space="preserve">“Adaptive Ordering of Pipelined Stream Filters.”</w:t>
      </w:r>
      <w:r>
        <w:t xml:space="preserve"> </w:t>
      </w:r>
      <w:r>
        <w:rPr>
          <w:i/>
          <w:iCs/>
        </w:rPr>
        <w:t xml:space="preserve">Proceedings of SIGMOD 2004</w:t>
      </w:r>
      <w:r>
        <w:t xml:space="preserve">, 407–18.</w:t>
      </w:r>
      <w:r>
        <w:t xml:space="preserve"> </w:t>
      </w:r>
      <w:hyperlink r:id="rId110">
        <w:r>
          <w:rPr>
            <w:rStyle w:val="Hyperlink"/>
          </w:rPr>
          <w:t xml:space="preserve">https://doi.org/10.1145/1007568.1007615</w:t>
        </w:r>
      </w:hyperlink>
      <w:r>
        <w:t xml:space="preserve">.</w:t>
      </w:r>
    </w:p>
    <w:bookmarkEnd w:id="111"/>
    <w:bookmarkStart w:id="113" w:name="ref-barron1991"/>
    <w:p>
      <w:pPr>
        <w:pStyle w:val="Bibliography"/>
        <w:widowControl/>
      </w:pPr>
      <w:r>
        <w:t xml:space="preserve">Barron, Andrew R., and Thomas M. Cover. 1991.</w:t>
      </w:r>
      <w:r>
        <w:t xml:space="preserve"> </w:t>
      </w:r>
      <w:r>
        <w:t xml:space="preserve">“Minimum Complexity Density Estimation.”</w:t>
      </w:r>
      <w:r>
        <w:t xml:space="preserve"> </w:t>
      </w:r>
      <w:r>
        <w:rPr>
          <w:i/>
          <w:iCs/>
        </w:rPr>
        <w:t xml:space="preserve">IEEE Transactions on Information Theory</w:t>
      </w:r>
      <w:r>
        <w:t xml:space="preserve"> </w:t>
      </w:r>
      <w:r>
        <w:t xml:space="preserve">37 (4): 1034–54.</w:t>
      </w:r>
      <w:r>
        <w:t xml:space="preserve"> </w:t>
      </w:r>
      <w:hyperlink r:id="rId112">
        <w:r>
          <w:rPr>
            <w:rStyle w:val="Hyperlink"/>
          </w:rPr>
          <w:t xml:space="preserve">https://doi.org/10.1109/18.86996</w:t>
        </w:r>
      </w:hyperlink>
      <w:r>
        <w:t xml:space="preserve">.</w:t>
      </w:r>
    </w:p>
    <w:bookmarkEnd w:id="113"/>
    <w:bookmarkStart w:id="115" w:name="ref-bell1964"/>
    <w:p>
      <w:pPr>
        <w:pStyle w:val="Bibliography"/>
        <w:widowControl/>
      </w:pPr>
      <w:r>
        <w:t xml:space="preserve">Bell, John S. 1964.</w:t>
      </w:r>
      <w:r>
        <w:t xml:space="preserve"> </w:t>
      </w:r>
      <w:r>
        <w:t xml:space="preserve">“On the Einstein Podolsky Rosen Paradox.”</w:t>
      </w:r>
      <w:r>
        <w:t xml:space="preserve"> </w:t>
      </w:r>
      <w:r>
        <w:rPr>
          <w:i/>
          <w:iCs/>
        </w:rPr>
        <w:t xml:space="preserve">Physics Physique Fizika</w:t>
      </w:r>
      <w:r>
        <w:t xml:space="preserve"> </w:t>
      </w:r>
      <w:r>
        <w:t xml:space="preserve">1 (3): 195–200.</w:t>
      </w:r>
      <w:r>
        <w:t xml:space="preserve"> </w:t>
      </w:r>
      <w:hyperlink r:id="rId114">
        <w:r>
          <w:rPr>
            <w:rStyle w:val="Hyperlink"/>
          </w:rPr>
          <w:t xml:space="preserve">https://doi.org/10.1103/PhysicsPhysiqueFizika.1.195</w:t>
        </w:r>
      </w:hyperlink>
      <w:r>
        <w:t xml:space="preserve">.</w:t>
      </w:r>
    </w:p>
    <w:bookmarkEnd w:id="115"/>
    <w:bookmarkStart w:id="117" w:name="ref-bellman1970identifiability"/>
    <w:p>
      <w:pPr>
        <w:pStyle w:val="Bibliography"/>
        <w:widowControl/>
      </w:pPr>
      <w:r>
        <w:t xml:space="preserve">Bellman, Richard, and Karl J. Åström. 1970.</w:t>
      </w:r>
      <w:r>
        <w:t xml:space="preserve"> </w:t>
      </w:r>
      <w:r>
        <w:t xml:space="preserve">“On Structural Identifiability.”</w:t>
      </w:r>
      <w:r>
        <w:t xml:space="preserve"> </w:t>
      </w:r>
      <w:r>
        <w:rPr>
          <w:i/>
          <w:iCs/>
        </w:rPr>
        <w:t xml:space="preserve">Mathematical Biosciences</w:t>
      </w:r>
      <w:r>
        <w:t xml:space="preserve"> </w:t>
      </w:r>
      <w:r>
        <w:t xml:space="preserve">7 (3–4): 329–39.</w:t>
      </w:r>
      <w:r>
        <w:t xml:space="preserve"> </w:t>
      </w:r>
      <w:hyperlink r:id="rId116">
        <w:r>
          <w:rPr>
            <w:rStyle w:val="Hyperlink"/>
          </w:rPr>
          <w:t xml:space="preserve">https://doi.org/10.1016/0025-5564(70)90132-X</w:t>
        </w:r>
      </w:hyperlink>
      <w:r>
        <w:t xml:space="preserve">.</w:t>
      </w:r>
    </w:p>
    <w:bookmarkEnd w:id="117"/>
    <w:bookmarkStart w:id="119" w:name="ref-bbbv1997"/>
    <w:p>
      <w:pPr>
        <w:pStyle w:val="Bibliography"/>
        <w:widowControl/>
      </w:pPr>
      <w:r>
        <w:t xml:space="preserve">Bennett, Charles H., Ethan Bernstein, Gilles Brassard, and Umesh Vazirani. 1997.</w:t>
      </w:r>
      <w:r>
        <w:t xml:space="preserve"> </w:t>
      </w:r>
      <w:r>
        <w:t xml:space="preserve">“Strengths and Weaknesses of Quantum Computing.”</w:t>
      </w:r>
      <w:r>
        <w:t xml:space="preserve"> </w:t>
      </w:r>
      <w:r>
        <w:rPr>
          <w:i/>
          <w:iCs/>
        </w:rPr>
        <w:t xml:space="preserve">SIAM Journal on Computing</w:t>
      </w:r>
      <w:r>
        <w:t xml:space="preserve"> </w:t>
      </w:r>
      <w:r>
        <w:t xml:space="preserve">26 (5): 1510–23.</w:t>
      </w:r>
      <w:r>
        <w:t xml:space="preserve"> </w:t>
      </w:r>
      <w:hyperlink r:id="rId118">
        <w:r>
          <w:rPr>
            <w:rStyle w:val="Hyperlink"/>
          </w:rPr>
          <w:t xml:space="preserve">https://doi.org/10.1137/S0097539796300933</w:t>
        </w:r>
      </w:hyperlink>
      <w:r>
        <w:t xml:space="preserve">.</w:t>
      </w:r>
    </w:p>
    <w:bookmarkEnd w:id="119"/>
    <w:bookmarkStart w:id="121" w:name="ref-bialynicki1994"/>
    <w:p>
      <w:pPr>
        <w:pStyle w:val="Bibliography"/>
        <w:widowControl/>
      </w:pPr>
      <w:r>
        <w:t xml:space="preserve">Białynicki-Birula, Iwo. 1994.</w:t>
      </w:r>
      <w:r>
        <w:t xml:space="preserve"> </w:t>
      </w:r>
      <w:r>
        <w:t xml:space="preserve">“Weyl, Dirac, and Maxwell Equations on a Lattice as Unitary Cellular Automata.”</w:t>
      </w:r>
      <w:r>
        <w:t xml:space="preserve"> </w:t>
      </w:r>
      <w:r>
        <w:rPr>
          <w:i/>
          <w:iCs/>
        </w:rPr>
        <w:t xml:space="preserve">Physical Review D</w:t>
      </w:r>
      <w:r>
        <w:t xml:space="preserve"> </w:t>
      </w:r>
      <w:r>
        <w:t xml:space="preserve">49 (12): 6920–27.</w:t>
      </w:r>
      <w:r>
        <w:t xml:space="preserve"> </w:t>
      </w:r>
      <w:hyperlink r:id="rId120">
        <w:r>
          <w:rPr>
            <w:rStyle w:val="Hyperlink"/>
          </w:rPr>
          <w:t xml:space="preserve">https://doi.org/10.1103/PhysRevD.49.6920</w:t>
        </w:r>
      </w:hyperlink>
      <w:r>
        <w:t xml:space="preserve">.</w:t>
      </w:r>
    </w:p>
    <w:bookmarkEnd w:id="121"/>
    <w:bookmarkStart w:id="123" w:name="ref-bisio2016light"/>
    <w:p>
      <w:pPr>
        <w:pStyle w:val="Bibliography"/>
        <w:widowControl/>
      </w:pPr>
      <w:r>
        <w:t xml:space="preserve">Bisio, Alessandro, Giacomo Mauro D’Ariano, and Paolo Perinotti. 2016.</w:t>
      </w:r>
      <w:r>
        <w:t xml:space="preserve"> </w:t>
      </w:r>
      <w:r>
        <w:t xml:space="preserve">“Quantum Cellular Automaton Theory of Light.”</w:t>
      </w:r>
      <w:r>
        <w:t xml:space="preserve"> </w:t>
      </w:r>
      <w:r>
        <w:rPr>
          <w:i/>
          <w:iCs/>
        </w:rPr>
        <w:t xml:space="preserve">Annals of Physics</w:t>
      </w:r>
      <w:r>
        <w:t xml:space="preserve"> </w:t>
      </w:r>
      <w:r>
        <w:t xml:space="preserve">368: 177–90.</w:t>
      </w:r>
      <w:r>
        <w:t xml:space="preserve"> </w:t>
      </w:r>
      <w:hyperlink r:id="rId122">
        <w:r>
          <w:rPr>
            <w:rStyle w:val="Hyperlink"/>
          </w:rPr>
          <w:t xml:space="preserve">https://doi.org/10.1016/j.aop.2016.02.009</w:t>
        </w:r>
      </w:hyperlink>
      <w:r>
        <w:t xml:space="preserve">.</w:t>
      </w:r>
    </w:p>
    <w:bookmarkEnd w:id="123"/>
    <w:bookmarkStart w:id="125" w:name="ref-bisio2015dirac"/>
    <w:p>
      <w:pPr>
        <w:pStyle w:val="Bibliography"/>
        <w:widowControl/>
      </w:pPr>
      <w:r>
        <w:t xml:space="preserve">Bisio, Alessandro, Giacomo Mauro D’Ariano, and Alessandro Tosini. 2015.</w:t>
      </w:r>
      <w:r>
        <w:t xml:space="preserve"> </w:t>
      </w:r>
      <w:r>
        <w:t xml:space="preserve">“Quantum Field as a Quantum Cellular Automaton: The Dirac Free Evolution in One Dimension.”</w:t>
      </w:r>
      <w:r>
        <w:t xml:space="preserve"> </w:t>
      </w:r>
      <w:r>
        <w:rPr>
          <w:i/>
          <w:iCs/>
        </w:rPr>
        <w:t xml:space="preserve">Annals of Physics</w:t>
      </w:r>
      <w:r>
        <w:t xml:space="preserve"> </w:t>
      </w:r>
      <w:r>
        <w:t xml:space="preserve">354: 244–64.</w:t>
      </w:r>
      <w:r>
        <w:t xml:space="preserve"> </w:t>
      </w:r>
      <w:hyperlink r:id="rId124">
        <w:r>
          <w:rPr>
            <w:rStyle w:val="Hyperlink"/>
          </w:rPr>
          <w:t xml:space="preserve">https://doi.org/10.1016/j.aop.2014.12.016</w:t>
        </w:r>
      </w:hyperlink>
      <w:r>
        <w:t xml:space="preserve">.</w:t>
      </w:r>
    </w:p>
    <w:bookmarkEnd w:id="125"/>
    <w:bookmarkStart w:id="127" w:name="ref-bongard2007"/>
    <w:p>
      <w:pPr>
        <w:pStyle w:val="Bibliography"/>
        <w:widowControl/>
      </w:pPr>
      <w:r>
        <w:t xml:space="preserve">Bongard, Josh, and Hod Lipson. 2007.</w:t>
      </w:r>
      <w:r>
        <w:t xml:space="preserve"> </w:t>
      </w:r>
      <w:r>
        <w:t xml:space="preserve">“Automated Reverse Engineering of Nonlinear Dynamical Systems.”</w:t>
      </w:r>
      <w:r>
        <w:t xml:space="preserve"> </w:t>
      </w:r>
      <w:r>
        <w:rPr>
          <w:i/>
          <w:iCs/>
        </w:rPr>
        <w:t xml:space="preserve">Proceedings of the National Academy of Sciences</w:t>
      </w:r>
      <w:r>
        <w:t xml:space="preserve"> </w:t>
      </w:r>
      <w:r>
        <w:t xml:space="preserve">104 (24): 9943–48.</w:t>
      </w:r>
      <w:r>
        <w:t xml:space="preserve"> </w:t>
      </w:r>
      <w:hyperlink r:id="rId126">
        <w:r>
          <w:rPr>
            <w:rStyle w:val="Hyperlink"/>
          </w:rPr>
          <w:t xml:space="preserve">https://doi.org/10.1073/pnas.0609476104</w:t>
        </w:r>
      </w:hyperlink>
      <w:r>
        <w:t xml:space="preserve">.</w:t>
      </w:r>
    </w:p>
    <w:bookmarkEnd w:id="127"/>
    <w:bookmarkStart w:id="129" w:name="ref-brunton2016"/>
    <w:p>
      <w:pPr>
        <w:pStyle w:val="Bibliography"/>
        <w:widowControl/>
      </w:pPr>
      <w:r>
        <w:t xml:space="preserve">Brunton, Steven L., Joshua L. Proctor, and J. Nathan Kutz. 2016.</w:t>
      </w:r>
      <w:r>
        <w:t xml:space="preserve"> </w:t>
      </w:r>
      <w:r>
        <w:t xml:space="preserve">“Discovering Governing Equations from Data by Sparse Identification of Nonlinear Dynamical Systems.”</w:t>
      </w:r>
      <w:r>
        <w:t xml:space="preserve"> </w:t>
      </w:r>
      <w:r>
        <w:rPr>
          <w:i/>
          <w:iCs/>
        </w:rPr>
        <w:t xml:space="preserve">Proceedings of the National Academy of Sciences</w:t>
      </w:r>
      <w:r>
        <w:t xml:space="preserve"> </w:t>
      </w:r>
      <w:r>
        <w:t xml:space="preserve">113 (15): 3932–37.</w:t>
      </w:r>
      <w:r>
        <w:t xml:space="preserve"> </w:t>
      </w:r>
      <w:hyperlink r:id="rId128">
        <w:r>
          <w:rPr>
            <w:rStyle w:val="Hyperlink"/>
          </w:rPr>
          <w:t xml:space="preserve">https://doi.org/10.1073/pnas.1517384113</w:t>
        </w:r>
      </w:hyperlink>
      <w:r>
        <w:t xml:space="preserve">.</w:t>
      </w:r>
    </w:p>
    <w:bookmarkEnd w:id="129"/>
    <w:bookmarkStart w:id="131" w:name="ref-chis2011"/>
    <w:p>
      <w:pPr>
        <w:pStyle w:val="Bibliography"/>
        <w:widowControl/>
      </w:pPr>
      <w:r>
        <w:t xml:space="preserve">Chis, Oana-Teodora, Julio R. Banga, and Eva Balsa-Canto. 2011.</w:t>
      </w:r>
      <w:r>
        <w:t xml:space="preserve"> </w:t>
      </w:r>
      <w:r>
        <w:t xml:space="preserve">“Structural Identifiability of Systems Biology Models: A Critical Comparison of Methods.”</w:t>
      </w:r>
      <w:r>
        <w:t xml:space="preserve"> </w:t>
      </w:r>
      <w:r>
        <w:rPr>
          <w:i/>
          <w:iCs/>
        </w:rPr>
        <w:t xml:space="preserve">PLoS ONE</w:t>
      </w:r>
      <w:r>
        <w:t xml:space="preserve"> </w:t>
      </w:r>
      <w:r>
        <w:t xml:space="preserve">6 (11): e27755.</w:t>
      </w:r>
      <w:r>
        <w:t xml:space="preserve"> </w:t>
      </w:r>
      <w:hyperlink r:id="rId130">
        <w:r>
          <w:rPr>
            <w:rStyle w:val="Hyperlink"/>
          </w:rPr>
          <w:t xml:space="preserve">https://doi.org/10.1371/journal.pone.0027755</w:t>
        </w:r>
      </w:hyperlink>
      <w:r>
        <w:t xml:space="preserve">.</w:t>
      </w:r>
    </w:p>
    <w:bookmarkEnd w:id="131"/>
    <w:bookmarkStart w:id="133" w:name="ref-clopper1934"/>
    <w:p>
      <w:pPr>
        <w:pStyle w:val="Bibliography"/>
        <w:widowControl/>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132">
        <w:r>
          <w:rPr>
            <w:rStyle w:val="Hyperlink"/>
          </w:rPr>
          <w:t xml:space="preserve">https://doi.org/10.1093/biomet/26.4.404</w:t>
        </w:r>
      </w:hyperlink>
      <w:r>
        <w:t xml:space="preserve">.</w:t>
      </w:r>
    </w:p>
    <w:bookmarkEnd w:id="133"/>
    <w:bookmarkStart w:id="135" w:name="ref-cook2004"/>
    <w:p>
      <w:pPr>
        <w:pStyle w:val="Bibliography"/>
        <w:widowControl/>
      </w:pPr>
      <w:r>
        <w:t xml:space="preserve">Cook, Matthew. 2004.</w:t>
      </w:r>
      <w:r>
        <w:t xml:space="preserve"> </w:t>
      </w:r>
      <w:r>
        <w:t xml:space="preserve">“Universality in Elementary Cellular Automata.”</w:t>
      </w:r>
      <w:r>
        <w:t xml:space="preserve"> </w:t>
      </w:r>
      <w:r>
        <w:rPr>
          <w:i/>
          <w:iCs/>
        </w:rPr>
        <w:t xml:space="preserve">Complex Systems</w:t>
      </w:r>
      <w:r>
        <w:t xml:space="preserve"> </w:t>
      </w:r>
      <w:r>
        <w:t xml:space="preserve">15 (1): 1–40.</w:t>
      </w:r>
      <w:r>
        <w:t xml:space="preserve"> </w:t>
      </w:r>
      <w:hyperlink r:id="rId134">
        <w:r>
          <w:rPr>
            <w:rStyle w:val="Hyperlink"/>
          </w:rPr>
          <w:t xml:space="preserve">https://doi.org/10.25088/ComplexSystems.15.1.1</w:t>
        </w:r>
      </w:hyperlink>
      <w:r>
        <w:t xml:space="preserve">.</w:t>
      </w:r>
    </w:p>
    <w:bookmarkEnd w:id="135"/>
    <w:bookmarkStart w:id="137" w:name="ref-crutchfield1989"/>
    <w:p>
      <w:pPr>
        <w:pStyle w:val="Bibliography"/>
        <w:widowControl/>
      </w:pPr>
      <w:r>
        <w:t xml:space="preserve">Crutchfield, James P., and Karl Young. 1989.</w:t>
      </w:r>
      <w:r>
        <w:t xml:space="preserve"> </w:t>
      </w:r>
      <w:r>
        <w:t xml:space="preserve">“Inferring Statistical Complexity.”</w:t>
      </w:r>
      <w:r>
        <w:t xml:space="preserve"> </w:t>
      </w:r>
      <w:r>
        <w:rPr>
          <w:i/>
          <w:iCs/>
        </w:rPr>
        <w:t xml:space="preserve">Physical Review Letters</w:t>
      </w:r>
      <w:r>
        <w:t xml:space="preserve"> </w:t>
      </w:r>
      <w:r>
        <w:t xml:space="preserve">63 (2): 105–8.</w:t>
      </w:r>
      <w:r>
        <w:t xml:space="preserve"> </w:t>
      </w:r>
      <w:hyperlink r:id="rId136">
        <w:r>
          <w:rPr>
            <w:rStyle w:val="Hyperlink"/>
          </w:rPr>
          <w:t xml:space="preserve">https://doi.org/10.1103/PhysRevLett.63.105</w:t>
        </w:r>
      </w:hyperlink>
      <w:r>
        <w:t xml:space="preserve">.</w:t>
      </w:r>
    </w:p>
    <w:bookmarkEnd w:id="137"/>
    <w:bookmarkStart w:id="139" w:name="ref-darianoperinotti2014"/>
    <w:p>
      <w:pPr>
        <w:pStyle w:val="Bibliography"/>
        <w:widowControl/>
      </w:pPr>
      <w:r>
        <w:t xml:space="preserve">D’Ariano, Giacomo Mauro, and Paolo Perinotti. 2014.</w:t>
      </w:r>
      <w:r>
        <w:t xml:space="preserve"> </w:t>
      </w:r>
      <w:r>
        <w:t xml:space="preserve">“Derivation of the Dirac Equation from Principles of Information Processing.”</w:t>
      </w:r>
      <w:r>
        <w:t xml:space="preserve"> </w:t>
      </w:r>
      <w:r>
        <w:rPr>
          <w:i/>
          <w:iCs/>
        </w:rPr>
        <w:t xml:space="preserve">Physical Review A</w:t>
      </w:r>
      <w:r>
        <w:t xml:space="preserve"> </w:t>
      </w:r>
      <w:r>
        <w:t xml:space="preserve">90 (6): 062106.</w:t>
      </w:r>
      <w:r>
        <w:t xml:space="preserve"> </w:t>
      </w:r>
      <w:hyperlink r:id="rId138">
        <w:r>
          <w:rPr>
            <w:rStyle w:val="Hyperlink"/>
          </w:rPr>
          <w:t xml:space="preserve">https://doi.org/10.1103/PhysRevA.90.062106</w:t>
        </w:r>
      </w:hyperlink>
      <w:r>
        <w:t xml:space="preserve">.</w:t>
      </w:r>
    </w:p>
    <w:bookmarkEnd w:id="139"/>
    <w:bookmarkStart w:id="141" w:name="ref-darianoperinotti2017"/>
    <w:p>
      <w:pPr>
        <w:pStyle w:val="Bibliography"/>
        <w:widowControl/>
      </w:pPr>
      <w:r>
        <w:t xml:space="preserve">D’Ariano, Giacomo Mauro, and Paolo Perinotti. 2017.</w:t>
      </w:r>
      <w:r>
        <w:t xml:space="preserve"> </w:t>
      </w:r>
      <w:r>
        <w:t xml:space="preserve">“Quantum Cellular Automata and Free Quantum Field Theory.”</w:t>
      </w:r>
      <w:r>
        <w:t xml:space="preserve"> </w:t>
      </w:r>
      <w:r>
        <w:rPr>
          <w:i/>
          <w:iCs/>
        </w:rPr>
        <w:t xml:space="preserve">Frontiers of Physics</w:t>
      </w:r>
      <w:r>
        <w:t xml:space="preserve"> </w:t>
      </w:r>
      <w:r>
        <w:t xml:space="preserve">12 (1): 120301.</w:t>
      </w:r>
      <w:r>
        <w:t xml:space="preserve"> </w:t>
      </w:r>
      <w:hyperlink r:id="rId140">
        <w:r>
          <w:rPr>
            <w:rStyle w:val="Hyperlink"/>
          </w:rPr>
          <w:t xml:space="preserve">https://doi.org/10.1007/s11467-016-0616-z</w:t>
        </w:r>
      </w:hyperlink>
      <w:r>
        <w:t xml:space="preserve">.</w:t>
      </w:r>
    </w:p>
    <w:bookmarkEnd w:id="141"/>
    <w:bookmarkStart w:id="143" w:name="ref-deutsch1985"/>
    <w:p>
      <w:pPr>
        <w:pStyle w:val="Bibliography"/>
        <w:widowControl/>
      </w:pPr>
      <w:r>
        <w:t xml:space="preserve">Deutsch, David. 1985.</w:t>
      </w:r>
      <w:r>
        <w:t xml:space="preserve"> </w:t>
      </w:r>
      <w:r>
        <w:t xml:space="preserve">“Quantum Theory, the Church–Turing Principle and the Universal Quantum Computer.”</w:t>
      </w:r>
      <w:r>
        <w:t xml:space="preserve"> </w:t>
      </w:r>
      <w:r>
        <w:rPr>
          <w:i/>
          <w:iCs/>
        </w:rPr>
        <w:t xml:space="preserve">Proceedings of the Royal Society A</w:t>
      </w:r>
      <w:r>
        <w:t xml:space="preserve"> </w:t>
      </w:r>
      <w:r>
        <w:t xml:space="preserve">400 (1818): 97–117.</w:t>
      </w:r>
      <w:r>
        <w:t xml:space="preserve"> </w:t>
      </w:r>
      <w:hyperlink r:id="rId142">
        <w:r>
          <w:rPr>
            <w:rStyle w:val="Hyperlink"/>
          </w:rPr>
          <w:t xml:space="preserve">https://doi.org/10.1098/rspa.1985.0070</w:t>
        </w:r>
      </w:hyperlink>
      <w:r>
        <w:t xml:space="preserve">.</w:t>
      </w:r>
    </w:p>
    <w:bookmarkEnd w:id="143"/>
    <w:bookmarkStart w:id="145" w:name="ref-eklund2026"/>
    <w:p>
      <w:pPr>
        <w:pStyle w:val="Bibliography"/>
        <w:widowControl/>
      </w:pPr>
      <w:r>
        <w:t xml:space="preserve">Eklund, Elliot C., Arkin Tikku, Patrick Sinnott, et al. 2026.</w:t>
      </w:r>
      <w:r>
        <w:t xml:space="preserve"> </w:t>
      </w:r>
      <w:r>
        <w:rPr>
          <w:i/>
          <w:iCs/>
        </w:rPr>
        <w:t xml:space="preserve">End-to-End Simulation of Chemical Dynamics on a Quantum Computer</w:t>
      </w:r>
      <w:r>
        <w:t xml:space="preserve">.</w:t>
      </w:r>
      <w:r>
        <w:t xml:space="preserve"> </w:t>
      </w:r>
      <w:hyperlink r:id="rId144">
        <w:r>
          <w:rPr>
            <w:rStyle w:val="Hyperlink"/>
          </w:rPr>
          <w:t xml:space="preserve">https://doi.org/10.48550/arXiv.2603.19007</w:t>
        </w:r>
      </w:hyperlink>
      <w:r>
        <w:t xml:space="preserve">.</w:t>
      </w:r>
    </w:p>
    <w:bookmarkEnd w:id="145"/>
    <w:bookmarkStart w:id="147" w:name="ref-ellis2021"/>
    <w:p>
      <w:pPr>
        <w:pStyle w:val="Bibliography"/>
        <w:widowControl/>
      </w:pPr>
      <w:r>
        <w:t xml:space="preserve">Ellis, Kevin, Catherine Wong, Maxwell Nye, et al. 2021.</w:t>
      </w:r>
      <w:r>
        <w:t xml:space="preserve"> </w:t>
      </w:r>
      <w:r>
        <w:t xml:space="preserve">“DreamCoder: Growing Generalizable, Interpretable Knowledge with Wake–Sleep Bayesian Program Learning.”</w:t>
      </w:r>
      <w:r>
        <w:t xml:space="preserve"> </w:t>
      </w:r>
      <w:r>
        <w:rPr>
          <w:i/>
          <w:iCs/>
        </w:rPr>
        <w:t xml:space="preserve">Proceedings of PLDI 2021</w:t>
      </w:r>
      <w:r>
        <w:t xml:space="preserve">, 835–50.</w:t>
      </w:r>
      <w:r>
        <w:t xml:space="preserve"> </w:t>
      </w:r>
      <w:hyperlink r:id="rId146">
        <w:r>
          <w:rPr>
            <w:rStyle w:val="Hyperlink"/>
          </w:rPr>
          <w:t xml:space="preserve">https://doi.org/10.1145/3453483.3454080</w:t>
        </w:r>
      </w:hyperlink>
      <w:r>
        <w:t xml:space="preserve">.</w:t>
      </w:r>
    </w:p>
    <w:bookmarkEnd w:id="147"/>
    <w:bookmarkStart w:id="149" w:name="ref-farrelly2020"/>
    <w:p>
      <w:pPr>
        <w:pStyle w:val="Bibliography"/>
        <w:widowControl/>
      </w:pPr>
      <w:r>
        <w:t xml:space="preserve">Farrelly, Terry. 2020.</w:t>
      </w:r>
      <w:r>
        <w:t xml:space="preserve"> </w:t>
      </w:r>
      <w:r>
        <w:t xml:space="preserve">“A Review of Quantum Cellular Automata.”</w:t>
      </w:r>
      <w:r>
        <w:t xml:space="preserve"> </w:t>
      </w:r>
      <w:r>
        <w:rPr>
          <w:i/>
          <w:iCs/>
        </w:rPr>
        <w:t xml:space="preserve">Quantum</w:t>
      </w:r>
      <w:r>
        <w:t xml:space="preserve"> </w:t>
      </w:r>
      <w:r>
        <w:t xml:space="preserve">4: 368.</w:t>
      </w:r>
      <w:r>
        <w:t xml:space="preserve"> </w:t>
      </w:r>
      <w:hyperlink r:id="rId148">
        <w:r>
          <w:rPr>
            <w:rStyle w:val="Hyperlink"/>
          </w:rPr>
          <w:t xml:space="preserve">https://doi.org/10.22331/q-2020-11-30-368</w:t>
        </w:r>
      </w:hyperlink>
      <w:r>
        <w:t xml:space="preserve">.</w:t>
      </w:r>
    </w:p>
    <w:bookmarkEnd w:id="149"/>
    <w:bookmarkStart w:id="151" w:name="ref-feynman1982"/>
    <w:p>
      <w:pPr>
        <w:pStyle w:val="Bibliography"/>
        <w:widowControl/>
      </w:pPr>
      <w:r>
        <w:t xml:space="preserve">Feynman, Richard P. 1982.</w:t>
      </w:r>
      <w:r>
        <w:t xml:space="preserve"> </w:t>
      </w:r>
      <w:r>
        <w:t xml:space="preserve">“Simulating Physics with Computers.”</w:t>
      </w:r>
      <w:r>
        <w:t xml:space="preserve"> </w:t>
      </w:r>
      <w:r>
        <w:rPr>
          <w:i/>
          <w:iCs/>
        </w:rPr>
        <w:t xml:space="preserve">International Journal of Theoretical Physics</w:t>
      </w:r>
      <w:r>
        <w:t xml:space="preserve"> </w:t>
      </w:r>
      <w:r>
        <w:t xml:space="preserve">21 (6–7): 467–88.</w:t>
      </w:r>
      <w:r>
        <w:t xml:space="preserve"> </w:t>
      </w:r>
      <w:hyperlink r:id="rId150">
        <w:r>
          <w:rPr>
            <w:rStyle w:val="Hyperlink"/>
          </w:rPr>
          <w:t xml:space="preserve">https://doi.org/10.1007/BF02650179</w:t>
        </w:r>
      </w:hyperlink>
      <w:r>
        <w:t xml:space="preserve">.</w:t>
      </w:r>
    </w:p>
    <w:bookmarkEnd w:id="151"/>
    <w:bookmarkStart w:id="153" w:name="ref-fowler2012surface"/>
    <w:p>
      <w:pPr>
        <w:pStyle w:val="Bibliography"/>
        <w:widowControl/>
      </w:pPr>
      <w:r>
        <w:t xml:space="preserve">Fowler, Austin G., Matteo Mariantoni, John M. Martinis, and Andrew N. Cleland. 2012.</w:t>
      </w:r>
      <w:r>
        <w:t xml:space="preserve"> </w:t>
      </w:r>
      <w:r>
        <w:t xml:space="preserve">“Surface Codes: Towards Practical Large-Scale Quantum Computation.”</w:t>
      </w:r>
      <w:r>
        <w:t xml:space="preserve"> </w:t>
      </w:r>
      <w:r>
        <w:rPr>
          <w:i/>
          <w:iCs/>
        </w:rPr>
        <w:t xml:space="preserve">Physical Review A</w:t>
      </w:r>
      <w:r>
        <w:t xml:space="preserve"> </w:t>
      </w:r>
      <w:r>
        <w:t xml:space="preserve">86 (3): 032324.</w:t>
      </w:r>
      <w:r>
        <w:t xml:space="preserve"> </w:t>
      </w:r>
      <w:hyperlink r:id="rId152">
        <w:r>
          <w:rPr>
            <w:rStyle w:val="Hyperlink"/>
          </w:rPr>
          <w:t xml:space="preserve">https://doi.org/10.1103/PhysRevA.86.032324</w:t>
        </w:r>
      </w:hyperlink>
      <w:r>
        <w:t xml:space="preserve">.</w:t>
      </w:r>
    </w:p>
    <w:bookmarkEnd w:id="153"/>
    <w:bookmarkStart w:id="155" w:name="ref-fredkin1990"/>
    <w:p>
      <w:pPr>
        <w:pStyle w:val="Bibliography"/>
        <w:widowControl/>
      </w:pPr>
      <w:r>
        <w:t xml:space="preserve">Fredkin, Edward. 1990.</w:t>
      </w:r>
      <w:r>
        <w:t xml:space="preserve"> </w:t>
      </w:r>
      <w:r>
        <w:t xml:space="preserve">“Digital Mechanics.”</w:t>
      </w:r>
      <w:r>
        <w:t xml:space="preserve"> </w:t>
      </w:r>
      <w:r>
        <w:rPr>
          <w:i/>
          <w:iCs/>
        </w:rPr>
        <w:t xml:space="preserve">Physica D: Nonlinear Phenomena</w:t>
      </w:r>
      <w:r>
        <w:t xml:space="preserve"> </w:t>
      </w:r>
      <w:r>
        <w:t xml:space="preserve">45: 254–70.</w:t>
      </w:r>
      <w:r>
        <w:t xml:space="preserve"> </w:t>
      </w:r>
      <w:hyperlink r:id="rId154">
        <w:r>
          <w:rPr>
            <w:rStyle w:val="Hyperlink"/>
          </w:rPr>
          <w:t xml:space="preserve">https://doi.org/10.1016/0167-2789(90)90186-S</w:t>
        </w:r>
      </w:hyperlink>
      <w:r>
        <w:t xml:space="preserve">.</w:t>
      </w:r>
    </w:p>
    <w:bookmarkEnd w:id="155"/>
    <w:bookmarkStart w:id="156" w:name="ref-gelman1996"/>
    <w:p>
      <w:pPr>
        <w:pStyle w:val="Bibliography"/>
        <w:widowControl/>
      </w:pPr>
      <w:r>
        <w:t xml:space="preserve">Gelman, Andrew, Xiao-Li Meng, and Hal Stern. 1996.</w:t>
      </w:r>
      <w:r>
        <w:t xml:space="preserve"> </w:t>
      </w:r>
      <w:r>
        <w:t xml:space="preserve">“Posterior Predictive Assessment of Model Fitness via Realized Discrepancies.”</w:t>
      </w:r>
      <w:r>
        <w:t xml:space="preserve"> </w:t>
      </w:r>
      <w:r>
        <w:rPr>
          <w:i/>
          <w:iCs/>
        </w:rPr>
        <w:t xml:space="preserve">Statistica Sinica</w:t>
      </w:r>
      <w:r>
        <w:t xml:space="preserve"> </w:t>
      </w:r>
      <w:r>
        <w:t xml:space="preserve">6 (4): 733–807.</w:t>
      </w:r>
    </w:p>
    <w:bookmarkEnd w:id="156"/>
    <w:bookmarkStart w:id="158" w:name="ref-geman1982"/>
    <w:p>
      <w:pPr>
        <w:pStyle w:val="Bibliography"/>
        <w:widowControl/>
      </w:pPr>
      <w:r>
        <w:t xml:space="preserve">Geman, Stuart, and Chii-Ruey Hwang. 1982.</w:t>
      </w:r>
      <w:r>
        <w:t xml:space="preserve"> </w:t>
      </w:r>
      <w:r>
        <w:t xml:space="preserve">“Nonparametric Maximum Likelihood Estimation by the Method of Sieves.”</w:t>
      </w:r>
      <w:r>
        <w:t xml:space="preserve"> </w:t>
      </w:r>
      <w:r>
        <w:rPr>
          <w:i/>
          <w:iCs/>
        </w:rPr>
        <w:t xml:space="preserve">The Annals of Statistics</w:t>
      </w:r>
      <w:r>
        <w:t xml:space="preserve"> </w:t>
      </w:r>
      <w:r>
        <w:t xml:space="preserve">10 (2): 401–14.</w:t>
      </w:r>
      <w:r>
        <w:t xml:space="preserve"> </w:t>
      </w:r>
      <w:hyperlink r:id="rId157">
        <w:r>
          <w:rPr>
            <w:rStyle w:val="Hyperlink"/>
          </w:rPr>
          <w:t xml:space="preserve">https://doi.org/10.1214/aos/1176345782</w:t>
        </w:r>
      </w:hyperlink>
      <w:r>
        <w:t xml:space="preserve">.</w:t>
      </w:r>
    </w:p>
    <w:bookmarkEnd w:id="158"/>
    <w:bookmarkStart w:id="160" w:name="ref-gidneyekera2021"/>
    <w:p>
      <w:pPr>
        <w:pStyle w:val="Bibliography"/>
        <w:widowControl/>
      </w:pPr>
      <w:r>
        <w:t xml:space="preserve">Gidney, Craig, and Martin Ekerå. 2021.</w:t>
      </w:r>
      <w:r>
        <w:t xml:space="preserve"> </w:t>
      </w:r>
      <w:r>
        <w:t xml:space="preserve">“How to Factor 2048 Bit</w:t>
      </w:r>
      <w:r>
        <w:t xml:space="preserve"> </w:t>
      </w:r>
      <w:r>
        <w:t xml:space="preserve">RSA</w:t>
      </w:r>
      <w:r>
        <w:t xml:space="preserve"> </w:t>
      </w:r>
      <w:r>
        <w:t xml:space="preserve">Integers in 8 Hours Using 20 Million Noisy Qubits.”</w:t>
      </w:r>
      <w:r>
        <w:t xml:space="preserve"> </w:t>
      </w:r>
      <w:r>
        <w:rPr>
          <w:i/>
          <w:iCs/>
        </w:rPr>
        <w:t xml:space="preserve">Quantum</w:t>
      </w:r>
      <w:r>
        <w:t xml:space="preserve"> </w:t>
      </w:r>
      <w:r>
        <w:t xml:space="preserve">5: 433.</w:t>
      </w:r>
      <w:r>
        <w:t xml:space="preserve"> </w:t>
      </w:r>
      <w:hyperlink r:id="rId159">
        <w:r>
          <w:rPr>
            <w:rStyle w:val="Hyperlink"/>
          </w:rPr>
          <w:t xml:space="preserve">https://doi.org/10.22331/q-2021-04-15-433</w:t>
        </w:r>
      </w:hyperlink>
      <w:r>
        <w:t xml:space="preserve">.</w:t>
      </w:r>
    </w:p>
    <w:bookmarkEnd w:id="160"/>
    <w:bookmarkStart w:id="161" w:name="ref-grenander1981"/>
    <w:p>
      <w:pPr>
        <w:pStyle w:val="Bibliography"/>
        <w:widowControl/>
      </w:pPr>
      <w:r>
        <w:t xml:space="preserve">Grenander, Ulf. 1981.</w:t>
      </w:r>
      <w:r>
        <w:t xml:space="preserve"> </w:t>
      </w:r>
      <w:r>
        <w:rPr>
          <w:i/>
          <w:iCs/>
        </w:rPr>
        <w:t xml:space="preserve">Abstract Inference</w:t>
      </w:r>
      <w:r>
        <w:t xml:space="preserve">. Wiley.</w:t>
      </w:r>
    </w:p>
    <w:bookmarkEnd w:id="161"/>
    <w:bookmarkStart w:id="163" w:name="ref-gross2012qcaindex"/>
    <w:p>
      <w:pPr>
        <w:pStyle w:val="Bibliography"/>
        <w:widowControl/>
      </w:pPr>
      <w:r>
        <w:t xml:space="preserve">Gross, David, Vincent Nesme, Holger Vogts, and Reinhard F. Werner. 2012.</w:t>
      </w:r>
      <w:r>
        <w:t xml:space="preserve"> </w:t>
      </w:r>
      <w:r>
        <w:t xml:space="preserve">“Index Theory of One Dimensional Quantum Walks and Cellular Automata.”</w:t>
      </w:r>
      <w:r>
        <w:t xml:space="preserve"> </w:t>
      </w:r>
      <w:r>
        <w:rPr>
          <w:i/>
          <w:iCs/>
        </w:rPr>
        <w:t xml:space="preserve">Communications in Mathematical Physics</w:t>
      </w:r>
      <w:r>
        <w:t xml:space="preserve"> </w:t>
      </w:r>
      <w:r>
        <w:t xml:space="preserve">310 (2): 419–54.</w:t>
      </w:r>
      <w:r>
        <w:t xml:space="preserve"> </w:t>
      </w:r>
      <w:hyperlink r:id="rId162">
        <w:r>
          <w:rPr>
            <w:rStyle w:val="Hyperlink"/>
          </w:rPr>
          <w:t xml:space="preserve">https://doi.org/10.1007/s00220-012-1423-1</w:t>
        </w:r>
      </w:hyperlink>
      <w:r>
        <w:t xml:space="preserve">.</w:t>
      </w:r>
    </w:p>
    <w:bookmarkEnd w:id="163"/>
    <w:bookmarkStart w:id="165" w:name="ref-grover1996"/>
    <w:p>
      <w:pPr>
        <w:pStyle w:val="Bibliography"/>
        <w:widowControl/>
      </w:pPr>
      <w:r>
        <w:t xml:space="preserve">Grover, Lov K. 1996.</w:t>
      </w:r>
      <w:r>
        <w:t xml:space="preserve"> </w:t>
      </w:r>
      <w:r>
        <w:t xml:space="preserve">“A Fast Quantum Mechanical Algorithm for Database Search.”</w:t>
      </w:r>
      <w:r>
        <w:t xml:space="preserve"> </w:t>
      </w:r>
      <w:r>
        <w:rPr>
          <w:i/>
          <w:iCs/>
        </w:rPr>
        <w:t xml:space="preserve">Proceedings of the Twenty-Eighth Annual ACM Symposium on Theory of Computing</w:t>
      </w:r>
      <w:r>
        <w:t xml:space="preserve">, 212–19.</w:t>
      </w:r>
      <w:r>
        <w:t xml:space="preserve"> </w:t>
      </w:r>
      <w:hyperlink r:id="rId164">
        <w:r>
          <w:rPr>
            <w:rStyle w:val="Hyperlink"/>
          </w:rPr>
          <w:t xml:space="preserve">https://doi.org/10.1145/237814.237866</w:t>
        </w:r>
      </w:hyperlink>
      <w:r>
        <w:t xml:space="preserve">.</w:t>
      </w:r>
    </w:p>
    <w:bookmarkEnd w:id="165"/>
    <w:bookmarkStart w:id="167" w:name="ref-gutenkunst2007"/>
    <w:p>
      <w:pPr>
        <w:pStyle w:val="Bibliography"/>
        <w:widowControl/>
      </w:pPr>
      <w:r>
        <w:t xml:space="preserve">Gutenkunst, Ryan N., Joshua J. Waterfall, Fergal P. Casey, Kevin S. Brown, Christopher R. Myers, and James P. Sethna. 2007.</w:t>
      </w:r>
      <w:r>
        <w:t xml:space="preserve"> </w:t>
      </w:r>
      <w:r>
        <w:t xml:space="preserve">“Universally Sloppy Parameter Sensitivities in Systems Biology Models.”</w:t>
      </w:r>
      <w:r>
        <w:t xml:space="preserve"> </w:t>
      </w:r>
      <w:r>
        <w:rPr>
          <w:i/>
          <w:iCs/>
        </w:rPr>
        <w:t xml:space="preserve">PLoS Computational Biology</w:t>
      </w:r>
      <w:r>
        <w:t xml:space="preserve"> </w:t>
      </w:r>
      <w:r>
        <w:t xml:space="preserve">3 (10): e189.</w:t>
      </w:r>
      <w:r>
        <w:t xml:space="preserve"> </w:t>
      </w:r>
      <w:hyperlink r:id="rId166">
        <w:r>
          <w:rPr>
            <w:rStyle w:val="Hyperlink"/>
          </w:rPr>
          <w:t xml:space="preserve">https://doi.org/10.1371/journal.pcbi.0030189</w:t>
        </w:r>
      </w:hyperlink>
      <w:r>
        <w:t xml:space="preserve">.</w:t>
      </w:r>
    </w:p>
    <w:bookmarkEnd w:id="167"/>
    <w:bookmarkStart w:id="169" w:name="ref-hansen2011mcs"/>
    <w:p>
      <w:pPr>
        <w:pStyle w:val="Bibliography"/>
        <w:widowControl/>
      </w:pPr>
      <w:r>
        <w:t xml:space="preserve">Hansen, Peter R., Asger Lunde, and James M. Nason. 2011.</w:t>
      </w:r>
      <w:r>
        <w:t xml:space="preserve"> </w:t>
      </w:r>
      <w:r>
        <w:t xml:space="preserve">“The Model Confidence Set.”</w:t>
      </w:r>
      <w:r>
        <w:t xml:space="preserve"> </w:t>
      </w:r>
      <w:r>
        <w:rPr>
          <w:i/>
          <w:iCs/>
        </w:rPr>
        <w:t xml:space="preserve">Econometrica</w:t>
      </w:r>
      <w:r>
        <w:t xml:space="preserve"> </w:t>
      </w:r>
      <w:r>
        <w:t xml:space="preserve">79 (2): 453–97.</w:t>
      </w:r>
      <w:r>
        <w:t xml:space="preserve"> </w:t>
      </w:r>
      <w:hyperlink r:id="rId168">
        <w:r>
          <w:rPr>
            <w:rStyle w:val="Hyperlink"/>
          </w:rPr>
          <w:t xml:space="preserve">https://doi.org/10.3982/ECTA5771</w:t>
        </w:r>
      </w:hyperlink>
      <w:r>
        <w:t xml:space="preserve">.</w:t>
      </w:r>
    </w:p>
    <w:bookmarkEnd w:id="169"/>
    <w:bookmarkStart w:id="171" w:name="ref-hoeffding1963"/>
    <w:p>
      <w:pPr>
        <w:pStyle w:val="Bibliography"/>
        <w:widowControl/>
      </w:pPr>
      <w:r>
        <w:t xml:space="preserve">Hoeffding, Wassily. 1963.</w:t>
      </w:r>
      <w:r>
        <w:t xml:space="preserve"> </w:t>
      </w:r>
      <w:r>
        <w:t xml:space="preserve">“Probability Inequalities for Sums of Bounded Random Variables.”</w:t>
      </w:r>
      <w:r>
        <w:t xml:space="preserve"> </w:t>
      </w:r>
      <w:r>
        <w:rPr>
          <w:i/>
          <w:iCs/>
        </w:rPr>
        <w:t xml:space="preserve">Journal of the American Statistical Association</w:t>
      </w:r>
      <w:r>
        <w:t xml:space="preserve"> </w:t>
      </w:r>
      <w:r>
        <w:t xml:space="preserve">58 (301): 13–30.</w:t>
      </w:r>
      <w:r>
        <w:t xml:space="preserve"> </w:t>
      </w:r>
      <w:hyperlink r:id="rId170">
        <w:r>
          <w:rPr>
            <w:rStyle w:val="Hyperlink"/>
          </w:rPr>
          <w:t xml:space="preserve">https://doi.org/10.1080/01621459.1963.10500830</w:t>
        </w:r>
      </w:hyperlink>
      <w:r>
        <w:t xml:space="preserve">.</w:t>
      </w:r>
    </w:p>
    <w:bookmarkEnd w:id="171"/>
    <w:bookmarkStart w:id="173" w:name="ref-hoel2017"/>
    <w:p>
      <w:pPr>
        <w:pStyle w:val="Bibliography"/>
        <w:widowControl/>
      </w:pPr>
      <w:r>
        <w:t xml:space="preserve">Hoel, Erik P. 2017.</w:t>
      </w:r>
      <w:r>
        <w:t xml:space="preserve"> </w:t>
      </w:r>
      <w:r>
        <w:t xml:space="preserve">“When the Map Is Better Than the Territory.”</w:t>
      </w:r>
      <w:r>
        <w:t xml:space="preserve"> </w:t>
      </w:r>
      <w:r>
        <w:rPr>
          <w:i/>
          <w:iCs/>
        </w:rPr>
        <w:t xml:space="preserve">Entropy</w:t>
      </w:r>
      <w:r>
        <w:t xml:space="preserve"> </w:t>
      </w:r>
      <w:r>
        <w:t xml:space="preserve">19 (5): 188.</w:t>
      </w:r>
      <w:r>
        <w:t xml:space="preserve"> </w:t>
      </w:r>
      <w:hyperlink r:id="rId172">
        <w:r>
          <w:rPr>
            <w:rStyle w:val="Hyperlink"/>
          </w:rPr>
          <w:t xml:space="preserve">https://doi.org/10.3390/e19050188</w:t>
        </w:r>
      </w:hyperlink>
      <w:r>
        <w:t xml:space="preserve">.</w:t>
      </w:r>
    </w:p>
    <w:bookmarkEnd w:id="173"/>
    <w:bookmarkStart w:id="175" w:name="ref-howard2021"/>
    <w:p>
      <w:pPr>
        <w:pStyle w:val="Bibliography"/>
        <w:widowControl/>
      </w:pPr>
      <w:r>
        <w:t xml:space="preserve">Howard, Steven R., Aaditya Ramdas, Jon McAuliffe, and Jasjeet Sekhon. 2021.</w:t>
      </w:r>
      <w:r>
        <w:t xml:space="preserve"> </w:t>
      </w:r>
      <w:r>
        <w:t xml:space="preserve">“Time-Uniform, Nonparametric, Nonasymptotic Confidence Sequences.”</w:t>
      </w:r>
      <w:r>
        <w:t xml:space="preserve"> </w:t>
      </w:r>
      <w:r>
        <w:rPr>
          <w:i/>
          <w:iCs/>
        </w:rPr>
        <w:t xml:space="preserve">The Annals of Statistics</w:t>
      </w:r>
      <w:r>
        <w:t xml:space="preserve"> </w:t>
      </w:r>
      <w:r>
        <w:t xml:space="preserve">49 (2): 1055–80.</w:t>
      </w:r>
      <w:r>
        <w:t xml:space="preserve"> </w:t>
      </w:r>
      <w:hyperlink r:id="rId174">
        <w:r>
          <w:rPr>
            <w:rStyle w:val="Hyperlink"/>
          </w:rPr>
          <w:t xml:space="preserve">https://doi.org/10.1214/20-AOS1991</w:t>
        </w:r>
      </w:hyperlink>
      <w:r>
        <w:t xml:space="preserve">.</w:t>
      </w:r>
    </w:p>
    <w:bookmarkEnd w:id="175"/>
    <w:bookmarkStart w:id="177" w:name="ref-hutter2005"/>
    <w:p>
      <w:pPr>
        <w:pStyle w:val="Bibliography"/>
        <w:widowControl/>
      </w:pPr>
      <w:r>
        <w:t xml:space="preserve">Hutter, Marcus. 2005.</w:t>
      </w:r>
      <w:r>
        <w:t xml:space="preserve"> </w:t>
      </w:r>
      <w:r>
        <w:rPr>
          <w:i/>
          <w:iCs/>
        </w:rPr>
        <w:t xml:space="preserve">Universal Artificial Intelligence: Sequential Decisions Based on Algorithmic Probability</w:t>
      </w:r>
      <w:r>
        <w:t xml:space="preserve">. Springer.</w:t>
      </w:r>
      <w:r>
        <w:t xml:space="preserve"> </w:t>
      </w:r>
      <w:hyperlink r:id="rId176">
        <w:r>
          <w:rPr>
            <w:rStyle w:val="Hyperlink"/>
          </w:rPr>
          <w:t xml:space="preserve">https://doi.org/10.1007/b138233</w:t>
        </w:r>
      </w:hyperlink>
      <w:r>
        <w:t xml:space="preserve">.</w:t>
      </w:r>
    </w:p>
    <w:bookmarkEnd w:id="177"/>
    <w:bookmarkStart w:id="179" w:name="ref-israeli2004"/>
    <w:p>
      <w:pPr>
        <w:pStyle w:val="Bibliography"/>
        <w:widowControl/>
      </w:pPr>
      <w:r>
        <w:t xml:space="preserve">Israeli, Navot, and Nigel Goldenfeld. 2004.</w:t>
      </w:r>
      <w:r>
        <w:t xml:space="preserve"> </w:t>
      </w:r>
      <w:r>
        <w:t xml:space="preserve">“Computational Irreducibility and the Predictability of Complex Physical Systems.”</w:t>
      </w:r>
      <w:r>
        <w:t xml:space="preserve"> </w:t>
      </w:r>
      <w:r>
        <w:rPr>
          <w:i/>
          <w:iCs/>
        </w:rPr>
        <w:t xml:space="preserve">Physical Review Letters</w:t>
      </w:r>
      <w:r>
        <w:t xml:space="preserve"> </w:t>
      </w:r>
      <w:r>
        <w:t xml:space="preserve">92 (7): 074105.</w:t>
      </w:r>
      <w:r>
        <w:t xml:space="preserve"> </w:t>
      </w:r>
      <w:hyperlink r:id="rId178">
        <w:r>
          <w:rPr>
            <w:rStyle w:val="Hyperlink"/>
          </w:rPr>
          <w:t xml:space="preserve">https://doi.org/10.1103/PhysRevLett.92.074105</w:t>
        </w:r>
      </w:hyperlink>
      <w:r>
        <w:t xml:space="preserve">.</w:t>
      </w:r>
    </w:p>
    <w:bookmarkEnd w:id="179"/>
    <w:bookmarkStart w:id="181" w:name="ref-israeli2006"/>
    <w:p>
      <w:pPr>
        <w:pStyle w:val="Bibliography"/>
        <w:widowControl/>
      </w:pPr>
      <w:r>
        <w:t xml:space="preserve">Israeli, Navot, and Nigel Goldenfeld. 2006.</w:t>
      </w:r>
      <w:r>
        <w:t xml:space="preserve"> </w:t>
      </w:r>
      <w:r>
        <w:t xml:space="preserve">“Coarse-Graining of Cellular Automata, Emergence, and the Predictability of Complex Systems.”</w:t>
      </w:r>
      <w:r>
        <w:t xml:space="preserve"> </w:t>
      </w:r>
      <w:r>
        <w:rPr>
          <w:i/>
          <w:iCs/>
        </w:rPr>
        <w:t xml:space="preserve">Physical Review E</w:t>
      </w:r>
      <w:r>
        <w:t xml:space="preserve"> </w:t>
      </w:r>
      <w:r>
        <w:t xml:space="preserve">73 (2): 026203.</w:t>
      </w:r>
      <w:r>
        <w:t xml:space="preserve"> </w:t>
      </w:r>
      <w:hyperlink r:id="rId180">
        <w:r>
          <w:rPr>
            <w:rStyle w:val="Hyperlink"/>
          </w:rPr>
          <w:t xml:space="preserve">https://doi.org/10.1103/PhysRevE.73.026203</w:t>
        </w:r>
      </w:hyperlink>
      <w:r>
        <w:t xml:space="preserve">.</w:t>
      </w:r>
    </w:p>
    <w:bookmarkEnd w:id="181"/>
    <w:bookmarkStart w:id="183" w:name="ref-iyengar2005"/>
    <w:p>
      <w:pPr>
        <w:pStyle w:val="Bibliography"/>
        <w:widowControl/>
      </w:pPr>
      <w:r>
        <w:t xml:space="preserve">Iyengar, Garud N. 2005.</w:t>
      </w:r>
      <w:r>
        <w:t xml:space="preserve"> </w:t>
      </w:r>
      <w:r>
        <w:t xml:space="preserve">“Robust Dynamic Programming.”</w:t>
      </w:r>
      <w:r>
        <w:t xml:space="preserve"> </w:t>
      </w:r>
      <w:r>
        <w:rPr>
          <w:i/>
          <w:iCs/>
        </w:rPr>
        <w:t xml:space="preserve">Mathematics of Operations Research</w:t>
      </w:r>
      <w:r>
        <w:t xml:space="preserve"> </w:t>
      </w:r>
      <w:r>
        <w:t xml:space="preserve">30 (2): 257–80.</w:t>
      </w:r>
      <w:r>
        <w:t xml:space="preserve"> </w:t>
      </w:r>
      <w:hyperlink r:id="rId182">
        <w:r>
          <w:rPr>
            <w:rStyle w:val="Hyperlink"/>
          </w:rPr>
          <w:t xml:space="preserve">https://doi.org/10.1287/moor.1040.0129</w:t>
        </w:r>
      </w:hyperlink>
      <w:r>
        <w:t xml:space="preserve">.</w:t>
      </w:r>
    </w:p>
    <w:bookmarkEnd w:id="183"/>
    <w:bookmarkStart w:id="184" w:name="ref-jamieson2016"/>
    <w:p>
      <w:pPr>
        <w:pStyle w:val="Bibliography"/>
        <w:widowControl/>
      </w:pPr>
      <w:r>
        <w:t xml:space="preserve">Jamieson, Kevin, and Ameet Talwalkar. 2016.</w:t>
      </w:r>
      <w:r>
        <w:t xml:space="preserve"> </w:t>
      </w:r>
      <w:r>
        <w:t xml:space="preserve">“Non-Stochastic Best Arm Identification and Hyperparameter Optimization.”</w:t>
      </w:r>
      <w:r>
        <w:t xml:space="preserve"> </w:t>
      </w:r>
      <w:r>
        <w:rPr>
          <w:i/>
          <w:iCs/>
        </w:rPr>
        <w:t xml:space="preserve">Proceedings of Machine Learning Research</w:t>
      </w:r>
      <w:r>
        <w:t xml:space="preserve"> </w:t>
      </w:r>
      <w:r>
        <w:t xml:space="preserve">51: 240–48.</w:t>
      </w:r>
    </w:p>
    <w:bookmarkEnd w:id="184"/>
    <w:bookmarkStart w:id="185" w:name="ref-kandasamy2017"/>
    <w:p>
      <w:pPr>
        <w:pStyle w:val="Bibliography"/>
        <w:widowControl/>
      </w:pPr>
      <w:r>
        <w:t xml:space="preserve">Kandasamy, Kirthevasan, Gautam Dasarathy, Jeff Schneider, and Barnabás Póczos. 2017.</w:t>
      </w:r>
      <w:r>
        <w:t xml:space="preserve"> </w:t>
      </w:r>
      <w:r>
        <w:t xml:space="preserve">“Multi-Fidelity Bayesian Optimisation with Continuous Approximations.”</w:t>
      </w:r>
      <w:r>
        <w:t xml:space="preserve"> </w:t>
      </w:r>
      <w:r>
        <w:rPr>
          <w:i/>
          <w:iCs/>
        </w:rPr>
        <w:t xml:space="preserve">Proceedings of the 34th International Conference on Machine Learning</w:t>
      </w:r>
      <w:r>
        <w:t xml:space="preserve">, Proceedings of machine learning research, vol. 70: 1799–808.</w:t>
      </w:r>
    </w:p>
    <w:bookmarkEnd w:id="185"/>
    <w:bookmarkStart w:id="187" w:name="ref-karr2012"/>
    <w:p>
      <w:pPr>
        <w:pStyle w:val="Bibliography"/>
        <w:widowControl/>
      </w:pPr>
      <w:r>
        <w:t xml:space="preserve">Karr, Jonathan R., Jayodita C. Sanghvi, Derek N. Macklin, et al. 2012.</w:t>
      </w:r>
      <w:r>
        <w:t xml:space="preserve"> </w:t>
      </w:r>
      <w:r>
        <w:t xml:space="preserve">“A Whole-Cell Computational Model Predicts Phenotype from Genotype.”</w:t>
      </w:r>
      <w:r>
        <w:t xml:space="preserve"> </w:t>
      </w:r>
      <w:r>
        <w:rPr>
          <w:i/>
          <w:iCs/>
        </w:rPr>
        <w:t xml:space="preserve">Cell</w:t>
      </w:r>
      <w:r>
        <w:t xml:space="preserve"> </w:t>
      </w:r>
      <w:r>
        <w:t xml:space="preserve">150 (2): 389–401.</w:t>
      </w:r>
      <w:r>
        <w:t xml:space="preserve"> </w:t>
      </w:r>
      <w:hyperlink r:id="rId186">
        <w:r>
          <w:rPr>
            <w:rStyle w:val="Hyperlink"/>
          </w:rPr>
          <w:t xml:space="preserve">https://doi.org/10.1016/j.cell.2012.05.044</w:t>
        </w:r>
      </w:hyperlink>
      <w:r>
        <w:t xml:space="preserve">.</w:t>
      </w:r>
    </w:p>
    <w:bookmarkEnd w:id="187"/>
    <w:bookmarkStart w:id="189" w:name="ref-kim2023unrealizability"/>
    <w:p>
      <w:pPr>
        <w:pStyle w:val="Bibliography"/>
        <w:widowControl/>
      </w:pPr>
      <w:r>
        <w:t xml:space="preserve">Kim, Jinwoo, Loris D’Antoni, and Thomas Reps. 2023.</w:t>
      </w:r>
      <w:r>
        <w:t xml:space="preserve"> </w:t>
      </w:r>
      <w:r>
        <w:t xml:space="preserve">“Unrealizability Logic.”</w:t>
      </w:r>
      <w:r>
        <w:t xml:space="preserve"> </w:t>
      </w:r>
      <w:r>
        <w:rPr>
          <w:i/>
          <w:iCs/>
        </w:rPr>
        <w:t xml:space="preserve">Proceedings of the ACM on Programming Languages</w:t>
      </w:r>
      <w:r>
        <w:t xml:space="preserve"> </w:t>
      </w:r>
      <w:r>
        <w:t xml:space="preserve">7 (POPL): 659–88.</w:t>
      </w:r>
      <w:r>
        <w:t xml:space="preserve"> </w:t>
      </w:r>
      <w:hyperlink r:id="rId188">
        <w:r>
          <w:rPr>
            <w:rStyle w:val="Hyperlink"/>
          </w:rPr>
          <w:t xml:space="preserve">https://doi.org/10.1145/3571216</w:t>
        </w:r>
      </w:hyperlink>
      <w:r>
        <w:t xml:space="preserve">.</w:t>
      </w:r>
    </w:p>
    <w:bookmarkEnd w:id="189"/>
    <w:bookmarkStart w:id="190" w:name="ref-li2018"/>
    <w:p>
      <w:pPr>
        <w:pStyle w:val="Bibliography"/>
        <w:widowControl/>
      </w:pPr>
      <w:r>
        <w:t xml:space="preserve">Li, Lisha, Kevin Jamieson, Giulia DeSalvo, Afshin Rostamizadeh, and Ameet Talwalkar. 2018.</w:t>
      </w:r>
      <w:r>
        <w:t xml:space="preserve"> </w:t>
      </w:r>
      <w:r>
        <w:t xml:space="preserve">“Hyperband: A Novel Bandit-Based Approach to Hyperparameter Optimization.”</w:t>
      </w:r>
      <w:r>
        <w:t xml:space="preserve"> </w:t>
      </w:r>
      <w:r>
        <w:rPr>
          <w:i/>
          <w:iCs/>
        </w:rPr>
        <w:t xml:space="preserve">Journal of Machine Learning Research</w:t>
      </w:r>
      <w:r>
        <w:t xml:space="preserve"> </w:t>
      </w:r>
      <w:r>
        <w:t xml:space="preserve">18 (185): 1–52.</w:t>
      </w:r>
    </w:p>
    <w:bookmarkEnd w:id="190"/>
    <w:bookmarkStart w:id="192" w:name="ref-littman2001"/>
    <w:p>
      <w:pPr>
        <w:pStyle w:val="Bibliography"/>
        <w:widowControl/>
      </w:pPr>
      <w:r>
        <w:t xml:space="preserve">Littman, Michael L., Richard S. Sutton, and Satinder Singh. 2001.</w:t>
      </w:r>
      <w:r>
        <w:t xml:space="preserve"> </w:t>
      </w:r>
      <w:r>
        <w:t xml:space="preserve">“Predictive Representations of State.”</w:t>
      </w:r>
      <w:r>
        <w:t xml:space="preserve"> </w:t>
      </w:r>
      <w:r>
        <w:rPr>
          <w:i/>
          <w:iCs/>
        </w:rPr>
        <w:t xml:space="preserve">Advances in Neural Information Processing Systems 14</w:t>
      </w:r>
      <w:r>
        <w:t xml:space="preserve">, 1555–61.</w:t>
      </w:r>
      <w:r>
        <w:t xml:space="preserve"> </w:t>
      </w:r>
      <w:hyperlink r:id="rId191">
        <w:r>
          <w:rPr>
            <w:rStyle w:val="Hyperlink"/>
          </w:rPr>
          <w:t xml:space="preserve">https://proceedings.neurips.cc/paper_files/paper/2001/hash/1e4d36177d71bbb3558e43af9577d70e-Abstract.html</w:t>
        </w:r>
      </w:hyperlink>
      <w:r>
        <w:t xml:space="preserve">.</w:t>
      </w:r>
    </w:p>
    <w:bookmarkEnd w:id="192"/>
    <w:bookmarkStart w:id="194" w:name="ref-liu2024"/>
    <w:p>
      <w:pPr>
        <w:pStyle w:val="Bibliography"/>
        <w:widowControl/>
      </w:pPr>
      <w:r>
        <w:t xml:space="preserve">Liu, Zhenning, Xiantao Li, Chunhao Wang, and Jin-Peng Liu. 2024.</w:t>
      </w:r>
      <w:r>
        <w:t xml:space="preserve"> </w:t>
      </w:r>
      <w:r>
        <w:rPr>
          <w:i/>
          <w:iCs/>
        </w:rPr>
        <w:t xml:space="preserve">Toward End-to-End Quantum Simulation for Protein Dynamics</w:t>
      </w:r>
      <w:r>
        <w:t xml:space="preserve">.</w:t>
      </w:r>
      <w:r>
        <w:t xml:space="preserve"> </w:t>
      </w:r>
      <w:hyperlink r:id="rId193">
        <w:r>
          <w:rPr>
            <w:rStyle w:val="Hyperlink"/>
          </w:rPr>
          <w:t xml:space="preserve">https://doi.org/10.48550/arXiv.2411.03972</w:t>
        </w:r>
      </w:hyperlink>
      <w:r>
        <w:t xml:space="preserve">.</w:t>
      </w:r>
    </w:p>
    <w:bookmarkEnd w:id="194"/>
    <w:bookmarkStart w:id="196" w:name="ref-lloyd1996"/>
    <w:p>
      <w:pPr>
        <w:pStyle w:val="Bibliography"/>
        <w:widowControl/>
      </w:pPr>
      <w:r>
        <w:t xml:space="preserve">Lloyd, Seth. 1996.</w:t>
      </w:r>
      <w:r>
        <w:t xml:space="preserve"> </w:t>
      </w:r>
      <w:r>
        <w:t xml:space="preserve">“Universal Quantum Simulators.”</w:t>
      </w:r>
      <w:r>
        <w:t xml:space="preserve"> </w:t>
      </w:r>
      <w:r>
        <w:rPr>
          <w:i/>
          <w:iCs/>
        </w:rPr>
        <w:t xml:space="preserve">Science</w:t>
      </w:r>
      <w:r>
        <w:t xml:space="preserve"> </w:t>
      </w:r>
      <w:r>
        <w:t xml:space="preserve">273 (5278): 1073–78.</w:t>
      </w:r>
      <w:r>
        <w:t xml:space="preserve"> </w:t>
      </w:r>
      <w:hyperlink r:id="rId195">
        <w:r>
          <w:rPr>
            <w:rStyle w:val="Hyperlink"/>
          </w:rPr>
          <w:t xml:space="preserve">https://doi.org/10.1126/science.273.5278.1073</w:t>
        </w:r>
      </w:hyperlink>
      <w:r>
        <w:t xml:space="preserve">.</w:t>
      </w:r>
    </w:p>
    <w:bookmarkEnd w:id="196"/>
    <w:bookmarkStart w:id="198" w:name="ref-lopezotin2013"/>
    <w:p>
      <w:pPr>
        <w:pStyle w:val="Bibliography"/>
        <w:widowControl/>
      </w:pPr>
      <w:r>
        <w:t xml:space="preserve">López-Otín, Carlos, Maria A. Blasco, Linda Partridge, Manuel Serrano, and Guido Kroemer. 2013.</w:t>
      </w:r>
      <w:r>
        <w:t xml:space="preserve"> </w:t>
      </w:r>
      <w:r>
        <w:t xml:space="preserve">“The Hallmarks of Aging.”</w:t>
      </w:r>
      <w:r>
        <w:t xml:space="preserve"> </w:t>
      </w:r>
      <w:r>
        <w:rPr>
          <w:i/>
          <w:iCs/>
        </w:rPr>
        <w:t xml:space="preserve">Cell</w:t>
      </w:r>
      <w:r>
        <w:t xml:space="preserve"> </w:t>
      </w:r>
      <w:r>
        <w:t xml:space="preserve">153 (6): 1194–217.</w:t>
      </w:r>
      <w:r>
        <w:t xml:space="preserve"> </w:t>
      </w:r>
      <w:hyperlink r:id="rId197">
        <w:r>
          <w:rPr>
            <w:rStyle w:val="Hyperlink"/>
          </w:rPr>
          <w:t xml:space="preserve">https://doi.org/10.1016/j.cell.2013.05.039</w:t>
        </w:r>
      </w:hyperlink>
      <w:r>
        <w:t xml:space="preserve">.</w:t>
      </w:r>
    </w:p>
    <w:bookmarkEnd w:id="198"/>
    <w:bookmarkStart w:id="200" w:name="ref-lopezotin2023"/>
    <w:p>
      <w:pPr>
        <w:pStyle w:val="Bibliography"/>
        <w:widowControl/>
      </w:pPr>
      <w:r>
        <w:t xml:space="preserve">López-Otín, Carlos, Maria A. Blasco, Linda Partridge, Manuel Serrano, and Guido Kroemer. 2023.</w:t>
      </w:r>
      <w:r>
        <w:t xml:space="preserve"> </w:t>
      </w:r>
      <w:r>
        <w:t xml:space="preserve">“Hallmarks of Aging: An Expanding Universe.”</w:t>
      </w:r>
      <w:r>
        <w:t xml:space="preserve"> </w:t>
      </w:r>
      <w:r>
        <w:rPr>
          <w:i/>
          <w:iCs/>
        </w:rPr>
        <w:t xml:space="preserve">Cell</w:t>
      </w:r>
      <w:r>
        <w:t xml:space="preserve"> </w:t>
      </w:r>
      <w:r>
        <w:t xml:space="preserve">186 (2): 243–78.</w:t>
      </w:r>
      <w:r>
        <w:t xml:space="preserve"> </w:t>
      </w:r>
      <w:hyperlink r:id="rId199">
        <w:r>
          <w:rPr>
            <w:rStyle w:val="Hyperlink"/>
          </w:rPr>
          <w:t xml:space="preserve">https://doi.org/10.1016/j.cell.2022.11.001</w:t>
        </w:r>
      </w:hyperlink>
      <w:r>
        <w:t xml:space="preserve">.</w:t>
      </w:r>
    </w:p>
    <w:bookmarkEnd w:id="200"/>
    <w:bookmarkStart w:id="202" w:name="ref-lowchuang2019"/>
    <w:p>
      <w:pPr>
        <w:pStyle w:val="Bibliography"/>
        <w:widowControl/>
      </w:pPr>
      <w:r>
        <w:t xml:space="preserve">Low, Guang Hao, and Isaac L. Chuang. 2019.</w:t>
      </w:r>
      <w:r>
        <w:t xml:space="preserve"> </w:t>
      </w:r>
      <w:r>
        <w:t xml:space="preserve">“Hamiltonian Simulation by Qubitization.”</w:t>
      </w:r>
      <w:r>
        <w:t xml:space="preserve"> </w:t>
      </w:r>
      <w:r>
        <w:rPr>
          <w:i/>
          <w:iCs/>
        </w:rPr>
        <w:t xml:space="preserve">Quantum</w:t>
      </w:r>
      <w:r>
        <w:t xml:space="preserve"> </w:t>
      </w:r>
      <w:r>
        <w:t xml:space="preserve">3: 163.</w:t>
      </w:r>
      <w:r>
        <w:t xml:space="preserve"> </w:t>
      </w:r>
      <w:hyperlink r:id="rId201">
        <w:r>
          <w:rPr>
            <w:rStyle w:val="Hyperlink"/>
          </w:rPr>
          <w:t xml:space="preserve">https://doi.org/10.22331/q-2019-07-12-163</w:t>
        </w:r>
      </w:hyperlink>
      <w:r>
        <w:t xml:space="preserve">.</w:t>
      </w:r>
    </w:p>
    <w:bookmarkEnd w:id="202"/>
    <w:bookmarkStart w:id="204" w:name="ref-manski2003"/>
    <w:p>
      <w:pPr>
        <w:pStyle w:val="Bibliography"/>
        <w:widowControl/>
      </w:pPr>
      <w:r>
        <w:t xml:space="preserve">Manski, Charles F. 2003.</w:t>
      </w:r>
      <w:r>
        <w:t xml:space="preserve"> </w:t>
      </w:r>
      <w:r>
        <w:rPr>
          <w:i/>
          <w:iCs/>
        </w:rPr>
        <w:t xml:space="preserve">Partial Identification of Probability Distributions</w:t>
      </w:r>
      <w:r>
        <w:t xml:space="preserve">. Springer Series in Statistics. Springer New York.</w:t>
      </w:r>
      <w:r>
        <w:t xml:space="preserve"> </w:t>
      </w:r>
      <w:hyperlink r:id="rId203">
        <w:r>
          <w:rPr>
            <w:rStyle w:val="Hyperlink"/>
          </w:rPr>
          <w:t xml:space="preserve">https://doi.org/10.1007/b97478</w:t>
        </w:r>
      </w:hyperlink>
      <w:r>
        <w:t xml:space="preserve">.</w:t>
      </w:r>
    </w:p>
    <w:bookmarkEnd w:id="204"/>
    <w:bookmarkStart w:id="206" w:name="ref-martinez2006"/>
    <w:p>
      <w:pPr>
        <w:pStyle w:val="Bibliography"/>
        <w:widowControl/>
      </w:pPr>
      <w:r>
        <w:t xml:space="preserve">Martínez, Genaro J., Andrew Adamatzky, and Harold V. McIntosh. 2006.</w:t>
      </w:r>
      <w:r>
        <w:t xml:space="preserve"> </w:t>
      </w:r>
      <w:r>
        <w:t xml:space="preserve">“Phenomenology of Glider Collisions in Cellular Automaton Rule 54 and Associated Logical Gates.”</w:t>
      </w:r>
      <w:r>
        <w:t xml:space="preserve"> </w:t>
      </w:r>
      <w:r>
        <w:rPr>
          <w:i/>
          <w:iCs/>
        </w:rPr>
        <w:t xml:space="preserve">Chaos, Solitons &amp; Fractals</w:t>
      </w:r>
      <w:r>
        <w:t xml:space="preserve"> </w:t>
      </w:r>
      <w:r>
        <w:t xml:space="preserve">28 (1): 100–111.</w:t>
      </w:r>
      <w:r>
        <w:t xml:space="preserve"> </w:t>
      </w:r>
      <w:hyperlink r:id="rId205">
        <w:r>
          <w:rPr>
            <w:rStyle w:val="Hyperlink"/>
          </w:rPr>
          <w:t xml:space="preserve">https://doi.org/10.1016/j.chaos.2005.05.013</w:t>
        </w:r>
      </w:hyperlink>
      <w:r>
        <w:t xml:space="preserve">.</w:t>
      </w:r>
    </w:p>
    <w:bookmarkEnd w:id="206"/>
    <w:bookmarkStart w:id="208" w:name="ref-meyer1996qca"/>
    <w:p>
      <w:pPr>
        <w:pStyle w:val="Bibliography"/>
        <w:widowControl/>
      </w:pPr>
      <w:r>
        <w:t xml:space="preserve">Meyer, David A. 1996.</w:t>
      </w:r>
      <w:r>
        <w:t xml:space="preserve"> </w:t>
      </w:r>
      <w:r>
        <w:t xml:space="preserve">“From Quantum Cellular Automata to Quantum Lattice Gases.”</w:t>
      </w:r>
      <w:r>
        <w:t xml:space="preserve"> </w:t>
      </w:r>
      <w:r>
        <w:rPr>
          <w:i/>
          <w:iCs/>
        </w:rPr>
        <w:t xml:space="preserve">Journal of Statistical Physics</w:t>
      </w:r>
      <w:r>
        <w:t xml:space="preserve"> </w:t>
      </w:r>
      <w:r>
        <w:t xml:space="preserve">85 (5–6): 551–74.</w:t>
      </w:r>
      <w:r>
        <w:t xml:space="preserve"> </w:t>
      </w:r>
      <w:hyperlink r:id="rId207">
        <w:r>
          <w:rPr>
            <w:rStyle w:val="Hyperlink"/>
          </w:rPr>
          <w:t xml:space="preserve">https://doi.org/10.1007/BF02199356</w:t>
        </w:r>
      </w:hyperlink>
      <w:r>
        <w:t xml:space="preserve">.</w:t>
      </w:r>
    </w:p>
    <w:bookmarkEnd w:id="208"/>
    <w:bookmarkStart w:id="210" w:name="ref-mitchell1977candidate"/>
    <w:p>
      <w:pPr>
        <w:pStyle w:val="Bibliography"/>
        <w:widowControl/>
      </w:pPr>
      <w:r>
        <w:t xml:space="preserve">Mitchell, Tom M. 1977.</w:t>
      </w:r>
      <w:r>
        <w:t xml:space="preserve"> </w:t>
      </w:r>
      <w:r>
        <w:t xml:space="preserve">“Version Spaces: A Candidate Elimination Approach to Rule Learning.”</w:t>
      </w:r>
      <w:r>
        <w:t xml:space="preserve"> </w:t>
      </w:r>
      <w:r>
        <w:rPr>
          <w:i/>
          <w:iCs/>
        </w:rPr>
        <w:t xml:space="preserve">Proceedings of the Fifth International Joint Conference on Artificial Intelligence</w:t>
      </w:r>
      <w:r>
        <w:t xml:space="preserve">, 305–10.</w:t>
      </w:r>
      <w:r>
        <w:t xml:space="preserve"> </w:t>
      </w:r>
      <w:hyperlink r:id="rId209">
        <w:r>
          <w:rPr>
            <w:rStyle w:val="Hyperlink"/>
          </w:rPr>
          <w:t xml:space="preserve">https://www.ijcai.org/Proceedings/77-1/Papers/048.pdf</w:t>
        </w:r>
      </w:hyperlink>
      <w:r>
        <w:t xml:space="preserve">.</w:t>
      </w:r>
    </w:p>
    <w:bookmarkEnd w:id="210"/>
    <w:bookmarkStart w:id="212" w:name="ref-mitchell1982"/>
    <w:p>
      <w:pPr>
        <w:pStyle w:val="Bibliography"/>
        <w:widowControl/>
      </w:pPr>
      <w:r>
        <w:t xml:space="preserve">Mitchell, Tom M. 1982.</w:t>
      </w:r>
      <w:r>
        <w:t xml:space="preserve"> </w:t>
      </w:r>
      <w:r>
        <w:t xml:space="preserve">“Generalization as Search.”</w:t>
      </w:r>
      <w:r>
        <w:t xml:space="preserve"> </w:t>
      </w:r>
      <w:r>
        <w:rPr>
          <w:i/>
          <w:iCs/>
        </w:rPr>
        <w:t xml:space="preserve">Artificial Intelligence</w:t>
      </w:r>
      <w:r>
        <w:t xml:space="preserve"> </w:t>
      </w:r>
      <w:r>
        <w:t xml:space="preserve">18 (2): 203–26.</w:t>
      </w:r>
      <w:r>
        <w:t xml:space="preserve"> </w:t>
      </w:r>
      <w:hyperlink r:id="rId211">
        <w:r>
          <w:rPr>
            <w:rStyle w:val="Hyperlink"/>
          </w:rPr>
          <w:t xml:space="preserve">https://doi.org/10.1016/0004-3702(82)90040-6</w:t>
        </w:r>
      </w:hyperlink>
      <w:r>
        <w:t xml:space="preserve">.</w:t>
      </w:r>
    </w:p>
    <w:bookmarkEnd w:id="212"/>
    <w:bookmarkStart w:id="214" w:name="ref-mori1965"/>
    <w:p>
      <w:pPr>
        <w:pStyle w:val="Bibliography"/>
        <w:widowControl/>
      </w:pPr>
      <w:r>
        <w:t xml:space="preserve">Mori, Hazime. 1965.</w:t>
      </w:r>
      <w:r>
        <w:t xml:space="preserve"> </w:t>
      </w:r>
      <w:r>
        <w:t xml:space="preserve">“Transport, Collective Motion, and Brownian Motion.”</w:t>
      </w:r>
      <w:r>
        <w:t xml:space="preserve"> </w:t>
      </w:r>
      <w:r>
        <w:rPr>
          <w:i/>
          <w:iCs/>
        </w:rPr>
        <w:t xml:space="preserve">Progress of Theoretical Physics</w:t>
      </w:r>
      <w:r>
        <w:t xml:space="preserve"> </w:t>
      </w:r>
      <w:r>
        <w:t xml:space="preserve">33 (3): 423–55.</w:t>
      </w:r>
      <w:r>
        <w:t xml:space="preserve"> </w:t>
      </w:r>
      <w:hyperlink r:id="rId213">
        <w:r>
          <w:rPr>
            <w:rStyle w:val="Hyperlink"/>
          </w:rPr>
          <w:t xml:space="preserve">https://doi.org/10.1143/PTP.33.423</w:t>
        </w:r>
      </w:hyperlink>
      <w:r>
        <w:t xml:space="preserve">.</w:t>
      </w:r>
    </w:p>
    <w:bookmarkEnd w:id="214"/>
    <w:bookmarkStart w:id="216" w:name="ref-nilim2005"/>
    <w:p>
      <w:pPr>
        <w:pStyle w:val="Bibliography"/>
        <w:widowControl/>
      </w:pPr>
      <w:r>
        <w:t xml:space="preserve">Nilim, Arnab, and Laurent El Ghaoui. 2005.</w:t>
      </w:r>
      <w:r>
        <w:t xml:space="preserve"> </w:t>
      </w:r>
      <w:r>
        <w:t xml:space="preserve">“Robust Control of Markov Decision Processes with Uncertain Transition Matrices.”</w:t>
      </w:r>
      <w:r>
        <w:t xml:space="preserve"> </w:t>
      </w:r>
      <w:r>
        <w:rPr>
          <w:i/>
          <w:iCs/>
        </w:rPr>
        <w:t xml:space="preserve">Operations Research</w:t>
      </w:r>
      <w:r>
        <w:t xml:space="preserve"> </w:t>
      </w:r>
      <w:r>
        <w:t xml:space="preserve">53 (5): 780–98.</w:t>
      </w:r>
      <w:r>
        <w:t xml:space="preserve"> </w:t>
      </w:r>
      <w:hyperlink r:id="rId215">
        <w:r>
          <w:rPr>
            <w:rStyle w:val="Hyperlink"/>
          </w:rPr>
          <w:t xml:space="preserve">https://doi.org/10.1287/opre.1050.0216</w:t>
        </w:r>
      </w:hyperlink>
      <w:r>
        <w:t xml:space="preserve">.</w:t>
      </w:r>
    </w:p>
    <w:bookmarkEnd w:id="216"/>
    <w:bookmarkStart w:id="218" w:name="ref-oden2005lattice"/>
    <w:p>
      <w:pPr>
        <w:pStyle w:val="Bibliography"/>
        <w:widowControl/>
      </w:pPr>
      <w:r>
        <w:t xml:space="preserve">Oden, J. Tinsley, Serge Prudhomme, and Paul T. Bauman. 2005.</w:t>
      </w:r>
      <w:r>
        <w:t xml:space="preserve"> </w:t>
      </w:r>
      <w:r>
        <w:t xml:space="preserve">“On the Extension of Goal-Oriented Error Estimation and Hierarchical Modeling to Discrete Lattice Models.”</w:t>
      </w:r>
      <w:r>
        <w:t xml:space="preserve"> </w:t>
      </w:r>
      <w:r>
        <w:rPr>
          <w:i/>
          <w:iCs/>
        </w:rPr>
        <w:t xml:space="preserve">Computer Methods in Applied Mechanics and Engineering</w:t>
      </w:r>
      <w:r>
        <w:t xml:space="preserve"> </w:t>
      </w:r>
      <w:r>
        <w:t xml:space="preserve">194 (34–35): 3668–88.</w:t>
      </w:r>
      <w:r>
        <w:t xml:space="preserve"> </w:t>
      </w:r>
      <w:hyperlink r:id="rId217">
        <w:r>
          <w:rPr>
            <w:rStyle w:val="Hyperlink"/>
          </w:rPr>
          <w:t xml:space="preserve">https://doi.org/10.1016/j.cma.2004.08.010</w:t>
        </w:r>
      </w:hyperlink>
      <w:r>
        <w:t xml:space="preserve">.</w:t>
      </w:r>
    </w:p>
    <w:bookmarkEnd w:id="218"/>
    <w:bookmarkStart w:id="220" w:name="ref-pleschbrukner2011"/>
    <w:p>
      <w:pPr>
        <w:pStyle w:val="Bibliography"/>
        <w:widowControl/>
      </w:pPr>
      <w:r>
        <w:t xml:space="preserve">Plesch, Martin, and Časlav Brukner. 2011.</w:t>
      </w:r>
      <w:r>
        <w:t xml:space="preserve"> </w:t>
      </w:r>
      <w:r>
        <w:t xml:space="preserve">“Quantum-State Preparation with Universal Gate Decompositions.”</w:t>
      </w:r>
      <w:r>
        <w:t xml:space="preserve"> </w:t>
      </w:r>
      <w:r>
        <w:rPr>
          <w:i/>
          <w:iCs/>
        </w:rPr>
        <w:t xml:space="preserve">Physical Review A</w:t>
      </w:r>
      <w:r>
        <w:t xml:space="preserve"> </w:t>
      </w:r>
      <w:r>
        <w:t xml:space="preserve">83 (3): 032302.</w:t>
      </w:r>
      <w:r>
        <w:t xml:space="preserve"> </w:t>
      </w:r>
      <w:hyperlink r:id="rId219">
        <w:r>
          <w:rPr>
            <w:rStyle w:val="Hyperlink"/>
          </w:rPr>
          <w:t xml:space="preserve">https://doi.org/10.1103/PhysRevA.83.032302</w:t>
        </w:r>
      </w:hyperlink>
      <w:r>
        <w:t xml:space="preserve">.</w:t>
      </w:r>
    </w:p>
    <w:bookmarkEnd w:id="220"/>
    <w:bookmarkStart w:id="222" w:name="ref-prinz2011"/>
    <w:p>
      <w:pPr>
        <w:pStyle w:val="Bibliography"/>
        <w:widowControl/>
      </w:pPr>
      <w:r>
        <w:t xml:space="preserve">Prinz, Jan-Hendrik, Hao Wu, Marco Sarich, et al. 2011.</w:t>
      </w:r>
      <w:r>
        <w:t xml:space="preserve"> </w:t>
      </w:r>
      <w:r>
        <w:t xml:space="preserve">“Markov Models of Molecular Kinetics: Generation and Validation.”</w:t>
      </w:r>
      <w:r>
        <w:t xml:space="preserve"> </w:t>
      </w:r>
      <w:r>
        <w:rPr>
          <w:i/>
          <w:iCs/>
        </w:rPr>
        <w:t xml:space="preserve">The Journal of Chemical Physics</w:t>
      </w:r>
      <w:r>
        <w:t xml:space="preserve"> </w:t>
      </w:r>
      <w:r>
        <w:t xml:space="preserve">134: 174105.</w:t>
      </w:r>
      <w:r>
        <w:t xml:space="preserve"> </w:t>
      </w:r>
      <w:hyperlink r:id="rId221">
        <w:r>
          <w:rPr>
            <w:rStyle w:val="Hyperlink"/>
          </w:rPr>
          <w:t xml:space="preserve">https://doi.org/10.1063/1.3565032</w:t>
        </w:r>
      </w:hyperlink>
      <w:r>
        <w:t xml:space="preserve">.</w:t>
      </w:r>
    </w:p>
    <w:bookmarkEnd w:id="222"/>
    <w:bookmarkStart w:id="224" w:name="ref-prudhomme1999goal"/>
    <w:p>
      <w:pPr>
        <w:pStyle w:val="Bibliography"/>
        <w:widowControl/>
      </w:pPr>
      <w:r>
        <w:t xml:space="preserve">Prudhomme, Serge, and J. Tinsley Oden. 1999.</w:t>
      </w:r>
      <w:r>
        <w:t xml:space="preserve"> </w:t>
      </w:r>
      <w:r>
        <w:t xml:space="preserve">“On Goal-Oriented Error Estimation for Elliptic Problems: Application to the Control of Pointwise Errors.”</w:t>
      </w:r>
      <w:r>
        <w:t xml:space="preserve"> </w:t>
      </w:r>
      <w:r>
        <w:rPr>
          <w:i/>
          <w:iCs/>
        </w:rPr>
        <w:t xml:space="preserve">Computer Methods in Applied Mechanics and Engineering</w:t>
      </w:r>
      <w:r>
        <w:t xml:space="preserve"> </w:t>
      </w:r>
      <w:r>
        <w:t xml:space="preserve">176 (1–4): 313–31.</w:t>
      </w:r>
      <w:r>
        <w:t xml:space="preserve"> </w:t>
      </w:r>
      <w:hyperlink r:id="rId223">
        <w:r>
          <w:rPr>
            <w:rStyle w:val="Hyperlink"/>
          </w:rPr>
          <w:t xml:space="preserve">https://doi.org/10.1016/S0045-7825(98)00343-0</w:t>
        </w:r>
      </w:hyperlink>
      <w:r>
        <w:t xml:space="preserve">.</w:t>
      </w:r>
    </w:p>
    <w:bookmarkEnd w:id="224"/>
    <w:bookmarkStart w:id="226" w:name="ref-raue2009"/>
    <w:p>
      <w:pPr>
        <w:pStyle w:val="Bibliography"/>
        <w:widowControl/>
      </w:pPr>
      <w:r>
        <w:t xml:space="preserve">Raue, Andreas, Clemens Kreutz, Thomas Maiwald, et al. 2009.</w:t>
      </w:r>
      <w:r>
        <w:t xml:space="preserve"> </w:t>
      </w:r>
      <w:r>
        <w:t xml:space="preserve">“Structural and Practical Identifiability Analysis of Partially Observed Dynamical Models by Exploiting the Profile Likelihood.”</w:t>
      </w:r>
      <w:r>
        <w:t xml:space="preserve"> </w:t>
      </w:r>
      <w:r>
        <w:rPr>
          <w:i/>
          <w:iCs/>
        </w:rPr>
        <w:t xml:space="preserve">Bioinformatics</w:t>
      </w:r>
      <w:r>
        <w:t xml:space="preserve"> </w:t>
      </w:r>
      <w:r>
        <w:t xml:space="preserve">25 (15): 1923–29.</w:t>
      </w:r>
      <w:r>
        <w:t xml:space="preserve"> </w:t>
      </w:r>
      <w:hyperlink r:id="rId225">
        <w:r>
          <w:rPr>
            <w:rStyle w:val="Hyperlink"/>
          </w:rPr>
          <w:t xml:space="preserve">https://doi.org/10.1093/bioinformatics/btp358</w:t>
        </w:r>
      </w:hyperlink>
      <w:r>
        <w:t xml:space="preserve">.</w:t>
      </w:r>
    </w:p>
    <w:bookmarkEnd w:id="226"/>
    <w:bookmarkStart w:id="228" w:name="ref-reiher2017"/>
    <w:p>
      <w:pPr>
        <w:pStyle w:val="Bibliography"/>
        <w:widowControl/>
      </w:pPr>
      <w:r>
        <w:t xml:space="preserve">Reiher, Markus, Nathan Wiebe, Krysta M. Svore, Dave Wecker, and Matthias Troyer. 2017.</w:t>
      </w:r>
      <w:r>
        <w:t xml:space="preserve"> </w:t>
      </w:r>
      <w:r>
        <w:t xml:space="preserve">“Elucidating Reaction Mechanisms on Quantum Computers.”</w:t>
      </w:r>
      <w:r>
        <w:t xml:space="preserve"> </w:t>
      </w:r>
      <w:r>
        <w:rPr>
          <w:i/>
          <w:iCs/>
        </w:rPr>
        <w:t xml:space="preserve">Proceedings of the National Academy of Sciences</w:t>
      </w:r>
      <w:r>
        <w:t xml:space="preserve"> </w:t>
      </w:r>
      <w:r>
        <w:t xml:space="preserve">114 (29): 7555–60.</w:t>
      </w:r>
      <w:r>
        <w:t xml:space="preserve"> </w:t>
      </w:r>
      <w:hyperlink r:id="rId227">
        <w:r>
          <w:rPr>
            <w:rStyle w:val="Hyperlink"/>
          </w:rPr>
          <w:t xml:space="preserve">https://doi.org/10.1073/pnas.1619152114</w:t>
        </w:r>
      </w:hyperlink>
      <w:r>
        <w:t xml:space="preserve">.</w:t>
      </w:r>
    </w:p>
    <w:bookmarkEnd w:id="228"/>
    <w:bookmarkStart w:id="230" w:name="ref-rosas2020"/>
    <w:p>
      <w:pPr>
        <w:pStyle w:val="Bibliography"/>
        <w:widowControl/>
      </w:pPr>
      <w:r>
        <w:t xml:space="preserve">Rosas, Fernando E., Pedro A. M. Mediano, Henrik J. Jensen, et al. 2020.</w:t>
      </w:r>
      <w:r>
        <w:t xml:space="preserve"> </w:t>
      </w:r>
      <w:r>
        <w:t xml:space="preserve">“Reconciling Emergences: An Information-Theoretic Approach to Identify Causal Emergence in Multivariate Data.”</w:t>
      </w:r>
      <w:r>
        <w:t xml:space="preserve"> </w:t>
      </w:r>
      <w:r>
        <w:rPr>
          <w:i/>
          <w:iCs/>
        </w:rPr>
        <w:t xml:space="preserve">PLOS Computational Biology</w:t>
      </w:r>
      <w:r>
        <w:t xml:space="preserve"> </w:t>
      </w:r>
      <w:r>
        <w:t xml:space="preserve">16 (12): e1008289.</w:t>
      </w:r>
      <w:r>
        <w:t xml:space="preserve"> </w:t>
      </w:r>
      <w:hyperlink r:id="rId229">
        <w:r>
          <w:rPr>
            <w:rStyle w:val="Hyperlink"/>
          </w:rPr>
          <w:t xml:space="preserve">https://doi.org/10.1371/journal.pcbi.1008289</w:t>
        </w:r>
      </w:hyperlink>
      <w:r>
        <w:t xml:space="preserve">.</w:t>
      </w:r>
    </w:p>
    <w:bookmarkEnd w:id="230"/>
    <w:bookmarkStart w:id="232" w:name="ref-scheirer2013"/>
    <w:p>
      <w:pPr>
        <w:pStyle w:val="Bibliography"/>
        <w:widowControl/>
      </w:pPr>
      <w:r>
        <w:t xml:space="preserve">Scheirer, Walter J., Anderson de Rezende Rocha, Archana Sapkota, and Terrance E. Boult. 2013.</w:t>
      </w:r>
      <w:r>
        <w:t xml:space="preserve"> </w:t>
      </w:r>
      <w:r>
        <w:t xml:space="preserve">“Toward Open Set Recognition.”</w:t>
      </w:r>
      <w:r>
        <w:t xml:space="preserve"> </w:t>
      </w:r>
      <w:r>
        <w:rPr>
          <w:i/>
          <w:iCs/>
        </w:rPr>
        <w:t xml:space="preserve">IEEE Transactions on Pattern Analysis and Machine Intelligence</w:t>
      </w:r>
      <w:r>
        <w:t xml:space="preserve"> </w:t>
      </w:r>
      <w:r>
        <w:t xml:space="preserve">35 (7): 1757–72.</w:t>
      </w:r>
      <w:r>
        <w:t xml:space="preserve"> </w:t>
      </w:r>
      <w:hyperlink r:id="rId231">
        <w:r>
          <w:rPr>
            <w:rStyle w:val="Hyperlink"/>
          </w:rPr>
          <w:t xml:space="preserve">https://doi.org/10.1109/TPAMI.2012.256</w:t>
        </w:r>
      </w:hyperlink>
      <w:r>
        <w:t xml:space="preserve">.</w:t>
      </w:r>
    </w:p>
    <w:bookmarkEnd w:id="232"/>
    <w:bookmarkStart w:id="234" w:name="ref-schmidhuber2000"/>
    <w:p>
      <w:pPr>
        <w:pStyle w:val="Bibliography"/>
        <w:widowControl/>
      </w:pPr>
      <w:r>
        <w:t xml:space="preserve">Schmidhuber, Jürgen. 2000.</w:t>
      </w:r>
      <w:r>
        <w:t xml:space="preserve"> </w:t>
      </w:r>
      <w:r>
        <w:rPr>
          <w:i/>
          <w:iCs/>
        </w:rPr>
        <w:t xml:space="preserve">Algorithmic Theories of Everything</w:t>
      </w:r>
      <w:r>
        <w:t xml:space="preserve">.</w:t>
      </w:r>
      <w:r>
        <w:t xml:space="preserve"> </w:t>
      </w:r>
      <w:hyperlink r:id="rId233">
        <w:r>
          <w:rPr>
            <w:rStyle w:val="Hyperlink"/>
          </w:rPr>
          <w:t xml:space="preserve">https://arxiv.org/abs/quant-ph/0011122</w:t>
        </w:r>
      </w:hyperlink>
      <w:r>
        <w:t xml:space="preserve">.</w:t>
      </w:r>
    </w:p>
    <w:bookmarkEnd w:id="234"/>
    <w:bookmarkStart w:id="236" w:name="ref-schmidt2009"/>
    <w:p>
      <w:pPr>
        <w:pStyle w:val="Bibliography"/>
        <w:widowControl/>
      </w:pPr>
      <w:r>
        <w:t xml:space="preserve">Schmidt, Michael, and Hod Lipson. 2009.</w:t>
      </w:r>
      <w:r>
        <w:t xml:space="preserve"> </w:t>
      </w:r>
      <w:r>
        <w:t xml:space="preserve">“Distilling Free-Form Natural Laws from Experimental Data.”</w:t>
      </w:r>
      <w:r>
        <w:t xml:space="preserve"> </w:t>
      </w:r>
      <w:r>
        <w:rPr>
          <w:i/>
          <w:iCs/>
        </w:rPr>
        <w:t xml:space="preserve">Science</w:t>
      </w:r>
      <w:r>
        <w:t xml:space="preserve"> </w:t>
      </w:r>
      <w:r>
        <w:t xml:space="preserve">324 (5923): 81–85.</w:t>
      </w:r>
      <w:r>
        <w:t xml:space="preserve"> </w:t>
      </w:r>
      <w:hyperlink r:id="rId235">
        <w:r>
          <w:rPr>
            <w:rStyle w:val="Hyperlink"/>
          </w:rPr>
          <w:t xml:space="preserve">https://doi.org/10.1126/science.1165893</w:t>
        </w:r>
      </w:hyperlink>
      <w:r>
        <w:t xml:space="preserve">.</w:t>
      </w:r>
    </w:p>
    <w:bookmarkEnd w:id="236"/>
    <w:bookmarkStart w:id="238" w:name="ref-schumacher2004"/>
    <w:p>
      <w:pPr>
        <w:pStyle w:val="Bibliography"/>
        <w:widowControl/>
      </w:pPr>
      <w:r>
        <w:t xml:space="preserve">Schumacher, Benjamin, and Reinhard F. Werner. 2004.</w:t>
      </w:r>
      <w:r>
        <w:t xml:space="preserve"> </w:t>
      </w:r>
      <w:r>
        <w:rPr>
          <w:i/>
          <w:iCs/>
        </w:rPr>
        <w:t xml:space="preserve">Reversible Quantum Cellular Automata</w:t>
      </w:r>
      <w:r>
        <w:t xml:space="preserve">.</w:t>
      </w:r>
      <w:r>
        <w:t xml:space="preserve"> </w:t>
      </w:r>
      <w:hyperlink r:id="rId237">
        <w:r>
          <w:rPr>
            <w:rStyle w:val="Hyperlink"/>
          </w:rPr>
          <w:t xml:space="preserve">https://doi.org/10.48550/arXiv.quant-ph/0405174</w:t>
        </w:r>
      </w:hyperlink>
      <w:r>
        <w:t xml:space="preserve">.</w:t>
      </w:r>
    </w:p>
    <w:bookmarkEnd w:id="238"/>
    <w:bookmarkStart w:id="240" w:name="ref-solarlezama2006"/>
    <w:p>
      <w:pPr>
        <w:pStyle w:val="Bibliography"/>
        <w:widowControl/>
      </w:pPr>
      <w:r>
        <w:t xml:space="preserve">Solar-Lezama, Armando, Liviu Tancau, Rastislav Bodik, Vijay Saraswat, and Sanjit A. Seshia. 2006.</w:t>
      </w:r>
      <w:r>
        <w:t xml:space="preserve"> </w:t>
      </w:r>
      <w:r>
        <w:t xml:space="preserve">“Combinatorial Sketching for Finite Programs.”</w:t>
      </w:r>
      <w:r>
        <w:t xml:space="preserve"> </w:t>
      </w:r>
      <w:r>
        <w:rPr>
          <w:i/>
          <w:iCs/>
        </w:rPr>
        <w:t xml:space="preserve">Proceedings of the 12th International Conference on Architectural Support for Programming Languages and Operating Systems</w:t>
      </w:r>
      <w:r>
        <w:t xml:space="preserve">, 404–15.</w:t>
      </w:r>
      <w:r>
        <w:t xml:space="preserve"> </w:t>
      </w:r>
      <w:hyperlink r:id="rId239">
        <w:r>
          <w:rPr>
            <w:rStyle w:val="Hyperlink"/>
          </w:rPr>
          <w:t xml:space="preserve">https://doi.org/10.1145/1168857.1168907</w:t>
        </w:r>
      </w:hyperlink>
      <w:r>
        <w:t xml:space="preserve">.</w:t>
      </w:r>
    </w:p>
    <w:bookmarkEnd w:id="240"/>
    <w:bookmarkStart w:id="242" w:name="ref-thooft2016"/>
    <w:p>
      <w:pPr>
        <w:pStyle w:val="Bibliography"/>
        <w:widowControl/>
      </w:pPr>
      <w:r>
        <w:t xml:space="preserve">’t Hooft, Gerard</w:t>
      </w:r>
      <w:r>
        <w:t xml:space="preserve">. 2016.</w:t>
      </w:r>
      <w:r>
        <w:t xml:space="preserve"> </w:t>
      </w:r>
      <w:r>
        <w:rPr>
          <w:i/>
          <w:iCs/>
        </w:rPr>
        <w:t xml:space="preserve">The Cellular Automaton Interpretation of Quantum Mechanics</w:t>
      </w:r>
      <w:r>
        <w:t xml:space="preserve">. Vol. 185. Fundamental Theories of Physics. Springer.</w:t>
      </w:r>
      <w:r>
        <w:t xml:space="preserve"> </w:t>
      </w:r>
      <w:hyperlink r:id="rId241">
        <w:r>
          <w:rPr>
            <w:rStyle w:val="Hyperlink"/>
          </w:rPr>
          <w:t xml:space="preserve">https://doi.org/10.1007/978-3-319-41285-6</w:t>
        </w:r>
      </w:hyperlink>
      <w:r>
        <w:t xml:space="preserve">.</w:t>
      </w:r>
    </w:p>
    <w:bookmarkEnd w:id="242"/>
    <w:bookmarkStart w:id="244" w:name="ref-thornburg2022"/>
    <w:p>
      <w:pPr>
        <w:pStyle w:val="Bibliography"/>
        <w:widowControl/>
      </w:pPr>
      <w:r>
        <w:t xml:space="preserve">Thornburg, Zane R. et al.</w:t>
      </w:r>
      <w:r>
        <w:t xml:space="preserve"> 2022.</w:t>
      </w:r>
      <w:r>
        <w:t xml:space="preserve"> </w:t>
      </w:r>
      <w:r>
        <w:t xml:space="preserve">“Fundamental Behaviors Emerge from Simulations of a Living Minimal Cell.”</w:t>
      </w:r>
      <w:r>
        <w:t xml:space="preserve"> </w:t>
      </w:r>
      <w:r>
        <w:rPr>
          <w:i/>
          <w:iCs/>
        </w:rPr>
        <w:t xml:space="preserve">Cell</w:t>
      </w:r>
      <w:r>
        <w:t xml:space="preserve"> </w:t>
      </w:r>
      <w:r>
        <w:t xml:space="preserve">185 (2): 345–360.e28.</w:t>
      </w:r>
      <w:r>
        <w:t xml:space="preserve"> </w:t>
      </w:r>
      <w:hyperlink r:id="rId243">
        <w:r>
          <w:rPr>
            <w:rStyle w:val="Hyperlink"/>
          </w:rPr>
          <w:t xml:space="preserve">https://doi.org/10.1016/j.cell.2021.12.025</w:t>
        </w:r>
      </w:hyperlink>
      <w:r>
        <w:t xml:space="preserve">.</w:t>
      </w:r>
    </w:p>
    <w:bookmarkEnd w:id="244"/>
    <w:bookmarkStart w:id="246" w:name="ref-thornburg2026"/>
    <w:p>
      <w:pPr>
        <w:pStyle w:val="Bibliography"/>
        <w:widowControl/>
      </w:pPr>
      <w:r>
        <w:t xml:space="preserve">Thornburg, Zane R., Andrew Maytin, Jiwoong Kwon, et al. 2026a.</w:t>
      </w:r>
      <w:r>
        <w:t xml:space="preserve"> </w:t>
      </w:r>
      <w:r>
        <w:t xml:space="preserve">“Bringing the Genetically Minimal Cell to Life on a Computer in 4D.”</w:t>
      </w:r>
      <w:r>
        <w:t xml:space="preserve"> </w:t>
      </w:r>
      <w:r>
        <w:rPr>
          <w:i/>
          <w:iCs/>
        </w:rPr>
        <w:t xml:space="preserve">Cell</w:t>
      </w:r>
      <w:r>
        <w:t xml:space="preserve"> </w:t>
      </w:r>
      <w:r>
        <w:t xml:space="preserve">189 (9): 2582–2597.e27.</w:t>
      </w:r>
      <w:r>
        <w:t xml:space="preserve"> </w:t>
      </w:r>
      <w:hyperlink r:id="rId245">
        <w:r>
          <w:rPr>
            <w:rStyle w:val="Hyperlink"/>
          </w:rPr>
          <w:t xml:space="preserve">https://doi.org/10.1016/j.cell.2026.02.009</w:t>
        </w:r>
      </w:hyperlink>
      <w:r>
        <w:t xml:space="preserve">.</w:t>
      </w:r>
    </w:p>
    <w:bookmarkEnd w:id="246"/>
    <w:bookmarkStart w:id="248" w:name="ref-thornburg2026correction"/>
    <w:p>
      <w:pPr>
        <w:pStyle w:val="Bibliography"/>
        <w:widowControl/>
      </w:pPr>
      <w:r>
        <w:t xml:space="preserve">Thornburg, Zane R., Andrew Maytin, Jiwoong Kwon, et al. 2026b.</w:t>
      </w:r>
      <w:r>
        <w:t xml:space="preserve"> </w:t>
      </w:r>
      <w:r>
        <w:t xml:space="preserve">“Bringing the Genetically Minimal Cell to Life on a Computer in 4D.”</w:t>
      </w:r>
      <w:r>
        <w:t xml:space="preserve"> </w:t>
      </w:r>
      <w:r>
        <w:rPr>
          <w:i/>
          <w:iCs/>
        </w:rPr>
        <w:t xml:space="preserve">Cell</w:t>
      </w:r>
      <w:r>
        <w:t xml:space="preserve"> </w:t>
      </w:r>
      <w:r>
        <w:t xml:space="preserve">189 (9): 2780–81.</w:t>
      </w:r>
      <w:r>
        <w:t xml:space="preserve"> </w:t>
      </w:r>
      <w:hyperlink r:id="rId247">
        <w:r>
          <w:rPr>
            <w:rStyle w:val="Hyperlink"/>
          </w:rPr>
          <w:t xml:space="preserve">https://doi.org/10.1016/j.cell.2026.04.003</w:t>
        </w:r>
      </w:hyperlink>
      <w:r>
        <w:t xml:space="preserve">.</w:t>
      </w:r>
    </w:p>
    <w:bookmarkEnd w:id="248"/>
    <w:bookmarkStart w:id="250" w:name="ref-udrescu2020"/>
    <w:p>
      <w:pPr>
        <w:pStyle w:val="Bibliography"/>
        <w:widowControl/>
      </w:pPr>
      <w:r>
        <w:t xml:space="preserve">Udrescu, Silviu-Marian, and Max Tegmark. 2020.</w:t>
      </w:r>
      <w:r>
        <w:t xml:space="preserve"> </w:t>
      </w:r>
      <w:r>
        <w:t xml:space="preserve">“</w:t>
      </w:r>
      <w:r>
        <w:t xml:space="preserve">AI Feynman</w:t>
      </w:r>
      <w:r>
        <w:t xml:space="preserve">: A Physics-Inspired Method for Symbolic Regression.”</w:t>
      </w:r>
      <w:r>
        <w:t xml:space="preserve"> </w:t>
      </w:r>
      <w:r>
        <w:rPr>
          <w:i/>
          <w:iCs/>
        </w:rPr>
        <w:t xml:space="preserve">Science Advances</w:t>
      </w:r>
      <w:r>
        <w:t xml:space="preserve"> </w:t>
      </w:r>
      <w:r>
        <w:t xml:space="preserve">6 (16): eaay2631.</w:t>
      </w:r>
      <w:r>
        <w:t xml:space="preserve"> </w:t>
      </w:r>
      <w:hyperlink r:id="rId249">
        <w:r>
          <w:rPr>
            <w:rStyle w:val="Hyperlink"/>
          </w:rPr>
          <w:t xml:space="preserve">https://doi.org/10.1126/sciadv.aay2631</w:t>
        </w:r>
      </w:hyperlink>
      <w:r>
        <w:t xml:space="preserve">.</w:t>
      </w:r>
    </w:p>
    <w:bookmarkEnd w:id="250"/>
    <w:bookmarkStart w:id="252" w:name="ref-vapnik1995"/>
    <w:p>
      <w:pPr>
        <w:pStyle w:val="Bibliography"/>
        <w:widowControl/>
      </w:pPr>
      <w:r>
        <w:t xml:space="preserve">Vapnik, Vladimir N. 1995.</w:t>
      </w:r>
      <w:r>
        <w:t xml:space="preserve"> </w:t>
      </w:r>
      <w:r>
        <w:rPr>
          <w:i/>
          <w:iCs/>
        </w:rPr>
        <w:t xml:space="preserve">The Nature of Statistical Learning Theory</w:t>
      </w:r>
      <w:r>
        <w:t xml:space="preserve">. Springer.</w:t>
      </w:r>
      <w:r>
        <w:t xml:space="preserve"> </w:t>
      </w:r>
      <w:hyperlink r:id="rId251">
        <w:r>
          <w:rPr>
            <w:rStyle w:val="Hyperlink"/>
          </w:rPr>
          <w:t xml:space="preserve">https://doi.org/10.1007/978-1-4757-2440-0</w:t>
        </w:r>
      </w:hyperlink>
      <w:r>
        <w:t xml:space="preserve">.</w:t>
      </w:r>
    </w:p>
    <w:bookmarkEnd w:id="252"/>
    <w:bookmarkStart w:id="254" w:name="ref-villaverde2016"/>
    <w:p>
      <w:pPr>
        <w:pStyle w:val="Bibliography"/>
        <w:widowControl/>
      </w:pPr>
      <w:r>
        <w:t xml:space="preserve">Villaverde, Alejandro F., Antonio Barreiro, and Antonis Papachristodoulou. 2016.</w:t>
      </w:r>
      <w:r>
        <w:t xml:space="preserve"> </w:t>
      </w:r>
      <w:r>
        <w:t xml:space="preserve">“Structural Identifiability of Dynamic Systems Biology Models.”</w:t>
      </w:r>
      <w:r>
        <w:t xml:space="preserve"> </w:t>
      </w:r>
      <w:r>
        <w:rPr>
          <w:i/>
          <w:iCs/>
        </w:rPr>
        <w:t xml:space="preserve">PLoS Computational Biology</w:t>
      </w:r>
      <w:r>
        <w:t xml:space="preserve"> </w:t>
      </w:r>
      <w:r>
        <w:t xml:space="preserve">12 (10): e1005153.</w:t>
      </w:r>
      <w:r>
        <w:t xml:space="preserve"> </w:t>
      </w:r>
      <w:hyperlink r:id="rId253">
        <w:r>
          <w:rPr>
            <w:rStyle w:val="Hyperlink"/>
          </w:rPr>
          <w:t xml:space="preserve">https://doi.org/10.1371/journal.pcbi.1005153</w:t>
        </w:r>
      </w:hyperlink>
      <w:r>
        <w:t xml:space="preserve">.</w:t>
      </w:r>
    </w:p>
    <w:bookmarkEnd w:id="254"/>
    <w:bookmarkStart w:id="256" w:name="ref-watrous1995qca"/>
    <w:p>
      <w:pPr>
        <w:pStyle w:val="Bibliography"/>
        <w:widowControl/>
      </w:pPr>
      <w:r>
        <w:t xml:space="preserve">Watrous, John. 1995.</w:t>
      </w:r>
      <w:r>
        <w:t xml:space="preserve"> </w:t>
      </w:r>
      <w:r>
        <w:t xml:space="preserve">“On One-Dimensional Quantum Cellular Automata.”</w:t>
      </w:r>
      <w:r>
        <w:t xml:space="preserve"> </w:t>
      </w:r>
      <w:r>
        <w:rPr>
          <w:i/>
          <w:iCs/>
        </w:rPr>
        <w:t xml:space="preserve">Proceedings of</w:t>
      </w:r>
      <w:r>
        <w:rPr>
          <w:i/>
          <w:iCs/>
        </w:rPr>
        <w:t xml:space="preserve"> </w:t>
      </w:r>
      <w:r>
        <w:rPr>
          <w:i/>
          <w:iCs/>
        </w:rPr>
        <w:t xml:space="preserve">IEEE</w:t>
      </w:r>
      <w:r>
        <w:rPr>
          <w:i/>
          <w:iCs/>
        </w:rPr>
        <w:t xml:space="preserve"> </w:t>
      </w:r>
      <w:r>
        <w:rPr>
          <w:i/>
          <w:iCs/>
        </w:rPr>
        <w:t xml:space="preserve">36th Annual Foundations of Computer Science</w:t>
      </w:r>
      <w:r>
        <w:t xml:space="preserve">, 528–37.</w:t>
      </w:r>
      <w:r>
        <w:t xml:space="preserve"> </w:t>
      </w:r>
      <w:hyperlink r:id="rId255">
        <w:r>
          <w:rPr>
            <w:rStyle w:val="Hyperlink"/>
          </w:rPr>
          <w:t xml:space="preserve">https://doi.org/10.1109/SFCS.1995.492583</w:t>
        </w:r>
      </w:hyperlink>
      <w:r>
        <w:t xml:space="preserve">.</w:t>
      </w:r>
    </w:p>
    <w:bookmarkEnd w:id="256"/>
    <w:bookmarkStart w:id="258" w:name="ref-waudby2024"/>
    <w:p>
      <w:pPr>
        <w:pStyle w:val="Bibliography"/>
        <w:widowControl/>
      </w:pPr>
      <w:r>
        <w:t xml:space="preserve">Waudby-Smith, Ian, and Aaditya Ramdas. 2024.</w:t>
      </w:r>
      <w:r>
        <w:t xml:space="preserve"> </w:t>
      </w:r>
      <w:r>
        <w:t xml:space="preserve">“Estimating Means of Bounded Random Variables by Betting.”</w:t>
      </w:r>
      <w:r>
        <w:t xml:space="preserve"> </w:t>
      </w:r>
      <w:r>
        <w:rPr>
          <w:i/>
          <w:iCs/>
        </w:rPr>
        <w:t xml:space="preserve">Journal of the Royal Statistical Society: Series B</w:t>
      </w:r>
      <w:r>
        <w:t xml:space="preserve"> </w:t>
      </w:r>
      <w:r>
        <w:t xml:space="preserve">86 (1): 1–27.</w:t>
      </w:r>
      <w:r>
        <w:t xml:space="preserve"> </w:t>
      </w:r>
      <w:hyperlink r:id="rId257">
        <w:r>
          <w:rPr>
            <w:rStyle w:val="Hyperlink"/>
          </w:rPr>
          <w:t xml:space="preserve">https://doi.org/10.1093/jrsssb/qkad009</w:t>
        </w:r>
      </w:hyperlink>
      <w:r>
        <w:t xml:space="preserve">.</w:t>
      </w:r>
    </w:p>
    <w:bookmarkEnd w:id="258"/>
    <w:bookmarkStart w:id="260" w:name="ref-white1982"/>
    <w:p>
      <w:pPr>
        <w:pStyle w:val="Bibliography"/>
        <w:widowControl/>
      </w:pPr>
      <w:r>
        <w:t xml:space="preserve">White, Halbert. 1982.</w:t>
      </w:r>
      <w:r>
        <w:t xml:space="preserve"> </w:t>
      </w:r>
      <w:r>
        <w:t xml:space="preserve">“Maximum Likelihood Estimation of Misspecified Models.”</w:t>
      </w:r>
      <w:r>
        <w:t xml:space="preserve"> </w:t>
      </w:r>
      <w:r>
        <w:rPr>
          <w:i/>
          <w:iCs/>
        </w:rPr>
        <w:t xml:space="preserve">Econometrica</w:t>
      </w:r>
      <w:r>
        <w:t xml:space="preserve"> </w:t>
      </w:r>
      <w:r>
        <w:t xml:space="preserve">50 (1): 1–25.</w:t>
      </w:r>
      <w:r>
        <w:t xml:space="preserve"> </w:t>
      </w:r>
      <w:hyperlink r:id="rId259">
        <w:r>
          <w:rPr>
            <w:rStyle w:val="Hyperlink"/>
          </w:rPr>
          <w:t xml:space="preserve">https://doi.org/10.2307/1912526</w:t>
        </w:r>
      </w:hyperlink>
      <w:r>
        <w:t xml:space="preserve">.</w:t>
      </w:r>
    </w:p>
    <w:bookmarkEnd w:id="260"/>
    <w:bookmarkStart w:id="261" w:name="ref-wolfram2002"/>
    <w:p>
      <w:pPr>
        <w:pStyle w:val="Bibliography"/>
        <w:widowControl/>
      </w:pPr>
      <w:r>
        <w:t xml:space="preserve">Wolfram, Stephen. 2002.</w:t>
      </w:r>
      <w:r>
        <w:t xml:space="preserve"> </w:t>
      </w:r>
      <w:r>
        <w:rPr>
          <w:i/>
          <w:iCs/>
        </w:rPr>
        <w:t xml:space="preserve">A New Kind of Science</w:t>
      </w:r>
      <w:r>
        <w:t xml:space="preserve">. Wolfram Media.</w:t>
      </w:r>
    </w:p>
    <w:bookmarkEnd w:id="261"/>
    <w:bookmarkStart w:id="263" w:name="ref-wolfram2020"/>
    <w:p>
      <w:pPr>
        <w:pStyle w:val="Bibliography"/>
        <w:widowControl/>
      </w:pPr>
      <w:r>
        <w:t xml:space="preserve">Wolfram, Stephen. 2020.</w:t>
      </w:r>
      <w:r>
        <w:t xml:space="preserve"> </w:t>
      </w:r>
      <w:r>
        <w:t xml:space="preserve">“A Class of Models with the Potential to Represent Fundamental Physics.”</w:t>
      </w:r>
      <w:r>
        <w:t xml:space="preserve"> </w:t>
      </w:r>
      <w:r>
        <w:rPr>
          <w:i/>
          <w:iCs/>
        </w:rPr>
        <w:t xml:space="preserve">Complex Systems</w:t>
      </w:r>
      <w:r>
        <w:t xml:space="preserve"> </w:t>
      </w:r>
      <w:r>
        <w:t xml:space="preserve">29 (2): 107–536.</w:t>
      </w:r>
      <w:r>
        <w:t xml:space="preserve"> </w:t>
      </w:r>
      <w:hyperlink r:id="rId262">
        <w:r>
          <w:rPr>
            <w:rStyle w:val="Hyperlink"/>
          </w:rPr>
          <w:t xml:space="preserve">https://doi.org/10.25088/ComplexSystems.29.2.107</w:t>
        </w:r>
      </w:hyperlink>
      <w:r>
        <w:t xml:space="preserve">.</w:t>
      </w:r>
    </w:p>
    <w:bookmarkEnd w:id="263"/>
    <w:bookmarkStart w:id="265" w:name="ref-yao2018"/>
    <w:p>
      <w:pPr>
        <w:pStyle w:val="Bibliography"/>
        <w:widowControl/>
      </w:pPr>
      <w:r>
        <w:t xml:space="preserve">Yao, Yuling, Aki Vehtari, Daniel Simpson, and Andrew Gelman. 2018.</w:t>
      </w:r>
      <w:r>
        <w:t xml:space="preserve"> </w:t>
      </w:r>
      <w:r>
        <w:t xml:space="preserve">“Using Stacking to Average Bayesian Predictive Distributions.”</w:t>
      </w:r>
      <w:r>
        <w:t xml:space="preserve"> </w:t>
      </w:r>
      <w:r>
        <w:rPr>
          <w:i/>
          <w:iCs/>
        </w:rPr>
        <w:t xml:space="preserve">Bayesian Analysis</w:t>
      </w:r>
      <w:r>
        <w:t xml:space="preserve"> </w:t>
      </w:r>
      <w:r>
        <w:t xml:space="preserve">13 (3): 917–1007.</w:t>
      </w:r>
      <w:r>
        <w:t xml:space="preserve"> </w:t>
      </w:r>
      <w:hyperlink r:id="rId264">
        <w:r>
          <w:rPr>
            <w:rStyle w:val="Hyperlink"/>
          </w:rPr>
          <w:t xml:space="preserve">https://doi.org/10.1214/17-BA1091</w:t>
        </w:r>
      </w:hyperlink>
      <w:r>
        <w:t xml:space="preserve">.</w:t>
      </w:r>
    </w:p>
    <w:bookmarkEnd w:id="265"/>
    <w:bookmarkStart w:id="267" w:name="ref-zuse1969"/>
    <w:p>
      <w:pPr>
        <w:pStyle w:val="Bibliography"/>
        <w:widowControl/>
      </w:pPr>
      <w:r>
        <w:t xml:space="preserve">Zuse, Konrad. 1969.</w:t>
      </w:r>
      <w:r>
        <w:t xml:space="preserve"> </w:t>
      </w:r>
      <w:r>
        <w:rPr>
          <w:i/>
          <w:iCs/>
        </w:rPr>
        <w:t xml:space="preserve">Rechnender Raum</w:t>
      </w:r>
      <w:r>
        <w:t xml:space="preserve">. Vieweg.</w:t>
      </w:r>
      <w:r>
        <w:t xml:space="preserve"> </w:t>
      </w:r>
      <w:hyperlink r:id="rId266">
        <w:r>
          <w:rPr>
            <w:rStyle w:val="Hyperlink"/>
          </w:rPr>
          <w:t xml:space="preserve">https://doi.org/10.1007/978-3-663-02723-2</w:t>
        </w:r>
      </w:hyperlink>
      <w:r>
        <w:t xml:space="preserve">.</w:t>
      </w:r>
    </w:p>
    <w:bookmarkEnd w:id="267"/>
    <w:bookmarkStart w:id="269" w:name="ref-zwanzig1961"/>
    <w:p>
      <w:pPr>
        <w:pStyle w:val="Bibliography"/>
        <w:widowControl/>
      </w:pPr>
      <w:r>
        <w:t xml:space="preserve">Zwanzig, Robert. 1961.</w:t>
      </w:r>
      <w:r>
        <w:t xml:space="preserve"> </w:t>
      </w:r>
      <w:r>
        <w:t xml:space="preserve">“Memory Effects in Irreversible Thermodynamics.”</w:t>
      </w:r>
      <w:r>
        <w:t xml:space="preserve"> </w:t>
      </w:r>
      <w:r>
        <w:rPr>
          <w:i/>
          <w:iCs/>
        </w:rPr>
        <w:t xml:space="preserve">Physical Review</w:t>
      </w:r>
      <w:r>
        <w:t xml:space="preserve"> </w:t>
      </w:r>
      <w:r>
        <w:t xml:space="preserve">124 (4): 983–92.</w:t>
      </w:r>
      <w:r>
        <w:t xml:space="preserve"> </w:t>
      </w:r>
      <w:hyperlink r:id="rId268">
        <w:r>
          <w:rPr>
            <w:rStyle w:val="Hyperlink"/>
          </w:rPr>
          <w:t xml:space="preserve">https://doi.org/10.1103/PhysRev.124.983</w:t>
        </w:r>
      </w:hyperlink>
      <w:r>
        <w:t xml:space="preserve">.</w:t>
      </w:r>
    </w:p>
    <w:bookmarkEnd w:id="269"/>
    <w:bookmarkStart w:id="271" w:name="ref-zwanzig1972correction"/>
    <w:p>
      <w:pPr>
        <w:pStyle w:val="Bibliography"/>
        <w:widowControl/>
      </w:pPr>
      <w:r>
        <w:t xml:space="preserve">Zwanzig, Robert, K. S. J. Nordholm, and W. C. Mitchell. 1972.</w:t>
      </w:r>
      <w:r>
        <w:t xml:space="preserve"> </w:t>
      </w:r>
      <w:r>
        <w:t xml:space="preserve">“Memory Effects in Irreversible Thermodynamics: Corrected Derivation of Transport Equations.”</w:t>
      </w:r>
      <w:r>
        <w:t xml:space="preserve"> </w:t>
      </w:r>
      <w:r>
        <w:rPr>
          <w:i/>
          <w:iCs/>
        </w:rPr>
        <w:t xml:space="preserve">Physical Review A</w:t>
      </w:r>
      <w:r>
        <w:t xml:space="preserve"> </w:t>
      </w:r>
      <w:r>
        <w:t xml:space="preserve">5 (6): 2680–82.</w:t>
      </w:r>
      <w:r>
        <w:t xml:space="preserve"> </w:t>
      </w:r>
      <w:hyperlink r:id="rId270">
        <w:r>
          <w:rPr>
            <w:rStyle w:val="Hyperlink"/>
          </w:rPr>
          <w:t xml:space="preserve">https://doi.org/10.1103/PhysRevA.5.2680</w:t>
        </w:r>
      </w:hyperlink>
      <w:r>
        <w:t xml:space="preserve">.</w:t>
      </w:r>
    </w:p>
    <w:bookmarkEnd w:id="271"/>
    <w:bookmarkEnd w:id="272"/>
    <w:bookmarkEnd w:id="273"/>
    <w:sectPr>
      <w:headerReference w:type="default" r:id="rId10"/>
      <w:headerReference w:type="first" r:id="rId11"/>
      <w:footerReference w:type="default" r:id="rId13"/>
      <w:footerReference w:type="first" r:id="rId14"/>
      <w:footnotePr>
        <w:numRestart w:val="eachSect"/>
      </w:footnotePr>
      <w:pgSz w:w="12240" w:h="15840"/>
      <w:pgMar w:top="1152" w:bottom="1181" w:left="1181" w:right="1181" w:header="490" w:footer="518"/>
      <w:titlePg/>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s="Calibri"/>
        <w:b w:val="0"/>
        <w:color w:val="59636E"/>
        <w:sz w:val="15"/>
      </w:rPr>
      <w:t xml:space="preserve">APHFS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s="Calibri"/>
        <w:b w:val="0"/>
        <w:color w:val="59636E"/>
        <w:sz w:val="15"/>
      </w:rPr>
      <w:t xml:space="preserve">APHFS  |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eastAsia="Arial" w:cs="Arial"/>
        <w:b w:val="0"/>
        <w:color w:val="59636E"/>
        <w:sz w:val="16"/>
      </w:rPr>
      <w:t>APHFS: Resource-Bounded Model Search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80" w:line="264" w:lineRule="auto"/>
      <w:jc w:val="both"/>
    </w:pPr>
    <w:rPr>
      <w:rFonts w:ascii="Calibri" w:hAnsi="Calibri" w:eastAsia="Calibri" w:cs="Calibri"/>
      <w:color w:val="111111"/>
      <w:sz w:val="20"/>
    </w:rPr>
  </w:style>
  <w:style w:styleId="BodyText" w:type="paragraph">
    <w:name w:val="Body Text"/>
    <w:basedOn w:val="Normal"/>
    <w:link w:val="BodyTextChar"/>
    <w:qFormat/>
    <w:pPr>
      <w:widowControl/>
      <w:spacing w:after="80" w:before="0" w:line="264" w:lineRule="auto"/>
      <w:jc w:val="both"/>
    </w:pPr>
    <w:rPr>
      <w:rFonts w:ascii="Calibri" w:hAnsi="Calibri" w:eastAsia="Calibri" w:cs="Calibri"/>
      <w:color w:val="111111"/>
      <w:sz w:val="20"/>
    </w:rPr>
  </w:style>
  <w:style w:customStyle="1" w:styleId="FirstParagraph" w:type="paragraph">
    <w:name w:val="First Paragraph"/>
    <w:basedOn w:val="BodyText"/>
    <w:next w:val="BodyText"/>
    <w:qFormat/>
    <w:pPr>
      <w:widowControl/>
      <w:spacing w:before="0" w:after="80" w:line="264" w:lineRule="auto"/>
      <w:jc w:val="both"/>
    </w:pPr>
    <w:rPr>
      <w:rFonts w:ascii="Calibri" w:hAnsi="Calibri" w:eastAsia="Calibri" w:cs="Calibri"/>
      <w:color w:val="111111"/>
      <w:sz w:val="20"/>
    </w:rPr>
  </w:style>
  <w:style w:customStyle="1" w:styleId="Compact" w:type="paragraph">
    <w:name w:val="Compact"/>
    <w:basedOn w:val="BodyText"/>
    <w:qFormat/>
    <w:pPr>
      <w:widowControl/>
      <w:spacing w:after="80" w:before="0" w:line="264" w:lineRule="auto"/>
      <w:jc w:val="both"/>
    </w:pPr>
    <w:rPr>
      <w:rFonts w:ascii="Calibri" w:hAnsi="Calibri" w:eastAsia="Calibri" w:cs="Calibri"/>
      <w:color w:val="111111"/>
      <w:sz w:val="20"/>
    </w:rPr>
  </w:style>
  <w:style w:styleId="Title" w:type="paragraph">
    <w:name w:val="Title"/>
    <w:basedOn w:val="Normal"/>
    <w:next w:val="BodyText"/>
    <w:link w:val="TitleChar"/>
    <w:uiPriority w:val="10"/>
    <w:qFormat/>
    <w:rsid w:val="00A10FD9"/>
    <w:pPr>
      <w:keepNext/>
      <w:spacing w:after="100" w:line="240" w:lineRule="auto" w:before="0"/>
      <w:contextualSpacing/>
      <w:jc w:val="center"/>
    </w:pPr>
    <w:rPr>
      <w:rFonts w:asciiTheme="majorHAnsi" w:cstheme="majorBidi" w:eastAsiaTheme="majorEastAsia" w:hAnsiTheme="majorHAnsi" w:ascii="Calibri" w:hAnsi="Calibri" w:eastAsia="Calibri" w:cs="Calibri"/>
      <w:b/>
      <w:color w:val="142337"/>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before="0" w:after="100" w:line="240" w:lineRule="auto"/>
      <w:jc w:val="center"/>
    </w:pPr>
    <w:rPr>
      <w:rFonts w:cstheme="majorBidi" w:eastAsiaTheme="majorEastAsia" w:ascii="Calibri" w:hAnsi="Calibri" w:eastAsia="Calibri" w:cs="Calibri"/>
      <w:i/>
      <w:color w:val="1F4D78"/>
      <w:spacing w:val="15"/>
      <w:sz w:val="23"/>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40" w:lineRule="auto"/>
      <w:jc w:val="center"/>
    </w:pPr>
    <w:rPr>
      <w:rFonts w:ascii="Calibri" w:hAnsi="Calibri" w:eastAsia="Calibri" w:cs="Calibri"/>
      <w:color w:val="142337"/>
      <w:sz w:val="19"/>
      <w:szCs w:val="24"/>
    </w:rPr>
  </w:style>
  <w:style w:styleId="Date" w:type="paragraph">
    <w:name w:val="Date"/>
    <w:basedOn w:val="Title"/>
    <w:next w:val="BodyText"/>
    <w:qFormat/>
    <w:pPr>
      <w:keepNext/>
      <w:keepLines/>
      <w:spacing w:before="0" w:after="100" w:line="240" w:lineRule="auto"/>
      <w:jc w:val="center"/>
    </w:pPr>
    <w:rPr>
      <w:rFonts w:ascii="Calibri" w:hAnsi="Calibri" w:eastAsia="Calibri" w:cs="Calibri"/>
      <w:i/>
      <w:color w:val="59636E"/>
      <w:sz w:val="17"/>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widowControl/>
      <w:spacing w:after="60" w:before="0" w:line="254" w:lineRule="auto"/>
      <w:jc w:val="both"/>
    </w:pPr>
    <w:rPr>
      <w:rFonts w:ascii="Calibri" w:hAnsi="Calibri" w:eastAsia="Calibri" w:cs="Calibri"/>
      <w:color w:val="202020"/>
      <w:sz w:val="18"/>
      <w:szCs w:val="20"/>
    </w:rPr>
  </w:style>
  <w:style w:styleId="Bibliography" w:type="paragraph">
    <w:name w:val="Bibliography"/>
    <w:basedOn w:val="Normal"/>
    <w:next w:val="Bibliography"/>
    <w:qFormat/>
    <w:pPr>
      <w:spacing w:before="0" w:after="40" w:line="240" w:lineRule="auto"/>
      <w:ind w:left="288" w:hanging="288"/>
    </w:pPr>
    <w:rPr>
      <w:rFonts w:ascii="Calibri" w:hAnsi="Calibri" w:eastAsia="Calibri" w:cs="Calibri"/>
      <w:color w:val="222222"/>
      <w:sz w:val="17"/>
    </w:rPr>
  </w:style>
  <w:style w:styleId="Heading1" w:type="paragraph">
    <w:name w:val="heading 1"/>
    <w:basedOn w:val="Normal"/>
    <w:next w:val="BodyText"/>
    <w:link w:val="Heading1Char"/>
    <w:uiPriority w:val="9"/>
    <w:qFormat/>
    <w:rsid w:val="00A10FD9"/>
    <w:pPr>
      <w:keepNext/>
      <w:keepLines/>
      <w:widowControl/>
      <w:spacing w:after="120" w:before="280" w:line="240" w:lineRule="auto"/>
      <w:outlineLvl w:val="0"/>
    </w:pPr>
    <w:rPr>
      <w:rFonts w:asciiTheme="majorHAnsi" w:cstheme="majorBidi" w:eastAsiaTheme="majorEastAsia" w:hAnsiTheme="majorHAnsi" w:ascii="Calibri" w:hAnsi="Calibri" w:eastAsia="Calibri" w:cs="Calibri"/>
      <w:b/>
      <w:color w:val="315A7D"/>
      <w:sz w:val="30"/>
      <w:szCs w:val="40"/>
    </w:rPr>
  </w:style>
  <w:style w:styleId="Heading2" w:type="paragraph">
    <w:name w:val="heading 2"/>
    <w:basedOn w:val="Normal"/>
    <w:next w:val="BodyText"/>
    <w:link w:val="Heading2Char"/>
    <w:uiPriority w:val="9"/>
    <w:semiHidden/>
    <w:unhideWhenUsed/>
    <w:qFormat/>
    <w:rsid w:val="00A10FD9"/>
    <w:pPr>
      <w:keepNext/>
      <w:keepLines/>
      <w:widowControl/>
      <w:spacing w:after="80" w:before="200" w:line="240" w:lineRule="auto"/>
      <w:outlineLvl w:val="1"/>
    </w:pPr>
    <w:rPr>
      <w:rFonts w:asciiTheme="majorHAnsi" w:cstheme="majorBidi" w:eastAsiaTheme="majorEastAsia" w:hAnsiTheme="majorHAnsi" w:ascii="Calibri" w:hAnsi="Calibri" w:eastAsia="Calibri" w:cs="Calibri"/>
      <w:b/>
      <w:color w:val="315A7D"/>
      <w:sz w:val="24"/>
      <w:szCs w:val="32"/>
    </w:rPr>
  </w:style>
  <w:style w:styleId="Heading3" w:type="paragraph">
    <w:name w:val="heading 3"/>
    <w:basedOn w:val="Normal"/>
    <w:next w:val="BodyText"/>
    <w:link w:val="Heading3Char"/>
    <w:uiPriority w:val="9"/>
    <w:semiHidden/>
    <w:unhideWhenUsed/>
    <w:qFormat/>
    <w:rsid w:val="00A10FD9"/>
    <w:pPr>
      <w:keepNext/>
      <w:keepLines/>
      <w:widowControl/>
      <w:spacing w:after="60" w:before="140" w:line="240" w:lineRule="auto"/>
      <w:outlineLvl w:val="2"/>
    </w:pPr>
    <w:rPr>
      <w:rFonts w:cstheme="majorBidi" w:eastAsiaTheme="majorEastAsia" w:ascii="Calibri" w:hAnsi="Calibri" w:eastAsia="Calibri" w:cs="Calibri"/>
      <w:b/>
      <w:color w:val="1F4D78"/>
      <w:sz w:val="21"/>
      <w:szCs w:val="28"/>
    </w:rPr>
  </w:style>
  <w:style w:styleId="Heading4" w:type="paragraph">
    <w:name w:val="heading 4"/>
    <w:basedOn w:val="Normal"/>
    <w:next w:val="BodyText"/>
    <w:link w:val="Heading4Char"/>
    <w:uiPriority w:val="9"/>
    <w:semiHidden/>
    <w:unhideWhenUsed/>
    <w:qFormat/>
    <w:rsid w:val="00A10FD9"/>
    <w:pPr>
      <w:keepNext/>
      <w:keepLines/>
      <w:widowControl/>
      <w:spacing w:after="40" w:before="120" w:line="240" w:lineRule="auto"/>
      <w:outlineLvl w:val="3"/>
    </w:pPr>
    <w:rPr>
      <w:rFonts w:cstheme="majorBidi" w:eastAsiaTheme="majorEastAsia" w:ascii="Calibri" w:hAnsi="Calibri" w:eastAsia="Calibri" w:cs="Calibri"/>
      <w:b/>
      <w:i/>
      <w:iCs/>
      <w:color w:val="1F4D78"/>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widowControl/>
      <w:spacing w:after="80" w:before="0" w:line="264" w:lineRule="auto"/>
      <w:ind w:firstLine="0" w:left="480" w:right="480"/>
      <w:jc w:val="both"/>
    </w:pPr>
    <w:rPr>
      <w:rFonts w:ascii="Calibri" w:hAnsi="Calibri" w:eastAsia="Calibri" w:cs="Calibri"/>
      <w:color w:val="111111"/>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keepLines/>
      <w:widowControl/>
      <w:spacing w:before="60" w:after="120" w:line="240" w:lineRule="auto"/>
      <w:jc w:val="left"/>
    </w:pPr>
    <w:rPr>
      <w:rFonts w:ascii="Calibri" w:hAnsi="Calibri" w:eastAsia="Calibri" w:cs="Calibri"/>
      <w:i/>
      <w:color w:val="3F4852"/>
      <w:sz w:val="17"/>
    </w:rPr>
  </w:style>
  <w:style w:customStyle="1" w:styleId="ImageCaption" w:type="paragraph">
    <w:name w:val="Image Caption"/>
    <w:basedOn w:val="Caption"/>
    <w:pPr>
      <w:keepLines/>
      <w:widowControl/>
      <w:spacing w:before="60" w:after="120" w:line="240" w:lineRule="auto"/>
      <w:jc w:val="left"/>
    </w:pPr>
    <w:rPr>
      <w:rFonts w:ascii="Calibri" w:hAnsi="Calibri" w:eastAsia="Calibri" w:cs="Calibri"/>
      <w:i/>
      <w:color w:val="3F4852"/>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eastAsia="Calibri" w:cs="Calibri"/>
      <w:b w:val="0"/>
      <w:i w:val="0"/>
      <w:color w:val="151515"/>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cientificLabel">
    <w:name w:val="Scientific Label"/>
    <w:pPr>
      <w:keepNext/>
      <w:keepLines/>
      <w:widowControl/>
      <w:spacing w:before="120" w:after="40" w:line="240" w:lineRule="auto"/>
    </w:pPr>
    <w:rPr>
      <w:rFonts w:ascii="Calibri" w:hAnsi="Calibri" w:eastAsia="Calibri" w:cs="Calibri"/>
      <w:b/>
      <w:i/>
      <w:color w:val="1F4D78"/>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7" Type="http://schemas.openxmlformats.org/officeDocument/2006/relationships/image" Target="media/rId17.png"/><Relationship Id="rId12" Type="http://schemas.openxmlformats.org/officeDocument/2006/relationships/image" Target="media/rId12.png"/><Relationship Id="rId51" Type="http://schemas.openxmlformats.org/officeDocument/2006/relationships/image" Target="media/rId51.png"/><Relationship Id="rId44" Type="http://schemas.openxmlformats.org/officeDocument/2006/relationships/image" Target="media/rId44.png"/><Relationship Id="rId233" Type="http://schemas.openxmlformats.org/officeDocument/2006/relationships/hyperlink" Target="https://arxiv.org/abs/quant-ph/0011122" TargetMode="External"/><Relationship Id="rId251" Type="http://schemas.openxmlformats.org/officeDocument/2006/relationships/hyperlink" Target="https://doi.org/10.1007/978-1-4757-2440-0" TargetMode="External"/><Relationship Id="rId241" Type="http://schemas.openxmlformats.org/officeDocument/2006/relationships/hyperlink" Target="https://doi.org/10.1007/978-3-319-41285-6" TargetMode="External"/><Relationship Id="rId266" Type="http://schemas.openxmlformats.org/officeDocument/2006/relationships/hyperlink" Target="https://doi.org/10.1007/978-3-663-02723-2" TargetMode="External"/><Relationship Id="rId207" Type="http://schemas.openxmlformats.org/officeDocument/2006/relationships/hyperlink" Target="https://doi.org/10.1007/BF02199356" TargetMode="External"/><Relationship Id="rId150" Type="http://schemas.openxmlformats.org/officeDocument/2006/relationships/hyperlink" Target="https://doi.org/10.1007/BF02650179" TargetMode="External"/><Relationship Id="rId176" Type="http://schemas.openxmlformats.org/officeDocument/2006/relationships/hyperlink" Target="https://doi.org/10.1007/b138233" TargetMode="External"/><Relationship Id="rId203" Type="http://schemas.openxmlformats.org/officeDocument/2006/relationships/hyperlink" Target="https://doi.org/10.1007/b97478" TargetMode="External"/><Relationship Id="rId162" Type="http://schemas.openxmlformats.org/officeDocument/2006/relationships/hyperlink" Target="https://doi.org/10.1007/s00220-012-1423-1" TargetMode="External"/><Relationship Id="rId106" Type="http://schemas.openxmlformats.org/officeDocument/2006/relationships/hyperlink" Target="https://doi.org/10.1007/s11047-019-09762-6" TargetMode="External"/><Relationship Id="rId140" Type="http://schemas.openxmlformats.org/officeDocument/2006/relationships/hyperlink" Target="https://doi.org/10.1007/s11467-016-0616-z" TargetMode="External"/><Relationship Id="rId211" Type="http://schemas.openxmlformats.org/officeDocument/2006/relationships/hyperlink" Target="https://doi.org/10.1016/0004-3702(82)90040-6" TargetMode="External"/><Relationship Id="rId116" Type="http://schemas.openxmlformats.org/officeDocument/2006/relationships/hyperlink" Target="https://doi.org/10.1016/0025-5564(70)90132-X" TargetMode="External"/><Relationship Id="rId154" Type="http://schemas.openxmlformats.org/officeDocument/2006/relationships/hyperlink" Target="https://doi.org/10.1016/0167-2789(90)90186-S" TargetMode="External"/><Relationship Id="rId223" Type="http://schemas.openxmlformats.org/officeDocument/2006/relationships/hyperlink" Target="https://doi.org/10.1016/S0045-7825(98)00343-0" TargetMode="External"/><Relationship Id="rId124" Type="http://schemas.openxmlformats.org/officeDocument/2006/relationships/hyperlink" Target="https://doi.org/10.1016/j.aop.2014.12.016" TargetMode="External"/><Relationship Id="rId122" Type="http://schemas.openxmlformats.org/officeDocument/2006/relationships/hyperlink" Target="https://doi.org/10.1016/j.aop.2016.02.009" TargetMode="External"/><Relationship Id="rId186" Type="http://schemas.openxmlformats.org/officeDocument/2006/relationships/hyperlink" Target="https://doi.org/10.1016/j.cell.2012.05.044" TargetMode="External"/><Relationship Id="rId197" Type="http://schemas.openxmlformats.org/officeDocument/2006/relationships/hyperlink" Target="https://doi.org/10.1016/j.cell.2013.05.039" TargetMode="External"/><Relationship Id="rId243" Type="http://schemas.openxmlformats.org/officeDocument/2006/relationships/hyperlink" Target="https://doi.org/10.1016/j.cell.2021.12.025" TargetMode="External"/><Relationship Id="rId199" Type="http://schemas.openxmlformats.org/officeDocument/2006/relationships/hyperlink" Target="https://doi.org/10.1016/j.cell.2022.11.001" TargetMode="External"/><Relationship Id="rId245" Type="http://schemas.openxmlformats.org/officeDocument/2006/relationships/hyperlink" Target="https://doi.org/10.1016/j.cell.2026.02.009" TargetMode="External"/><Relationship Id="rId247" Type="http://schemas.openxmlformats.org/officeDocument/2006/relationships/hyperlink" Target="https://doi.org/10.1016/j.cell.2026.04.003" TargetMode="External"/><Relationship Id="rId205" Type="http://schemas.openxmlformats.org/officeDocument/2006/relationships/hyperlink" Target="https://doi.org/10.1016/j.chaos.2005.05.013" TargetMode="External"/><Relationship Id="rId217" Type="http://schemas.openxmlformats.org/officeDocument/2006/relationships/hyperlink" Target="https://doi.org/10.1016/j.cma.2004.08.010" TargetMode="External"/><Relationship Id="rId108" Type="http://schemas.openxmlformats.org/officeDocument/2006/relationships/hyperlink" Target="https://doi.org/10.1016/j.jcss.2010.05.004" TargetMode="External"/><Relationship Id="rId221" Type="http://schemas.openxmlformats.org/officeDocument/2006/relationships/hyperlink" Target="https://doi.org/10.1063/1.3565032" TargetMode="External"/><Relationship Id="rId126" Type="http://schemas.openxmlformats.org/officeDocument/2006/relationships/hyperlink" Target="https://doi.org/10.1073/pnas.0609476104" TargetMode="External"/><Relationship Id="rId128" Type="http://schemas.openxmlformats.org/officeDocument/2006/relationships/hyperlink" Target="https://doi.org/10.1073/pnas.1517384113" TargetMode="External"/><Relationship Id="rId227" Type="http://schemas.openxmlformats.org/officeDocument/2006/relationships/hyperlink" Target="https://doi.org/10.1073/pnas.1619152114" TargetMode="External"/><Relationship Id="rId170" Type="http://schemas.openxmlformats.org/officeDocument/2006/relationships/hyperlink" Target="https://doi.org/10.1080/01621459.1963.10500830" TargetMode="External"/><Relationship Id="rId225" Type="http://schemas.openxmlformats.org/officeDocument/2006/relationships/hyperlink" Target="https://doi.org/10.1093/bioinformatics/btp358" TargetMode="External"/><Relationship Id="rId132" Type="http://schemas.openxmlformats.org/officeDocument/2006/relationships/hyperlink" Target="https://doi.org/10.1093/biomet/26.4.404" TargetMode="External"/><Relationship Id="rId257" Type="http://schemas.openxmlformats.org/officeDocument/2006/relationships/hyperlink" Target="https://doi.org/10.1093/jrsssb/qkad009" TargetMode="External"/><Relationship Id="rId142" Type="http://schemas.openxmlformats.org/officeDocument/2006/relationships/hyperlink" Target="https://doi.org/10.1098/rspa.1985.0070" TargetMode="External"/><Relationship Id="rId268" Type="http://schemas.openxmlformats.org/officeDocument/2006/relationships/hyperlink" Target="https://doi.org/10.1103/PhysRev.124.983" TargetMode="External"/><Relationship Id="rId270" Type="http://schemas.openxmlformats.org/officeDocument/2006/relationships/hyperlink" Target="https://doi.org/10.1103/PhysRevA.5.2680" TargetMode="External"/><Relationship Id="rId219" Type="http://schemas.openxmlformats.org/officeDocument/2006/relationships/hyperlink" Target="https://doi.org/10.1103/PhysRevA.83.032302" TargetMode="External"/><Relationship Id="rId152" Type="http://schemas.openxmlformats.org/officeDocument/2006/relationships/hyperlink" Target="https://doi.org/10.1103/PhysRevA.86.032324" TargetMode="External"/><Relationship Id="rId138" Type="http://schemas.openxmlformats.org/officeDocument/2006/relationships/hyperlink" Target="https://doi.org/10.1103/PhysRevA.90.062106" TargetMode="External"/><Relationship Id="rId120" Type="http://schemas.openxmlformats.org/officeDocument/2006/relationships/hyperlink" Target="https://doi.org/10.1103/PhysRevD.49.6920" TargetMode="External"/><Relationship Id="rId180" Type="http://schemas.openxmlformats.org/officeDocument/2006/relationships/hyperlink" Target="https://doi.org/10.1103/PhysRevE.73.026203" TargetMode="External"/><Relationship Id="rId136" Type="http://schemas.openxmlformats.org/officeDocument/2006/relationships/hyperlink" Target="https://doi.org/10.1103/PhysRevLett.63.105" TargetMode="External"/><Relationship Id="rId178" Type="http://schemas.openxmlformats.org/officeDocument/2006/relationships/hyperlink" Target="https://doi.org/10.1103/PhysRevLett.92.074105" TargetMode="External"/><Relationship Id="rId114" Type="http://schemas.openxmlformats.org/officeDocument/2006/relationships/hyperlink" Target="https://doi.org/10.1103/PhysicsPhysiqueFizika.1.195" TargetMode="External"/><Relationship Id="rId112" Type="http://schemas.openxmlformats.org/officeDocument/2006/relationships/hyperlink" Target="https://doi.org/10.1109/18.86996" TargetMode="External"/><Relationship Id="rId104" Type="http://schemas.openxmlformats.org/officeDocument/2006/relationships/hyperlink" Target="https://doi.org/10.1109/FMCAD.2013.6679385" TargetMode="External"/><Relationship Id="rId255" Type="http://schemas.openxmlformats.org/officeDocument/2006/relationships/hyperlink" Target="https://doi.org/10.1109/SFCS.1995.492583" TargetMode="External"/><Relationship Id="rId231" Type="http://schemas.openxmlformats.org/officeDocument/2006/relationships/hyperlink" Target="https://doi.org/10.1109/TPAMI.2012.256" TargetMode="External"/><Relationship Id="rId249" Type="http://schemas.openxmlformats.org/officeDocument/2006/relationships/hyperlink" Target="https://doi.org/10.1126/sciadv.aay2631" TargetMode="External"/><Relationship Id="rId235" Type="http://schemas.openxmlformats.org/officeDocument/2006/relationships/hyperlink" Target="https://doi.org/10.1126/science.1165893" TargetMode="External"/><Relationship Id="rId195" Type="http://schemas.openxmlformats.org/officeDocument/2006/relationships/hyperlink" Target="https://doi.org/10.1126/science.273.5278.1073" TargetMode="External"/><Relationship Id="rId118" Type="http://schemas.openxmlformats.org/officeDocument/2006/relationships/hyperlink" Target="https://doi.org/10.1137/S0097539796300933" TargetMode="External"/><Relationship Id="rId213" Type="http://schemas.openxmlformats.org/officeDocument/2006/relationships/hyperlink" Target="https://doi.org/10.1143/PTP.33.423" TargetMode="External"/><Relationship Id="rId110" Type="http://schemas.openxmlformats.org/officeDocument/2006/relationships/hyperlink" Target="https://doi.org/10.1145/1007568.1007615" TargetMode="External"/><Relationship Id="rId239" Type="http://schemas.openxmlformats.org/officeDocument/2006/relationships/hyperlink" Target="https://doi.org/10.1145/1168857.1168907" TargetMode="External"/><Relationship Id="rId164" Type="http://schemas.openxmlformats.org/officeDocument/2006/relationships/hyperlink" Target="https://doi.org/10.1145/237814.237866" TargetMode="External"/><Relationship Id="rId146" Type="http://schemas.openxmlformats.org/officeDocument/2006/relationships/hyperlink" Target="https://doi.org/10.1145/3453483.3454080" TargetMode="External"/><Relationship Id="rId188" Type="http://schemas.openxmlformats.org/officeDocument/2006/relationships/hyperlink" Target="https://doi.org/10.1145/3571216" TargetMode="External"/><Relationship Id="rId264" Type="http://schemas.openxmlformats.org/officeDocument/2006/relationships/hyperlink" Target="https://doi.org/10.1214/17-BA1091" TargetMode="External"/><Relationship Id="rId174" Type="http://schemas.openxmlformats.org/officeDocument/2006/relationships/hyperlink" Target="https://doi.org/10.1214/20-AOS1991" TargetMode="External"/><Relationship Id="rId157" Type="http://schemas.openxmlformats.org/officeDocument/2006/relationships/hyperlink" Target="https://doi.org/10.1214/aos/1176345782" TargetMode="External"/><Relationship Id="rId182" Type="http://schemas.openxmlformats.org/officeDocument/2006/relationships/hyperlink" Target="https://doi.org/10.1287/moor.1040.0129" TargetMode="External"/><Relationship Id="rId215" Type="http://schemas.openxmlformats.org/officeDocument/2006/relationships/hyperlink" Target="https://doi.org/10.1287/opre.1050.0216" TargetMode="External"/><Relationship Id="rId166" Type="http://schemas.openxmlformats.org/officeDocument/2006/relationships/hyperlink" Target="https://doi.org/10.1371/journal.pcbi.0030189" TargetMode="External"/><Relationship Id="rId253" Type="http://schemas.openxmlformats.org/officeDocument/2006/relationships/hyperlink" Target="https://doi.org/10.1371/journal.pcbi.1005153" TargetMode="External"/><Relationship Id="rId229" Type="http://schemas.openxmlformats.org/officeDocument/2006/relationships/hyperlink" Target="https://doi.org/10.1371/journal.pcbi.1008289" TargetMode="External"/><Relationship Id="rId130" Type="http://schemas.openxmlformats.org/officeDocument/2006/relationships/hyperlink" Target="https://doi.org/10.1371/journal.pone.0027755" TargetMode="External"/><Relationship Id="rId201" Type="http://schemas.openxmlformats.org/officeDocument/2006/relationships/hyperlink" Target="https://doi.org/10.22331/q-2019-07-12-163" TargetMode="External"/><Relationship Id="rId148" Type="http://schemas.openxmlformats.org/officeDocument/2006/relationships/hyperlink" Target="https://doi.org/10.22331/q-2020-11-30-368" TargetMode="External"/><Relationship Id="rId159" Type="http://schemas.openxmlformats.org/officeDocument/2006/relationships/hyperlink" Target="https://doi.org/10.22331/q-2021-04-15-433" TargetMode="External"/><Relationship Id="rId259" Type="http://schemas.openxmlformats.org/officeDocument/2006/relationships/hyperlink" Target="https://doi.org/10.2307/1912526" TargetMode="External"/><Relationship Id="rId134" Type="http://schemas.openxmlformats.org/officeDocument/2006/relationships/hyperlink" Target="https://doi.org/10.25088/ComplexSystems.15.1.1" TargetMode="External"/><Relationship Id="rId262" Type="http://schemas.openxmlformats.org/officeDocument/2006/relationships/hyperlink" Target="https://doi.org/10.25088/ComplexSystems.29.2.107" TargetMode="External"/><Relationship Id="rId172" Type="http://schemas.openxmlformats.org/officeDocument/2006/relationships/hyperlink" Target="https://doi.org/10.3390/e19050188" TargetMode="External"/><Relationship Id="rId168" Type="http://schemas.openxmlformats.org/officeDocument/2006/relationships/hyperlink" Target="https://doi.org/10.3982/ECTA5771" TargetMode="External"/><Relationship Id="rId193" Type="http://schemas.openxmlformats.org/officeDocument/2006/relationships/hyperlink" Target="https://doi.org/10.48550/arXiv.2411.03972" TargetMode="External"/><Relationship Id="rId144" Type="http://schemas.openxmlformats.org/officeDocument/2006/relationships/hyperlink" Target="https://doi.org/10.48550/arXiv.2603.19007" TargetMode="External"/><Relationship Id="rId237" Type="http://schemas.openxmlformats.org/officeDocument/2006/relationships/hyperlink" Target="https://doi.org/10.48550/arXiv.quant-ph/0405174" TargetMode="External"/><Relationship Id="rId191" Type="http://schemas.openxmlformats.org/officeDocument/2006/relationships/hyperlink" Target="https://proceedings.neurips.cc/paper_files/paper/2001/hash/1e4d36177d71bbb3558e43af9577d70e-Abstract.html" TargetMode="External"/><Relationship Id="rId209" Type="http://schemas.openxmlformats.org/officeDocument/2006/relationships/hyperlink" Target="https://www.ijcai.org/Proceedings/77-1/Papers/048.pdf" TargetMode="External"/><Relationship Id="rId9" Type="http://schemas.openxmlformats.org/officeDocument/2006/relationships/hyperlink" Target="mailto:a515006420@gmail.com" TargetMode="External"/><Relationship Id="rId10" Type="http://schemas.openxmlformats.org/officeDocument/2006/relationships/header" Target="header1.xml"/><Relationship Id="rId11"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33" Type="http://schemas.openxmlformats.org/officeDocument/2006/relationships/hyperlink" Target="https://arxiv.org/abs/quant-ph/0011122" TargetMode="External"/><Relationship Id="rId251" Type="http://schemas.openxmlformats.org/officeDocument/2006/relationships/hyperlink" Target="https://doi.org/10.1007/978-1-4757-2440-0" TargetMode="External"/><Relationship Id="rId241" Type="http://schemas.openxmlformats.org/officeDocument/2006/relationships/hyperlink" Target="https://doi.org/10.1007/978-3-319-41285-6" TargetMode="External"/><Relationship Id="rId266" Type="http://schemas.openxmlformats.org/officeDocument/2006/relationships/hyperlink" Target="https://doi.org/10.1007/978-3-663-02723-2" TargetMode="External"/><Relationship Id="rId207" Type="http://schemas.openxmlformats.org/officeDocument/2006/relationships/hyperlink" Target="https://doi.org/10.1007/BF02199356" TargetMode="External"/><Relationship Id="rId150" Type="http://schemas.openxmlformats.org/officeDocument/2006/relationships/hyperlink" Target="https://doi.org/10.1007/BF02650179" TargetMode="External"/><Relationship Id="rId176" Type="http://schemas.openxmlformats.org/officeDocument/2006/relationships/hyperlink" Target="https://doi.org/10.1007/b138233" TargetMode="External"/><Relationship Id="rId203" Type="http://schemas.openxmlformats.org/officeDocument/2006/relationships/hyperlink" Target="https://doi.org/10.1007/b97478" TargetMode="External"/><Relationship Id="rId162" Type="http://schemas.openxmlformats.org/officeDocument/2006/relationships/hyperlink" Target="https://doi.org/10.1007/s00220-012-1423-1" TargetMode="External"/><Relationship Id="rId106" Type="http://schemas.openxmlformats.org/officeDocument/2006/relationships/hyperlink" Target="https://doi.org/10.1007/s11047-019-09762-6" TargetMode="External"/><Relationship Id="rId140" Type="http://schemas.openxmlformats.org/officeDocument/2006/relationships/hyperlink" Target="https://doi.org/10.1007/s11467-016-0616-z" TargetMode="External"/><Relationship Id="rId211" Type="http://schemas.openxmlformats.org/officeDocument/2006/relationships/hyperlink" Target="https://doi.org/10.1016/0004-3702(82)90040-6" TargetMode="External"/><Relationship Id="rId116" Type="http://schemas.openxmlformats.org/officeDocument/2006/relationships/hyperlink" Target="https://doi.org/10.1016/0025-5564(70)90132-X" TargetMode="External"/><Relationship Id="rId154" Type="http://schemas.openxmlformats.org/officeDocument/2006/relationships/hyperlink" Target="https://doi.org/10.1016/0167-2789(90)90186-S" TargetMode="External"/><Relationship Id="rId223" Type="http://schemas.openxmlformats.org/officeDocument/2006/relationships/hyperlink" Target="https://doi.org/10.1016/S0045-7825(98)00343-0" TargetMode="External"/><Relationship Id="rId124" Type="http://schemas.openxmlformats.org/officeDocument/2006/relationships/hyperlink" Target="https://doi.org/10.1016/j.aop.2014.12.016" TargetMode="External"/><Relationship Id="rId122" Type="http://schemas.openxmlformats.org/officeDocument/2006/relationships/hyperlink" Target="https://doi.org/10.1016/j.aop.2016.02.009" TargetMode="External"/><Relationship Id="rId186" Type="http://schemas.openxmlformats.org/officeDocument/2006/relationships/hyperlink" Target="https://doi.org/10.1016/j.cell.2012.05.044" TargetMode="External"/><Relationship Id="rId197" Type="http://schemas.openxmlformats.org/officeDocument/2006/relationships/hyperlink" Target="https://doi.org/10.1016/j.cell.2013.05.039" TargetMode="External"/><Relationship Id="rId243" Type="http://schemas.openxmlformats.org/officeDocument/2006/relationships/hyperlink" Target="https://doi.org/10.1016/j.cell.2021.12.025" TargetMode="External"/><Relationship Id="rId199" Type="http://schemas.openxmlformats.org/officeDocument/2006/relationships/hyperlink" Target="https://doi.org/10.1016/j.cell.2022.11.001" TargetMode="External"/><Relationship Id="rId245" Type="http://schemas.openxmlformats.org/officeDocument/2006/relationships/hyperlink" Target="https://doi.org/10.1016/j.cell.2026.02.009" TargetMode="External"/><Relationship Id="rId247" Type="http://schemas.openxmlformats.org/officeDocument/2006/relationships/hyperlink" Target="https://doi.org/10.1016/j.cell.2026.04.003" TargetMode="External"/><Relationship Id="rId205" Type="http://schemas.openxmlformats.org/officeDocument/2006/relationships/hyperlink" Target="https://doi.org/10.1016/j.chaos.2005.05.013" TargetMode="External"/><Relationship Id="rId217" Type="http://schemas.openxmlformats.org/officeDocument/2006/relationships/hyperlink" Target="https://doi.org/10.1016/j.cma.2004.08.010" TargetMode="External"/><Relationship Id="rId108" Type="http://schemas.openxmlformats.org/officeDocument/2006/relationships/hyperlink" Target="https://doi.org/10.1016/j.jcss.2010.05.004" TargetMode="External"/><Relationship Id="rId221" Type="http://schemas.openxmlformats.org/officeDocument/2006/relationships/hyperlink" Target="https://doi.org/10.1063/1.3565032" TargetMode="External"/><Relationship Id="rId126" Type="http://schemas.openxmlformats.org/officeDocument/2006/relationships/hyperlink" Target="https://doi.org/10.1073/pnas.0609476104" TargetMode="External"/><Relationship Id="rId128" Type="http://schemas.openxmlformats.org/officeDocument/2006/relationships/hyperlink" Target="https://doi.org/10.1073/pnas.1517384113" TargetMode="External"/><Relationship Id="rId227" Type="http://schemas.openxmlformats.org/officeDocument/2006/relationships/hyperlink" Target="https://doi.org/10.1073/pnas.1619152114" TargetMode="External"/><Relationship Id="rId170" Type="http://schemas.openxmlformats.org/officeDocument/2006/relationships/hyperlink" Target="https://doi.org/10.1080/01621459.1963.10500830" TargetMode="External"/><Relationship Id="rId225" Type="http://schemas.openxmlformats.org/officeDocument/2006/relationships/hyperlink" Target="https://doi.org/10.1093/bioinformatics/btp358" TargetMode="External"/><Relationship Id="rId132" Type="http://schemas.openxmlformats.org/officeDocument/2006/relationships/hyperlink" Target="https://doi.org/10.1093/biomet/26.4.404" TargetMode="External"/><Relationship Id="rId257" Type="http://schemas.openxmlformats.org/officeDocument/2006/relationships/hyperlink" Target="https://doi.org/10.1093/jrsssb/qkad009" TargetMode="External"/><Relationship Id="rId142" Type="http://schemas.openxmlformats.org/officeDocument/2006/relationships/hyperlink" Target="https://doi.org/10.1098/rspa.1985.0070" TargetMode="External"/><Relationship Id="rId268" Type="http://schemas.openxmlformats.org/officeDocument/2006/relationships/hyperlink" Target="https://doi.org/10.1103/PhysRev.124.983" TargetMode="External"/><Relationship Id="rId270" Type="http://schemas.openxmlformats.org/officeDocument/2006/relationships/hyperlink" Target="https://doi.org/10.1103/PhysRevA.5.2680" TargetMode="External"/><Relationship Id="rId219" Type="http://schemas.openxmlformats.org/officeDocument/2006/relationships/hyperlink" Target="https://doi.org/10.1103/PhysRevA.83.032302" TargetMode="External"/><Relationship Id="rId152" Type="http://schemas.openxmlformats.org/officeDocument/2006/relationships/hyperlink" Target="https://doi.org/10.1103/PhysRevA.86.032324" TargetMode="External"/><Relationship Id="rId138" Type="http://schemas.openxmlformats.org/officeDocument/2006/relationships/hyperlink" Target="https://doi.org/10.1103/PhysRevA.90.062106" TargetMode="External"/><Relationship Id="rId120" Type="http://schemas.openxmlformats.org/officeDocument/2006/relationships/hyperlink" Target="https://doi.org/10.1103/PhysRevD.49.6920" TargetMode="External"/><Relationship Id="rId180" Type="http://schemas.openxmlformats.org/officeDocument/2006/relationships/hyperlink" Target="https://doi.org/10.1103/PhysRevE.73.026203" TargetMode="External"/><Relationship Id="rId136" Type="http://schemas.openxmlformats.org/officeDocument/2006/relationships/hyperlink" Target="https://doi.org/10.1103/PhysRevLett.63.105" TargetMode="External"/><Relationship Id="rId178" Type="http://schemas.openxmlformats.org/officeDocument/2006/relationships/hyperlink" Target="https://doi.org/10.1103/PhysRevLett.92.074105" TargetMode="External"/><Relationship Id="rId114" Type="http://schemas.openxmlformats.org/officeDocument/2006/relationships/hyperlink" Target="https://doi.org/10.1103/PhysicsPhysiqueFizika.1.195" TargetMode="External"/><Relationship Id="rId112" Type="http://schemas.openxmlformats.org/officeDocument/2006/relationships/hyperlink" Target="https://doi.org/10.1109/18.86996" TargetMode="External"/><Relationship Id="rId104" Type="http://schemas.openxmlformats.org/officeDocument/2006/relationships/hyperlink" Target="https://doi.org/10.1109/FMCAD.2013.6679385" TargetMode="External"/><Relationship Id="rId255" Type="http://schemas.openxmlformats.org/officeDocument/2006/relationships/hyperlink" Target="https://doi.org/10.1109/SFCS.1995.492583" TargetMode="External"/><Relationship Id="rId231" Type="http://schemas.openxmlformats.org/officeDocument/2006/relationships/hyperlink" Target="https://doi.org/10.1109/TPAMI.2012.256" TargetMode="External"/><Relationship Id="rId249" Type="http://schemas.openxmlformats.org/officeDocument/2006/relationships/hyperlink" Target="https://doi.org/10.1126/sciadv.aay2631" TargetMode="External"/><Relationship Id="rId235" Type="http://schemas.openxmlformats.org/officeDocument/2006/relationships/hyperlink" Target="https://doi.org/10.1126/science.1165893" TargetMode="External"/><Relationship Id="rId195" Type="http://schemas.openxmlformats.org/officeDocument/2006/relationships/hyperlink" Target="https://doi.org/10.1126/science.273.5278.1073" TargetMode="External"/><Relationship Id="rId118" Type="http://schemas.openxmlformats.org/officeDocument/2006/relationships/hyperlink" Target="https://doi.org/10.1137/S0097539796300933" TargetMode="External"/><Relationship Id="rId213" Type="http://schemas.openxmlformats.org/officeDocument/2006/relationships/hyperlink" Target="https://doi.org/10.1143/PTP.33.423" TargetMode="External"/><Relationship Id="rId110" Type="http://schemas.openxmlformats.org/officeDocument/2006/relationships/hyperlink" Target="https://doi.org/10.1145/1007568.1007615" TargetMode="External"/><Relationship Id="rId239" Type="http://schemas.openxmlformats.org/officeDocument/2006/relationships/hyperlink" Target="https://doi.org/10.1145/1168857.1168907" TargetMode="External"/><Relationship Id="rId164" Type="http://schemas.openxmlformats.org/officeDocument/2006/relationships/hyperlink" Target="https://doi.org/10.1145/237814.237866" TargetMode="External"/><Relationship Id="rId146" Type="http://schemas.openxmlformats.org/officeDocument/2006/relationships/hyperlink" Target="https://doi.org/10.1145/3453483.3454080" TargetMode="External"/><Relationship Id="rId188" Type="http://schemas.openxmlformats.org/officeDocument/2006/relationships/hyperlink" Target="https://doi.org/10.1145/3571216" TargetMode="External"/><Relationship Id="rId264" Type="http://schemas.openxmlformats.org/officeDocument/2006/relationships/hyperlink" Target="https://doi.org/10.1214/17-BA1091" TargetMode="External"/><Relationship Id="rId174" Type="http://schemas.openxmlformats.org/officeDocument/2006/relationships/hyperlink" Target="https://doi.org/10.1214/20-AOS1991" TargetMode="External"/><Relationship Id="rId157" Type="http://schemas.openxmlformats.org/officeDocument/2006/relationships/hyperlink" Target="https://doi.org/10.1214/aos/1176345782" TargetMode="External"/><Relationship Id="rId182" Type="http://schemas.openxmlformats.org/officeDocument/2006/relationships/hyperlink" Target="https://doi.org/10.1287/moor.1040.0129" TargetMode="External"/><Relationship Id="rId215" Type="http://schemas.openxmlformats.org/officeDocument/2006/relationships/hyperlink" Target="https://doi.org/10.1287/opre.1050.0216" TargetMode="External"/><Relationship Id="rId166" Type="http://schemas.openxmlformats.org/officeDocument/2006/relationships/hyperlink" Target="https://doi.org/10.1371/journal.pcbi.0030189" TargetMode="External"/><Relationship Id="rId253" Type="http://schemas.openxmlformats.org/officeDocument/2006/relationships/hyperlink" Target="https://doi.org/10.1371/journal.pcbi.1005153" TargetMode="External"/><Relationship Id="rId229" Type="http://schemas.openxmlformats.org/officeDocument/2006/relationships/hyperlink" Target="https://doi.org/10.1371/journal.pcbi.1008289" TargetMode="External"/><Relationship Id="rId130" Type="http://schemas.openxmlformats.org/officeDocument/2006/relationships/hyperlink" Target="https://doi.org/10.1371/journal.pone.0027755" TargetMode="External"/><Relationship Id="rId201" Type="http://schemas.openxmlformats.org/officeDocument/2006/relationships/hyperlink" Target="https://doi.org/10.22331/q-2019-07-12-163" TargetMode="External"/><Relationship Id="rId148" Type="http://schemas.openxmlformats.org/officeDocument/2006/relationships/hyperlink" Target="https://doi.org/10.22331/q-2020-11-30-368" TargetMode="External"/><Relationship Id="rId159" Type="http://schemas.openxmlformats.org/officeDocument/2006/relationships/hyperlink" Target="https://doi.org/10.22331/q-2021-04-15-433" TargetMode="External"/><Relationship Id="rId259" Type="http://schemas.openxmlformats.org/officeDocument/2006/relationships/hyperlink" Target="https://doi.org/10.2307/1912526" TargetMode="External"/><Relationship Id="rId134" Type="http://schemas.openxmlformats.org/officeDocument/2006/relationships/hyperlink" Target="https://doi.org/10.25088/ComplexSystems.15.1.1" TargetMode="External"/><Relationship Id="rId262" Type="http://schemas.openxmlformats.org/officeDocument/2006/relationships/hyperlink" Target="https://doi.org/10.25088/ComplexSystems.29.2.107" TargetMode="External"/><Relationship Id="rId172" Type="http://schemas.openxmlformats.org/officeDocument/2006/relationships/hyperlink" Target="https://doi.org/10.3390/e19050188" TargetMode="External"/><Relationship Id="rId168" Type="http://schemas.openxmlformats.org/officeDocument/2006/relationships/hyperlink" Target="https://doi.org/10.3982/ECTA5771" TargetMode="External"/><Relationship Id="rId193" Type="http://schemas.openxmlformats.org/officeDocument/2006/relationships/hyperlink" Target="https://doi.org/10.48550/arXiv.2411.03972" TargetMode="External"/><Relationship Id="rId144" Type="http://schemas.openxmlformats.org/officeDocument/2006/relationships/hyperlink" Target="https://doi.org/10.48550/arXiv.2603.19007" TargetMode="External"/><Relationship Id="rId237" Type="http://schemas.openxmlformats.org/officeDocument/2006/relationships/hyperlink" Target="https://doi.org/10.48550/arXiv.quant-ph/0405174" TargetMode="External"/><Relationship Id="rId191" Type="http://schemas.openxmlformats.org/officeDocument/2006/relationships/hyperlink" Target="https://proceedings.neurips.cc/paper_files/paper/2001/hash/1e4d36177d71bbb3558e43af9577d70e-Abstract.html" TargetMode="External"/><Relationship Id="rId209" Type="http://schemas.openxmlformats.org/officeDocument/2006/relationships/hyperlink" Target="https://www.ijcai.org/Proceedings/77-1/Papers/048.pdf" TargetMode="External"/><Relationship Id="rId9" Type="http://schemas.openxmlformats.org/officeDocument/2006/relationships/hyperlink" Target="mailto:a5150064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All-Possibility Hierarchical Filtering Simulation (APHFS): A Resource-Bounded Framework from Executable Rules toward Multiscale Biology, Aging, and Rejuvenation Research</dc:title>
  <dc:creator>Mingyuan Chen</dc:creator>
  <cp:keywords>model search, systems biology, model-class inadequacy, non-identifiability, coarse-graining, elementary cellular automata, quantum cellular automata, fault-tolerant quantum computing, reproducibility</cp:keywords>
  <dcterms:created xsi:type="dcterms:W3CDTF">2026-09-03T00:00:00Z</dcterms:created>
  <dcterms:modified xsi:type="dcterms:W3CDTF">2026-09-03T00:00:00Z</dcterms:modified>
  <dc:subject>bioRxiv local release candidate; finite ECA machinery study</dc:subject>
  <dc:description/>
  <cp:category/>
  <cp:version/>
  <cp:lastModifiedBy/>
  <dc:identifier/>
  <dc:language>en-US</dc:language>
  <cp:revision>1</cp:revision>
</cp:coreProperties>
</file>