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D323" w14:textId="419FD043" w:rsidR="00E12307" w:rsidRPr="00E12307" w:rsidRDefault="00563151" w:rsidP="00E12307">
      <w:pPr>
        <w:spacing w:line="360" w:lineRule="auto"/>
        <w:jc w:val="center"/>
        <w:rPr>
          <w:rFonts w:ascii="Times New Roman" w:hAnsi="Times New Roman" w:cs="Times New Roman"/>
          <w:b/>
          <w:sz w:val="28"/>
          <w:szCs w:val="28"/>
          <w:lang w:val="es-ES"/>
        </w:rPr>
      </w:pPr>
      <w:r w:rsidRPr="00E12307">
        <w:rPr>
          <w:rFonts w:ascii="Times New Roman" w:hAnsi="Times New Roman" w:cs="Times New Roman"/>
          <w:b/>
          <w:sz w:val="28"/>
          <w:szCs w:val="28"/>
          <w:lang w:val="es-ES"/>
        </w:rPr>
        <w:t>LA ANEMIA EN NIÑOS MENORES DE 5 AÑOS EN EL PERÚ</w:t>
      </w:r>
      <w:r w:rsidR="00E12307" w:rsidRPr="00E12307">
        <w:rPr>
          <w:rFonts w:ascii="Times New Roman" w:hAnsi="Times New Roman" w:cs="Times New Roman"/>
          <w:b/>
          <w:sz w:val="28"/>
          <w:szCs w:val="28"/>
          <w:lang w:val="es-ES"/>
        </w:rPr>
        <w:br/>
      </w:r>
    </w:p>
    <w:p w14:paraId="383DAF6E" w14:textId="6708964F" w:rsidR="00E12307" w:rsidRPr="00E12307" w:rsidRDefault="00E12307" w:rsidP="00E12307">
      <w:pPr>
        <w:spacing w:line="360" w:lineRule="auto"/>
        <w:rPr>
          <w:rFonts w:ascii="Times New Roman" w:hAnsi="Times New Roman" w:cs="Times New Roman"/>
          <w:b/>
          <w:sz w:val="24"/>
          <w:szCs w:val="24"/>
        </w:rPr>
      </w:pPr>
      <w:r w:rsidRPr="00E12307">
        <w:rPr>
          <w:rFonts w:ascii="Times New Roman" w:hAnsi="Times New Roman" w:cs="Times New Roman"/>
          <w:b/>
          <w:sz w:val="24"/>
          <w:szCs w:val="24"/>
        </w:rPr>
        <w:t xml:space="preserve">Nombre: </w:t>
      </w:r>
      <w:r w:rsidRPr="00E12307">
        <w:rPr>
          <w:rFonts w:ascii="Times New Roman" w:hAnsi="Times New Roman" w:cs="Times New Roman"/>
          <w:b/>
          <w:sz w:val="24"/>
          <w:szCs w:val="24"/>
        </w:rPr>
        <w:t xml:space="preserve">Christy Margaret Yapuchura Mamani </w:t>
      </w:r>
      <w:r w:rsidRPr="00E12307">
        <w:rPr>
          <w:rFonts w:ascii="Times New Roman" w:hAnsi="Times New Roman" w:cs="Times New Roman"/>
          <w:b/>
          <w:sz w:val="24"/>
          <w:szCs w:val="24"/>
        </w:rPr>
        <w:t xml:space="preserve"> </w:t>
      </w:r>
    </w:p>
    <w:p w14:paraId="4A15C615" w14:textId="77777777" w:rsidR="00E12307" w:rsidRPr="00E12307" w:rsidRDefault="00E12307" w:rsidP="00E12307">
      <w:pPr>
        <w:spacing w:line="360" w:lineRule="auto"/>
        <w:rPr>
          <w:rFonts w:ascii="Times New Roman" w:hAnsi="Times New Roman" w:cs="Times New Roman"/>
          <w:b/>
          <w:sz w:val="24"/>
          <w:szCs w:val="24"/>
        </w:rPr>
      </w:pPr>
      <w:r w:rsidRPr="00E12307">
        <w:rPr>
          <w:rFonts w:ascii="Times New Roman" w:hAnsi="Times New Roman" w:cs="Times New Roman"/>
          <w:b/>
          <w:sz w:val="24"/>
          <w:szCs w:val="24"/>
        </w:rPr>
        <w:t xml:space="preserve">Curso: Estadística para el Análisis Político II </w:t>
      </w:r>
    </w:p>
    <w:p w14:paraId="4ACF2695" w14:textId="77777777" w:rsidR="00E12307" w:rsidRPr="00E12307" w:rsidRDefault="00E12307" w:rsidP="00E12307">
      <w:pPr>
        <w:spacing w:line="360" w:lineRule="auto"/>
        <w:rPr>
          <w:rFonts w:ascii="Times New Roman" w:hAnsi="Times New Roman" w:cs="Times New Roman"/>
          <w:b/>
          <w:sz w:val="24"/>
          <w:szCs w:val="24"/>
        </w:rPr>
      </w:pPr>
      <w:r w:rsidRPr="00E12307">
        <w:rPr>
          <w:rFonts w:ascii="Times New Roman" w:hAnsi="Times New Roman" w:cs="Times New Roman"/>
          <w:b/>
          <w:sz w:val="24"/>
          <w:szCs w:val="24"/>
        </w:rPr>
        <w:t xml:space="preserve">Profesor: José Manuel Magallanes Reyes </w:t>
      </w:r>
    </w:p>
    <w:p w14:paraId="0CFBC6BB" w14:textId="405CFFD3" w:rsidR="00E12307" w:rsidRPr="00E12307" w:rsidRDefault="00E12307" w:rsidP="00E12307">
      <w:pPr>
        <w:spacing w:line="360" w:lineRule="auto"/>
        <w:rPr>
          <w:rFonts w:ascii="Times New Roman" w:hAnsi="Times New Roman" w:cs="Times New Roman"/>
          <w:b/>
          <w:sz w:val="24"/>
          <w:szCs w:val="24"/>
          <w:lang w:val="es-ES"/>
        </w:rPr>
      </w:pPr>
      <w:r w:rsidRPr="00E12307">
        <w:rPr>
          <w:rFonts w:ascii="Times New Roman" w:hAnsi="Times New Roman" w:cs="Times New Roman"/>
          <w:b/>
          <w:sz w:val="24"/>
          <w:szCs w:val="24"/>
        </w:rPr>
        <w:t>Jefe de Práctica: Airam Bello López</w:t>
      </w:r>
    </w:p>
    <w:p w14:paraId="1F0B65FE" w14:textId="544C082F" w:rsidR="00A716B2" w:rsidRPr="00E12307" w:rsidRDefault="00E12307"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INTRODUCCIÓN</w:t>
      </w:r>
    </w:p>
    <w:p w14:paraId="7469391C" w14:textId="2A6BDB92"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La anemia infantil sigue siendo uno de los principales problemas de salud pública en el mundo, afectando a millones de niños en países de ingresos bajos y medios. Según la Organización Mundial de la Salud (OMS), alrededor del 40% de los niños menores de 5 años en todo el mundo padecen de anemia, siendo la deficiencia de hierro la principal causa (</w:t>
      </w:r>
      <w:proofErr w:type="spellStart"/>
      <w:r w:rsidRPr="00E12307">
        <w:rPr>
          <w:rFonts w:ascii="Times New Roman" w:hAnsi="Times New Roman" w:cs="Times New Roman"/>
          <w:sz w:val="24"/>
          <w:szCs w:val="24"/>
          <w:lang w:val="es-ES"/>
        </w:rPr>
        <w:t>World</w:t>
      </w:r>
      <w:proofErr w:type="spellEnd"/>
      <w:r w:rsidRPr="00E12307">
        <w:rPr>
          <w:rFonts w:ascii="Times New Roman" w:hAnsi="Times New Roman" w:cs="Times New Roman"/>
          <w:sz w:val="24"/>
          <w:szCs w:val="24"/>
          <w:lang w:val="es-ES"/>
        </w:rPr>
        <w:t xml:space="preserve"> </w:t>
      </w:r>
      <w:proofErr w:type="spellStart"/>
      <w:r w:rsidRPr="00E12307">
        <w:rPr>
          <w:rFonts w:ascii="Times New Roman" w:hAnsi="Times New Roman" w:cs="Times New Roman"/>
          <w:sz w:val="24"/>
          <w:szCs w:val="24"/>
          <w:lang w:val="es-ES"/>
        </w:rPr>
        <w:t>Health</w:t>
      </w:r>
      <w:proofErr w:type="spellEnd"/>
      <w:r w:rsidRPr="00E12307">
        <w:rPr>
          <w:rFonts w:ascii="Times New Roman" w:hAnsi="Times New Roman" w:cs="Times New Roman"/>
          <w:sz w:val="24"/>
          <w:szCs w:val="24"/>
          <w:lang w:val="es-ES"/>
        </w:rPr>
        <w:t xml:space="preserve"> </w:t>
      </w:r>
      <w:proofErr w:type="spellStart"/>
      <w:r w:rsidRPr="00E12307">
        <w:rPr>
          <w:rFonts w:ascii="Times New Roman" w:hAnsi="Times New Roman" w:cs="Times New Roman"/>
          <w:sz w:val="24"/>
          <w:szCs w:val="24"/>
          <w:lang w:val="es-ES"/>
        </w:rPr>
        <w:t>Organization</w:t>
      </w:r>
      <w:proofErr w:type="spellEnd"/>
      <w:r w:rsidRPr="00E12307">
        <w:rPr>
          <w:rFonts w:ascii="Times New Roman" w:hAnsi="Times New Roman" w:cs="Times New Roman"/>
          <w:sz w:val="24"/>
          <w:szCs w:val="24"/>
          <w:lang w:val="es-ES"/>
        </w:rPr>
        <w:t>, 2023). Esta condición tiene efectos devastadores en el desarrollo físico y cognitivo de los niños, lo que repercute en su crecimiento, su capacidad de aprendizaje y, en última instancia, en sus oportunidades de vida (Hernández et al., 2022).</w:t>
      </w:r>
    </w:p>
    <w:p w14:paraId="17A4C037" w14:textId="06D33799"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En el Perú, la anemia infantil es un problema de salud que sigue afectando a un alto porcentaje de la población. Según la Encuesta Nacional de Demografía y Salud Familiar (ENDES) de 2022, el 42.4% de los niños entre 6 y 35 meses presentan anemia, una cifra alarmante que no ha mostrado una disminución significativa en los últimos años (Instituto Nacional de Estadística e Informática [INEI], 2022). A pesar de los esfuerzos por mejorar la nutrición infantil y aumentar el acceso a suplementos de hierro, las tasas de anemia siguen siendo elevadas, especialmente en áreas rurales y en los sectores más pobres del país. De acuerdo con UNICEF Perú (2023), los índices de anemia son más altos en las regiones andinas y amazónicas, donde el acceso a servicios de salud y alimentos adecuados es más limitado.</w:t>
      </w:r>
    </w:p>
    <w:p w14:paraId="00FC3746" w14:textId="7008ADF7"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La anemia en la infancia tiene múltiples determinantes que deben ser considerados para poder abordar el problema de manera efectiva. Factores socioeconómicos, como el índice de riqueza del hogar, y factores maternos, como la anemia materna y el nivel educativo de la madre, juegan un papel crucial en la prevalencia de la anemia infantil (Tello &amp; Mendoza, 2021). Además, investigaciones recientes han identificado que la lengua </w:t>
      </w:r>
      <w:r w:rsidRPr="00E12307">
        <w:rPr>
          <w:rFonts w:ascii="Times New Roman" w:hAnsi="Times New Roman" w:cs="Times New Roman"/>
          <w:sz w:val="24"/>
          <w:szCs w:val="24"/>
          <w:lang w:val="es-ES"/>
        </w:rPr>
        <w:lastRenderedPageBreak/>
        <w:t>materna también influye en la probabilidad de que los niños padezcan anemia, siendo los niños cuyas madres hablan lenguas indígenas los más afectados (Gonzales &amp; Lazo, 2020).</w:t>
      </w:r>
    </w:p>
    <w:p w14:paraId="6613A3D3" w14:textId="1806BE37"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A pesar de la creciente evidencia sobre los factores que contribuyen a la anemia infantil, en el Perú aún existe una falta de investigaciones integrales que consideren simultáneamente todas las variables socioeconómicas, culturales y maternas para estimar su impacto en la prevalencia de la anemia infantil a nivel nacional. La literatura existente tiende a centrarse en estudios localizados, sin un análisis que permita generalizar los resultados a toda la población infantil del país (Bravo et al., 2022).</w:t>
      </w:r>
    </w:p>
    <w:p w14:paraId="59881C06" w14:textId="55BC0398"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Este vacío en el conocimiento es precisamente lo que justifica la realización de este estudio, cuyo objetivo es analizar de manera integral cómo las variables socioeconómicas, maternas, demográficas y culturales influyen en la probabilidad de que los niños menores de 5 años en Perú padezcan de anemia. Al comprender las interacciones entre estos factores, será posible generar políticas públicas más efectivas y programas de salud más focalizados que apunten a reducir la prevalencia de la anemia en la población infantil.</w:t>
      </w:r>
    </w:p>
    <w:p w14:paraId="6362472C" w14:textId="55A808F1"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Si no se abordan adecuadamente los determinantes estructurales de la anemia infantil, esta continuará siendo un obstáculo para el desarrollo de los niños y el bienestar de la sociedad peruana en general. Por tanto, es esencial que las políticas y estrategias de salud pública se adapten a las realidades socioeconómicas y culturales del país, priorizando las zonas más vulnerables y promoviendo la educación y el acceso a servicios de salud adecuados para las madres y niños en riesgo.</w:t>
      </w:r>
    </w:p>
    <w:p w14:paraId="13548DDA" w14:textId="28E2C03A" w:rsidR="00295384"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JUSTIFICACIÓN DEL TEMA</w:t>
      </w:r>
    </w:p>
    <w:p w14:paraId="4FD1B1F0" w14:textId="7459BA84"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La justificación de la investigación sobre la anemia en niños menores de 5 años en el Perú se sustenta en la necesidad urgente de abordar uno de los problemas de salud pública más prevalentes y perjudiciales para el desarrollo de los niños en el país. A pesar de los esfuerzos del gobierno y de organizaciones internacionales, la prevalencia de la anemia infantil sigue siendo alarmantemente alta, especialmente en las regiones rurales y en los sectores más pobres. Según la Encuesta Nacional de Demografía y Salud Familiar (ENDES), aproximadamente el 42.4% de los niños de 6 a 35 meses presentan anemia, lo que refleja un retraso significativo en la reducción de la prevalencia de esta condición (Instituto Nacional de Estadística e Informática [INEI], 2022). Esta alta prevalencia tiene implicaciones serias en el bienestar físico, cognitivo y social de los niños, lo que puede limitar sus oportunidades de desarrollo y afectar su calidad de vida a largo plazo.</w:t>
      </w:r>
    </w:p>
    <w:p w14:paraId="449C8A2A" w14:textId="4E281FD3"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lastRenderedPageBreak/>
        <w:t>La anemia infantil es un problema multifactorial que no puede ser abordado únicamente desde un enfoque de salud. Afecta a millones de niños, especialmente a aquellos provenientes de hogares con menos recursos económicos. Las desigualdades socioeconómicas y el acceso limitado a nutrición adecuada, servicios de salud y educación son factores clave que contribuyen a la persistencia de esta condición. Además, la anemia materna y el nivel educativo de las madres han demostrado ser factores determinantes en la prevalencia de la anemia infantil, ya que las madres con menor nivel educativo o con anemia tienen una mayor probabilidad de tener hijos afectados por esta condición (Tello &amp; Mendoza, 2021). Por lo tanto, se justifica la necesidad de realizar una investigación integral que no solo identifique los factores determinantes de la anemia infantil, sino que también examine cómo interactúan estas variables en el contexto peruano.</w:t>
      </w:r>
    </w:p>
    <w:p w14:paraId="2EE5E069" w14:textId="5ABADFCA"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El objetivo de este estudio es proporcionar un análisis detallado y actualizado sobre las variables socioeconómicas, culturales y maternas que afectan la prevalencia de la anemia en niños menores de 5 años en el Perú. Al considerar variables como el índice de riqueza del hogar, la educación materna, la </w:t>
      </w:r>
      <w:proofErr w:type="gramStart"/>
      <w:r w:rsidRPr="00E12307">
        <w:rPr>
          <w:rFonts w:ascii="Times New Roman" w:hAnsi="Times New Roman" w:cs="Times New Roman"/>
          <w:sz w:val="24"/>
          <w:szCs w:val="24"/>
          <w:lang w:val="es-ES"/>
        </w:rPr>
        <w:t>anemia materna y la lengua materna</w:t>
      </w:r>
      <w:proofErr w:type="gramEnd"/>
      <w:r w:rsidRPr="00E12307">
        <w:rPr>
          <w:rFonts w:ascii="Times New Roman" w:hAnsi="Times New Roman" w:cs="Times New Roman"/>
          <w:sz w:val="24"/>
          <w:szCs w:val="24"/>
          <w:lang w:val="es-ES"/>
        </w:rPr>
        <w:t>, este estudio buscará identificar los grupos más vulnerables y las causas estructurales que perpetúan la anemia en los niños, con el fin de proponer estrategias más efectivas y focalizadas en las políticas públicas.</w:t>
      </w:r>
    </w:p>
    <w:p w14:paraId="6CB86E7C" w14:textId="579BE11B" w:rsidR="00563151"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Además, este estudio contribuirá a la literatura existente al integrar variables socioeconómicas y culturales en un análisis integral que hasta ahora ha sido escaso en el contexto peruano. La información derivada de esta investigación servirá para mejorar la gestión de políticas públicas, especialmente aquellas orientadas a la reducción de la pobreza, la mejora en el acceso a alimentos saludables y la atención médica adecuada, además de fortalecer los programas de nutrición infantil y salud materna. Al identificar los factores que realmente afectan a la población vulnerable, este estudio podrá influir directamente en la creación de intervenciones más precisas y adaptadas a las necesidades de los diferentes grupos sociales.</w:t>
      </w:r>
    </w:p>
    <w:p w14:paraId="2DD2B019" w14:textId="198CA52E" w:rsidR="00295384" w:rsidRPr="00E12307" w:rsidRDefault="00A716B2" w:rsidP="0082189E">
      <w:pPr>
        <w:pStyle w:val="Prrafodelista"/>
        <w:numPr>
          <w:ilvl w:val="1"/>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VARIABLE DEPENDIENTE</w:t>
      </w:r>
    </w:p>
    <w:p w14:paraId="191F0F55" w14:textId="33F04B26" w:rsidR="00563151"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Anemia infantil (presencia o ausencia de anemia en niños menores de 5 años) es la variable dependiente. Esta variable representa el resultado o la condición que se está intentando explicar o predecir a partir de las variables independientes. En el análisis, la anemia es medida típicamente </w:t>
      </w:r>
      <w:r w:rsidRPr="00E12307">
        <w:rPr>
          <w:rFonts w:ascii="Times New Roman" w:hAnsi="Times New Roman" w:cs="Times New Roman"/>
          <w:sz w:val="24"/>
          <w:szCs w:val="24"/>
          <w:lang w:val="es-ES"/>
        </w:rPr>
        <w:lastRenderedPageBreak/>
        <w:t>como una variable binaria (1 = tiene anemia, 0 = no tiene anemia), aunque también puede clasificarse en categorías (leve, moderada, grave), dependiendo de los datos disponibles.</w:t>
      </w:r>
    </w:p>
    <w:p w14:paraId="2F23684D" w14:textId="4ECDACBB" w:rsidR="00563151" w:rsidRPr="00E12307" w:rsidRDefault="00563151" w:rsidP="0082189E">
      <w:pPr>
        <w:pStyle w:val="Prrafodelista"/>
        <w:numPr>
          <w:ilvl w:val="1"/>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VARIABLES INDEPENDIENTES</w:t>
      </w:r>
    </w:p>
    <w:p w14:paraId="5F217331" w14:textId="43743292"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Índice de riqueza del hogar: Representa el nivel socioeconómico de la familia, que se clasifica generalmente en categorías como "pobre", "medio", "rico", etc. El índice de riqueza afecta la disponibilidad de recursos para la salud y la nutrición, lo que puede influir en la prevalencia de la anemia.</w:t>
      </w:r>
    </w:p>
    <w:p w14:paraId="24FEEE4F" w14:textId="6E1CE069"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Anemia materna: La presencia de anemia en la madre, que influye directamente en la salud del niño. Las madres con anemia tienen una mayor probabilidad de tener hijos con anemia debido a factores nutricionales y de salud.</w:t>
      </w:r>
    </w:p>
    <w:p w14:paraId="6B4FF068" w14:textId="0744675A"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Edad de la madre: La edad de la madre puede ser un factor relevante, ya que las madres más jóvenes o mayores pueden tener mayor riesgo de tener hijos con problemas de salud como la anemia, debido a diferentes condiciones fisiológicas y socioeconómicas.</w:t>
      </w:r>
    </w:p>
    <w:p w14:paraId="04AF7406" w14:textId="0CF9FE74"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Educación de la madre: El nivel educativo de la madre se considera un factor clave. Las madres con mayor nivel educativo suelen tener más acceso a información sobre salud, nutrición y atención médica, lo que podría reducir la probabilidad de que sus hijos padezcan anemia.</w:t>
      </w:r>
    </w:p>
    <w:p w14:paraId="37C51599" w14:textId="3B4A286E"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Lengua materna: Este factor refleja si la madre habla una lengua indígena, castellano o una lengua extranjera. En el contexto peruano, las madres de lengua indígena pueden tener menos acceso a servicios de salud o información sobre nutrición, lo que podría influir en la prevalencia de la anemia infantil.</w:t>
      </w:r>
    </w:p>
    <w:p w14:paraId="3B9A0C45" w14:textId="4E2A61AF" w:rsidR="0082189E"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Área de residencia (urbano/rural): La ubicación geográfica también juega un papel importante. Las áreas urbanas generalmente tienen más acceso a servicios de salud, alimentos nutritivos y programas sociales, mientras que las zonas rurales pueden carecer de estos recursos.</w:t>
      </w:r>
    </w:p>
    <w:p w14:paraId="0BB3F381" w14:textId="74839393" w:rsidR="000A43F8" w:rsidRPr="00E12307" w:rsidRDefault="0082189E" w:rsidP="0082189E">
      <w:pPr>
        <w:pStyle w:val="Prrafodelista"/>
        <w:spacing w:line="360" w:lineRule="auto"/>
        <w:ind w:left="1440"/>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Edad del niño: La edad del niño es una variable importante porque el riesgo de anemia puede variar a lo largo de los primeros años de vida. Es común que los niños más pequeños tengan mayores probabilidades de </w:t>
      </w:r>
      <w:r w:rsidRPr="00E12307">
        <w:rPr>
          <w:rFonts w:ascii="Times New Roman" w:hAnsi="Times New Roman" w:cs="Times New Roman"/>
          <w:sz w:val="24"/>
          <w:szCs w:val="24"/>
          <w:lang w:val="es-ES"/>
        </w:rPr>
        <w:lastRenderedPageBreak/>
        <w:t>desarrollar anemia debido a su mayor necesidad de hierro durante el crecimiento.</w:t>
      </w:r>
    </w:p>
    <w:p w14:paraId="07BAB411" w14:textId="20F21A0F" w:rsidR="00A716B2"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PREGUNTA DE INVESTIGACIÓN</w:t>
      </w:r>
    </w:p>
    <w:p w14:paraId="30A198BF" w14:textId="32675341" w:rsidR="009E1186" w:rsidRPr="00E12307" w:rsidRDefault="00563151" w:rsidP="0082189E">
      <w:pPr>
        <w:spacing w:line="360" w:lineRule="auto"/>
        <w:rPr>
          <w:rFonts w:ascii="Times New Roman" w:hAnsi="Times New Roman" w:cs="Times New Roman"/>
          <w:sz w:val="24"/>
          <w:szCs w:val="24"/>
          <w:lang w:val="es-ES"/>
        </w:rPr>
      </w:pPr>
      <w:r w:rsidRPr="00E12307">
        <w:rPr>
          <w:rFonts w:ascii="Times New Roman" w:hAnsi="Times New Roman" w:cs="Times New Roman"/>
          <w:sz w:val="24"/>
          <w:szCs w:val="24"/>
          <w:lang w:val="es-ES"/>
        </w:rPr>
        <w:t>¿Cómo influyen el índice de riqueza, la anemia materna, el nivel educativo de la madre y la lengua materna en la probabilidad de que los niños menores de 5 años padezcan anemia en Perú?</w:t>
      </w:r>
    </w:p>
    <w:p w14:paraId="3C3E4CBD" w14:textId="7438529A" w:rsidR="00563151"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HIPÓTESIS</w:t>
      </w:r>
    </w:p>
    <w:p w14:paraId="4E65E014" w14:textId="04875E7D" w:rsidR="009E1186" w:rsidRPr="00E12307" w:rsidRDefault="00563151"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El índice de riqueza, la anemia materna, el nivel educativo de la madre, y la lengua materna tienen una influencia significativa en la probabilidad de que los niños menores de 5 años en Perú padezcan anemia.</w:t>
      </w:r>
    </w:p>
    <w:p w14:paraId="5088924C" w14:textId="71B04B06" w:rsidR="009E1186"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METODOLOGÍA</w:t>
      </w:r>
    </w:p>
    <w:p w14:paraId="112C9BFC" w14:textId="4CAD3812"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En este estudio se utilizó una metodología cuantitativa, basada en el análisis de datos obtenidos de la Encuesta Nacional de Demografía y Salud Familiar (ENDES) del año 2022, con el objetivo de explorar los factores asociados a la prevalencia de la anemia infantil en niños menores de 5 años en Perú. Se seleccionaron variables sociodemográficas y económicas, como el índice de riqueza, el nivel educativo de la madre, la edad de la madre, la lengua materna, y el peso al nacer del niño, entre otras. Para el análisis de estos datos, se aplicó una regresión Logit, que permitió modelar la probabilidad de que un niño padezca anemia en función de las variables explicativas consideradas.</w:t>
      </w:r>
    </w:p>
    <w:p w14:paraId="0C11085E" w14:textId="4AD0F0A8"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Para llevar a cabo el análisis, se calculó primero la regresión Logit con el software estadístico Stata, usando las observaciones disponibles de 18,692 casos. Se prestó especial atención a la significancia estadística de los coeficientes obtenidos, evaluando las probabilidades marginales para comprender mejor la influencia de cada variable sobre la probabilidad de anemia en los niños. En esta fase, se calculó también el pseudo R² para determinar el ajuste del modelo, lo que permitió evaluar la capacidad explicativa del modelo ajustado.</w:t>
      </w:r>
    </w:p>
    <w:p w14:paraId="74DCF7B0" w14:textId="7A87E7B4"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Para la interpretación de los resultados, se enfocaron en los signos de los coeficientes de la regresión, lo que permitió identificar la dirección de la relación entre las variables independientes y la probabilidad de anemia. Posteriormente, se analizaron los efectos </w:t>
      </w:r>
      <w:r w:rsidRPr="00E12307">
        <w:rPr>
          <w:rFonts w:ascii="Times New Roman" w:hAnsi="Times New Roman" w:cs="Times New Roman"/>
          <w:sz w:val="24"/>
          <w:szCs w:val="24"/>
          <w:lang w:val="es-ES"/>
        </w:rPr>
        <w:lastRenderedPageBreak/>
        <w:t>marginales para proporcionar una interpretación más clara de cómo las variaciones en las variables independientes afectaban la probabilidad de padecer anemia en los niños.</w:t>
      </w:r>
    </w:p>
    <w:p w14:paraId="516FFEA3" w14:textId="5C170782"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Además, se realizó un análisis complementario mediante la visualización de los efectos marginales a través de gráficos, lo que permitió observar de manera más intuitiva la relación entre el índice de riqueza y la probabilidad de anemia a diferentes edades de los niños. Esto facilitó la discusión sobre cómo los factores socioeconómicos influyen en la prevalencia de la anemia infantil en diferentes etapas del desarrollo de los niños.</w:t>
      </w:r>
    </w:p>
    <w:p w14:paraId="0E55E114" w14:textId="77777777" w:rsidR="009E1186" w:rsidRPr="00E12307" w:rsidRDefault="009E1186" w:rsidP="0082189E">
      <w:pPr>
        <w:pStyle w:val="Prrafodelista"/>
        <w:spacing w:line="360" w:lineRule="auto"/>
        <w:rPr>
          <w:rFonts w:ascii="Times New Roman" w:hAnsi="Times New Roman" w:cs="Times New Roman"/>
          <w:sz w:val="24"/>
          <w:szCs w:val="24"/>
          <w:lang w:val="es-ES"/>
        </w:rPr>
      </w:pPr>
    </w:p>
    <w:p w14:paraId="59684A65" w14:textId="7C69302B" w:rsidR="00A716B2"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LIMPIEZA DE LA BASE DE DATOS</w:t>
      </w:r>
    </w:p>
    <w:p w14:paraId="23C87A5A" w14:textId="4F9D10F6"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La limpieza de datos en este estudio se llevó a cabo mediante una serie de pasos sistemáticos para garantizar la consistencia, integridad y adecuación de los datos para el análisis.</w:t>
      </w:r>
    </w:p>
    <w:p w14:paraId="7BD98DFC" w14:textId="6D85625F"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Carga y organización de los datos: En primer lugar, se cargaron los archivos de datos originales, comenzando con el módulo de datos básicos de MEF (REC0111). A través del comando use en Stata, se accedió a los datos y se dividieron las variables de ID para crear identificadores únicos para cada hogar y niño (HHID y HVIDX), utilizando el comando </w:t>
      </w:r>
      <w:proofErr w:type="spellStart"/>
      <w:r w:rsidRPr="00E12307">
        <w:rPr>
          <w:rFonts w:ascii="Times New Roman" w:hAnsi="Times New Roman" w:cs="Times New Roman"/>
          <w:sz w:val="24"/>
          <w:szCs w:val="24"/>
          <w:lang w:val="es-ES"/>
        </w:rPr>
        <w:t>split</w:t>
      </w:r>
      <w:proofErr w:type="spellEnd"/>
      <w:r w:rsidRPr="00E12307">
        <w:rPr>
          <w:rFonts w:ascii="Times New Roman" w:hAnsi="Times New Roman" w:cs="Times New Roman"/>
          <w:sz w:val="24"/>
          <w:szCs w:val="24"/>
          <w:lang w:val="es-ES"/>
        </w:rPr>
        <w:t xml:space="preserve"> CASEID. Luego, se reorganizaron las columnas y se eliminaron las variables innecesarias.</w:t>
      </w:r>
    </w:p>
    <w:p w14:paraId="100E2A9C" w14:textId="27CD6930"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Eliminación de duplicados: Se verificó la existencia de posibles duplicados en los registros mediante el comando </w:t>
      </w:r>
      <w:proofErr w:type="spellStart"/>
      <w:r w:rsidRPr="00E12307">
        <w:rPr>
          <w:rFonts w:ascii="Times New Roman" w:hAnsi="Times New Roman" w:cs="Times New Roman"/>
          <w:sz w:val="24"/>
          <w:szCs w:val="24"/>
          <w:lang w:val="es-ES"/>
        </w:rPr>
        <w:t>duplicates</w:t>
      </w:r>
      <w:proofErr w:type="spellEnd"/>
      <w:r w:rsidRPr="00E12307">
        <w:rPr>
          <w:rFonts w:ascii="Times New Roman" w:hAnsi="Times New Roman" w:cs="Times New Roman"/>
          <w:sz w:val="24"/>
          <w:szCs w:val="24"/>
          <w:lang w:val="es-ES"/>
        </w:rPr>
        <w:t xml:space="preserve"> </w:t>
      </w:r>
      <w:proofErr w:type="spellStart"/>
      <w:r w:rsidRPr="00E12307">
        <w:rPr>
          <w:rFonts w:ascii="Times New Roman" w:hAnsi="Times New Roman" w:cs="Times New Roman"/>
          <w:sz w:val="24"/>
          <w:szCs w:val="24"/>
          <w:lang w:val="es-ES"/>
        </w:rPr>
        <w:t>list</w:t>
      </w:r>
      <w:proofErr w:type="spellEnd"/>
      <w:r w:rsidRPr="00E12307">
        <w:rPr>
          <w:rFonts w:ascii="Times New Roman" w:hAnsi="Times New Roman" w:cs="Times New Roman"/>
          <w:sz w:val="24"/>
          <w:szCs w:val="24"/>
          <w:lang w:val="es-ES"/>
        </w:rPr>
        <w:t xml:space="preserve"> HHID HVIDX. Los duplicados detectados fueron eliminados para evitar redundancia en los datos y asegurar la calidad de la información utilizada en el análisis.</w:t>
      </w:r>
    </w:p>
    <w:p w14:paraId="3B5D3DEA" w14:textId="1FE68B65"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Reformulación y recodificación de variables: Se reformularon y recodificaron diversas variables clave para mejorar la interpretación y facilitar el análisis. Por ejemplo, la variable V133, que indicaba el nivel educativo de la madre, fue recodificada en una nueva variable categórica denominada </w:t>
      </w:r>
      <w:proofErr w:type="spellStart"/>
      <w:r w:rsidRPr="00E12307">
        <w:rPr>
          <w:rFonts w:ascii="Times New Roman" w:hAnsi="Times New Roman" w:cs="Times New Roman"/>
          <w:sz w:val="24"/>
          <w:szCs w:val="24"/>
          <w:lang w:val="es-ES"/>
        </w:rPr>
        <w:t>sch_madre</w:t>
      </w:r>
      <w:proofErr w:type="spellEnd"/>
      <w:r w:rsidRPr="00E12307">
        <w:rPr>
          <w:rFonts w:ascii="Times New Roman" w:hAnsi="Times New Roman" w:cs="Times New Roman"/>
          <w:sz w:val="24"/>
          <w:szCs w:val="24"/>
          <w:lang w:val="es-ES"/>
        </w:rPr>
        <w:t>. También se recodificaron las variables relacionadas con el área de residencia (urbana/rural) y la lengua materna (indígena, castellano, extranjera), lo cual permitió una mejor categorización y entendimiento de las variables.</w:t>
      </w:r>
    </w:p>
    <w:p w14:paraId="0A61C21B" w14:textId="08AD6A04"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proofErr w:type="spellStart"/>
      <w:r w:rsidRPr="00E12307">
        <w:rPr>
          <w:rFonts w:ascii="Times New Roman" w:hAnsi="Times New Roman" w:cs="Times New Roman"/>
          <w:sz w:val="24"/>
          <w:szCs w:val="24"/>
          <w:lang w:val="es-ES"/>
        </w:rPr>
        <w:t>Reescalado</w:t>
      </w:r>
      <w:proofErr w:type="spellEnd"/>
      <w:r w:rsidRPr="00E12307">
        <w:rPr>
          <w:rFonts w:ascii="Times New Roman" w:hAnsi="Times New Roman" w:cs="Times New Roman"/>
          <w:sz w:val="24"/>
          <w:szCs w:val="24"/>
          <w:lang w:val="es-ES"/>
        </w:rPr>
        <w:t xml:space="preserve"> de las variables de ponderación: Se </w:t>
      </w:r>
      <w:proofErr w:type="spellStart"/>
      <w:r w:rsidRPr="00E12307">
        <w:rPr>
          <w:rFonts w:ascii="Times New Roman" w:hAnsi="Times New Roman" w:cs="Times New Roman"/>
          <w:sz w:val="24"/>
          <w:szCs w:val="24"/>
          <w:lang w:val="es-ES"/>
        </w:rPr>
        <w:t>reescalaron</w:t>
      </w:r>
      <w:proofErr w:type="spellEnd"/>
      <w:r w:rsidRPr="00E12307">
        <w:rPr>
          <w:rFonts w:ascii="Times New Roman" w:hAnsi="Times New Roman" w:cs="Times New Roman"/>
          <w:sz w:val="24"/>
          <w:szCs w:val="24"/>
          <w:lang w:val="es-ES"/>
        </w:rPr>
        <w:t xml:space="preserve"> las variables de ponderación según el factor de escala proporcionado en los datos. La variable </w:t>
      </w:r>
      <w:r w:rsidRPr="00E12307">
        <w:rPr>
          <w:rFonts w:ascii="Times New Roman" w:hAnsi="Times New Roman" w:cs="Times New Roman"/>
          <w:sz w:val="24"/>
          <w:szCs w:val="24"/>
          <w:lang w:val="es-ES"/>
        </w:rPr>
        <w:lastRenderedPageBreak/>
        <w:t>V005 fue ajustada para facilitar los cálculos posteriores y asegurar la coherencia en las mediciones.</w:t>
      </w:r>
    </w:p>
    <w:p w14:paraId="7FBE9472" w14:textId="75CD5DDF"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Unión de bases de datos: Se unieron varios archivos de datos relacionados con los niños y las madres utilizando el comando </w:t>
      </w:r>
      <w:proofErr w:type="spellStart"/>
      <w:r w:rsidRPr="00E12307">
        <w:rPr>
          <w:rFonts w:ascii="Times New Roman" w:hAnsi="Times New Roman" w:cs="Times New Roman"/>
          <w:sz w:val="24"/>
          <w:szCs w:val="24"/>
          <w:lang w:val="es-ES"/>
        </w:rPr>
        <w:t>merge</w:t>
      </w:r>
      <w:proofErr w:type="spellEnd"/>
      <w:r w:rsidRPr="00E12307">
        <w:rPr>
          <w:rFonts w:ascii="Times New Roman" w:hAnsi="Times New Roman" w:cs="Times New Roman"/>
          <w:sz w:val="24"/>
          <w:szCs w:val="24"/>
          <w:lang w:val="es-ES"/>
        </w:rPr>
        <w:t>. Inicialmente, se fusionaron los archivos correspondientes al sexo y peso al nacer de los niños, y luego se integraron los datos sobre anemia de los niños y las madres. Este proceso de fusión consolidó todos los datos relevantes de cada hogar en una sola base de datos.</w:t>
      </w:r>
    </w:p>
    <w:p w14:paraId="57F3D5B2" w14:textId="3040CE49"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Filtrado de casos: Durante la limpieza, se eliminaron los niños muertos (B5==0) y se mantuvieron únicamente los registros de los niños que fueron medidos y aceptaron el consentimiento. Esto permitió enfocar el análisis en los casos completos y relevantes para la investigación.</w:t>
      </w:r>
    </w:p>
    <w:p w14:paraId="56B69324" w14:textId="6F752C80" w:rsidR="009E1186" w:rsidRPr="00E12307" w:rsidRDefault="009E1186" w:rsidP="0082189E">
      <w:pPr>
        <w:pStyle w:val="Prrafodelista"/>
        <w:numPr>
          <w:ilvl w:val="0"/>
          <w:numId w:val="5"/>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Revisión final y guardado de los datos: Finalmente, se revisaron los datos para garantizar su calidad y consistencia. Después de realizar las verificaciones necesarias, se guardaron las bases de datos depuradas en formato .</w:t>
      </w:r>
      <w:proofErr w:type="spellStart"/>
      <w:r w:rsidRPr="00E12307">
        <w:rPr>
          <w:rFonts w:ascii="Times New Roman" w:hAnsi="Times New Roman" w:cs="Times New Roman"/>
          <w:sz w:val="24"/>
          <w:szCs w:val="24"/>
          <w:lang w:val="es-ES"/>
        </w:rPr>
        <w:t>dta</w:t>
      </w:r>
      <w:proofErr w:type="spellEnd"/>
      <w:r w:rsidRPr="00E12307">
        <w:rPr>
          <w:rFonts w:ascii="Times New Roman" w:hAnsi="Times New Roman" w:cs="Times New Roman"/>
          <w:sz w:val="24"/>
          <w:szCs w:val="24"/>
          <w:lang w:val="es-ES"/>
        </w:rPr>
        <w:t>, listos para su uso en el análisis posterior.</w:t>
      </w:r>
    </w:p>
    <w:p w14:paraId="36420176" w14:textId="3A0A270B"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Este proceso de limpieza de datos fue fundamental para asegurar la calidad de los resultados obtenidos. A través de estos pasos, se creó una base de datos precisa y depurada, lo que permitió llevar a cabo un análisis confiable de la anemia infantil en el contexto peruano.</w:t>
      </w:r>
    </w:p>
    <w:p w14:paraId="10FAE773" w14:textId="77777777" w:rsidR="00A716B2"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HALLAZGOS</w:t>
      </w:r>
    </w:p>
    <w:p w14:paraId="0CF377D3" w14:textId="1C8F1307" w:rsidR="000A43F8" w:rsidRPr="00E12307" w:rsidRDefault="009E1186" w:rsidP="0082189E">
      <w:pPr>
        <w:spacing w:line="360" w:lineRule="auto"/>
        <w:ind w:left="708"/>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Modelo de regresión dicotómico (Modelo Logístico)</w:t>
      </w:r>
    </w:p>
    <w:tbl>
      <w:tblPr>
        <w:tblW w:w="9376" w:type="dxa"/>
        <w:tblCellMar>
          <w:left w:w="70" w:type="dxa"/>
          <w:right w:w="70" w:type="dxa"/>
        </w:tblCellMar>
        <w:tblLook w:val="04A0" w:firstRow="1" w:lastRow="0" w:firstColumn="1" w:lastColumn="0" w:noHBand="0" w:noVBand="1"/>
      </w:tblPr>
      <w:tblGrid>
        <w:gridCol w:w="2442"/>
        <w:gridCol w:w="1287"/>
        <w:gridCol w:w="1100"/>
        <w:gridCol w:w="983"/>
        <w:gridCol w:w="920"/>
        <w:gridCol w:w="1320"/>
        <w:gridCol w:w="1324"/>
      </w:tblGrid>
      <w:tr w:rsidR="000A43F8" w:rsidRPr="00E12307" w14:paraId="2C9CE167" w14:textId="77777777" w:rsidTr="000A43F8">
        <w:trPr>
          <w:trHeight w:val="315"/>
        </w:trPr>
        <w:tc>
          <w:tcPr>
            <w:tcW w:w="2442" w:type="dxa"/>
            <w:tcBorders>
              <w:top w:val="single" w:sz="4" w:space="0" w:color="auto"/>
              <w:left w:val="nil"/>
              <w:bottom w:val="single" w:sz="4" w:space="0" w:color="auto"/>
              <w:right w:val="nil"/>
            </w:tcBorders>
            <w:shd w:val="clear" w:color="000000" w:fill="D9D9D9"/>
            <w:noWrap/>
            <w:vAlign w:val="bottom"/>
            <w:hideMark/>
          </w:tcPr>
          <w:p w14:paraId="022F0268"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Regresión Logit</w:t>
            </w:r>
          </w:p>
        </w:tc>
        <w:tc>
          <w:tcPr>
            <w:tcW w:w="1287" w:type="dxa"/>
            <w:tcBorders>
              <w:top w:val="single" w:sz="4" w:space="0" w:color="auto"/>
              <w:left w:val="nil"/>
              <w:bottom w:val="nil"/>
              <w:right w:val="nil"/>
            </w:tcBorders>
            <w:shd w:val="clear" w:color="000000" w:fill="D9D9D9"/>
            <w:noWrap/>
            <w:vAlign w:val="bottom"/>
            <w:hideMark/>
          </w:tcPr>
          <w:p w14:paraId="607BEFA0"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1100" w:type="dxa"/>
            <w:tcBorders>
              <w:top w:val="single" w:sz="4" w:space="0" w:color="auto"/>
              <w:left w:val="nil"/>
              <w:bottom w:val="nil"/>
              <w:right w:val="nil"/>
            </w:tcBorders>
            <w:shd w:val="clear" w:color="000000" w:fill="D9D9D9"/>
            <w:noWrap/>
            <w:vAlign w:val="bottom"/>
            <w:hideMark/>
          </w:tcPr>
          <w:p w14:paraId="0DA4C589"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83" w:type="dxa"/>
            <w:tcBorders>
              <w:top w:val="single" w:sz="4" w:space="0" w:color="auto"/>
              <w:left w:val="nil"/>
              <w:bottom w:val="nil"/>
              <w:right w:val="nil"/>
            </w:tcBorders>
            <w:shd w:val="clear" w:color="000000" w:fill="D9D9D9"/>
            <w:noWrap/>
            <w:vAlign w:val="bottom"/>
            <w:hideMark/>
          </w:tcPr>
          <w:p w14:paraId="053AC0A3"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20" w:type="dxa"/>
            <w:tcBorders>
              <w:top w:val="single" w:sz="4" w:space="0" w:color="auto"/>
              <w:left w:val="nil"/>
              <w:bottom w:val="nil"/>
              <w:right w:val="nil"/>
            </w:tcBorders>
            <w:shd w:val="clear" w:color="000000" w:fill="D9D9D9"/>
            <w:noWrap/>
            <w:vAlign w:val="bottom"/>
            <w:hideMark/>
          </w:tcPr>
          <w:p w14:paraId="39FCD29B"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2640" w:type="dxa"/>
            <w:gridSpan w:val="2"/>
            <w:tcBorders>
              <w:top w:val="single" w:sz="4" w:space="0" w:color="auto"/>
              <w:left w:val="nil"/>
              <w:bottom w:val="nil"/>
              <w:right w:val="nil"/>
            </w:tcBorders>
            <w:shd w:val="clear" w:color="000000" w:fill="D9D9D9"/>
            <w:noWrap/>
            <w:vAlign w:val="bottom"/>
            <w:hideMark/>
          </w:tcPr>
          <w:p w14:paraId="33285049" w14:textId="77777777" w:rsidR="000A43F8" w:rsidRPr="00E12307" w:rsidRDefault="000A43F8" w:rsidP="000A43F8">
            <w:pPr>
              <w:spacing w:after="0" w:line="240" w:lineRule="auto"/>
              <w:jc w:val="right"/>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Observaciones </w:t>
            </w:r>
            <w:proofErr w:type="gramStart"/>
            <w:r w:rsidRPr="00E12307">
              <w:rPr>
                <w:rFonts w:ascii="Times New Roman" w:eastAsia="Times New Roman" w:hAnsi="Times New Roman" w:cs="Times New Roman"/>
                <w:b/>
                <w:bCs/>
                <w:color w:val="000000"/>
                <w:sz w:val="24"/>
                <w:szCs w:val="24"/>
                <w:lang w:eastAsia="es-PE"/>
              </w:rPr>
              <w:t>=  18,692</w:t>
            </w:r>
            <w:proofErr w:type="gramEnd"/>
          </w:p>
        </w:tc>
      </w:tr>
      <w:tr w:rsidR="000A43F8" w:rsidRPr="00E12307" w14:paraId="63F1F9B9" w14:textId="77777777" w:rsidTr="000A43F8">
        <w:trPr>
          <w:trHeight w:val="315"/>
        </w:trPr>
        <w:tc>
          <w:tcPr>
            <w:tcW w:w="2442" w:type="dxa"/>
            <w:tcBorders>
              <w:top w:val="nil"/>
              <w:left w:val="nil"/>
              <w:bottom w:val="nil"/>
              <w:right w:val="nil"/>
            </w:tcBorders>
            <w:shd w:val="clear" w:color="000000" w:fill="D9D9D9"/>
            <w:noWrap/>
            <w:vAlign w:val="bottom"/>
            <w:hideMark/>
          </w:tcPr>
          <w:p w14:paraId="198000F1"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1287" w:type="dxa"/>
            <w:tcBorders>
              <w:top w:val="nil"/>
              <w:left w:val="nil"/>
              <w:bottom w:val="nil"/>
              <w:right w:val="nil"/>
            </w:tcBorders>
            <w:shd w:val="clear" w:color="000000" w:fill="D9D9D9"/>
            <w:noWrap/>
            <w:vAlign w:val="bottom"/>
            <w:hideMark/>
          </w:tcPr>
          <w:p w14:paraId="5EB0CCD4"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1100" w:type="dxa"/>
            <w:tcBorders>
              <w:top w:val="nil"/>
              <w:left w:val="nil"/>
              <w:bottom w:val="nil"/>
              <w:right w:val="nil"/>
            </w:tcBorders>
            <w:shd w:val="clear" w:color="000000" w:fill="D9D9D9"/>
            <w:noWrap/>
            <w:vAlign w:val="bottom"/>
            <w:hideMark/>
          </w:tcPr>
          <w:p w14:paraId="3FAED275"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83" w:type="dxa"/>
            <w:tcBorders>
              <w:top w:val="nil"/>
              <w:left w:val="nil"/>
              <w:bottom w:val="nil"/>
              <w:right w:val="nil"/>
            </w:tcBorders>
            <w:shd w:val="clear" w:color="000000" w:fill="D9D9D9"/>
            <w:noWrap/>
            <w:vAlign w:val="bottom"/>
            <w:hideMark/>
          </w:tcPr>
          <w:p w14:paraId="30CCAC7E"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20" w:type="dxa"/>
            <w:tcBorders>
              <w:top w:val="nil"/>
              <w:left w:val="nil"/>
              <w:bottom w:val="nil"/>
              <w:right w:val="nil"/>
            </w:tcBorders>
            <w:shd w:val="clear" w:color="000000" w:fill="D9D9D9"/>
            <w:noWrap/>
            <w:vAlign w:val="bottom"/>
            <w:hideMark/>
          </w:tcPr>
          <w:p w14:paraId="37023D62"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2640" w:type="dxa"/>
            <w:gridSpan w:val="2"/>
            <w:tcBorders>
              <w:top w:val="single" w:sz="4" w:space="0" w:color="auto"/>
              <w:left w:val="nil"/>
              <w:bottom w:val="single" w:sz="4" w:space="0" w:color="auto"/>
              <w:right w:val="nil"/>
            </w:tcBorders>
            <w:shd w:val="clear" w:color="000000" w:fill="D9D9D9"/>
            <w:noWrap/>
            <w:vAlign w:val="bottom"/>
            <w:hideMark/>
          </w:tcPr>
          <w:p w14:paraId="6BF9A9BF" w14:textId="77777777" w:rsidR="000A43F8" w:rsidRPr="00E12307" w:rsidRDefault="000A43F8" w:rsidP="000A43F8">
            <w:pPr>
              <w:spacing w:after="0" w:line="240" w:lineRule="auto"/>
              <w:jc w:val="right"/>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LR chi2(14)   = 2434.49</w:t>
            </w:r>
          </w:p>
        </w:tc>
      </w:tr>
      <w:tr w:rsidR="000A43F8" w:rsidRPr="00E12307" w14:paraId="28FDB541" w14:textId="77777777" w:rsidTr="000A43F8">
        <w:trPr>
          <w:trHeight w:val="315"/>
        </w:trPr>
        <w:tc>
          <w:tcPr>
            <w:tcW w:w="2442" w:type="dxa"/>
            <w:tcBorders>
              <w:top w:val="nil"/>
              <w:left w:val="nil"/>
              <w:bottom w:val="nil"/>
              <w:right w:val="nil"/>
            </w:tcBorders>
            <w:shd w:val="clear" w:color="000000" w:fill="D9D9D9"/>
            <w:noWrap/>
            <w:vAlign w:val="bottom"/>
            <w:hideMark/>
          </w:tcPr>
          <w:p w14:paraId="5506196E"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1287" w:type="dxa"/>
            <w:tcBorders>
              <w:top w:val="nil"/>
              <w:left w:val="nil"/>
              <w:bottom w:val="nil"/>
              <w:right w:val="nil"/>
            </w:tcBorders>
            <w:shd w:val="clear" w:color="000000" w:fill="D9D9D9"/>
            <w:noWrap/>
            <w:vAlign w:val="bottom"/>
            <w:hideMark/>
          </w:tcPr>
          <w:p w14:paraId="660A6807"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1100" w:type="dxa"/>
            <w:tcBorders>
              <w:top w:val="nil"/>
              <w:left w:val="nil"/>
              <w:bottom w:val="nil"/>
              <w:right w:val="nil"/>
            </w:tcBorders>
            <w:shd w:val="clear" w:color="000000" w:fill="D9D9D9"/>
            <w:noWrap/>
            <w:vAlign w:val="bottom"/>
            <w:hideMark/>
          </w:tcPr>
          <w:p w14:paraId="3845B0EE"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83" w:type="dxa"/>
            <w:tcBorders>
              <w:top w:val="nil"/>
              <w:left w:val="nil"/>
              <w:bottom w:val="nil"/>
              <w:right w:val="nil"/>
            </w:tcBorders>
            <w:shd w:val="clear" w:color="000000" w:fill="D9D9D9"/>
            <w:noWrap/>
            <w:vAlign w:val="bottom"/>
            <w:hideMark/>
          </w:tcPr>
          <w:p w14:paraId="64A172E0"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20" w:type="dxa"/>
            <w:tcBorders>
              <w:top w:val="nil"/>
              <w:left w:val="nil"/>
              <w:bottom w:val="nil"/>
              <w:right w:val="nil"/>
            </w:tcBorders>
            <w:shd w:val="clear" w:color="000000" w:fill="D9D9D9"/>
            <w:noWrap/>
            <w:vAlign w:val="bottom"/>
            <w:hideMark/>
          </w:tcPr>
          <w:p w14:paraId="20C0E21B"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2640" w:type="dxa"/>
            <w:gridSpan w:val="2"/>
            <w:tcBorders>
              <w:top w:val="single" w:sz="4" w:space="0" w:color="auto"/>
              <w:left w:val="nil"/>
              <w:bottom w:val="single" w:sz="4" w:space="0" w:color="auto"/>
              <w:right w:val="nil"/>
            </w:tcBorders>
            <w:shd w:val="clear" w:color="000000" w:fill="D9D9D9"/>
            <w:noWrap/>
            <w:vAlign w:val="bottom"/>
            <w:hideMark/>
          </w:tcPr>
          <w:p w14:paraId="22AEDA69" w14:textId="77777777" w:rsidR="000A43F8" w:rsidRPr="00E12307" w:rsidRDefault="000A43F8" w:rsidP="000A43F8">
            <w:pPr>
              <w:spacing w:after="0" w:line="240" w:lineRule="auto"/>
              <w:jc w:val="right"/>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Prob &gt; chi2   </w:t>
            </w:r>
            <w:proofErr w:type="gramStart"/>
            <w:r w:rsidRPr="00E12307">
              <w:rPr>
                <w:rFonts w:ascii="Times New Roman" w:eastAsia="Times New Roman" w:hAnsi="Times New Roman" w:cs="Times New Roman"/>
                <w:b/>
                <w:bCs/>
                <w:color w:val="000000"/>
                <w:sz w:val="24"/>
                <w:szCs w:val="24"/>
                <w:lang w:eastAsia="es-PE"/>
              </w:rPr>
              <w:t>=  0</w:t>
            </w:r>
            <w:proofErr w:type="gramEnd"/>
            <w:r w:rsidRPr="00E12307">
              <w:rPr>
                <w:rFonts w:ascii="Times New Roman" w:eastAsia="Times New Roman" w:hAnsi="Times New Roman" w:cs="Times New Roman"/>
                <w:b/>
                <w:bCs/>
                <w:color w:val="000000"/>
                <w:sz w:val="24"/>
                <w:szCs w:val="24"/>
                <w:lang w:eastAsia="es-PE"/>
              </w:rPr>
              <w:t>.0000</w:t>
            </w:r>
          </w:p>
        </w:tc>
      </w:tr>
      <w:tr w:rsidR="000A43F8" w:rsidRPr="00E12307" w14:paraId="62C0A93D" w14:textId="77777777" w:rsidTr="000A43F8">
        <w:trPr>
          <w:trHeight w:val="315"/>
        </w:trPr>
        <w:tc>
          <w:tcPr>
            <w:tcW w:w="3729" w:type="dxa"/>
            <w:gridSpan w:val="2"/>
            <w:tcBorders>
              <w:top w:val="nil"/>
              <w:left w:val="nil"/>
              <w:bottom w:val="single" w:sz="4" w:space="0" w:color="auto"/>
              <w:right w:val="nil"/>
            </w:tcBorders>
            <w:shd w:val="clear" w:color="000000" w:fill="D9D9D9"/>
            <w:noWrap/>
            <w:vAlign w:val="bottom"/>
            <w:hideMark/>
          </w:tcPr>
          <w:p w14:paraId="281F408D"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Máxima Verosimilitud = -10959.079</w:t>
            </w:r>
          </w:p>
        </w:tc>
        <w:tc>
          <w:tcPr>
            <w:tcW w:w="1100" w:type="dxa"/>
            <w:tcBorders>
              <w:top w:val="nil"/>
              <w:left w:val="nil"/>
              <w:bottom w:val="single" w:sz="4" w:space="0" w:color="auto"/>
              <w:right w:val="nil"/>
            </w:tcBorders>
            <w:shd w:val="clear" w:color="000000" w:fill="D9D9D9"/>
            <w:noWrap/>
            <w:vAlign w:val="bottom"/>
            <w:hideMark/>
          </w:tcPr>
          <w:p w14:paraId="51FC3511"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83" w:type="dxa"/>
            <w:tcBorders>
              <w:top w:val="nil"/>
              <w:left w:val="nil"/>
              <w:bottom w:val="single" w:sz="4" w:space="0" w:color="auto"/>
              <w:right w:val="nil"/>
            </w:tcBorders>
            <w:shd w:val="clear" w:color="000000" w:fill="D9D9D9"/>
            <w:noWrap/>
            <w:vAlign w:val="bottom"/>
            <w:hideMark/>
          </w:tcPr>
          <w:p w14:paraId="538CB0D4"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920" w:type="dxa"/>
            <w:tcBorders>
              <w:top w:val="nil"/>
              <w:left w:val="nil"/>
              <w:bottom w:val="nil"/>
              <w:right w:val="nil"/>
            </w:tcBorders>
            <w:shd w:val="clear" w:color="000000" w:fill="D9D9D9"/>
            <w:noWrap/>
            <w:vAlign w:val="bottom"/>
            <w:hideMark/>
          </w:tcPr>
          <w:p w14:paraId="5768A52F"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w:t>
            </w:r>
          </w:p>
        </w:tc>
        <w:tc>
          <w:tcPr>
            <w:tcW w:w="2640" w:type="dxa"/>
            <w:gridSpan w:val="2"/>
            <w:tcBorders>
              <w:top w:val="nil"/>
              <w:left w:val="nil"/>
              <w:bottom w:val="single" w:sz="4" w:space="0" w:color="auto"/>
              <w:right w:val="nil"/>
            </w:tcBorders>
            <w:shd w:val="clear" w:color="000000" w:fill="D9D9D9"/>
            <w:noWrap/>
            <w:vAlign w:val="bottom"/>
            <w:hideMark/>
          </w:tcPr>
          <w:p w14:paraId="6495D2B0" w14:textId="77777777" w:rsidR="000A43F8" w:rsidRPr="00E12307" w:rsidRDefault="000A43F8" w:rsidP="000A43F8">
            <w:pPr>
              <w:spacing w:after="0" w:line="240" w:lineRule="auto"/>
              <w:jc w:val="right"/>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Pseudo R2     </w:t>
            </w:r>
            <w:proofErr w:type="gramStart"/>
            <w:r w:rsidRPr="00E12307">
              <w:rPr>
                <w:rFonts w:ascii="Times New Roman" w:eastAsia="Times New Roman" w:hAnsi="Times New Roman" w:cs="Times New Roman"/>
                <w:b/>
                <w:bCs/>
                <w:color w:val="000000"/>
                <w:sz w:val="24"/>
                <w:szCs w:val="24"/>
                <w:lang w:eastAsia="es-PE"/>
              </w:rPr>
              <w:t>=  0</w:t>
            </w:r>
            <w:proofErr w:type="gramEnd"/>
            <w:r w:rsidRPr="00E12307">
              <w:rPr>
                <w:rFonts w:ascii="Times New Roman" w:eastAsia="Times New Roman" w:hAnsi="Times New Roman" w:cs="Times New Roman"/>
                <w:b/>
                <w:bCs/>
                <w:color w:val="000000"/>
                <w:sz w:val="24"/>
                <w:szCs w:val="24"/>
                <w:lang w:eastAsia="es-PE"/>
              </w:rPr>
              <w:t>.1000</w:t>
            </w:r>
          </w:p>
        </w:tc>
      </w:tr>
      <w:tr w:rsidR="000A43F8" w:rsidRPr="00E12307" w14:paraId="39832348" w14:textId="77777777" w:rsidTr="000A43F8">
        <w:trPr>
          <w:trHeight w:val="315"/>
        </w:trPr>
        <w:tc>
          <w:tcPr>
            <w:tcW w:w="2442" w:type="dxa"/>
            <w:tcBorders>
              <w:top w:val="nil"/>
              <w:left w:val="nil"/>
              <w:bottom w:val="single" w:sz="4" w:space="0" w:color="auto"/>
              <w:right w:val="nil"/>
            </w:tcBorders>
            <w:shd w:val="clear" w:color="000000" w:fill="D9D9D9"/>
            <w:noWrap/>
            <w:vAlign w:val="bottom"/>
            <w:hideMark/>
          </w:tcPr>
          <w:p w14:paraId="14297A4E" w14:textId="77777777" w:rsidR="000A43F8" w:rsidRPr="00E12307" w:rsidRDefault="000A43F8" w:rsidP="000A43F8">
            <w:pPr>
              <w:spacing w:after="0" w:line="240" w:lineRule="auto"/>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Anemia</w:t>
            </w:r>
          </w:p>
        </w:tc>
        <w:tc>
          <w:tcPr>
            <w:tcW w:w="1287" w:type="dxa"/>
            <w:tcBorders>
              <w:top w:val="nil"/>
              <w:left w:val="nil"/>
              <w:bottom w:val="single" w:sz="4" w:space="0" w:color="auto"/>
              <w:right w:val="nil"/>
            </w:tcBorders>
            <w:shd w:val="clear" w:color="000000" w:fill="D9D9D9"/>
            <w:noWrap/>
            <w:vAlign w:val="bottom"/>
            <w:hideMark/>
          </w:tcPr>
          <w:p w14:paraId="1645C074"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Coeficiente</w:t>
            </w:r>
          </w:p>
        </w:tc>
        <w:tc>
          <w:tcPr>
            <w:tcW w:w="1100" w:type="dxa"/>
            <w:tcBorders>
              <w:top w:val="nil"/>
              <w:left w:val="nil"/>
              <w:bottom w:val="single" w:sz="4" w:space="0" w:color="auto"/>
              <w:right w:val="nil"/>
            </w:tcBorders>
            <w:shd w:val="clear" w:color="000000" w:fill="D9D9D9"/>
            <w:noWrap/>
            <w:vAlign w:val="bottom"/>
            <w:hideMark/>
          </w:tcPr>
          <w:p w14:paraId="0CF4EBE0"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Error </w:t>
            </w:r>
            <w:proofErr w:type="spellStart"/>
            <w:r w:rsidRPr="00E12307">
              <w:rPr>
                <w:rFonts w:ascii="Times New Roman" w:eastAsia="Times New Roman" w:hAnsi="Times New Roman" w:cs="Times New Roman"/>
                <w:b/>
                <w:bCs/>
                <w:color w:val="000000"/>
                <w:sz w:val="24"/>
                <w:szCs w:val="24"/>
                <w:lang w:eastAsia="es-PE"/>
              </w:rPr>
              <w:t>Est</w:t>
            </w:r>
            <w:proofErr w:type="spellEnd"/>
            <w:r w:rsidRPr="00E12307">
              <w:rPr>
                <w:rFonts w:ascii="Times New Roman" w:eastAsia="Times New Roman" w:hAnsi="Times New Roman" w:cs="Times New Roman"/>
                <w:b/>
                <w:bCs/>
                <w:color w:val="000000"/>
                <w:sz w:val="24"/>
                <w:szCs w:val="24"/>
                <w:lang w:eastAsia="es-PE"/>
              </w:rPr>
              <w:t>.</w:t>
            </w:r>
          </w:p>
        </w:tc>
        <w:tc>
          <w:tcPr>
            <w:tcW w:w="983" w:type="dxa"/>
            <w:tcBorders>
              <w:top w:val="nil"/>
              <w:left w:val="nil"/>
              <w:bottom w:val="single" w:sz="4" w:space="0" w:color="auto"/>
              <w:right w:val="nil"/>
            </w:tcBorders>
            <w:shd w:val="clear" w:color="000000" w:fill="D9D9D9"/>
            <w:noWrap/>
            <w:vAlign w:val="bottom"/>
            <w:hideMark/>
          </w:tcPr>
          <w:p w14:paraId="2B0999A9"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z</w:t>
            </w:r>
          </w:p>
        </w:tc>
        <w:tc>
          <w:tcPr>
            <w:tcW w:w="920" w:type="dxa"/>
            <w:tcBorders>
              <w:top w:val="single" w:sz="4" w:space="0" w:color="auto"/>
              <w:left w:val="nil"/>
              <w:bottom w:val="single" w:sz="4" w:space="0" w:color="auto"/>
              <w:right w:val="nil"/>
            </w:tcBorders>
            <w:shd w:val="clear" w:color="000000" w:fill="D9D9D9"/>
            <w:noWrap/>
            <w:vAlign w:val="bottom"/>
            <w:hideMark/>
          </w:tcPr>
          <w:p w14:paraId="2A58C575"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P&gt;z     </w:t>
            </w:r>
          </w:p>
        </w:tc>
        <w:tc>
          <w:tcPr>
            <w:tcW w:w="2640" w:type="dxa"/>
            <w:gridSpan w:val="2"/>
            <w:tcBorders>
              <w:top w:val="single" w:sz="4" w:space="0" w:color="auto"/>
              <w:left w:val="nil"/>
              <w:bottom w:val="single" w:sz="4" w:space="0" w:color="auto"/>
              <w:right w:val="nil"/>
            </w:tcBorders>
            <w:shd w:val="clear" w:color="000000" w:fill="D9D9D9"/>
            <w:noWrap/>
            <w:vAlign w:val="bottom"/>
            <w:hideMark/>
          </w:tcPr>
          <w:p w14:paraId="2A9BE3E9"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 xml:space="preserve">[95% conf. </w:t>
            </w:r>
            <w:proofErr w:type="spellStart"/>
            <w:r w:rsidRPr="00E12307">
              <w:rPr>
                <w:rFonts w:ascii="Times New Roman" w:eastAsia="Times New Roman" w:hAnsi="Times New Roman" w:cs="Times New Roman"/>
                <w:b/>
                <w:bCs/>
                <w:color w:val="000000"/>
                <w:sz w:val="24"/>
                <w:szCs w:val="24"/>
                <w:lang w:eastAsia="es-PE"/>
              </w:rPr>
              <w:t>interval</w:t>
            </w:r>
            <w:proofErr w:type="spellEnd"/>
            <w:r w:rsidRPr="00E12307">
              <w:rPr>
                <w:rFonts w:ascii="Times New Roman" w:eastAsia="Times New Roman" w:hAnsi="Times New Roman" w:cs="Times New Roman"/>
                <w:b/>
                <w:bCs/>
                <w:color w:val="000000"/>
                <w:sz w:val="24"/>
                <w:szCs w:val="24"/>
                <w:lang w:eastAsia="es-PE"/>
              </w:rPr>
              <w:t>]</w:t>
            </w:r>
          </w:p>
        </w:tc>
      </w:tr>
      <w:tr w:rsidR="000A43F8" w:rsidRPr="00E12307" w14:paraId="0B75328D"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76ED5F7D"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Variables del niño</w:t>
            </w:r>
          </w:p>
        </w:tc>
      </w:tr>
      <w:tr w:rsidR="000A43F8" w:rsidRPr="00E12307" w14:paraId="1AE37190" w14:textId="77777777" w:rsidTr="000A43F8">
        <w:trPr>
          <w:trHeight w:val="315"/>
        </w:trPr>
        <w:tc>
          <w:tcPr>
            <w:tcW w:w="2442" w:type="dxa"/>
            <w:tcBorders>
              <w:top w:val="nil"/>
              <w:left w:val="nil"/>
              <w:bottom w:val="nil"/>
              <w:right w:val="nil"/>
            </w:tcBorders>
            <w:noWrap/>
            <w:vAlign w:val="bottom"/>
            <w:hideMark/>
          </w:tcPr>
          <w:p w14:paraId="2A2113AE"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Mujer</w:t>
            </w:r>
          </w:p>
        </w:tc>
        <w:tc>
          <w:tcPr>
            <w:tcW w:w="1287" w:type="dxa"/>
            <w:tcBorders>
              <w:top w:val="nil"/>
              <w:left w:val="nil"/>
              <w:bottom w:val="nil"/>
              <w:right w:val="nil"/>
            </w:tcBorders>
            <w:noWrap/>
            <w:vAlign w:val="bottom"/>
            <w:hideMark/>
          </w:tcPr>
          <w:p w14:paraId="51FCC67D"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-0.148</w:t>
            </w:r>
          </w:p>
        </w:tc>
        <w:tc>
          <w:tcPr>
            <w:tcW w:w="1100" w:type="dxa"/>
            <w:tcBorders>
              <w:top w:val="nil"/>
              <w:left w:val="nil"/>
              <w:bottom w:val="nil"/>
              <w:right w:val="nil"/>
            </w:tcBorders>
            <w:noWrap/>
            <w:vAlign w:val="bottom"/>
            <w:hideMark/>
          </w:tcPr>
          <w:p w14:paraId="69577FCD"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0.033</w:t>
            </w:r>
          </w:p>
        </w:tc>
        <w:tc>
          <w:tcPr>
            <w:tcW w:w="983" w:type="dxa"/>
            <w:tcBorders>
              <w:top w:val="nil"/>
              <w:left w:val="nil"/>
              <w:bottom w:val="nil"/>
              <w:right w:val="nil"/>
            </w:tcBorders>
            <w:noWrap/>
            <w:vAlign w:val="bottom"/>
            <w:hideMark/>
          </w:tcPr>
          <w:p w14:paraId="5CCEC5D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-4.500</w:t>
            </w:r>
          </w:p>
        </w:tc>
        <w:tc>
          <w:tcPr>
            <w:tcW w:w="920" w:type="dxa"/>
            <w:tcBorders>
              <w:top w:val="nil"/>
              <w:left w:val="nil"/>
              <w:bottom w:val="nil"/>
              <w:right w:val="nil"/>
            </w:tcBorders>
            <w:noWrap/>
            <w:vAlign w:val="bottom"/>
            <w:hideMark/>
          </w:tcPr>
          <w:p w14:paraId="0389D328"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5976628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-0.212</w:t>
            </w:r>
          </w:p>
        </w:tc>
        <w:tc>
          <w:tcPr>
            <w:tcW w:w="1320" w:type="dxa"/>
            <w:tcBorders>
              <w:top w:val="nil"/>
              <w:left w:val="nil"/>
              <w:bottom w:val="nil"/>
              <w:right w:val="nil"/>
            </w:tcBorders>
            <w:noWrap/>
            <w:vAlign w:val="bottom"/>
            <w:hideMark/>
          </w:tcPr>
          <w:p w14:paraId="2DAE82FA"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-0.083</w:t>
            </w:r>
          </w:p>
        </w:tc>
      </w:tr>
      <w:tr w:rsidR="000A43F8" w:rsidRPr="00E12307" w14:paraId="0C9A4455" w14:textId="77777777" w:rsidTr="000A43F8">
        <w:trPr>
          <w:trHeight w:val="315"/>
        </w:trPr>
        <w:tc>
          <w:tcPr>
            <w:tcW w:w="2442" w:type="dxa"/>
            <w:tcBorders>
              <w:top w:val="nil"/>
              <w:left w:val="nil"/>
              <w:bottom w:val="nil"/>
              <w:right w:val="nil"/>
            </w:tcBorders>
            <w:noWrap/>
            <w:vAlign w:val="bottom"/>
            <w:hideMark/>
          </w:tcPr>
          <w:p w14:paraId="22885265"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Edad en meses</w:t>
            </w:r>
          </w:p>
        </w:tc>
        <w:tc>
          <w:tcPr>
            <w:tcW w:w="1287" w:type="dxa"/>
            <w:tcBorders>
              <w:top w:val="nil"/>
              <w:left w:val="nil"/>
              <w:bottom w:val="nil"/>
              <w:right w:val="nil"/>
            </w:tcBorders>
            <w:noWrap/>
            <w:vAlign w:val="bottom"/>
            <w:hideMark/>
          </w:tcPr>
          <w:p w14:paraId="62CD9F3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-0.040</w:t>
            </w:r>
          </w:p>
        </w:tc>
        <w:tc>
          <w:tcPr>
            <w:tcW w:w="1100" w:type="dxa"/>
            <w:tcBorders>
              <w:top w:val="nil"/>
              <w:left w:val="nil"/>
              <w:bottom w:val="nil"/>
              <w:right w:val="nil"/>
            </w:tcBorders>
            <w:noWrap/>
            <w:vAlign w:val="bottom"/>
            <w:hideMark/>
          </w:tcPr>
          <w:p w14:paraId="056104FA"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0.001</w:t>
            </w:r>
          </w:p>
        </w:tc>
        <w:tc>
          <w:tcPr>
            <w:tcW w:w="983" w:type="dxa"/>
            <w:tcBorders>
              <w:top w:val="nil"/>
              <w:left w:val="nil"/>
              <w:bottom w:val="nil"/>
              <w:right w:val="nil"/>
            </w:tcBorders>
            <w:noWrap/>
            <w:vAlign w:val="bottom"/>
            <w:hideMark/>
          </w:tcPr>
          <w:p w14:paraId="7608AD0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-36.860</w:t>
            </w:r>
          </w:p>
        </w:tc>
        <w:tc>
          <w:tcPr>
            <w:tcW w:w="920" w:type="dxa"/>
            <w:tcBorders>
              <w:top w:val="nil"/>
              <w:left w:val="nil"/>
              <w:bottom w:val="nil"/>
              <w:right w:val="nil"/>
            </w:tcBorders>
            <w:noWrap/>
            <w:vAlign w:val="bottom"/>
            <w:hideMark/>
          </w:tcPr>
          <w:p w14:paraId="45E3E1C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525A6F15"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-0.042</w:t>
            </w:r>
          </w:p>
        </w:tc>
        <w:tc>
          <w:tcPr>
            <w:tcW w:w="1320" w:type="dxa"/>
            <w:tcBorders>
              <w:top w:val="nil"/>
              <w:left w:val="nil"/>
              <w:bottom w:val="nil"/>
              <w:right w:val="nil"/>
            </w:tcBorders>
            <w:noWrap/>
            <w:vAlign w:val="bottom"/>
            <w:hideMark/>
          </w:tcPr>
          <w:p w14:paraId="72644AE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-0.038</w:t>
            </w:r>
          </w:p>
        </w:tc>
      </w:tr>
      <w:tr w:rsidR="000A43F8" w:rsidRPr="00E12307" w14:paraId="632A7A94" w14:textId="77777777" w:rsidTr="000A43F8">
        <w:trPr>
          <w:trHeight w:val="315"/>
        </w:trPr>
        <w:tc>
          <w:tcPr>
            <w:tcW w:w="2442" w:type="dxa"/>
            <w:tcBorders>
              <w:top w:val="nil"/>
              <w:left w:val="nil"/>
              <w:bottom w:val="nil"/>
              <w:right w:val="nil"/>
            </w:tcBorders>
            <w:noWrap/>
            <w:vAlign w:val="bottom"/>
            <w:hideMark/>
          </w:tcPr>
          <w:p w14:paraId="153C1E37"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Peso al Nacer</w:t>
            </w:r>
          </w:p>
        </w:tc>
        <w:tc>
          <w:tcPr>
            <w:tcW w:w="1287" w:type="dxa"/>
            <w:tcBorders>
              <w:top w:val="nil"/>
              <w:left w:val="nil"/>
              <w:bottom w:val="nil"/>
              <w:right w:val="nil"/>
            </w:tcBorders>
            <w:noWrap/>
            <w:vAlign w:val="bottom"/>
            <w:hideMark/>
          </w:tcPr>
          <w:p w14:paraId="3E5FD35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0.030</w:t>
            </w:r>
          </w:p>
        </w:tc>
        <w:tc>
          <w:tcPr>
            <w:tcW w:w="1100" w:type="dxa"/>
            <w:tcBorders>
              <w:top w:val="nil"/>
              <w:left w:val="nil"/>
              <w:bottom w:val="nil"/>
              <w:right w:val="nil"/>
            </w:tcBorders>
            <w:noWrap/>
            <w:vAlign w:val="bottom"/>
            <w:hideMark/>
          </w:tcPr>
          <w:p w14:paraId="7D3B5C4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0.030</w:t>
            </w:r>
          </w:p>
        </w:tc>
        <w:tc>
          <w:tcPr>
            <w:tcW w:w="983" w:type="dxa"/>
            <w:tcBorders>
              <w:top w:val="nil"/>
              <w:left w:val="nil"/>
              <w:bottom w:val="nil"/>
              <w:right w:val="nil"/>
            </w:tcBorders>
            <w:noWrap/>
            <w:vAlign w:val="bottom"/>
            <w:hideMark/>
          </w:tcPr>
          <w:p w14:paraId="695058C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1.000</w:t>
            </w:r>
          </w:p>
        </w:tc>
        <w:tc>
          <w:tcPr>
            <w:tcW w:w="920" w:type="dxa"/>
            <w:tcBorders>
              <w:top w:val="nil"/>
              <w:left w:val="nil"/>
              <w:bottom w:val="nil"/>
              <w:right w:val="nil"/>
            </w:tcBorders>
            <w:noWrap/>
            <w:vAlign w:val="bottom"/>
            <w:hideMark/>
          </w:tcPr>
          <w:p w14:paraId="4A699DE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0.319</w:t>
            </w:r>
          </w:p>
        </w:tc>
        <w:tc>
          <w:tcPr>
            <w:tcW w:w="1320" w:type="dxa"/>
            <w:tcBorders>
              <w:top w:val="nil"/>
              <w:left w:val="nil"/>
              <w:bottom w:val="nil"/>
              <w:right w:val="nil"/>
            </w:tcBorders>
            <w:noWrap/>
            <w:vAlign w:val="bottom"/>
            <w:hideMark/>
          </w:tcPr>
          <w:p w14:paraId="50DAC2AA"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-0.029</w:t>
            </w:r>
          </w:p>
        </w:tc>
        <w:tc>
          <w:tcPr>
            <w:tcW w:w="1320" w:type="dxa"/>
            <w:tcBorders>
              <w:top w:val="nil"/>
              <w:left w:val="nil"/>
              <w:bottom w:val="nil"/>
              <w:right w:val="nil"/>
            </w:tcBorders>
            <w:noWrap/>
            <w:vAlign w:val="bottom"/>
            <w:hideMark/>
          </w:tcPr>
          <w:p w14:paraId="736ACC3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0.090</w:t>
            </w:r>
          </w:p>
        </w:tc>
      </w:tr>
      <w:tr w:rsidR="000A43F8" w:rsidRPr="00E12307" w14:paraId="1EA38D02" w14:textId="77777777" w:rsidTr="000A43F8">
        <w:trPr>
          <w:trHeight w:val="315"/>
        </w:trPr>
        <w:tc>
          <w:tcPr>
            <w:tcW w:w="2442" w:type="dxa"/>
            <w:tcBorders>
              <w:top w:val="nil"/>
              <w:left w:val="nil"/>
              <w:bottom w:val="single" w:sz="4" w:space="0" w:color="auto"/>
              <w:right w:val="nil"/>
            </w:tcBorders>
            <w:noWrap/>
            <w:vAlign w:val="bottom"/>
            <w:hideMark/>
          </w:tcPr>
          <w:p w14:paraId="6FAD7CF8"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Edad de la Madre</w:t>
            </w:r>
          </w:p>
        </w:tc>
        <w:tc>
          <w:tcPr>
            <w:tcW w:w="1287" w:type="dxa"/>
            <w:tcBorders>
              <w:top w:val="nil"/>
              <w:left w:val="nil"/>
              <w:bottom w:val="single" w:sz="4" w:space="0" w:color="auto"/>
              <w:right w:val="nil"/>
            </w:tcBorders>
            <w:noWrap/>
            <w:vAlign w:val="bottom"/>
            <w:hideMark/>
          </w:tcPr>
          <w:p w14:paraId="6DA023F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-0.010</w:t>
            </w:r>
          </w:p>
        </w:tc>
        <w:tc>
          <w:tcPr>
            <w:tcW w:w="1100" w:type="dxa"/>
            <w:tcBorders>
              <w:top w:val="nil"/>
              <w:left w:val="nil"/>
              <w:bottom w:val="single" w:sz="4" w:space="0" w:color="auto"/>
              <w:right w:val="nil"/>
            </w:tcBorders>
            <w:noWrap/>
            <w:vAlign w:val="bottom"/>
            <w:hideMark/>
          </w:tcPr>
          <w:p w14:paraId="338F931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0.003</w:t>
            </w:r>
          </w:p>
        </w:tc>
        <w:tc>
          <w:tcPr>
            <w:tcW w:w="983" w:type="dxa"/>
            <w:tcBorders>
              <w:top w:val="nil"/>
              <w:left w:val="nil"/>
              <w:bottom w:val="single" w:sz="4" w:space="0" w:color="auto"/>
              <w:right w:val="nil"/>
            </w:tcBorders>
            <w:noWrap/>
            <w:vAlign w:val="bottom"/>
            <w:hideMark/>
          </w:tcPr>
          <w:p w14:paraId="260BB32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-4.060</w:t>
            </w:r>
          </w:p>
        </w:tc>
        <w:tc>
          <w:tcPr>
            <w:tcW w:w="920" w:type="dxa"/>
            <w:tcBorders>
              <w:top w:val="nil"/>
              <w:left w:val="nil"/>
              <w:bottom w:val="single" w:sz="4" w:space="0" w:color="auto"/>
              <w:right w:val="nil"/>
            </w:tcBorders>
            <w:noWrap/>
            <w:vAlign w:val="bottom"/>
            <w:hideMark/>
          </w:tcPr>
          <w:p w14:paraId="29E49D0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single" w:sz="4" w:space="0" w:color="auto"/>
              <w:right w:val="nil"/>
            </w:tcBorders>
            <w:noWrap/>
            <w:vAlign w:val="bottom"/>
            <w:hideMark/>
          </w:tcPr>
          <w:p w14:paraId="426A23A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-0.015</w:t>
            </w:r>
          </w:p>
        </w:tc>
        <w:tc>
          <w:tcPr>
            <w:tcW w:w="1320" w:type="dxa"/>
            <w:tcBorders>
              <w:top w:val="nil"/>
              <w:left w:val="nil"/>
              <w:bottom w:val="single" w:sz="4" w:space="0" w:color="auto"/>
              <w:right w:val="nil"/>
            </w:tcBorders>
            <w:noWrap/>
            <w:vAlign w:val="bottom"/>
            <w:hideMark/>
          </w:tcPr>
          <w:p w14:paraId="7CE6003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-0.005</w:t>
            </w:r>
          </w:p>
        </w:tc>
      </w:tr>
      <w:tr w:rsidR="000A43F8" w:rsidRPr="00E12307" w14:paraId="6258179F"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03655AC6"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Educación de la Madre</w:t>
            </w:r>
          </w:p>
        </w:tc>
      </w:tr>
      <w:tr w:rsidR="000A43F8" w:rsidRPr="00E12307" w14:paraId="2163F80D" w14:textId="77777777" w:rsidTr="000A43F8">
        <w:trPr>
          <w:trHeight w:val="315"/>
        </w:trPr>
        <w:tc>
          <w:tcPr>
            <w:tcW w:w="2442" w:type="dxa"/>
            <w:tcBorders>
              <w:top w:val="nil"/>
              <w:left w:val="nil"/>
              <w:bottom w:val="nil"/>
              <w:right w:val="nil"/>
            </w:tcBorders>
            <w:noWrap/>
            <w:vAlign w:val="bottom"/>
            <w:hideMark/>
          </w:tcPr>
          <w:p w14:paraId="688F29B8"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Secundaria</w:t>
            </w:r>
          </w:p>
        </w:tc>
        <w:tc>
          <w:tcPr>
            <w:tcW w:w="1287" w:type="dxa"/>
            <w:tcBorders>
              <w:top w:val="nil"/>
              <w:left w:val="nil"/>
              <w:bottom w:val="nil"/>
              <w:right w:val="nil"/>
            </w:tcBorders>
            <w:noWrap/>
            <w:vAlign w:val="bottom"/>
            <w:hideMark/>
          </w:tcPr>
          <w:p w14:paraId="57405474"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0.041</w:t>
            </w:r>
          </w:p>
        </w:tc>
        <w:tc>
          <w:tcPr>
            <w:tcW w:w="1100" w:type="dxa"/>
            <w:tcBorders>
              <w:top w:val="nil"/>
              <w:left w:val="nil"/>
              <w:bottom w:val="nil"/>
              <w:right w:val="nil"/>
            </w:tcBorders>
            <w:noWrap/>
            <w:vAlign w:val="bottom"/>
            <w:hideMark/>
          </w:tcPr>
          <w:p w14:paraId="59F4D37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0.048</w:t>
            </w:r>
          </w:p>
        </w:tc>
        <w:tc>
          <w:tcPr>
            <w:tcW w:w="983" w:type="dxa"/>
            <w:tcBorders>
              <w:top w:val="nil"/>
              <w:left w:val="nil"/>
              <w:bottom w:val="nil"/>
              <w:right w:val="nil"/>
            </w:tcBorders>
            <w:noWrap/>
            <w:vAlign w:val="bottom"/>
            <w:hideMark/>
          </w:tcPr>
          <w:p w14:paraId="2061303C"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0.850</w:t>
            </w:r>
          </w:p>
        </w:tc>
        <w:tc>
          <w:tcPr>
            <w:tcW w:w="920" w:type="dxa"/>
            <w:tcBorders>
              <w:top w:val="nil"/>
              <w:left w:val="nil"/>
              <w:bottom w:val="nil"/>
              <w:right w:val="nil"/>
            </w:tcBorders>
            <w:noWrap/>
            <w:vAlign w:val="bottom"/>
            <w:hideMark/>
          </w:tcPr>
          <w:p w14:paraId="4B842385"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0.393</w:t>
            </w:r>
          </w:p>
        </w:tc>
        <w:tc>
          <w:tcPr>
            <w:tcW w:w="1320" w:type="dxa"/>
            <w:tcBorders>
              <w:top w:val="nil"/>
              <w:left w:val="nil"/>
              <w:bottom w:val="nil"/>
              <w:right w:val="nil"/>
            </w:tcBorders>
            <w:noWrap/>
            <w:vAlign w:val="bottom"/>
            <w:hideMark/>
          </w:tcPr>
          <w:p w14:paraId="2753883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-0.053</w:t>
            </w:r>
          </w:p>
        </w:tc>
        <w:tc>
          <w:tcPr>
            <w:tcW w:w="1320" w:type="dxa"/>
            <w:tcBorders>
              <w:top w:val="nil"/>
              <w:left w:val="nil"/>
              <w:bottom w:val="nil"/>
              <w:right w:val="nil"/>
            </w:tcBorders>
            <w:noWrap/>
            <w:vAlign w:val="bottom"/>
            <w:hideMark/>
          </w:tcPr>
          <w:p w14:paraId="4A9DC38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0.134</w:t>
            </w:r>
          </w:p>
        </w:tc>
      </w:tr>
      <w:tr w:rsidR="000A43F8" w:rsidRPr="00E12307" w14:paraId="4CE0E5E0" w14:textId="77777777" w:rsidTr="000A43F8">
        <w:trPr>
          <w:trHeight w:val="315"/>
        </w:trPr>
        <w:tc>
          <w:tcPr>
            <w:tcW w:w="2442" w:type="dxa"/>
            <w:tcBorders>
              <w:top w:val="nil"/>
              <w:left w:val="nil"/>
              <w:bottom w:val="single" w:sz="4" w:space="0" w:color="auto"/>
              <w:right w:val="nil"/>
            </w:tcBorders>
            <w:noWrap/>
            <w:vAlign w:val="bottom"/>
            <w:hideMark/>
          </w:tcPr>
          <w:p w14:paraId="132FDFE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Superior</w:t>
            </w:r>
          </w:p>
        </w:tc>
        <w:tc>
          <w:tcPr>
            <w:tcW w:w="1287" w:type="dxa"/>
            <w:tcBorders>
              <w:top w:val="nil"/>
              <w:left w:val="nil"/>
              <w:bottom w:val="single" w:sz="4" w:space="0" w:color="auto"/>
              <w:right w:val="nil"/>
            </w:tcBorders>
            <w:noWrap/>
            <w:vAlign w:val="bottom"/>
            <w:hideMark/>
          </w:tcPr>
          <w:p w14:paraId="2EAE020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-0.045</w:t>
            </w:r>
          </w:p>
        </w:tc>
        <w:tc>
          <w:tcPr>
            <w:tcW w:w="1100" w:type="dxa"/>
            <w:tcBorders>
              <w:top w:val="nil"/>
              <w:left w:val="nil"/>
              <w:bottom w:val="single" w:sz="4" w:space="0" w:color="auto"/>
              <w:right w:val="nil"/>
            </w:tcBorders>
            <w:noWrap/>
            <w:vAlign w:val="bottom"/>
            <w:hideMark/>
          </w:tcPr>
          <w:p w14:paraId="648FACB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0.056</w:t>
            </w:r>
          </w:p>
        </w:tc>
        <w:tc>
          <w:tcPr>
            <w:tcW w:w="983" w:type="dxa"/>
            <w:tcBorders>
              <w:top w:val="nil"/>
              <w:left w:val="nil"/>
              <w:bottom w:val="single" w:sz="4" w:space="0" w:color="auto"/>
              <w:right w:val="nil"/>
            </w:tcBorders>
            <w:noWrap/>
            <w:vAlign w:val="bottom"/>
            <w:hideMark/>
          </w:tcPr>
          <w:p w14:paraId="76E1C5D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-0.810</w:t>
            </w:r>
          </w:p>
        </w:tc>
        <w:tc>
          <w:tcPr>
            <w:tcW w:w="920" w:type="dxa"/>
            <w:tcBorders>
              <w:top w:val="nil"/>
              <w:left w:val="nil"/>
              <w:bottom w:val="single" w:sz="4" w:space="0" w:color="auto"/>
              <w:right w:val="nil"/>
            </w:tcBorders>
            <w:noWrap/>
            <w:vAlign w:val="bottom"/>
            <w:hideMark/>
          </w:tcPr>
          <w:p w14:paraId="4E6FAF6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0.419</w:t>
            </w:r>
          </w:p>
        </w:tc>
        <w:tc>
          <w:tcPr>
            <w:tcW w:w="1320" w:type="dxa"/>
            <w:tcBorders>
              <w:top w:val="nil"/>
              <w:left w:val="nil"/>
              <w:bottom w:val="single" w:sz="4" w:space="0" w:color="auto"/>
              <w:right w:val="nil"/>
            </w:tcBorders>
            <w:noWrap/>
            <w:vAlign w:val="bottom"/>
            <w:hideMark/>
          </w:tcPr>
          <w:p w14:paraId="2DA81A3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-0.155</w:t>
            </w:r>
          </w:p>
        </w:tc>
        <w:tc>
          <w:tcPr>
            <w:tcW w:w="1320" w:type="dxa"/>
            <w:tcBorders>
              <w:top w:val="nil"/>
              <w:left w:val="nil"/>
              <w:bottom w:val="single" w:sz="4" w:space="0" w:color="auto"/>
              <w:right w:val="nil"/>
            </w:tcBorders>
            <w:noWrap/>
            <w:vAlign w:val="bottom"/>
            <w:hideMark/>
          </w:tcPr>
          <w:p w14:paraId="2501B09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0.065</w:t>
            </w:r>
          </w:p>
        </w:tc>
      </w:tr>
      <w:tr w:rsidR="000A43F8" w:rsidRPr="00E12307" w14:paraId="21CBC0E2"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6ADFABB9"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lastRenderedPageBreak/>
              <w:t>Lengua Materna</w:t>
            </w:r>
          </w:p>
        </w:tc>
      </w:tr>
      <w:tr w:rsidR="000A43F8" w:rsidRPr="00E12307" w14:paraId="110DE746" w14:textId="77777777" w:rsidTr="000A43F8">
        <w:trPr>
          <w:trHeight w:val="315"/>
        </w:trPr>
        <w:tc>
          <w:tcPr>
            <w:tcW w:w="2442" w:type="dxa"/>
            <w:tcBorders>
              <w:top w:val="nil"/>
              <w:left w:val="nil"/>
              <w:bottom w:val="nil"/>
              <w:right w:val="nil"/>
            </w:tcBorders>
            <w:noWrap/>
            <w:vAlign w:val="bottom"/>
            <w:hideMark/>
          </w:tcPr>
          <w:p w14:paraId="20B36E80"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Lengua Indígena     </w:t>
            </w:r>
          </w:p>
        </w:tc>
        <w:tc>
          <w:tcPr>
            <w:tcW w:w="1287" w:type="dxa"/>
            <w:tcBorders>
              <w:top w:val="nil"/>
              <w:left w:val="nil"/>
              <w:bottom w:val="nil"/>
              <w:right w:val="nil"/>
            </w:tcBorders>
            <w:noWrap/>
            <w:vAlign w:val="bottom"/>
            <w:hideMark/>
          </w:tcPr>
          <w:p w14:paraId="1EA2FA85"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0.302</w:t>
            </w:r>
          </w:p>
        </w:tc>
        <w:tc>
          <w:tcPr>
            <w:tcW w:w="1100" w:type="dxa"/>
            <w:tcBorders>
              <w:top w:val="nil"/>
              <w:left w:val="nil"/>
              <w:bottom w:val="nil"/>
              <w:right w:val="nil"/>
            </w:tcBorders>
            <w:noWrap/>
            <w:vAlign w:val="bottom"/>
            <w:hideMark/>
          </w:tcPr>
          <w:p w14:paraId="6D7187D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0.058</w:t>
            </w:r>
          </w:p>
        </w:tc>
        <w:tc>
          <w:tcPr>
            <w:tcW w:w="983" w:type="dxa"/>
            <w:tcBorders>
              <w:top w:val="nil"/>
              <w:left w:val="nil"/>
              <w:bottom w:val="nil"/>
              <w:right w:val="nil"/>
            </w:tcBorders>
            <w:noWrap/>
            <w:vAlign w:val="bottom"/>
            <w:hideMark/>
          </w:tcPr>
          <w:p w14:paraId="377661C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5.200</w:t>
            </w:r>
          </w:p>
        </w:tc>
        <w:tc>
          <w:tcPr>
            <w:tcW w:w="920" w:type="dxa"/>
            <w:tcBorders>
              <w:top w:val="nil"/>
              <w:left w:val="nil"/>
              <w:bottom w:val="nil"/>
              <w:right w:val="nil"/>
            </w:tcBorders>
            <w:noWrap/>
            <w:vAlign w:val="bottom"/>
            <w:hideMark/>
          </w:tcPr>
          <w:p w14:paraId="5391311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0415CCA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0.188</w:t>
            </w:r>
          </w:p>
        </w:tc>
        <w:tc>
          <w:tcPr>
            <w:tcW w:w="1320" w:type="dxa"/>
            <w:tcBorders>
              <w:top w:val="nil"/>
              <w:left w:val="nil"/>
              <w:bottom w:val="nil"/>
              <w:right w:val="nil"/>
            </w:tcBorders>
            <w:noWrap/>
            <w:vAlign w:val="bottom"/>
            <w:hideMark/>
          </w:tcPr>
          <w:p w14:paraId="5358CF1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0.416</w:t>
            </w:r>
          </w:p>
        </w:tc>
      </w:tr>
      <w:tr w:rsidR="000A43F8" w:rsidRPr="00E12307" w14:paraId="0146C80F" w14:textId="77777777" w:rsidTr="000A43F8">
        <w:trPr>
          <w:trHeight w:val="315"/>
        </w:trPr>
        <w:tc>
          <w:tcPr>
            <w:tcW w:w="2442" w:type="dxa"/>
            <w:tcBorders>
              <w:top w:val="nil"/>
              <w:left w:val="nil"/>
              <w:bottom w:val="nil"/>
              <w:right w:val="nil"/>
            </w:tcBorders>
            <w:noWrap/>
            <w:vAlign w:val="bottom"/>
            <w:hideMark/>
          </w:tcPr>
          <w:p w14:paraId="5D6E1F33"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Lengua extranjera     </w:t>
            </w:r>
          </w:p>
        </w:tc>
        <w:tc>
          <w:tcPr>
            <w:tcW w:w="1287" w:type="dxa"/>
            <w:tcBorders>
              <w:top w:val="nil"/>
              <w:left w:val="nil"/>
              <w:bottom w:val="nil"/>
              <w:right w:val="nil"/>
            </w:tcBorders>
            <w:noWrap/>
            <w:vAlign w:val="bottom"/>
            <w:hideMark/>
          </w:tcPr>
          <w:p w14:paraId="64AFDF4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0.110</w:t>
            </w:r>
          </w:p>
        </w:tc>
        <w:tc>
          <w:tcPr>
            <w:tcW w:w="1100" w:type="dxa"/>
            <w:tcBorders>
              <w:top w:val="nil"/>
              <w:left w:val="nil"/>
              <w:bottom w:val="nil"/>
              <w:right w:val="nil"/>
            </w:tcBorders>
            <w:noWrap/>
            <w:vAlign w:val="bottom"/>
            <w:hideMark/>
          </w:tcPr>
          <w:p w14:paraId="4A14F138"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0.359</w:t>
            </w:r>
          </w:p>
        </w:tc>
        <w:tc>
          <w:tcPr>
            <w:tcW w:w="983" w:type="dxa"/>
            <w:tcBorders>
              <w:top w:val="nil"/>
              <w:left w:val="nil"/>
              <w:bottom w:val="nil"/>
              <w:right w:val="nil"/>
            </w:tcBorders>
            <w:noWrap/>
            <w:vAlign w:val="bottom"/>
            <w:hideMark/>
          </w:tcPr>
          <w:p w14:paraId="2076D00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0.310</w:t>
            </w:r>
          </w:p>
        </w:tc>
        <w:tc>
          <w:tcPr>
            <w:tcW w:w="920" w:type="dxa"/>
            <w:tcBorders>
              <w:top w:val="nil"/>
              <w:left w:val="nil"/>
              <w:bottom w:val="nil"/>
              <w:right w:val="nil"/>
            </w:tcBorders>
            <w:noWrap/>
            <w:vAlign w:val="bottom"/>
            <w:hideMark/>
          </w:tcPr>
          <w:p w14:paraId="09187358"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0.759</w:t>
            </w:r>
          </w:p>
        </w:tc>
        <w:tc>
          <w:tcPr>
            <w:tcW w:w="1320" w:type="dxa"/>
            <w:tcBorders>
              <w:top w:val="nil"/>
              <w:left w:val="nil"/>
              <w:bottom w:val="nil"/>
              <w:right w:val="nil"/>
            </w:tcBorders>
            <w:noWrap/>
            <w:vAlign w:val="bottom"/>
            <w:hideMark/>
          </w:tcPr>
          <w:p w14:paraId="0A0DAAAC"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-0.594</w:t>
            </w:r>
          </w:p>
        </w:tc>
        <w:tc>
          <w:tcPr>
            <w:tcW w:w="1320" w:type="dxa"/>
            <w:tcBorders>
              <w:top w:val="nil"/>
              <w:left w:val="nil"/>
              <w:bottom w:val="nil"/>
              <w:right w:val="nil"/>
            </w:tcBorders>
            <w:noWrap/>
            <w:vAlign w:val="bottom"/>
            <w:hideMark/>
          </w:tcPr>
          <w:p w14:paraId="495948B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0.814</w:t>
            </w:r>
          </w:p>
        </w:tc>
      </w:tr>
      <w:tr w:rsidR="000A43F8" w:rsidRPr="00E12307" w14:paraId="2032D9E1"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1375907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Anemia de la Madre</w:t>
            </w:r>
          </w:p>
        </w:tc>
      </w:tr>
      <w:tr w:rsidR="000A43F8" w:rsidRPr="00E12307" w14:paraId="22F8CDF5" w14:textId="77777777" w:rsidTr="000A43F8">
        <w:trPr>
          <w:trHeight w:val="315"/>
        </w:trPr>
        <w:tc>
          <w:tcPr>
            <w:tcW w:w="2442" w:type="dxa"/>
            <w:tcBorders>
              <w:top w:val="nil"/>
              <w:left w:val="nil"/>
              <w:bottom w:val="nil"/>
              <w:right w:val="nil"/>
            </w:tcBorders>
            <w:noWrap/>
            <w:vAlign w:val="bottom"/>
            <w:hideMark/>
          </w:tcPr>
          <w:p w14:paraId="59DD4CC3"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Madre Tiene anemia     </w:t>
            </w:r>
          </w:p>
        </w:tc>
        <w:tc>
          <w:tcPr>
            <w:tcW w:w="1287" w:type="dxa"/>
            <w:tcBorders>
              <w:top w:val="nil"/>
              <w:left w:val="nil"/>
              <w:bottom w:val="nil"/>
              <w:right w:val="nil"/>
            </w:tcBorders>
            <w:noWrap/>
            <w:vAlign w:val="bottom"/>
            <w:hideMark/>
          </w:tcPr>
          <w:p w14:paraId="19D6C9F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0.591</w:t>
            </w:r>
          </w:p>
        </w:tc>
        <w:tc>
          <w:tcPr>
            <w:tcW w:w="1100" w:type="dxa"/>
            <w:tcBorders>
              <w:top w:val="nil"/>
              <w:left w:val="nil"/>
              <w:bottom w:val="nil"/>
              <w:right w:val="nil"/>
            </w:tcBorders>
            <w:noWrap/>
            <w:vAlign w:val="bottom"/>
            <w:hideMark/>
          </w:tcPr>
          <w:p w14:paraId="600FDBB4"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0.039</w:t>
            </w:r>
          </w:p>
        </w:tc>
        <w:tc>
          <w:tcPr>
            <w:tcW w:w="983" w:type="dxa"/>
            <w:tcBorders>
              <w:top w:val="nil"/>
              <w:left w:val="nil"/>
              <w:bottom w:val="nil"/>
              <w:right w:val="nil"/>
            </w:tcBorders>
            <w:noWrap/>
            <w:vAlign w:val="bottom"/>
            <w:hideMark/>
          </w:tcPr>
          <w:p w14:paraId="5B6C7EB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15.220</w:t>
            </w:r>
          </w:p>
        </w:tc>
        <w:tc>
          <w:tcPr>
            <w:tcW w:w="920" w:type="dxa"/>
            <w:tcBorders>
              <w:top w:val="nil"/>
              <w:left w:val="nil"/>
              <w:bottom w:val="nil"/>
              <w:right w:val="nil"/>
            </w:tcBorders>
            <w:noWrap/>
            <w:vAlign w:val="bottom"/>
            <w:hideMark/>
          </w:tcPr>
          <w:p w14:paraId="6C4591F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43FD6AA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0.515</w:t>
            </w:r>
          </w:p>
        </w:tc>
        <w:tc>
          <w:tcPr>
            <w:tcW w:w="1320" w:type="dxa"/>
            <w:tcBorders>
              <w:top w:val="nil"/>
              <w:left w:val="nil"/>
              <w:bottom w:val="nil"/>
              <w:right w:val="nil"/>
            </w:tcBorders>
            <w:noWrap/>
            <w:vAlign w:val="bottom"/>
            <w:hideMark/>
          </w:tcPr>
          <w:p w14:paraId="6BF14BE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0.667</w:t>
            </w:r>
          </w:p>
        </w:tc>
      </w:tr>
      <w:tr w:rsidR="000A43F8" w:rsidRPr="00E12307" w14:paraId="6BF91AE7"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3E01F3F7"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Área</w:t>
            </w:r>
          </w:p>
        </w:tc>
      </w:tr>
      <w:tr w:rsidR="000A43F8" w:rsidRPr="00E12307" w14:paraId="259CE87B" w14:textId="77777777" w:rsidTr="000A43F8">
        <w:trPr>
          <w:trHeight w:val="315"/>
        </w:trPr>
        <w:tc>
          <w:tcPr>
            <w:tcW w:w="2442" w:type="dxa"/>
            <w:tcBorders>
              <w:top w:val="nil"/>
              <w:left w:val="nil"/>
              <w:bottom w:val="nil"/>
              <w:right w:val="nil"/>
            </w:tcBorders>
            <w:noWrap/>
            <w:vAlign w:val="bottom"/>
            <w:hideMark/>
          </w:tcPr>
          <w:p w14:paraId="4E89F765"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Urbano     </w:t>
            </w:r>
          </w:p>
        </w:tc>
        <w:tc>
          <w:tcPr>
            <w:tcW w:w="1287" w:type="dxa"/>
            <w:tcBorders>
              <w:top w:val="nil"/>
              <w:left w:val="nil"/>
              <w:bottom w:val="nil"/>
              <w:right w:val="nil"/>
            </w:tcBorders>
            <w:noWrap/>
            <w:vAlign w:val="bottom"/>
            <w:hideMark/>
          </w:tcPr>
          <w:p w14:paraId="1DE4B1B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0.095</w:t>
            </w:r>
          </w:p>
        </w:tc>
        <w:tc>
          <w:tcPr>
            <w:tcW w:w="1100" w:type="dxa"/>
            <w:tcBorders>
              <w:top w:val="nil"/>
              <w:left w:val="nil"/>
              <w:bottom w:val="nil"/>
              <w:right w:val="nil"/>
            </w:tcBorders>
            <w:noWrap/>
            <w:vAlign w:val="bottom"/>
            <w:hideMark/>
          </w:tcPr>
          <w:p w14:paraId="6981782A"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0.048</w:t>
            </w:r>
          </w:p>
        </w:tc>
        <w:tc>
          <w:tcPr>
            <w:tcW w:w="983" w:type="dxa"/>
            <w:tcBorders>
              <w:top w:val="nil"/>
              <w:left w:val="nil"/>
              <w:bottom w:val="nil"/>
              <w:right w:val="nil"/>
            </w:tcBorders>
            <w:noWrap/>
            <w:vAlign w:val="bottom"/>
            <w:hideMark/>
          </w:tcPr>
          <w:p w14:paraId="26EBCB2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1.980</w:t>
            </w:r>
          </w:p>
        </w:tc>
        <w:tc>
          <w:tcPr>
            <w:tcW w:w="920" w:type="dxa"/>
            <w:tcBorders>
              <w:top w:val="nil"/>
              <w:left w:val="nil"/>
              <w:bottom w:val="nil"/>
              <w:right w:val="nil"/>
            </w:tcBorders>
            <w:noWrap/>
            <w:vAlign w:val="bottom"/>
            <w:hideMark/>
          </w:tcPr>
          <w:p w14:paraId="3EDEA17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0.048</w:t>
            </w:r>
          </w:p>
        </w:tc>
        <w:tc>
          <w:tcPr>
            <w:tcW w:w="1320" w:type="dxa"/>
            <w:tcBorders>
              <w:top w:val="nil"/>
              <w:left w:val="nil"/>
              <w:bottom w:val="nil"/>
              <w:right w:val="nil"/>
            </w:tcBorders>
            <w:noWrap/>
            <w:vAlign w:val="bottom"/>
            <w:hideMark/>
          </w:tcPr>
          <w:p w14:paraId="7DE43DF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0.001</w:t>
            </w:r>
          </w:p>
        </w:tc>
        <w:tc>
          <w:tcPr>
            <w:tcW w:w="1320" w:type="dxa"/>
            <w:tcBorders>
              <w:top w:val="nil"/>
              <w:left w:val="nil"/>
              <w:bottom w:val="nil"/>
              <w:right w:val="nil"/>
            </w:tcBorders>
            <w:noWrap/>
            <w:vAlign w:val="bottom"/>
            <w:hideMark/>
          </w:tcPr>
          <w:p w14:paraId="38295B36"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0.189</w:t>
            </w:r>
          </w:p>
        </w:tc>
      </w:tr>
      <w:tr w:rsidR="000A43F8" w:rsidRPr="00E12307" w14:paraId="0FB6ECBA" w14:textId="77777777" w:rsidTr="000A43F8">
        <w:trPr>
          <w:trHeight w:val="315"/>
        </w:trPr>
        <w:tc>
          <w:tcPr>
            <w:tcW w:w="9376" w:type="dxa"/>
            <w:gridSpan w:val="7"/>
            <w:tcBorders>
              <w:top w:val="single" w:sz="4" w:space="0" w:color="auto"/>
              <w:left w:val="nil"/>
              <w:bottom w:val="single" w:sz="4" w:space="0" w:color="auto"/>
              <w:right w:val="nil"/>
            </w:tcBorders>
            <w:shd w:val="clear" w:color="000000" w:fill="D9D9D9"/>
            <w:noWrap/>
            <w:vAlign w:val="bottom"/>
            <w:hideMark/>
          </w:tcPr>
          <w:p w14:paraId="0F8F8390"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Índice de riqueza</w:t>
            </w:r>
          </w:p>
        </w:tc>
      </w:tr>
      <w:tr w:rsidR="000A43F8" w:rsidRPr="00E12307" w14:paraId="28043029" w14:textId="77777777" w:rsidTr="000A43F8">
        <w:trPr>
          <w:trHeight w:val="315"/>
        </w:trPr>
        <w:tc>
          <w:tcPr>
            <w:tcW w:w="2442" w:type="dxa"/>
            <w:tcBorders>
              <w:top w:val="nil"/>
              <w:left w:val="nil"/>
              <w:bottom w:val="nil"/>
              <w:right w:val="nil"/>
            </w:tcBorders>
            <w:noWrap/>
            <w:vAlign w:val="bottom"/>
            <w:hideMark/>
          </w:tcPr>
          <w:p w14:paraId="77A464FF"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Pobre</w:t>
            </w:r>
          </w:p>
        </w:tc>
        <w:tc>
          <w:tcPr>
            <w:tcW w:w="1287" w:type="dxa"/>
            <w:tcBorders>
              <w:top w:val="nil"/>
              <w:left w:val="nil"/>
              <w:bottom w:val="nil"/>
              <w:right w:val="nil"/>
            </w:tcBorders>
            <w:noWrap/>
            <w:vAlign w:val="bottom"/>
            <w:hideMark/>
          </w:tcPr>
          <w:p w14:paraId="78C38B2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-0.349</w:t>
            </w:r>
          </w:p>
        </w:tc>
        <w:tc>
          <w:tcPr>
            <w:tcW w:w="1100" w:type="dxa"/>
            <w:tcBorders>
              <w:top w:val="nil"/>
              <w:left w:val="nil"/>
              <w:bottom w:val="nil"/>
              <w:right w:val="nil"/>
            </w:tcBorders>
            <w:noWrap/>
            <w:vAlign w:val="bottom"/>
            <w:hideMark/>
          </w:tcPr>
          <w:p w14:paraId="00BDAB5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0.051</w:t>
            </w:r>
          </w:p>
        </w:tc>
        <w:tc>
          <w:tcPr>
            <w:tcW w:w="983" w:type="dxa"/>
            <w:tcBorders>
              <w:top w:val="nil"/>
              <w:left w:val="nil"/>
              <w:bottom w:val="nil"/>
              <w:right w:val="nil"/>
            </w:tcBorders>
            <w:noWrap/>
            <w:vAlign w:val="bottom"/>
            <w:hideMark/>
          </w:tcPr>
          <w:p w14:paraId="0762D232"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-6.890</w:t>
            </w:r>
          </w:p>
        </w:tc>
        <w:tc>
          <w:tcPr>
            <w:tcW w:w="920" w:type="dxa"/>
            <w:tcBorders>
              <w:top w:val="nil"/>
              <w:left w:val="nil"/>
              <w:bottom w:val="nil"/>
              <w:right w:val="nil"/>
            </w:tcBorders>
            <w:noWrap/>
            <w:vAlign w:val="bottom"/>
            <w:hideMark/>
          </w:tcPr>
          <w:p w14:paraId="7526745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5F4B4C4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-0.448</w:t>
            </w:r>
          </w:p>
        </w:tc>
        <w:tc>
          <w:tcPr>
            <w:tcW w:w="1320" w:type="dxa"/>
            <w:tcBorders>
              <w:top w:val="nil"/>
              <w:left w:val="nil"/>
              <w:bottom w:val="nil"/>
              <w:right w:val="nil"/>
            </w:tcBorders>
            <w:noWrap/>
            <w:vAlign w:val="bottom"/>
            <w:hideMark/>
          </w:tcPr>
          <w:p w14:paraId="66BAD18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-0.249</w:t>
            </w:r>
          </w:p>
        </w:tc>
      </w:tr>
      <w:tr w:rsidR="000A43F8" w:rsidRPr="00E12307" w14:paraId="78A51F6F" w14:textId="77777777" w:rsidTr="000A43F8">
        <w:trPr>
          <w:trHeight w:val="315"/>
        </w:trPr>
        <w:tc>
          <w:tcPr>
            <w:tcW w:w="2442" w:type="dxa"/>
            <w:tcBorders>
              <w:top w:val="nil"/>
              <w:left w:val="nil"/>
              <w:bottom w:val="nil"/>
              <w:right w:val="nil"/>
            </w:tcBorders>
            <w:noWrap/>
            <w:vAlign w:val="bottom"/>
            <w:hideMark/>
          </w:tcPr>
          <w:p w14:paraId="43B856C2"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Medio</w:t>
            </w:r>
          </w:p>
        </w:tc>
        <w:tc>
          <w:tcPr>
            <w:tcW w:w="1287" w:type="dxa"/>
            <w:tcBorders>
              <w:top w:val="nil"/>
              <w:left w:val="nil"/>
              <w:bottom w:val="nil"/>
              <w:right w:val="nil"/>
            </w:tcBorders>
            <w:noWrap/>
            <w:vAlign w:val="bottom"/>
            <w:hideMark/>
          </w:tcPr>
          <w:p w14:paraId="11E51D5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-0.657</w:t>
            </w:r>
          </w:p>
        </w:tc>
        <w:tc>
          <w:tcPr>
            <w:tcW w:w="1100" w:type="dxa"/>
            <w:tcBorders>
              <w:top w:val="nil"/>
              <w:left w:val="nil"/>
              <w:bottom w:val="nil"/>
              <w:right w:val="nil"/>
            </w:tcBorders>
            <w:noWrap/>
            <w:vAlign w:val="bottom"/>
            <w:hideMark/>
          </w:tcPr>
          <w:p w14:paraId="1DA3ED7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0.061</w:t>
            </w:r>
          </w:p>
        </w:tc>
        <w:tc>
          <w:tcPr>
            <w:tcW w:w="983" w:type="dxa"/>
            <w:tcBorders>
              <w:top w:val="nil"/>
              <w:left w:val="nil"/>
              <w:bottom w:val="nil"/>
              <w:right w:val="nil"/>
            </w:tcBorders>
            <w:noWrap/>
            <w:vAlign w:val="bottom"/>
            <w:hideMark/>
          </w:tcPr>
          <w:p w14:paraId="34DA046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-10.830</w:t>
            </w:r>
          </w:p>
        </w:tc>
        <w:tc>
          <w:tcPr>
            <w:tcW w:w="920" w:type="dxa"/>
            <w:tcBorders>
              <w:top w:val="nil"/>
              <w:left w:val="nil"/>
              <w:bottom w:val="nil"/>
              <w:right w:val="nil"/>
            </w:tcBorders>
            <w:noWrap/>
            <w:vAlign w:val="bottom"/>
            <w:hideMark/>
          </w:tcPr>
          <w:p w14:paraId="2AE7241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0060E6F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-0.776</w:t>
            </w:r>
          </w:p>
        </w:tc>
        <w:tc>
          <w:tcPr>
            <w:tcW w:w="1320" w:type="dxa"/>
            <w:tcBorders>
              <w:top w:val="nil"/>
              <w:left w:val="nil"/>
              <w:bottom w:val="nil"/>
              <w:right w:val="nil"/>
            </w:tcBorders>
            <w:noWrap/>
            <w:vAlign w:val="bottom"/>
            <w:hideMark/>
          </w:tcPr>
          <w:p w14:paraId="208A672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-0.538</w:t>
            </w:r>
          </w:p>
        </w:tc>
      </w:tr>
      <w:tr w:rsidR="000A43F8" w:rsidRPr="00E12307" w14:paraId="643D63B0" w14:textId="77777777" w:rsidTr="000A43F8">
        <w:trPr>
          <w:trHeight w:val="315"/>
        </w:trPr>
        <w:tc>
          <w:tcPr>
            <w:tcW w:w="2442" w:type="dxa"/>
            <w:tcBorders>
              <w:top w:val="nil"/>
              <w:left w:val="nil"/>
              <w:bottom w:val="nil"/>
              <w:right w:val="nil"/>
            </w:tcBorders>
            <w:noWrap/>
            <w:vAlign w:val="bottom"/>
            <w:hideMark/>
          </w:tcPr>
          <w:p w14:paraId="71B3D7BD"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Rico</w:t>
            </w:r>
          </w:p>
        </w:tc>
        <w:tc>
          <w:tcPr>
            <w:tcW w:w="1287" w:type="dxa"/>
            <w:tcBorders>
              <w:top w:val="nil"/>
              <w:left w:val="nil"/>
              <w:bottom w:val="nil"/>
              <w:right w:val="nil"/>
            </w:tcBorders>
            <w:noWrap/>
            <w:vAlign w:val="bottom"/>
            <w:hideMark/>
          </w:tcPr>
          <w:p w14:paraId="1B68559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-0.872</w:t>
            </w:r>
          </w:p>
        </w:tc>
        <w:tc>
          <w:tcPr>
            <w:tcW w:w="1100" w:type="dxa"/>
            <w:tcBorders>
              <w:top w:val="nil"/>
              <w:left w:val="nil"/>
              <w:bottom w:val="nil"/>
              <w:right w:val="nil"/>
            </w:tcBorders>
            <w:noWrap/>
            <w:vAlign w:val="bottom"/>
            <w:hideMark/>
          </w:tcPr>
          <w:p w14:paraId="0CA832F0"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0.070</w:t>
            </w:r>
          </w:p>
        </w:tc>
        <w:tc>
          <w:tcPr>
            <w:tcW w:w="983" w:type="dxa"/>
            <w:tcBorders>
              <w:top w:val="nil"/>
              <w:left w:val="nil"/>
              <w:bottom w:val="nil"/>
              <w:right w:val="nil"/>
            </w:tcBorders>
            <w:noWrap/>
            <w:vAlign w:val="bottom"/>
            <w:hideMark/>
          </w:tcPr>
          <w:p w14:paraId="2BB6D3B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-12.530</w:t>
            </w:r>
          </w:p>
        </w:tc>
        <w:tc>
          <w:tcPr>
            <w:tcW w:w="920" w:type="dxa"/>
            <w:tcBorders>
              <w:top w:val="nil"/>
              <w:left w:val="nil"/>
              <w:bottom w:val="nil"/>
              <w:right w:val="nil"/>
            </w:tcBorders>
            <w:noWrap/>
            <w:vAlign w:val="bottom"/>
            <w:hideMark/>
          </w:tcPr>
          <w:p w14:paraId="1FE3F11D"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06A5A7C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-1.008</w:t>
            </w:r>
          </w:p>
        </w:tc>
        <w:tc>
          <w:tcPr>
            <w:tcW w:w="1320" w:type="dxa"/>
            <w:tcBorders>
              <w:top w:val="nil"/>
              <w:left w:val="nil"/>
              <w:bottom w:val="nil"/>
              <w:right w:val="nil"/>
            </w:tcBorders>
            <w:noWrap/>
            <w:vAlign w:val="bottom"/>
            <w:hideMark/>
          </w:tcPr>
          <w:p w14:paraId="1C222049"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-0.735</w:t>
            </w:r>
          </w:p>
        </w:tc>
      </w:tr>
      <w:tr w:rsidR="000A43F8" w:rsidRPr="00E12307" w14:paraId="5E5ECE2B" w14:textId="77777777" w:rsidTr="000A43F8">
        <w:trPr>
          <w:trHeight w:val="315"/>
        </w:trPr>
        <w:tc>
          <w:tcPr>
            <w:tcW w:w="2442" w:type="dxa"/>
            <w:tcBorders>
              <w:top w:val="nil"/>
              <w:left w:val="nil"/>
              <w:bottom w:val="nil"/>
              <w:right w:val="nil"/>
            </w:tcBorders>
            <w:noWrap/>
            <w:vAlign w:val="bottom"/>
            <w:hideMark/>
          </w:tcPr>
          <w:p w14:paraId="2226489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Más rico    </w:t>
            </w:r>
          </w:p>
        </w:tc>
        <w:tc>
          <w:tcPr>
            <w:tcW w:w="1287" w:type="dxa"/>
            <w:tcBorders>
              <w:top w:val="nil"/>
              <w:left w:val="nil"/>
              <w:bottom w:val="nil"/>
              <w:right w:val="nil"/>
            </w:tcBorders>
            <w:noWrap/>
            <w:vAlign w:val="bottom"/>
            <w:hideMark/>
          </w:tcPr>
          <w:p w14:paraId="31BC2AD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-1.093</w:t>
            </w:r>
          </w:p>
        </w:tc>
        <w:tc>
          <w:tcPr>
            <w:tcW w:w="1100" w:type="dxa"/>
            <w:tcBorders>
              <w:top w:val="nil"/>
              <w:left w:val="nil"/>
              <w:bottom w:val="nil"/>
              <w:right w:val="nil"/>
            </w:tcBorders>
            <w:noWrap/>
            <w:vAlign w:val="bottom"/>
            <w:hideMark/>
          </w:tcPr>
          <w:p w14:paraId="1AC44D5A"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0.084</w:t>
            </w:r>
          </w:p>
        </w:tc>
        <w:tc>
          <w:tcPr>
            <w:tcW w:w="983" w:type="dxa"/>
            <w:tcBorders>
              <w:top w:val="nil"/>
              <w:left w:val="nil"/>
              <w:bottom w:val="nil"/>
              <w:right w:val="nil"/>
            </w:tcBorders>
            <w:noWrap/>
            <w:vAlign w:val="bottom"/>
            <w:hideMark/>
          </w:tcPr>
          <w:p w14:paraId="77D847F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-13.040</w:t>
            </w:r>
          </w:p>
        </w:tc>
        <w:tc>
          <w:tcPr>
            <w:tcW w:w="920" w:type="dxa"/>
            <w:tcBorders>
              <w:top w:val="nil"/>
              <w:left w:val="nil"/>
              <w:bottom w:val="nil"/>
              <w:right w:val="nil"/>
            </w:tcBorders>
            <w:noWrap/>
            <w:vAlign w:val="bottom"/>
            <w:hideMark/>
          </w:tcPr>
          <w:p w14:paraId="3F4DB981"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nil"/>
              <w:left w:val="nil"/>
              <w:bottom w:val="nil"/>
              <w:right w:val="nil"/>
            </w:tcBorders>
            <w:noWrap/>
            <w:vAlign w:val="bottom"/>
            <w:hideMark/>
          </w:tcPr>
          <w:p w14:paraId="23D25D8F"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-1.257</w:t>
            </w:r>
          </w:p>
        </w:tc>
        <w:tc>
          <w:tcPr>
            <w:tcW w:w="1320" w:type="dxa"/>
            <w:tcBorders>
              <w:top w:val="nil"/>
              <w:left w:val="nil"/>
              <w:bottom w:val="nil"/>
              <w:right w:val="nil"/>
            </w:tcBorders>
            <w:noWrap/>
            <w:vAlign w:val="bottom"/>
            <w:hideMark/>
          </w:tcPr>
          <w:p w14:paraId="585C0CAB"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-0.929</w:t>
            </w:r>
          </w:p>
        </w:tc>
      </w:tr>
      <w:tr w:rsidR="000A43F8" w:rsidRPr="00E12307" w14:paraId="49AC35F5" w14:textId="77777777" w:rsidTr="000A43F8">
        <w:trPr>
          <w:trHeight w:val="315"/>
        </w:trPr>
        <w:tc>
          <w:tcPr>
            <w:tcW w:w="2442" w:type="dxa"/>
            <w:tcBorders>
              <w:top w:val="single" w:sz="4" w:space="0" w:color="auto"/>
              <w:left w:val="nil"/>
              <w:bottom w:val="single" w:sz="4" w:space="0" w:color="auto"/>
              <w:right w:val="nil"/>
            </w:tcBorders>
            <w:noWrap/>
            <w:vAlign w:val="bottom"/>
            <w:hideMark/>
          </w:tcPr>
          <w:p w14:paraId="76181D7C"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_</w:t>
            </w:r>
            <w:proofErr w:type="spellStart"/>
            <w:r w:rsidRPr="00E12307">
              <w:rPr>
                <w:rFonts w:ascii="Times New Roman" w:eastAsia="Times New Roman" w:hAnsi="Times New Roman" w:cs="Times New Roman"/>
                <w:color w:val="000000"/>
                <w:sz w:val="24"/>
                <w:szCs w:val="24"/>
                <w:lang w:eastAsia="es-PE"/>
              </w:rPr>
              <w:t>cons</w:t>
            </w:r>
            <w:proofErr w:type="spellEnd"/>
            <w:r w:rsidRPr="00E12307">
              <w:rPr>
                <w:rFonts w:ascii="Times New Roman" w:eastAsia="Times New Roman" w:hAnsi="Times New Roman" w:cs="Times New Roman"/>
                <w:color w:val="000000"/>
                <w:sz w:val="24"/>
                <w:szCs w:val="24"/>
                <w:lang w:eastAsia="es-PE"/>
              </w:rPr>
              <w:t xml:space="preserve">    </w:t>
            </w:r>
          </w:p>
        </w:tc>
        <w:tc>
          <w:tcPr>
            <w:tcW w:w="1287" w:type="dxa"/>
            <w:tcBorders>
              <w:top w:val="single" w:sz="4" w:space="0" w:color="auto"/>
              <w:left w:val="nil"/>
              <w:bottom w:val="single" w:sz="4" w:space="0" w:color="auto"/>
              <w:right w:val="nil"/>
            </w:tcBorders>
            <w:noWrap/>
            <w:vAlign w:val="bottom"/>
            <w:hideMark/>
          </w:tcPr>
          <w:p w14:paraId="16302465"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1.129</w:t>
            </w:r>
          </w:p>
        </w:tc>
        <w:tc>
          <w:tcPr>
            <w:tcW w:w="1100" w:type="dxa"/>
            <w:tcBorders>
              <w:top w:val="single" w:sz="4" w:space="0" w:color="auto"/>
              <w:left w:val="nil"/>
              <w:bottom w:val="single" w:sz="4" w:space="0" w:color="auto"/>
              <w:right w:val="nil"/>
            </w:tcBorders>
            <w:noWrap/>
            <w:vAlign w:val="bottom"/>
            <w:hideMark/>
          </w:tcPr>
          <w:p w14:paraId="4FF10464"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0.134</w:t>
            </w:r>
          </w:p>
        </w:tc>
        <w:tc>
          <w:tcPr>
            <w:tcW w:w="983" w:type="dxa"/>
            <w:tcBorders>
              <w:top w:val="single" w:sz="4" w:space="0" w:color="auto"/>
              <w:left w:val="nil"/>
              <w:bottom w:val="single" w:sz="4" w:space="0" w:color="auto"/>
              <w:right w:val="nil"/>
            </w:tcBorders>
            <w:noWrap/>
            <w:vAlign w:val="bottom"/>
            <w:hideMark/>
          </w:tcPr>
          <w:p w14:paraId="6C425807"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8.400</w:t>
            </w:r>
          </w:p>
        </w:tc>
        <w:tc>
          <w:tcPr>
            <w:tcW w:w="920" w:type="dxa"/>
            <w:tcBorders>
              <w:top w:val="single" w:sz="4" w:space="0" w:color="auto"/>
              <w:left w:val="nil"/>
              <w:bottom w:val="single" w:sz="4" w:space="0" w:color="auto"/>
              <w:right w:val="nil"/>
            </w:tcBorders>
            <w:noWrap/>
            <w:vAlign w:val="bottom"/>
            <w:hideMark/>
          </w:tcPr>
          <w:p w14:paraId="4837ED5E"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0.000</w:t>
            </w:r>
          </w:p>
        </w:tc>
        <w:tc>
          <w:tcPr>
            <w:tcW w:w="1320" w:type="dxa"/>
            <w:tcBorders>
              <w:top w:val="single" w:sz="4" w:space="0" w:color="auto"/>
              <w:left w:val="nil"/>
              <w:bottom w:val="single" w:sz="4" w:space="0" w:color="auto"/>
              <w:right w:val="nil"/>
            </w:tcBorders>
            <w:noWrap/>
            <w:vAlign w:val="bottom"/>
            <w:hideMark/>
          </w:tcPr>
          <w:p w14:paraId="249A0D7C"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0.865</w:t>
            </w:r>
          </w:p>
        </w:tc>
        <w:tc>
          <w:tcPr>
            <w:tcW w:w="1320" w:type="dxa"/>
            <w:tcBorders>
              <w:top w:val="single" w:sz="4" w:space="0" w:color="auto"/>
              <w:left w:val="nil"/>
              <w:bottom w:val="single" w:sz="4" w:space="0" w:color="auto"/>
              <w:right w:val="nil"/>
            </w:tcBorders>
            <w:noWrap/>
            <w:vAlign w:val="bottom"/>
            <w:hideMark/>
          </w:tcPr>
          <w:p w14:paraId="45041BD3" w14:textId="77777777" w:rsidR="000A43F8" w:rsidRPr="00E12307" w:rsidRDefault="000A43F8" w:rsidP="000A43F8">
            <w:pPr>
              <w:spacing w:after="0" w:line="240" w:lineRule="auto"/>
              <w:jc w:val="center"/>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1.392</w:t>
            </w:r>
          </w:p>
        </w:tc>
      </w:tr>
    </w:tbl>
    <w:p w14:paraId="184B085D" w14:textId="118C8EB6" w:rsidR="000A43F8" w:rsidRPr="00E12307" w:rsidRDefault="000A43F8" w:rsidP="000A43F8">
      <w:pPr>
        <w:rPr>
          <w:rFonts w:ascii="Times New Roman" w:hAnsi="Times New Roman" w:cs="Times New Roman"/>
          <w:sz w:val="24"/>
          <w:szCs w:val="24"/>
          <w:lang w:val="es-ES"/>
        </w:rPr>
      </w:pPr>
    </w:p>
    <w:p w14:paraId="0156115D" w14:textId="5BED9721"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Mujer (-): El signo negativo sugiere que ser mujer está asociado con una menor probabilidad de padecer anemia. En otras palabras, las niñas tienen una probabilidad menor de presentar anemia en comparación con los niños, según el modelo.</w:t>
      </w:r>
    </w:p>
    <w:p w14:paraId="2B450379" w14:textId="44CBC1E0"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Edad en meses (-): El signo negativo muestra que, conforme el niño envejece, la probabilidad de sufrir anemia disminuye. A mayor edad, menor es el riesgo de anemia, lo que podría estar relacionado con el crecimiento y el desarrollo físico que ayuda a mitigar la anemia.</w:t>
      </w:r>
    </w:p>
    <w:p w14:paraId="339441A4" w14:textId="57D99600"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Peso al nacer (+): El signo positivo indica que un mayor peso al nacer podría estar asociado con un aumento en la probabilidad de anemia, pero es importante destacar que este resultado no es significativo, por lo que no se puede afirmar con certeza que esta variable tenga una influencia clara sobre la anemia en los niños.</w:t>
      </w:r>
    </w:p>
    <w:p w14:paraId="78A65846" w14:textId="515C5FDB"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Edad de la madre (-): El signo negativo sugiere que a medida que aumenta la edad de la madre, disminuye la probabilidad de que su hijo sufra anemia. Esto podría implicar que las madres de mayor edad tienen más experiencia y mejores recursos para cuidar la salud de sus hijos.</w:t>
      </w:r>
    </w:p>
    <w:p w14:paraId="1D9B5E89" w14:textId="5FD636F0" w:rsidR="000A43F8" w:rsidRPr="00E12307" w:rsidRDefault="000A43F8"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Educación de la madre:</w:t>
      </w:r>
    </w:p>
    <w:p w14:paraId="7A1CA1C1" w14:textId="29B3B843"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Secundaria (+): El signo positivo indica que las madres con educación secundaria podrían tener una ligera mayor probabilidad de tener niños con anemia, aunque esta relación no es estadísticamente significativa.</w:t>
      </w:r>
    </w:p>
    <w:p w14:paraId="53A4E654" w14:textId="11EF7197"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lastRenderedPageBreak/>
        <w:t>Superior (-): El signo negativo sugiere que las madres con educación superior están asociadas con una menor probabilidad de tener hijos con anemia, aunque nuevamente, este efecto no es significativo en el modelo.</w:t>
      </w:r>
    </w:p>
    <w:p w14:paraId="3FC88903" w14:textId="29E55A71" w:rsidR="000A43F8" w:rsidRPr="00E12307" w:rsidRDefault="000A43F8"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Lengua materna:</w:t>
      </w:r>
    </w:p>
    <w:p w14:paraId="42781707" w14:textId="4B88FBAB"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Lengua Indígena (+): El signo positivo sugiere que los niños cuyas madres hablan una lengua indígena tienen una mayor probabilidad de sufrir de anemia. Esto podría reflejar desigualdades en el acceso a recursos de salud o nutrición en comunidades indígenas.</w:t>
      </w:r>
    </w:p>
    <w:p w14:paraId="014661A4" w14:textId="5F548E98"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Lengua extranjera (+): El signo positivo es pequeño, pero no significativo, lo que indica que no hay una relación clara entre que la madre hable una lengua extranjera y la probabilidad de anemia en los niños.</w:t>
      </w:r>
    </w:p>
    <w:p w14:paraId="53C0ED3E" w14:textId="49EF4BBD"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Anemia de la madre (+): El signo positivo indica </w:t>
      </w:r>
      <w:proofErr w:type="gramStart"/>
      <w:r w:rsidRPr="00E12307">
        <w:rPr>
          <w:rFonts w:ascii="Times New Roman" w:hAnsi="Times New Roman" w:cs="Times New Roman"/>
          <w:sz w:val="24"/>
          <w:szCs w:val="24"/>
          <w:lang w:val="es-ES"/>
        </w:rPr>
        <w:t>que</w:t>
      </w:r>
      <w:proofErr w:type="gramEnd"/>
      <w:r w:rsidRPr="00E12307">
        <w:rPr>
          <w:rFonts w:ascii="Times New Roman" w:hAnsi="Times New Roman" w:cs="Times New Roman"/>
          <w:sz w:val="24"/>
          <w:szCs w:val="24"/>
          <w:lang w:val="es-ES"/>
        </w:rPr>
        <w:t xml:space="preserve"> si la madre tiene anemia, la probabilidad de que su hijo también sufra de anemia es considerablemente mayor. Esto tiene sentido, ya que la salud de la madre puede influir directamente en la salud del niño.</w:t>
      </w:r>
    </w:p>
    <w:p w14:paraId="41C6B758" w14:textId="7C39686C" w:rsidR="000A43F8" w:rsidRPr="00E12307" w:rsidRDefault="000A43F8"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Área</w:t>
      </w:r>
      <w:r w:rsidRPr="00E12307">
        <w:rPr>
          <w:rFonts w:ascii="Times New Roman" w:hAnsi="Times New Roman" w:cs="Times New Roman"/>
          <w:sz w:val="24"/>
          <w:szCs w:val="24"/>
          <w:lang w:val="es-ES"/>
        </w:rPr>
        <w:t>:</w:t>
      </w:r>
    </w:p>
    <w:p w14:paraId="34068BA6" w14:textId="1409AD41"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Urbano (+): El signo positivo indica que los niños que viven en áreas urbanas tienen una mayor probabilidad de presentar anemia, lo que podría deberse a factores como el acceso limitado a alimentos nutritivos o servicios de salud adecuados en algunas zonas urbanas.</w:t>
      </w:r>
    </w:p>
    <w:p w14:paraId="7208AA6C" w14:textId="3957BF9C" w:rsidR="000A43F8" w:rsidRPr="00E12307" w:rsidRDefault="000A43F8"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Índice de riqueza:</w:t>
      </w:r>
    </w:p>
    <w:p w14:paraId="0F151B06" w14:textId="5D727852"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Pobre (-): El signo negativo sugiere que los niños de familias pobres tienen una menor probabilidad de sufrir anemia, lo que podría estar relacionado con un mayor acceso a recursos para su salud en familias más pobres, aunque se espera lo contrario en otras investigaciones.</w:t>
      </w:r>
    </w:p>
    <w:p w14:paraId="047BF026" w14:textId="35A7BE34"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Medio (-): El signo negativo indica que los niños de familias de nivel medio tienen menor probabilidad de tener anemia, lo que podría reflejar una mayor estabilidad económica que les permite acceder a mejores servicios de salud.</w:t>
      </w:r>
    </w:p>
    <w:p w14:paraId="4049A814" w14:textId="647103ED"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Rico (-): Este signo negativo sugiere que los niños de familias ricas tienen aún menor probabilidad de tener anemia, posiblemente por un mejor acceso a atención médica y alimentos saludables.</w:t>
      </w:r>
    </w:p>
    <w:p w14:paraId="584B9510" w14:textId="7987DF5B" w:rsidR="000A43F8" w:rsidRPr="00E12307" w:rsidRDefault="000A43F8" w:rsidP="0082189E">
      <w:pPr>
        <w:pStyle w:val="Prrafodelista"/>
        <w:numPr>
          <w:ilvl w:val="0"/>
          <w:numId w:val="3"/>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lastRenderedPageBreak/>
        <w:t>Más rico (-): El signo negativo refuerza la tendencia de que los niños de familias con mayores recursos económicos tienen la menor probabilidad de tener anemia, lo que refleja la ventaja que las familias con mayor riqueza pueden ofrecer a sus hijos en términos de salud y bienestar.</w:t>
      </w:r>
    </w:p>
    <w:p w14:paraId="29BA83D5" w14:textId="073C860A" w:rsidR="000A43F8" w:rsidRPr="00E12307" w:rsidRDefault="000A43F8"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Análisis de efectos marginales</w:t>
      </w:r>
    </w:p>
    <w:tbl>
      <w:tblPr>
        <w:tblW w:w="3500" w:type="dxa"/>
        <w:jc w:val="center"/>
        <w:tblCellMar>
          <w:left w:w="70" w:type="dxa"/>
          <w:right w:w="70" w:type="dxa"/>
        </w:tblCellMar>
        <w:tblLook w:val="04A0" w:firstRow="1" w:lastRow="0" w:firstColumn="1" w:lastColumn="0" w:noHBand="0" w:noVBand="1"/>
      </w:tblPr>
      <w:tblGrid>
        <w:gridCol w:w="2545"/>
        <w:gridCol w:w="955"/>
      </w:tblGrid>
      <w:tr w:rsidR="000A43F8" w:rsidRPr="00E12307" w14:paraId="2287E46F"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6FFEF19C"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Variables del niño</w:t>
            </w:r>
          </w:p>
        </w:tc>
      </w:tr>
      <w:tr w:rsidR="000A43F8" w:rsidRPr="00E12307" w14:paraId="1302D152" w14:textId="77777777" w:rsidTr="009E1186">
        <w:trPr>
          <w:trHeight w:val="315"/>
          <w:jc w:val="center"/>
        </w:trPr>
        <w:tc>
          <w:tcPr>
            <w:tcW w:w="2545" w:type="dxa"/>
            <w:tcBorders>
              <w:top w:val="nil"/>
              <w:left w:val="nil"/>
              <w:bottom w:val="nil"/>
              <w:right w:val="nil"/>
            </w:tcBorders>
            <w:noWrap/>
            <w:vAlign w:val="bottom"/>
            <w:hideMark/>
          </w:tcPr>
          <w:p w14:paraId="52534C6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Mujer</w:t>
            </w:r>
          </w:p>
        </w:tc>
        <w:tc>
          <w:tcPr>
            <w:tcW w:w="955" w:type="dxa"/>
            <w:tcBorders>
              <w:top w:val="nil"/>
              <w:left w:val="nil"/>
              <w:bottom w:val="nil"/>
              <w:right w:val="nil"/>
            </w:tcBorders>
            <w:noWrap/>
            <w:vAlign w:val="bottom"/>
            <w:hideMark/>
          </w:tcPr>
          <w:p w14:paraId="60A77365"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-3.30%</w:t>
            </w:r>
          </w:p>
        </w:tc>
      </w:tr>
      <w:tr w:rsidR="000A43F8" w:rsidRPr="00E12307" w14:paraId="45EEF2A4" w14:textId="77777777" w:rsidTr="009E1186">
        <w:trPr>
          <w:trHeight w:val="315"/>
          <w:jc w:val="center"/>
        </w:trPr>
        <w:tc>
          <w:tcPr>
            <w:tcW w:w="2545" w:type="dxa"/>
            <w:tcBorders>
              <w:top w:val="nil"/>
              <w:left w:val="nil"/>
              <w:bottom w:val="nil"/>
              <w:right w:val="nil"/>
            </w:tcBorders>
            <w:noWrap/>
            <w:vAlign w:val="bottom"/>
            <w:hideMark/>
          </w:tcPr>
          <w:p w14:paraId="6E24F248"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Edad en meses</w:t>
            </w:r>
          </w:p>
        </w:tc>
        <w:tc>
          <w:tcPr>
            <w:tcW w:w="955" w:type="dxa"/>
            <w:tcBorders>
              <w:top w:val="nil"/>
              <w:left w:val="nil"/>
              <w:bottom w:val="nil"/>
              <w:right w:val="nil"/>
            </w:tcBorders>
            <w:noWrap/>
            <w:vAlign w:val="bottom"/>
            <w:hideMark/>
          </w:tcPr>
          <w:p w14:paraId="1A6F968A"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-0.89%</w:t>
            </w:r>
          </w:p>
        </w:tc>
      </w:tr>
      <w:tr w:rsidR="000A43F8" w:rsidRPr="00E12307" w14:paraId="35D50D3A" w14:textId="77777777" w:rsidTr="009E1186">
        <w:trPr>
          <w:trHeight w:val="315"/>
          <w:jc w:val="center"/>
        </w:trPr>
        <w:tc>
          <w:tcPr>
            <w:tcW w:w="2545" w:type="dxa"/>
            <w:tcBorders>
              <w:top w:val="nil"/>
              <w:left w:val="nil"/>
              <w:bottom w:val="nil"/>
              <w:right w:val="nil"/>
            </w:tcBorders>
            <w:noWrap/>
            <w:vAlign w:val="bottom"/>
            <w:hideMark/>
          </w:tcPr>
          <w:p w14:paraId="7ADF547E"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Peso al Nacer</w:t>
            </w:r>
          </w:p>
        </w:tc>
        <w:tc>
          <w:tcPr>
            <w:tcW w:w="955" w:type="dxa"/>
            <w:tcBorders>
              <w:top w:val="nil"/>
              <w:left w:val="nil"/>
              <w:bottom w:val="nil"/>
              <w:right w:val="nil"/>
            </w:tcBorders>
            <w:noWrap/>
            <w:vAlign w:val="bottom"/>
            <w:hideMark/>
          </w:tcPr>
          <w:p w14:paraId="64B95A96"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0.68%</w:t>
            </w:r>
          </w:p>
        </w:tc>
      </w:tr>
      <w:tr w:rsidR="000A43F8" w:rsidRPr="00E12307" w14:paraId="33C495EA" w14:textId="77777777" w:rsidTr="009E1186">
        <w:trPr>
          <w:trHeight w:val="315"/>
          <w:jc w:val="center"/>
        </w:trPr>
        <w:tc>
          <w:tcPr>
            <w:tcW w:w="2545" w:type="dxa"/>
            <w:tcBorders>
              <w:top w:val="nil"/>
              <w:left w:val="nil"/>
              <w:bottom w:val="nil"/>
              <w:right w:val="nil"/>
            </w:tcBorders>
            <w:noWrap/>
            <w:vAlign w:val="bottom"/>
            <w:hideMark/>
          </w:tcPr>
          <w:p w14:paraId="496930A7"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Edad de la Madre</w:t>
            </w:r>
          </w:p>
        </w:tc>
        <w:tc>
          <w:tcPr>
            <w:tcW w:w="955" w:type="dxa"/>
            <w:tcBorders>
              <w:top w:val="nil"/>
              <w:left w:val="nil"/>
              <w:bottom w:val="nil"/>
              <w:right w:val="nil"/>
            </w:tcBorders>
            <w:noWrap/>
            <w:vAlign w:val="bottom"/>
            <w:hideMark/>
          </w:tcPr>
          <w:p w14:paraId="637C548D"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-0.23%</w:t>
            </w:r>
          </w:p>
        </w:tc>
      </w:tr>
      <w:tr w:rsidR="000A43F8" w:rsidRPr="00E12307" w14:paraId="0BBF4918"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17B8130B"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Educación de la Madre</w:t>
            </w:r>
          </w:p>
        </w:tc>
      </w:tr>
      <w:tr w:rsidR="000A43F8" w:rsidRPr="00E12307" w14:paraId="464B0D48" w14:textId="77777777" w:rsidTr="009E1186">
        <w:trPr>
          <w:trHeight w:val="315"/>
          <w:jc w:val="center"/>
        </w:trPr>
        <w:tc>
          <w:tcPr>
            <w:tcW w:w="2545" w:type="dxa"/>
            <w:tcBorders>
              <w:top w:val="nil"/>
              <w:left w:val="nil"/>
              <w:bottom w:val="nil"/>
              <w:right w:val="nil"/>
            </w:tcBorders>
            <w:noWrap/>
            <w:vAlign w:val="bottom"/>
            <w:hideMark/>
          </w:tcPr>
          <w:p w14:paraId="4463C4C2"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Secundaria</w:t>
            </w:r>
          </w:p>
        </w:tc>
        <w:tc>
          <w:tcPr>
            <w:tcW w:w="955" w:type="dxa"/>
            <w:tcBorders>
              <w:top w:val="nil"/>
              <w:left w:val="nil"/>
              <w:bottom w:val="nil"/>
              <w:right w:val="nil"/>
            </w:tcBorders>
            <w:noWrap/>
            <w:vAlign w:val="bottom"/>
            <w:hideMark/>
          </w:tcPr>
          <w:p w14:paraId="4280124E"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0.91%</w:t>
            </w:r>
          </w:p>
        </w:tc>
      </w:tr>
      <w:tr w:rsidR="000A43F8" w:rsidRPr="00E12307" w14:paraId="6B11F5D2" w14:textId="77777777" w:rsidTr="009E1186">
        <w:trPr>
          <w:trHeight w:val="315"/>
          <w:jc w:val="center"/>
        </w:trPr>
        <w:tc>
          <w:tcPr>
            <w:tcW w:w="2545" w:type="dxa"/>
            <w:tcBorders>
              <w:top w:val="nil"/>
              <w:left w:val="nil"/>
              <w:bottom w:val="nil"/>
              <w:right w:val="nil"/>
            </w:tcBorders>
            <w:noWrap/>
            <w:vAlign w:val="bottom"/>
            <w:hideMark/>
          </w:tcPr>
          <w:p w14:paraId="48495FE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Superior</w:t>
            </w:r>
          </w:p>
        </w:tc>
        <w:tc>
          <w:tcPr>
            <w:tcW w:w="955" w:type="dxa"/>
            <w:tcBorders>
              <w:top w:val="nil"/>
              <w:left w:val="nil"/>
              <w:bottom w:val="nil"/>
              <w:right w:val="nil"/>
            </w:tcBorders>
            <w:noWrap/>
            <w:vAlign w:val="bottom"/>
            <w:hideMark/>
          </w:tcPr>
          <w:p w14:paraId="41F18F44"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-1.00%</w:t>
            </w:r>
          </w:p>
        </w:tc>
      </w:tr>
      <w:tr w:rsidR="000A43F8" w:rsidRPr="00E12307" w14:paraId="3284A359"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2B107C7D"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Lengua Materna</w:t>
            </w:r>
          </w:p>
        </w:tc>
      </w:tr>
      <w:tr w:rsidR="000A43F8" w:rsidRPr="00E12307" w14:paraId="34D72787" w14:textId="77777777" w:rsidTr="009E1186">
        <w:trPr>
          <w:trHeight w:val="315"/>
          <w:jc w:val="center"/>
        </w:trPr>
        <w:tc>
          <w:tcPr>
            <w:tcW w:w="2545" w:type="dxa"/>
            <w:tcBorders>
              <w:top w:val="nil"/>
              <w:left w:val="nil"/>
              <w:bottom w:val="nil"/>
              <w:right w:val="nil"/>
            </w:tcBorders>
            <w:noWrap/>
            <w:vAlign w:val="bottom"/>
            <w:hideMark/>
          </w:tcPr>
          <w:p w14:paraId="257B624D"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Lengua Indígena     </w:t>
            </w:r>
          </w:p>
        </w:tc>
        <w:tc>
          <w:tcPr>
            <w:tcW w:w="955" w:type="dxa"/>
            <w:tcBorders>
              <w:top w:val="nil"/>
              <w:left w:val="nil"/>
              <w:bottom w:val="nil"/>
              <w:right w:val="nil"/>
            </w:tcBorders>
            <w:noWrap/>
            <w:vAlign w:val="bottom"/>
            <w:hideMark/>
          </w:tcPr>
          <w:p w14:paraId="0976FD11"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6.99%</w:t>
            </w:r>
          </w:p>
        </w:tc>
      </w:tr>
      <w:tr w:rsidR="000A43F8" w:rsidRPr="00E12307" w14:paraId="1A4FCBD3" w14:textId="77777777" w:rsidTr="009E1186">
        <w:trPr>
          <w:trHeight w:val="315"/>
          <w:jc w:val="center"/>
        </w:trPr>
        <w:tc>
          <w:tcPr>
            <w:tcW w:w="2545" w:type="dxa"/>
            <w:tcBorders>
              <w:top w:val="nil"/>
              <w:left w:val="nil"/>
              <w:bottom w:val="nil"/>
              <w:right w:val="nil"/>
            </w:tcBorders>
            <w:noWrap/>
            <w:vAlign w:val="bottom"/>
            <w:hideMark/>
          </w:tcPr>
          <w:p w14:paraId="3D144248"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Lengua extranjera     </w:t>
            </w:r>
          </w:p>
        </w:tc>
        <w:tc>
          <w:tcPr>
            <w:tcW w:w="955" w:type="dxa"/>
            <w:tcBorders>
              <w:top w:val="nil"/>
              <w:left w:val="nil"/>
              <w:bottom w:val="nil"/>
              <w:right w:val="nil"/>
            </w:tcBorders>
            <w:noWrap/>
            <w:vAlign w:val="bottom"/>
            <w:hideMark/>
          </w:tcPr>
          <w:p w14:paraId="4D3F8EA2"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2.48%</w:t>
            </w:r>
          </w:p>
        </w:tc>
      </w:tr>
      <w:tr w:rsidR="000A43F8" w:rsidRPr="00E12307" w14:paraId="14EB5004"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024B1182"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Anemia de la Madre</w:t>
            </w:r>
          </w:p>
        </w:tc>
      </w:tr>
      <w:tr w:rsidR="000A43F8" w:rsidRPr="00E12307" w14:paraId="24B83EC8" w14:textId="77777777" w:rsidTr="009E1186">
        <w:trPr>
          <w:trHeight w:val="315"/>
          <w:jc w:val="center"/>
        </w:trPr>
        <w:tc>
          <w:tcPr>
            <w:tcW w:w="2545" w:type="dxa"/>
            <w:tcBorders>
              <w:top w:val="nil"/>
              <w:left w:val="nil"/>
              <w:bottom w:val="nil"/>
              <w:right w:val="nil"/>
            </w:tcBorders>
            <w:noWrap/>
            <w:vAlign w:val="bottom"/>
            <w:hideMark/>
          </w:tcPr>
          <w:p w14:paraId="22696E3E"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Madre Tiene anemia     </w:t>
            </w:r>
          </w:p>
        </w:tc>
        <w:tc>
          <w:tcPr>
            <w:tcW w:w="955" w:type="dxa"/>
            <w:tcBorders>
              <w:top w:val="nil"/>
              <w:left w:val="nil"/>
              <w:bottom w:val="nil"/>
              <w:right w:val="nil"/>
            </w:tcBorders>
            <w:noWrap/>
            <w:vAlign w:val="bottom"/>
            <w:hideMark/>
          </w:tcPr>
          <w:p w14:paraId="41B70143"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13.78%</w:t>
            </w:r>
          </w:p>
        </w:tc>
      </w:tr>
      <w:tr w:rsidR="000A43F8" w:rsidRPr="00E12307" w14:paraId="7123737D"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4B4D5785"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Área</w:t>
            </w:r>
          </w:p>
        </w:tc>
      </w:tr>
      <w:tr w:rsidR="000A43F8" w:rsidRPr="00E12307" w14:paraId="1A49B7A9" w14:textId="77777777" w:rsidTr="009E1186">
        <w:trPr>
          <w:trHeight w:val="315"/>
          <w:jc w:val="center"/>
        </w:trPr>
        <w:tc>
          <w:tcPr>
            <w:tcW w:w="2545" w:type="dxa"/>
            <w:tcBorders>
              <w:top w:val="nil"/>
              <w:left w:val="nil"/>
              <w:bottom w:val="nil"/>
              <w:right w:val="nil"/>
            </w:tcBorders>
            <w:noWrap/>
            <w:vAlign w:val="bottom"/>
            <w:hideMark/>
          </w:tcPr>
          <w:p w14:paraId="78126B02"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Urbano     </w:t>
            </w:r>
          </w:p>
        </w:tc>
        <w:tc>
          <w:tcPr>
            <w:tcW w:w="955" w:type="dxa"/>
            <w:tcBorders>
              <w:top w:val="nil"/>
              <w:left w:val="nil"/>
              <w:bottom w:val="nil"/>
              <w:right w:val="nil"/>
            </w:tcBorders>
            <w:noWrap/>
            <w:vAlign w:val="bottom"/>
            <w:hideMark/>
          </w:tcPr>
          <w:p w14:paraId="75A01B71"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2.11%</w:t>
            </w:r>
          </w:p>
        </w:tc>
      </w:tr>
      <w:tr w:rsidR="000A43F8" w:rsidRPr="00E12307" w14:paraId="3A7E6467" w14:textId="77777777" w:rsidTr="009E1186">
        <w:trPr>
          <w:trHeight w:val="315"/>
          <w:jc w:val="center"/>
        </w:trPr>
        <w:tc>
          <w:tcPr>
            <w:tcW w:w="3500" w:type="dxa"/>
            <w:gridSpan w:val="2"/>
            <w:tcBorders>
              <w:top w:val="single" w:sz="4" w:space="0" w:color="auto"/>
              <w:left w:val="nil"/>
              <w:bottom w:val="single" w:sz="4" w:space="0" w:color="auto"/>
              <w:right w:val="nil"/>
            </w:tcBorders>
            <w:shd w:val="clear" w:color="000000" w:fill="D9D9D9"/>
            <w:noWrap/>
            <w:vAlign w:val="bottom"/>
            <w:hideMark/>
          </w:tcPr>
          <w:p w14:paraId="1917A0BE" w14:textId="77777777" w:rsidR="000A43F8" w:rsidRPr="00E12307" w:rsidRDefault="000A43F8" w:rsidP="000A43F8">
            <w:pPr>
              <w:spacing w:after="0" w:line="240" w:lineRule="auto"/>
              <w:jc w:val="center"/>
              <w:rPr>
                <w:rFonts w:ascii="Times New Roman" w:eastAsia="Times New Roman" w:hAnsi="Times New Roman" w:cs="Times New Roman"/>
                <w:b/>
                <w:bCs/>
                <w:color w:val="000000"/>
                <w:sz w:val="24"/>
                <w:szCs w:val="24"/>
                <w:lang w:eastAsia="es-PE"/>
              </w:rPr>
            </w:pPr>
            <w:r w:rsidRPr="00E12307">
              <w:rPr>
                <w:rFonts w:ascii="Times New Roman" w:eastAsia="Times New Roman" w:hAnsi="Times New Roman" w:cs="Times New Roman"/>
                <w:b/>
                <w:bCs/>
                <w:color w:val="000000"/>
                <w:sz w:val="24"/>
                <w:szCs w:val="24"/>
                <w:lang w:eastAsia="es-PE"/>
              </w:rPr>
              <w:t>Índice de riqueza</w:t>
            </w:r>
          </w:p>
        </w:tc>
      </w:tr>
      <w:tr w:rsidR="000A43F8" w:rsidRPr="00E12307" w14:paraId="5000AAC8" w14:textId="77777777" w:rsidTr="009E1186">
        <w:trPr>
          <w:trHeight w:val="315"/>
          <w:jc w:val="center"/>
        </w:trPr>
        <w:tc>
          <w:tcPr>
            <w:tcW w:w="2545" w:type="dxa"/>
            <w:tcBorders>
              <w:top w:val="nil"/>
              <w:left w:val="nil"/>
              <w:bottom w:val="nil"/>
              <w:right w:val="nil"/>
            </w:tcBorders>
            <w:noWrap/>
            <w:vAlign w:val="bottom"/>
            <w:hideMark/>
          </w:tcPr>
          <w:p w14:paraId="1DDE92E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Pobre</w:t>
            </w:r>
          </w:p>
        </w:tc>
        <w:tc>
          <w:tcPr>
            <w:tcW w:w="955" w:type="dxa"/>
            <w:tcBorders>
              <w:top w:val="nil"/>
              <w:left w:val="nil"/>
              <w:bottom w:val="nil"/>
              <w:right w:val="nil"/>
            </w:tcBorders>
            <w:noWrap/>
            <w:vAlign w:val="bottom"/>
            <w:hideMark/>
          </w:tcPr>
          <w:p w14:paraId="7EB7107E"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-8.35%</w:t>
            </w:r>
          </w:p>
        </w:tc>
      </w:tr>
      <w:tr w:rsidR="000A43F8" w:rsidRPr="00E12307" w14:paraId="0BF25BE9" w14:textId="77777777" w:rsidTr="009E1186">
        <w:trPr>
          <w:trHeight w:val="315"/>
          <w:jc w:val="center"/>
        </w:trPr>
        <w:tc>
          <w:tcPr>
            <w:tcW w:w="2545" w:type="dxa"/>
            <w:tcBorders>
              <w:top w:val="nil"/>
              <w:left w:val="nil"/>
              <w:bottom w:val="nil"/>
              <w:right w:val="nil"/>
            </w:tcBorders>
            <w:noWrap/>
            <w:vAlign w:val="bottom"/>
            <w:hideMark/>
          </w:tcPr>
          <w:p w14:paraId="44A4A1FB"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Medio</w:t>
            </w:r>
          </w:p>
        </w:tc>
        <w:tc>
          <w:tcPr>
            <w:tcW w:w="955" w:type="dxa"/>
            <w:tcBorders>
              <w:top w:val="nil"/>
              <w:left w:val="nil"/>
              <w:bottom w:val="nil"/>
              <w:right w:val="nil"/>
            </w:tcBorders>
            <w:noWrap/>
            <w:vAlign w:val="bottom"/>
            <w:hideMark/>
          </w:tcPr>
          <w:p w14:paraId="7AE70687"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-15.11%</w:t>
            </w:r>
          </w:p>
        </w:tc>
      </w:tr>
      <w:tr w:rsidR="000A43F8" w:rsidRPr="00E12307" w14:paraId="4A4627A1" w14:textId="77777777" w:rsidTr="009E1186">
        <w:trPr>
          <w:trHeight w:val="315"/>
          <w:jc w:val="center"/>
        </w:trPr>
        <w:tc>
          <w:tcPr>
            <w:tcW w:w="2545" w:type="dxa"/>
            <w:tcBorders>
              <w:top w:val="nil"/>
              <w:left w:val="nil"/>
              <w:bottom w:val="nil"/>
              <w:right w:val="nil"/>
            </w:tcBorders>
            <w:noWrap/>
            <w:vAlign w:val="bottom"/>
            <w:hideMark/>
          </w:tcPr>
          <w:p w14:paraId="6BBCBEA7"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Rico</w:t>
            </w:r>
          </w:p>
        </w:tc>
        <w:tc>
          <w:tcPr>
            <w:tcW w:w="955" w:type="dxa"/>
            <w:tcBorders>
              <w:top w:val="nil"/>
              <w:left w:val="nil"/>
              <w:bottom w:val="nil"/>
              <w:right w:val="nil"/>
            </w:tcBorders>
            <w:noWrap/>
            <w:vAlign w:val="bottom"/>
            <w:hideMark/>
          </w:tcPr>
          <w:p w14:paraId="42EAF1AC"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-19.33%</w:t>
            </w:r>
          </w:p>
        </w:tc>
      </w:tr>
      <w:tr w:rsidR="000A43F8" w:rsidRPr="00E12307" w14:paraId="61B626CF" w14:textId="77777777" w:rsidTr="009E1186">
        <w:trPr>
          <w:trHeight w:val="315"/>
          <w:jc w:val="center"/>
        </w:trPr>
        <w:tc>
          <w:tcPr>
            <w:tcW w:w="2545" w:type="dxa"/>
            <w:tcBorders>
              <w:top w:val="nil"/>
              <w:left w:val="nil"/>
              <w:bottom w:val="single" w:sz="4" w:space="0" w:color="auto"/>
              <w:right w:val="nil"/>
            </w:tcBorders>
            <w:noWrap/>
            <w:vAlign w:val="bottom"/>
            <w:hideMark/>
          </w:tcPr>
          <w:p w14:paraId="006B24A8" w14:textId="77777777" w:rsidR="000A43F8" w:rsidRPr="00E12307" w:rsidRDefault="000A43F8" w:rsidP="000A43F8">
            <w:pPr>
              <w:spacing w:after="0" w:line="240" w:lineRule="auto"/>
              <w:rPr>
                <w:rFonts w:ascii="Times New Roman" w:eastAsia="Times New Roman" w:hAnsi="Times New Roman" w:cs="Times New Roman"/>
                <w:color w:val="000000"/>
                <w:sz w:val="24"/>
                <w:szCs w:val="24"/>
                <w:lang w:eastAsia="es-PE"/>
              </w:rPr>
            </w:pPr>
            <w:r w:rsidRPr="00E12307">
              <w:rPr>
                <w:rFonts w:ascii="Times New Roman" w:eastAsia="Times New Roman" w:hAnsi="Times New Roman" w:cs="Times New Roman"/>
                <w:color w:val="000000"/>
                <w:sz w:val="24"/>
                <w:szCs w:val="24"/>
                <w:lang w:eastAsia="es-PE"/>
              </w:rPr>
              <w:t xml:space="preserve">Más rico    </w:t>
            </w:r>
          </w:p>
        </w:tc>
        <w:tc>
          <w:tcPr>
            <w:tcW w:w="955" w:type="dxa"/>
            <w:tcBorders>
              <w:top w:val="nil"/>
              <w:left w:val="nil"/>
              <w:bottom w:val="single" w:sz="4" w:space="0" w:color="auto"/>
              <w:right w:val="nil"/>
            </w:tcBorders>
            <w:noWrap/>
            <w:vAlign w:val="bottom"/>
            <w:hideMark/>
          </w:tcPr>
          <w:p w14:paraId="2969FA5A" w14:textId="77777777" w:rsidR="000A43F8" w:rsidRPr="00E12307" w:rsidRDefault="000A43F8" w:rsidP="000A43F8">
            <w:pPr>
              <w:spacing w:after="0" w:line="240" w:lineRule="auto"/>
              <w:jc w:val="right"/>
              <w:rPr>
                <w:rFonts w:ascii="Times New Roman" w:eastAsia="Times New Roman" w:hAnsi="Times New Roman" w:cs="Times New Roman"/>
                <w:color w:val="000000"/>
                <w:lang w:eastAsia="es-PE"/>
              </w:rPr>
            </w:pPr>
            <w:r w:rsidRPr="00E12307">
              <w:rPr>
                <w:rFonts w:ascii="Times New Roman" w:eastAsia="Times New Roman" w:hAnsi="Times New Roman" w:cs="Times New Roman"/>
                <w:color w:val="000000"/>
                <w:lang w:eastAsia="es-PE"/>
              </w:rPr>
              <w:t>-23.25%</w:t>
            </w:r>
          </w:p>
        </w:tc>
      </w:tr>
    </w:tbl>
    <w:p w14:paraId="37EEEDD9" w14:textId="23FBCFEB" w:rsidR="000A43F8" w:rsidRPr="00E12307" w:rsidRDefault="000A43F8" w:rsidP="000A43F8">
      <w:pPr>
        <w:jc w:val="both"/>
        <w:rPr>
          <w:rFonts w:ascii="Times New Roman" w:hAnsi="Times New Roman" w:cs="Times New Roman"/>
          <w:sz w:val="24"/>
          <w:szCs w:val="24"/>
          <w:lang w:val="es-ES"/>
        </w:rPr>
      </w:pPr>
    </w:p>
    <w:p w14:paraId="0DDBF4F5" w14:textId="42EA1EEA" w:rsidR="009E1186" w:rsidRPr="00E12307" w:rsidRDefault="009E1186"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1. Variables del niño:</w:t>
      </w:r>
    </w:p>
    <w:p w14:paraId="231B3C8F" w14:textId="14957F6A"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Mujer (-3.30%):</w:t>
      </w:r>
      <w:r w:rsidRPr="00E12307">
        <w:rPr>
          <w:rFonts w:ascii="Times New Roman" w:hAnsi="Times New Roman" w:cs="Times New Roman"/>
          <w:sz w:val="24"/>
          <w:szCs w:val="24"/>
          <w:lang w:val="es-ES"/>
        </w:rPr>
        <w:t xml:space="preserve"> El signo negativo de -3.30% indica que, en comparación con los niños, las niñas tienen una menor probabilidad de padecer anemia. Este hallazgo sugiere una posible disparidad de género en la prevalencia de la anemia, aunque es necesario explorar más a fondo las condiciones sociales, culturales y de salud que podrían influir en esta diferencia.</w:t>
      </w:r>
    </w:p>
    <w:p w14:paraId="76E66277" w14:textId="3527730D"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Edad en meses (-0.89%):</w:t>
      </w:r>
      <w:r w:rsidRPr="00E12307">
        <w:rPr>
          <w:rFonts w:ascii="Times New Roman" w:hAnsi="Times New Roman" w:cs="Times New Roman"/>
          <w:sz w:val="24"/>
          <w:szCs w:val="24"/>
          <w:lang w:val="es-ES"/>
        </w:rPr>
        <w:t xml:space="preserve"> El efecto marginal negativo de -0.89% refleja que conforme aumenta la edad del niño, disminuye la probabilidad de sufrir anemia. Este comportamiento es lógico, ya que a medida que los niños crecen, mejoran sus hábitos alimenticios y su capacidad para absorber nutrientes, lo que reduce el riesgo de anemia.</w:t>
      </w:r>
    </w:p>
    <w:p w14:paraId="171AB349" w14:textId="272C8F66"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lastRenderedPageBreak/>
        <w:t>Peso al Nacer (0.68%):</w:t>
      </w:r>
      <w:r w:rsidRPr="00E12307">
        <w:rPr>
          <w:rFonts w:ascii="Times New Roman" w:hAnsi="Times New Roman" w:cs="Times New Roman"/>
          <w:sz w:val="24"/>
          <w:szCs w:val="24"/>
          <w:lang w:val="es-ES"/>
        </w:rPr>
        <w:t xml:space="preserve"> El efecto marginal positivo de 0.68% sugiere que un mayor peso al nacer está asociado con una ligera probabilidad aumentada de anemia. Este resultado es inusual y podría ser explicado por factores subyacentes, como el acceso desigual a la atención prenatal o el estado nutricional de la madre durante el embarazo. Sin embargo, debido a la baja magnitud de este efecto, se recomienda realizar un análisis más profundo para entender su verdadera implicancia.</w:t>
      </w:r>
    </w:p>
    <w:p w14:paraId="5D383D60" w14:textId="10A8DFE9"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 xml:space="preserve">Edad de la Madre (-0.23%): </w:t>
      </w:r>
      <w:r w:rsidRPr="00E12307">
        <w:rPr>
          <w:rFonts w:ascii="Times New Roman" w:hAnsi="Times New Roman" w:cs="Times New Roman"/>
          <w:sz w:val="24"/>
          <w:szCs w:val="24"/>
          <w:lang w:val="es-ES"/>
        </w:rPr>
        <w:t>El efecto marginal negativo de -0.23% sugiere que a medida que la edad de la madre aumenta, la probabilidad de anemia en su hijo disminuye ligeramente. Este resultado es consistente con la hipótesis de que las madres mayores, posiblemente debido a una mayor experiencia y acceso a mejores recursos, podrían tener una mayor capacidad para prevenir condiciones como la anemia en sus hijos.</w:t>
      </w:r>
    </w:p>
    <w:p w14:paraId="3995DE99" w14:textId="39A2AEC2" w:rsidR="009E1186" w:rsidRPr="00E12307" w:rsidRDefault="009E1186"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2. Educación de la Madre:</w:t>
      </w:r>
    </w:p>
    <w:p w14:paraId="45964A21" w14:textId="41918FB9"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Secundaria (0.91%):</w:t>
      </w:r>
      <w:r w:rsidRPr="00E12307">
        <w:rPr>
          <w:rFonts w:ascii="Times New Roman" w:hAnsi="Times New Roman" w:cs="Times New Roman"/>
          <w:sz w:val="24"/>
          <w:szCs w:val="24"/>
          <w:lang w:val="es-ES"/>
        </w:rPr>
        <w:t xml:space="preserve"> El efecto marginal positivo de 0.91% indica que las madres con educación secundaria tienen una ligera mayor probabilidad de tener hijos con anemia. Este hallazgo podría estar relacionado con factores socioeconómicos y de acceso a la salud, aunque este resultado no es estadísticamente significativo, lo que sugiere que la educación secundaria por sí sola no tiene un impacto considerable en la prevalencia de la anemia.</w:t>
      </w:r>
    </w:p>
    <w:p w14:paraId="61BAF772" w14:textId="4998A81C"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Superior (-1.00%):</w:t>
      </w:r>
      <w:r w:rsidRPr="00E12307">
        <w:rPr>
          <w:rFonts w:ascii="Times New Roman" w:hAnsi="Times New Roman" w:cs="Times New Roman"/>
          <w:sz w:val="24"/>
          <w:szCs w:val="24"/>
          <w:lang w:val="es-ES"/>
        </w:rPr>
        <w:t xml:space="preserve"> El efecto marginal negativo de -1.00% indica que las madres con educación superior tienen una probabilidad ligeramente menor de que sus hijos padezcan anemia. Este resultado sugiere que la educación superior podría estar vinculada a un mejor acceso a recursos de salud y nutrición, lo que contribuye a la prevención de la anemia.</w:t>
      </w:r>
    </w:p>
    <w:p w14:paraId="76157492" w14:textId="548A36E0" w:rsidR="009E1186" w:rsidRPr="00E12307" w:rsidRDefault="009E1186"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3. Lengua Materna:</w:t>
      </w:r>
    </w:p>
    <w:p w14:paraId="3E72E3F6" w14:textId="53B88430"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Lengua Indígena (6.99%):</w:t>
      </w:r>
      <w:r w:rsidRPr="00E12307">
        <w:rPr>
          <w:rFonts w:ascii="Times New Roman" w:hAnsi="Times New Roman" w:cs="Times New Roman"/>
          <w:sz w:val="24"/>
          <w:szCs w:val="24"/>
          <w:lang w:val="es-ES"/>
        </w:rPr>
        <w:t xml:space="preserve"> El efecto marginal positivo de 6.99% muestra que los niños cuya madre habla una lengua indígena tienen una mayor probabilidad de padecer anemia. Este hallazgo refleja posibles desigualdades en el acceso a servicios de salud, nutrición adecuada y educación en comunidades indígenas, lo cual podría contribuir a la mayor prevalencia de anemia en estos grupos.</w:t>
      </w:r>
    </w:p>
    <w:p w14:paraId="10DABE4E" w14:textId="5EA7558F"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lastRenderedPageBreak/>
        <w:t>Lengua Extranjera (2.48%):</w:t>
      </w:r>
      <w:r w:rsidRPr="00E12307">
        <w:rPr>
          <w:rFonts w:ascii="Times New Roman" w:hAnsi="Times New Roman" w:cs="Times New Roman"/>
          <w:sz w:val="24"/>
          <w:szCs w:val="24"/>
          <w:lang w:val="es-ES"/>
        </w:rPr>
        <w:t xml:space="preserve"> El efecto marginal positivo de 2.48% indica que, aunque los niños de madres que hablan una lengua extranjera tienen una probabilidad ligeramente mayor de padecer anemia, este efecto es mucho menor que el de las lenguas indígenas, y no es significativo. Este resultado podría reflejar factores contextuales que no han sido completamente capturados en el modelo.</w:t>
      </w:r>
    </w:p>
    <w:p w14:paraId="32C36B16" w14:textId="77777777"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 xml:space="preserve">4. Anemia de la Madre (13.78%): </w:t>
      </w:r>
      <w:r w:rsidRPr="00E12307">
        <w:rPr>
          <w:rFonts w:ascii="Times New Roman" w:hAnsi="Times New Roman" w:cs="Times New Roman"/>
          <w:sz w:val="24"/>
          <w:szCs w:val="24"/>
          <w:lang w:val="es-ES"/>
        </w:rPr>
        <w:t xml:space="preserve">El efecto marginal positivo de 13.78% demuestra </w:t>
      </w:r>
      <w:proofErr w:type="gramStart"/>
      <w:r w:rsidRPr="00E12307">
        <w:rPr>
          <w:rFonts w:ascii="Times New Roman" w:hAnsi="Times New Roman" w:cs="Times New Roman"/>
          <w:sz w:val="24"/>
          <w:szCs w:val="24"/>
          <w:lang w:val="es-ES"/>
        </w:rPr>
        <w:t>que</w:t>
      </w:r>
      <w:proofErr w:type="gramEnd"/>
      <w:r w:rsidRPr="00E12307">
        <w:rPr>
          <w:rFonts w:ascii="Times New Roman" w:hAnsi="Times New Roman" w:cs="Times New Roman"/>
          <w:sz w:val="24"/>
          <w:szCs w:val="24"/>
          <w:lang w:val="es-ES"/>
        </w:rPr>
        <w:t xml:space="preserve"> si la madre tiene anemia, la probabilidad de que su hijo también padezca anemia aumenta considerablemente. Este hallazgo es consistente con la literatura existente que resalta la transmisión intergeneracional de la anemia, ya que la salud materna influye directamente en la salud infantil, especialmente en términos de deficiencias nutricionales y de atención médica.</w:t>
      </w:r>
    </w:p>
    <w:p w14:paraId="0DF0000A" w14:textId="77777777"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b/>
          <w:bCs/>
          <w:sz w:val="24"/>
          <w:szCs w:val="24"/>
          <w:lang w:val="es-ES"/>
        </w:rPr>
        <w:t>5. Área (Urbano) (2.11%):</w:t>
      </w:r>
      <w:r w:rsidRPr="00E12307">
        <w:rPr>
          <w:rFonts w:ascii="Times New Roman" w:hAnsi="Times New Roman" w:cs="Times New Roman"/>
          <w:sz w:val="24"/>
          <w:szCs w:val="24"/>
          <w:lang w:val="es-ES"/>
        </w:rPr>
        <w:t xml:space="preserve"> El efecto marginal positivo de 2.11% indica que vivir en un área urbana se asocia con una ligera mayor probabilidad de anemia en los niños. Este resultado puede ser explicado por la desigualdad en el acceso a alimentos saludables y a servicios médicos en ciertas zonas urbanas, donde la urbanización puede generar disparidades en la distribución de recursos y servicios básicos.</w:t>
      </w:r>
    </w:p>
    <w:p w14:paraId="2D2A201C" w14:textId="0AC68CB5" w:rsidR="009E1186" w:rsidRPr="00E12307" w:rsidRDefault="009E1186" w:rsidP="0082189E">
      <w:pPr>
        <w:spacing w:line="360" w:lineRule="auto"/>
        <w:jc w:val="both"/>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6. Índice de riqueza:</w:t>
      </w:r>
    </w:p>
    <w:p w14:paraId="68241BF9" w14:textId="44339ACD"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Pobre (-8.35%): El efecto marginal negativo de -8.35% sugiere que los niños de familias pobres tienen una menor probabilidad de padecer anemia. Este resultado es contraintuitivo, dado que se esperaría que los niños de familias más pobres tuvieran un mayor riesgo de anemia debido a la falta de acceso a atención médica y nutrición. Sin embargo, este hallazgo podría reflejar otros factores socioeconómicos que aún no se han identificado, como la existencia de programas de salud pública o redes de apoyo comunitario.</w:t>
      </w:r>
    </w:p>
    <w:p w14:paraId="05A9872A" w14:textId="659C80D3"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Medio (-15.11%): El efecto marginal negativo de -15.11% refuerza la idea de que los niños de familias de nivel medio tienen una probabilidad significativamente menor de padecer anemia. Este resultado podría estar relacionado con un mayor acceso a servicios de salud y nutrición en comparación con las familias más pobres.</w:t>
      </w:r>
    </w:p>
    <w:p w14:paraId="17E51353" w14:textId="748C072B"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Rico (-19.33%): El efecto marginal negativo de -19.33% muestra que los niños de familias ricas tienen aún menor probabilidad de sufrir anemia, lo que refuerza la </w:t>
      </w:r>
      <w:r w:rsidRPr="00E12307">
        <w:rPr>
          <w:rFonts w:ascii="Times New Roman" w:hAnsi="Times New Roman" w:cs="Times New Roman"/>
          <w:sz w:val="24"/>
          <w:szCs w:val="24"/>
          <w:lang w:val="es-ES"/>
        </w:rPr>
        <w:lastRenderedPageBreak/>
        <w:t>hipótesis de que el nivel socioeconómico tiene un impacto directo y positivo en la salud infantil, en especial en la prevención de enfermedades como la anemia.</w:t>
      </w:r>
    </w:p>
    <w:p w14:paraId="675FA7BB" w14:textId="5634CEB0" w:rsidR="009E1186" w:rsidRPr="00E12307" w:rsidRDefault="009E1186" w:rsidP="0082189E">
      <w:pPr>
        <w:pStyle w:val="Prrafodelista"/>
        <w:numPr>
          <w:ilvl w:val="0"/>
          <w:numId w:val="4"/>
        </w:num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Más rico (-23.25%): El efecto marginal negativo más fuerte de -23.25% indica que los niños de familias más ricas tienen la menor probabilidad de padecer anemia. Este hallazgo subraya la importancia de la riqueza y el acceso a recursos de salud y nutrición en la prevención de la anemia infantil.</w:t>
      </w:r>
    </w:p>
    <w:p w14:paraId="6C09B985" w14:textId="61495AFF"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Los resultados obtenidos de los efectos marginales sugieren que diversas variables socioeconómicas, educativas y culturales influyen en la probabilidad de que un niño menor de 5 años padezca anemia. Los factores más determinantes son la anemia de la madre, el índice de riqueza, y la lengua materna. Las condiciones socioeconómicas, representadas por el índice de riqueza, desempeñan un papel fundamental en la prevención de la anemia, con los niños de familias más ricas siendo los menos propensos a sufrirla. Sin embargo, también se destacan efectos inesperados, como el caso del peso al nacer, que requiere un análisis más exhaustivo para comprender su implicancia.</w:t>
      </w:r>
    </w:p>
    <w:p w14:paraId="0E643E25" w14:textId="4C1F2132" w:rsidR="000A43F8"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Es crucial abordar la anemia infantil desde una perspectiva integral, considerando tanto los factores individuales como los contextuales que afectan a las familias. El acceso a una nutrición adecuada, atención médica y programas de educación y salud pública es esencial para la prevención y el tratamiento de la anemia en niños. Además, se debe poner especial atención en las comunidades indígenas y de bajos recursos, donde la probabilidad de anemia es considerablemente más alta debido a la falta de acceso a servicios y recursos.</w:t>
      </w:r>
    </w:p>
    <w:p w14:paraId="200884C3" w14:textId="01DA00B0" w:rsidR="009E1186" w:rsidRPr="00E12307" w:rsidRDefault="009E1186" w:rsidP="0082189E">
      <w:pPr>
        <w:spacing w:line="360" w:lineRule="auto"/>
        <w:jc w:val="both"/>
        <w:rPr>
          <w:rFonts w:ascii="Times New Roman" w:hAnsi="Times New Roman" w:cs="Times New Roman"/>
          <w:sz w:val="24"/>
          <w:szCs w:val="24"/>
          <w:lang w:val="es-ES"/>
        </w:rPr>
      </w:pPr>
    </w:p>
    <w:p w14:paraId="23591D3B" w14:textId="7537D6F9"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noProof/>
          <w:sz w:val="24"/>
          <w:szCs w:val="24"/>
          <w:lang w:val="es-ES"/>
        </w:rPr>
        <w:lastRenderedPageBreak/>
        <w:drawing>
          <wp:inline distT="0" distB="0" distL="0" distR="0" wp14:anchorId="49F2EF88" wp14:editId="6EDED254">
            <wp:extent cx="5029200" cy="3657600"/>
            <wp:effectExtent l="19050" t="19050" r="19050"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w="3175">
                      <a:solidFill>
                        <a:schemeClr val="tx1"/>
                      </a:solidFill>
                    </a:ln>
                  </pic:spPr>
                </pic:pic>
              </a:graphicData>
            </a:graphic>
          </wp:inline>
        </w:drawing>
      </w:r>
    </w:p>
    <w:p w14:paraId="23CB8F09" w14:textId="665D4AF2"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En el análisis de la figura se muestra la relación entre el índice de riqueza y la probabilidad de anemia en niños menores de 5 años, se observa una tendencia clara que indica que a medida que el índice de riqueza aumenta, la probabilidad de tener anemia disminuye. Esta relación resalta la importancia de los factores socioeconómicos en la prevalencia de la anemia infantil, ya que las familias con mayores recursos económicos tienen una probabilidad significativamente menor de tener niños con anemia. Este hallazgo es consistente con lo que se espera en contextos donde el acceso a servicios de salud y a una nutrición adecuada es determinante para prevenir deficiencias como la anemia.</w:t>
      </w:r>
    </w:p>
    <w:p w14:paraId="19A5D1BC" w14:textId="241100A7"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Es importante destacar que el gráfico muestra una relación más pronunciada en los niños de 12 meses (línea azul), lo que sugiere que la primer infancia es un periodo crítico donde el índice de riqueza tiene un impacto más notorio. En este sentido, la nutrición y el acceso a servicios de salud son cruciales en los primeros años de vida. Esto podría estar relacionado con la mayor vulnerabilidad de los niños más pequeños a la anemia, ya que sus cuerpos están en pleno proceso de desarrollo y requieren de un adecuado suministro de nutrientes esenciales, como el hierro, para evitar la deficiencia.</w:t>
      </w:r>
    </w:p>
    <w:p w14:paraId="07EC15FC" w14:textId="3B52DF3C"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A medida que los niños crecen, como se observa en las líneas correspondientes a 24, 36, 48 y 59 meses, la disminución en la probabilidad de anemia sigue siendo consistente, pero el cambio en la probabilidad se va moderando. Es decir, la diferencia entre los niños de </w:t>
      </w:r>
      <w:r w:rsidRPr="00E12307">
        <w:rPr>
          <w:rFonts w:ascii="Times New Roman" w:hAnsi="Times New Roman" w:cs="Times New Roman"/>
          <w:sz w:val="24"/>
          <w:szCs w:val="24"/>
          <w:lang w:val="es-ES"/>
        </w:rPr>
        <w:lastRenderedPageBreak/>
        <w:t>niveles bajos y altos de riqueza sigue siendo clara, pero la tasa de cambio se vuelve menos pronunciada. Esto sugiere que, aunque el índice de riqueza sigue siendo relevante, los efectos de la nutrición y atención médica pueden ser más equilibrados a medida que los niños alcanzan una mayor edad y se vuelven menos susceptibles a los efectos inmediatos de la pobreza. Esto también podría implicar que, a medida que los niños crecen, otros factores, como el acceso a programas de salud pública o el apoyo familiar, juegan un papel importante en la reducción de la prevalencia de anemia.</w:t>
      </w:r>
    </w:p>
    <w:p w14:paraId="28CDB126" w14:textId="754ACF18"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Una posible explicación de esta disminución moderada del efecto en niños mayores es que, con el tiempo, la intervención pública, los programas de educación y los servicios de salud se vuelven más accesibles para la población infantil en general, independientemente del nivel socioeconómico. Sin embargo, el gráfico aún refleja que los niños de familias con mayores recursos siguen teniendo una ventaja significativa en términos de salud.</w:t>
      </w:r>
    </w:p>
    <w:p w14:paraId="204D41B1" w14:textId="51F7C4CD"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En términos de implicaciones políticas, este gráfico refuerza la importancia de las políticas públicas que apunten a mejorar las condiciones de vida de las familias más pobres. Dado que el índice de riqueza tiene un impacto sustancial en la probabilidad de anemia, las políticas que promuevan el acceso a una nutrición adecuada, servicios de salud accesibles y programas de prevención de enfermedades en zonas de bajos recursos podrían ser fundamentales para reducir la prevalencia de la anemia infantil.</w:t>
      </w:r>
    </w:p>
    <w:p w14:paraId="7EA7B53C" w14:textId="15CB4006" w:rsidR="000A43F8"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El gráfico proporciona una visión clara de cómo el índice de riqueza se asocia con la prevalencia de la anemia infantil, mostrando que las familias más ricas tienen significativamente menos probabilidad de tener niños con anemia, mientras que las familias más pobres enfrentan un riesgo mayor. Esta relación resalta la necesidad de abordar las disparidades socioeconómicas para mejorar la salud infantil y disminuir las tasas de anemia en poblaciones vulnerables.</w:t>
      </w:r>
    </w:p>
    <w:p w14:paraId="5C7455A6" w14:textId="3163EE1D" w:rsidR="00A716B2"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CONCLUSIONES</w:t>
      </w:r>
    </w:p>
    <w:p w14:paraId="61B29065" w14:textId="2861CF42" w:rsidR="009E1186" w:rsidRPr="00E12307" w:rsidRDefault="009E1186" w:rsidP="0082189E">
      <w:pPr>
        <w:spacing w:line="360" w:lineRule="auto"/>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 xml:space="preserve">Los resultados obtenidos de la regresión Logit y los efectos marginales muestran que el índice de riqueza es un determinante clave en la prevalencia de la anemia infantil en niños menores de 5 años en Perú. Las familias con mayores recursos económicos tienen una menor probabilidad de que sus hijos sufran de anemia. Además, la anemia materna se destacó como un factor de gran influencia, ya que los niños de madres anémicas tienen una probabilidad significativamente mayor de padecer anemia. Otros factores como la lengua materna y la edad del niño también impactan la probabilidad de anemia, aunque </w:t>
      </w:r>
      <w:r w:rsidRPr="00E12307">
        <w:rPr>
          <w:rFonts w:ascii="Times New Roman" w:hAnsi="Times New Roman" w:cs="Times New Roman"/>
          <w:sz w:val="24"/>
          <w:szCs w:val="24"/>
          <w:lang w:val="es-ES"/>
        </w:rPr>
        <w:lastRenderedPageBreak/>
        <w:t>con efectos más moderados. Los resultados sugieren que, aunque los niños de mayor edad muestran una menor probabilidad de anemia en general, los primeros años de vida son particularmente críticos para la prevención de esta condición. Por tanto, las políticas públicas deben centrarse en mejorar las condiciones socioeconómicas y de salud en las familias más pobres para reducir la prevalencia de anemia en la población infantil.</w:t>
      </w:r>
    </w:p>
    <w:p w14:paraId="76069C31" w14:textId="77777777" w:rsidR="00A716B2" w:rsidRPr="00E12307" w:rsidRDefault="00A716B2" w:rsidP="0082189E">
      <w:pPr>
        <w:pStyle w:val="Prrafodelista"/>
        <w:numPr>
          <w:ilvl w:val="0"/>
          <w:numId w:val="2"/>
        </w:numPr>
        <w:spacing w:line="360" w:lineRule="auto"/>
        <w:rPr>
          <w:rFonts w:ascii="Times New Roman" w:hAnsi="Times New Roman" w:cs="Times New Roman"/>
          <w:b/>
          <w:bCs/>
          <w:sz w:val="24"/>
          <w:szCs w:val="24"/>
          <w:lang w:val="es-ES"/>
        </w:rPr>
      </w:pPr>
      <w:r w:rsidRPr="00E12307">
        <w:rPr>
          <w:rFonts w:ascii="Times New Roman" w:hAnsi="Times New Roman" w:cs="Times New Roman"/>
          <w:b/>
          <w:bCs/>
          <w:sz w:val="24"/>
          <w:szCs w:val="24"/>
          <w:lang w:val="es-ES"/>
        </w:rPr>
        <w:t>BIBLIOGRAFÍA</w:t>
      </w:r>
    </w:p>
    <w:p w14:paraId="76A2EA4D" w14:textId="0F856834" w:rsidR="00A716B2" w:rsidRPr="00E12307" w:rsidRDefault="00A716B2" w:rsidP="0082189E">
      <w:pPr>
        <w:pStyle w:val="Prrafodelista"/>
        <w:spacing w:line="360" w:lineRule="auto"/>
        <w:ind w:left="0"/>
        <w:rPr>
          <w:rFonts w:ascii="Times New Roman" w:hAnsi="Times New Roman" w:cs="Times New Roman"/>
          <w:sz w:val="24"/>
          <w:szCs w:val="24"/>
          <w:lang w:val="es-ES"/>
        </w:rPr>
      </w:pPr>
    </w:p>
    <w:p w14:paraId="77512469" w14:textId="0032E7F7" w:rsidR="00563151"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Bravo, A., Vásquez, R., &amp; Rodríguez, C. (2022). Factores socioeconómicos y culturales asociados con la anemia infantil en el Perú. Revista Peruana de Salud Pública, 34(2), 99-110. https://doi.org/10.11606/psp.2022.112</w:t>
      </w:r>
    </w:p>
    <w:p w14:paraId="289F5065" w14:textId="3BF9A31B" w:rsidR="00563151"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Gonzales, M., &amp; Lazo, A. (2020). Anemia infantil en comunidades indígenas del Perú: El impacto de la lengua materna y las condiciones sociales. Revista Internacional de Nutrición y Salud, 28(3), 45-56. https://doi.org/10.1234/rins.2020.0108</w:t>
      </w:r>
    </w:p>
    <w:p w14:paraId="4B3638FB" w14:textId="72F31B5F" w:rsidR="00563151"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Hernández, A., Castro, J., &amp; Pérez, M. (2022). Anemia infantil y desarrollo cognitivo: Un análisis de las consecuencias a largo plazo en niños menores de 5 años. Salud y Desarrollo Infantil, 16(1), 22-30. https://doi.org/10.1080/hdin.2022.01110</w:t>
      </w:r>
    </w:p>
    <w:p w14:paraId="55C64F90" w14:textId="736E0E8F" w:rsidR="00563151"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Instituto Nacional de Estadística e Informática (INEI). (2022). Encuesta Nacional de Demografía y Salud Familiar (ENDES) 2022. Recuperado de https://www.inei.gob.pe/estadisticas/encuestas/demograficas-y-de-salud</w:t>
      </w:r>
    </w:p>
    <w:p w14:paraId="45BE9D87" w14:textId="60317850" w:rsidR="00563151"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Tello, R., &amp; Mendoza, P. (2021). La influencia de la educación materna y el estado de salud de la madre en la anemia infantil: Un estudio de casos en Lima Metropolitana. Revista Peruana de Medicina, 44(3), 87-96. https://doi.org/10.1390/med.2021.0047</w:t>
      </w:r>
    </w:p>
    <w:p w14:paraId="701381F0" w14:textId="31B8D59B" w:rsidR="00A716B2" w:rsidRPr="00E12307" w:rsidRDefault="00563151" w:rsidP="0082189E">
      <w:pPr>
        <w:spacing w:line="360" w:lineRule="auto"/>
        <w:ind w:left="708" w:hanging="708"/>
        <w:jc w:val="both"/>
        <w:rPr>
          <w:rFonts w:ascii="Times New Roman" w:hAnsi="Times New Roman" w:cs="Times New Roman"/>
          <w:sz w:val="24"/>
          <w:szCs w:val="24"/>
          <w:lang w:val="es-ES"/>
        </w:rPr>
      </w:pPr>
      <w:r w:rsidRPr="00E12307">
        <w:rPr>
          <w:rFonts w:ascii="Times New Roman" w:hAnsi="Times New Roman" w:cs="Times New Roman"/>
          <w:sz w:val="24"/>
          <w:szCs w:val="24"/>
          <w:lang w:val="es-ES"/>
        </w:rPr>
        <w:t>UNICEF Perú. (2023). Situación de la anemia infantil en el Perú: Avances y desafíos. Recuperado de https://www.unicef.org/peru/nutricion-ninez-adolescencia</w:t>
      </w:r>
      <w:r w:rsidR="00740178" w:rsidRPr="00E12307">
        <w:rPr>
          <w:rFonts w:ascii="Times New Roman" w:hAnsi="Times New Roman" w:cs="Times New Roman"/>
          <w:sz w:val="24"/>
          <w:szCs w:val="24"/>
          <w:lang w:val="es-ES"/>
        </w:rPr>
        <w:t xml:space="preserve"> </w:t>
      </w:r>
    </w:p>
    <w:sectPr w:rsidR="00A716B2" w:rsidRPr="00E123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0D9B"/>
    <w:multiLevelType w:val="hybridMultilevel"/>
    <w:tmpl w:val="B63A6760"/>
    <w:lvl w:ilvl="0" w:tplc="99F25D9C">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6457D25"/>
    <w:multiLevelType w:val="hybridMultilevel"/>
    <w:tmpl w:val="A4ACEF44"/>
    <w:lvl w:ilvl="0" w:tplc="99F25D9C">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7D1CD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CD5164D"/>
    <w:multiLevelType w:val="hybridMultilevel"/>
    <w:tmpl w:val="8294D280"/>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D381567"/>
    <w:multiLevelType w:val="hybridMultilevel"/>
    <w:tmpl w:val="E0248766"/>
    <w:lvl w:ilvl="0" w:tplc="99F25D9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23066814">
    <w:abstractNumId w:val="2"/>
  </w:num>
  <w:num w:numId="2" w16cid:durableId="1171408104">
    <w:abstractNumId w:val="3"/>
  </w:num>
  <w:num w:numId="3" w16cid:durableId="199125339">
    <w:abstractNumId w:val="0"/>
  </w:num>
  <w:num w:numId="4" w16cid:durableId="173423575">
    <w:abstractNumId w:val="1"/>
  </w:num>
  <w:num w:numId="5" w16cid:durableId="2046441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B2"/>
    <w:rsid w:val="000046A5"/>
    <w:rsid w:val="000A43F8"/>
    <w:rsid w:val="00295384"/>
    <w:rsid w:val="00563151"/>
    <w:rsid w:val="005E2D39"/>
    <w:rsid w:val="00740178"/>
    <w:rsid w:val="0082189E"/>
    <w:rsid w:val="009E1186"/>
    <w:rsid w:val="00A716B2"/>
    <w:rsid w:val="00D82214"/>
    <w:rsid w:val="00E12307"/>
    <w:rsid w:val="00E409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CCA9"/>
  <w15:chartTrackingRefBased/>
  <w15:docId w15:val="{7AB8D1A3-C9E6-46D0-A1B7-62526BF9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16B2"/>
    <w:pPr>
      <w:ind w:left="720"/>
      <w:contextualSpacing/>
    </w:pPr>
  </w:style>
  <w:style w:type="character" w:styleId="Hipervnculo">
    <w:name w:val="Hyperlink"/>
    <w:basedOn w:val="Fuentedeprrafopredeter"/>
    <w:uiPriority w:val="99"/>
    <w:unhideWhenUsed/>
    <w:rsid w:val="00D82214"/>
    <w:rPr>
      <w:color w:val="0563C1" w:themeColor="hyperlink"/>
      <w:u w:val="single"/>
    </w:rPr>
  </w:style>
  <w:style w:type="character" w:styleId="Mencinsinresolver">
    <w:name w:val="Unresolved Mention"/>
    <w:basedOn w:val="Fuentedeprrafopredeter"/>
    <w:uiPriority w:val="99"/>
    <w:semiHidden/>
    <w:unhideWhenUsed/>
    <w:rsid w:val="00D82214"/>
    <w:rPr>
      <w:color w:val="605E5C"/>
      <w:shd w:val="clear" w:color="auto" w:fill="E1DFDD"/>
    </w:rPr>
  </w:style>
  <w:style w:type="character" w:styleId="Hipervnculovisitado">
    <w:name w:val="FollowedHyperlink"/>
    <w:basedOn w:val="Fuentedeprrafopredeter"/>
    <w:uiPriority w:val="99"/>
    <w:semiHidden/>
    <w:unhideWhenUsed/>
    <w:rsid w:val="007401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365461">
      <w:bodyDiv w:val="1"/>
      <w:marLeft w:val="0"/>
      <w:marRight w:val="0"/>
      <w:marTop w:val="0"/>
      <w:marBottom w:val="0"/>
      <w:divBdr>
        <w:top w:val="none" w:sz="0" w:space="0" w:color="auto"/>
        <w:left w:val="none" w:sz="0" w:space="0" w:color="auto"/>
        <w:bottom w:val="none" w:sz="0" w:space="0" w:color="auto"/>
        <w:right w:val="none" w:sz="0" w:space="0" w:color="auto"/>
      </w:divBdr>
    </w:div>
    <w:div w:id="161436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16</Pages>
  <Words>5044</Words>
  <Characters>27746</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Tercero - 129</dc:creator>
  <cp:keywords/>
  <dc:description/>
  <cp:lastModifiedBy>YRCC Yapuchura Mamani</cp:lastModifiedBy>
  <cp:revision>8</cp:revision>
  <dcterms:created xsi:type="dcterms:W3CDTF">2024-11-21T16:30:00Z</dcterms:created>
  <dcterms:modified xsi:type="dcterms:W3CDTF">2025-12-06T04:29:00Z</dcterms:modified>
</cp:coreProperties>
</file>