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FD2EA">
      <w:pPr>
        <w:rPr>
          <w:rFonts w:hint="eastAsia" w:ascii="黑体" w:eastAsia="黑体"/>
          <w:b/>
          <w:lang/>
        </w:rPr>
      </w:pPr>
      <w:bookmarkStart w:id="0" w:name="_GoBack"/>
      <w:bookmarkEnd w:id="0"/>
    </w:p>
    <w:p w14:paraId="12A6E1FB">
      <w:pPr>
        <w:jc w:val="center"/>
        <w:rPr>
          <w:rFonts w:hint="eastAsia" w:ascii="黑体" w:eastAsia="黑体"/>
          <w:b/>
          <w:sz w:val="28"/>
          <w:lang/>
        </w:rPr>
      </w:pPr>
    </w:p>
    <w:p w14:paraId="4DC9E2F6">
      <w:pPr>
        <w:jc w:val="center"/>
        <w:rPr>
          <w:rFonts w:hint="eastAsia" w:ascii="黑体" w:eastAsia="黑体"/>
          <w:b/>
          <w:bCs/>
          <w:sz w:val="28"/>
        </w:rPr>
      </w:pPr>
      <w:r>
        <w:rPr>
          <w:rFonts w:ascii="黑体" w:eastAsia="黑体"/>
          <w:b/>
          <w:sz w:val="28"/>
          <w:lang/>
        </w:rPr>
        <w:drawing>
          <wp:inline distT="0" distB="0" distL="114300" distR="114300">
            <wp:extent cx="3200400" cy="723900"/>
            <wp:effectExtent l="0" t="0" r="0" b="12700"/>
            <wp:docPr id="1"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ut_new_logo2"/>
                    <pic:cNvPicPr>
                      <a:picLocks noChangeAspect="1"/>
                    </pic:cNvPicPr>
                  </pic:nvPicPr>
                  <pic:blipFill>
                    <a:blip r:embed="rId4"/>
                    <a:stretch>
                      <a:fillRect/>
                    </a:stretch>
                  </pic:blipFill>
                  <pic:spPr>
                    <a:xfrm>
                      <a:off x="0" y="0"/>
                      <a:ext cx="3200400" cy="723900"/>
                    </a:xfrm>
                    <a:prstGeom prst="rect">
                      <a:avLst/>
                    </a:prstGeom>
                    <a:noFill/>
                    <a:ln>
                      <a:noFill/>
                    </a:ln>
                  </pic:spPr>
                </pic:pic>
              </a:graphicData>
            </a:graphic>
          </wp:inline>
        </w:drawing>
      </w:r>
    </w:p>
    <w:p w14:paraId="0DBB6D3C">
      <w:pPr>
        <w:spacing w:before="312" w:beforeLines="100"/>
        <w:jc w:val="center"/>
        <w:rPr>
          <w:rFonts w:hint="eastAsia" w:ascii="黑体" w:eastAsia="黑体"/>
          <w:spacing w:val="20"/>
          <w:sz w:val="72"/>
          <w:szCs w:val="72"/>
        </w:rPr>
      </w:pPr>
      <w:r>
        <w:t xml:space="preserve"> 软件工程课程设计测试文档</w:t>
      </w:r>
    </w:p>
    <w:p w14:paraId="22AF0401">
      <w:pPr>
        <w:ind w:firstLine="883" w:firstLineChars="200"/>
        <w:rPr>
          <w:rFonts w:hint="eastAsia" w:ascii="黑体" w:eastAsia="黑体"/>
          <w:b/>
          <w:sz w:val="44"/>
          <w:szCs w:val="44"/>
        </w:rPr>
      </w:pPr>
    </w:p>
    <w:p w14:paraId="69321E64">
      <w:pPr>
        <w:rPr>
          <w:rFonts w:ascii="黑体" w:eastAsia="黑体"/>
          <w:b/>
          <w:sz w:val="44"/>
          <w:szCs w:val="44"/>
        </w:rPr>
      </w:pPr>
    </w:p>
    <w:p w14:paraId="1BCACE9B">
      <w:pPr>
        <w:ind w:firstLine="883" w:firstLineChars="200"/>
        <w:jc w:val="center"/>
        <w:rPr>
          <w:rFonts w:hint="eastAsia" w:ascii="仿宋_GB2312" w:hAnsi="华文楷体" w:eastAsia="仿宋_GB2312"/>
          <w:b/>
          <w:color w:val="008000"/>
          <w:sz w:val="28"/>
          <w:szCs w:val="28"/>
        </w:rPr>
      </w:pPr>
      <w:r>
        <w:t>题目：一体化监控平台开发——测试文档</w:t>
      </w:r>
    </w:p>
    <w:p w14:paraId="6F2860E5">
      <w:pPr>
        <w:ind w:firstLine="883" w:firstLineChars="200"/>
        <w:rPr>
          <w:rFonts w:hint="eastAsia"/>
          <w:color w:val="008000"/>
          <w:sz w:val="24"/>
        </w:rPr>
      </w:pPr>
      <w:r>
        <w:rPr>
          <w:rFonts w:hint="eastAsia" w:ascii="黑体" w:hAnsi="华文楷体" w:eastAsia="黑体"/>
          <w:b/>
          <w:sz w:val="44"/>
          <w:szCs w:val="44"/>
        </w:rPr>
        <w:t xml:space="preserve">                                    </w:t>
      </w:r>
    </w:p>
    <w:p w14:paraId="25523B47">
      <w:pPr>
        <w:jc w:val="center"/>
        <w:rPr>
          <w:rFonts w:hint="eastAsia" w:ascii="黑体" w:hAnsi="华文楷体" w:eastAsia="黑体"/>
          <w:b/>
          <w:sz w:val="44"/>
          <w:szCs w:val="44"/>
          <w:u w:val="single"/>
        </w:rPr>
      </w:pPr>
    </w:p>
    <w:p w14:paraId="488E9B43">
      <w:pPr>
        <w:jc w:val="center"/>
        <w:rPr>
          <w:rFonts w:hint="eastAsia" w:ascii="黑体" w:hAnsi="华文楷体" w:eastAsia="黑体"/>
          <w:b/>
          <w:sz w:val="44"/>
          <w:szCs w:val="44"/>
          <w:u w:val="single"/>
        </w:rPr>
      </w:pPr>
    </w:p>
    <w:p w14:paraId="34697553">
      <w:pPr>
        <w:ind w:firstLine="1946" w:firstLineChars="646"/>
        <w:rPr>
          <w:rFonts w:hint="eastAsia" w:ascii="宋体" w:hAnsi="宋体"/>
          <w:b/>
          <w:sz w:val="30"/>
          <w:szCs w:val="30"/>
          <w:u w:val="single"/>
        </w:rPr>
      </w:pPr>
      <w:r>
        <w:t>学  院  计算机科学与工程学院</w:t>
      </w:r>
    </w:p>
    <w:p w14:paraId="46F4AF89">
      <w:pPr>
        <w:ind w:firstLine="1946" w:firstLineChars="646"/>
        <w:rPr>
          <w:rFonts w:hint="eastAsia" w:ascii="宋体" w:hAnsi="宋体"/>
          <w:b/>
          <w:sz w:val="30"/>
          <w:szCs w:val="30"/>
        </w:rPr>
      </w:pPr>
      <w:r>
        <w:t>专  业  软件工程</w:t>
      </w:r>
    </w:p>
    <w:p w14:paraId="5FC36E8E">
      <w:pPr>
        <w:ind w:firstLine="1946" w:firstLineChars="646"/>
        <w:rPr>
          <w:rFonts w:ascii="宋体" w:hAnsi="宋体"/>
          <w:b/>
          <w:sz w:val="30"/>
          <w:szCs w:val="30"/>
          <w:u w:val="single"/>
        </w:rPr>
      </w:pPr>
      <w:r>
        <w:t>组长姓名  陈梦泽</w:t>
      </w:r>
    </w:p>
    <w:p w14:paraId="418F3291">
      <w:pPr>
        <w:ind w:firstLine="1946" w:firstLineChars="646"/>
        <w:jc w:val="left"/>
        <w:rPr>
          <w:rFonts w:hint="eastAsia" w:ascii="宋体" w:hAnsi="宋体"/>
          <w:b/>
          <w:sz w:val="30"/>
          <w:szCs w:val="30"/>
          <w:u w:val="single"/>
        </w:rPr>
      </w:pPr>
      <w:r>
        <w:t>组  员  陈紫暄、曹丹</w:t>
      </w:r>
    </w:p>
    <w:p w14:paraId="77518A77">
      <w:pPr>
        <w:ind w:firstLine="1946" w:firstLineChars="646"/>
        <w:rPr>
          <w:rFonts w:hint="eastAsia" w:ascii="宋体" w:hAnsi="宋体"/>
          <w:b/>
          <w:sz w:val="30"/>
          <w:szCs w:val="30"/>
        </w:rPr>
      </w:pPr>
      <w:r>
        <w:t>指导教师  苏锦钿、黄平</w:t>
      </w:r>
    </w:p>
    <w:p w14:paraId="392A14D8">
      <w:pPr>
        <w:ind w:firstLine="1946" w:firstLineChars="646"/>
        <w:rPr>
          <w:rFonts w:ascii="宋体" w:hAnsi="宋体"/>
          <w:b/>
          <w:sz w:val="30"/>
          <w:szCs w:val="30"/>
        </w:rPr>
      </w:pPr>
      <w:r>
        <w:t>课程编号  045102191</w:t>
      </w:r>
    </w:p>
    <w:p w14:paraId="6E7C9FC4">
      <w:pPr>
        <w:ind w:firstLine="1946" w:firstLineChars="646"/>
        <w:rPr>
          <w:rFonts w:hint="eastAsia" w:ascii="宋体" w:hAnsi="宋体"/>
          <w:b/>
          <w:sz w:val="30"/>
          <w:szCs w:val="30"/>
        </w:rPr>
      </w:pPr>
      <w:r>
        <w:t>课程学分  2.0</w:t>
      </w:r>
    </w:p>
    <w:p w14:paraId="1AD02434">
      <w:pPr>
        <w:ind w:firstLine="1946" w:firstLineChars="646"/>
        <w:rPr>
          <w:rFonts w:hint="eastAsia" w:ascii="宋体" w:hAnsi="宋体"/>
          <w:b/>
          <w:sz w:val="30"/>
          <w:szCs w:val="30"/>
        </w:rPr>
      </w:pPr>
      <w:r>
        <w:t>起始日期  2026年3月</w:t>
      </w:r>
    </w:p>
    <w:p w14:paraId="197AAE6C">
      <w:pPr>
        <w:rPr>
          <w:rFonts w:hint="eastAsia"/>
          <w:iCs/>
          <w:color w:val="008000"/>
          <w:szCs w:val="21"/>
        </w:rPr>
      </w:pPr>
    </w:p>
    <w:p w14:paraId="693ACE85"/>
    <w:p w14:paraId="0F1B0FC0">
      <w:pPr>
        <w:rPr>
          <w:rFonts w:ascii="宋体" w:hAnsi="宋体"/>
          <w:b/>
          <w:sz w:val="36"/>
        </w:rPr>
      </w:pPr>
      <w:r>
        <w:rPr>
          <w:rFonts w:ascii="宋体" w:hAnsi="宋体"/>
          <w:b/>
          <w:sz w:val="36"/>
        </w:rPr>
        <w:t>1、引言</w:t>
      </w:r>
    </w:p>
    <w:p>
      <w:pPr>
        <w:spacing w:after="120" w:line="300" w:lineRule="auto"/>
      </w:pPr>
      <w:r>
        <w:rPr>
          <w:i w:val="0"/>
          <w:sz w:val="21"/>
        </w:rPr>
        <w:t>测试证据以 GitHub Actions 工作流、仓库脚本和现有截图材料为主。没有工作流记录、脚本断言或界面证据支撑的内容，不写成“已通过”。</w:t>
      </w:r>
    </w:p>
    <w:p>
      <w:pPr>
        <w:spacing w:after="120" w:line="300" w:lineRule="auto"/>
      </w:pPr>
      <w:r>
        <w:rPr>
          <w:i w:val="0"/>
          <w:sz w:val="21"/>
        </w:rPr>
        <w:t>测试结论分别来自自动化记录、脚本断言和界面截图。三类证据共同说明系统验证范围和当前状态。</w:t>
      </w:r>
    </w:p>
    <w:p w14:paraId="32454A8C">
      <w:pPr>
        <w:rPr>
          <w:rFonts w:ascii="宋体" w:hAnsi="宋体"/>
          <w:b/>
          <w:sz w:val="32"/>
        </w:rPr>
      </w:pPr>
      <w:r>
        <w:rPr>
          <w:rFonts w:ascii="宋体" w:hAnsi="宋体"/>
          <w:b/>
          <w:sz w:val="32"/>
        </w:rPr>
        <w:t xml:space="preserve">1.1 </w:t>
      </w:r>
      <w:r>
        <w:rPr>
          <w:rFonts w:hint="eastAsia" w:ascii="宋体" w:hAnsi="宋体"/>
          <w:b/>
          <w:sz w:val="32"/>
        </w:rPr>
        <w:t>编写</w:t>
      </w:r>
      <w:r>
        <w:rPr>
          <w:rFonts w:ascii="宋体" w:hAnsi="宋体"/>
          <w:b/>
          <w:sz w:val="32"/>
        </w:rPr>
        <w:t>目的</w:t>
      </w:r>
    </w:p>
    <w:p>
      <w:pPr>
        <w:spacing w:after="120" w:line="300" w:lineRule="auto"/>
      </w:pPr>
      <w:r>
        <w:rPr>
          <w:i w:val="0"/>
          <w:sz w:val="21"/>
        </w:rPr>
        <w:t>课程验收同时关注页面可见和链路验证，测试文档分别给出对应证据。</w:t>
      </w:r>
    </w:p>
    <w:p>
      <w:pPr>
        <w:spacing w:after="120" w:line="300" w:lineRule="auto"/>
      </w:pPr>
      <w:r>
        <w:rPr>
          <w:i w:val="0"/>
          <w:sz w:val="21"/>
        </w:rPr>
        <w:t>自动化、冒烟验证、部署后自检和截图回证集中放在同一份文档里，便于直接核对系统状态。</w:t>
      </w:r>
    </w:p>
    <w:p w14:paraId="46E39B21">
      <w:pPr>
        <w:rPr>
          <w:rFonts w:ascii="宋体" w:hAnsi="宋体"/>
          <w:b/>
          <w:sz w:val="32"/>
        </w:rPr>
      </w:pPr>
      <w:r>
        <w:rPr>
          <w:rFonts w:ascii="宋体" w:hAnsi="宋体"/>
          <w:b/>
          <w:sz w:val="32"/>
        </w:rPr>
        <w:t xml:space="preserve">1.2 </w:t>
      </w:r>
      <w:r>
        <w:rPr>
          <w:rFonts w:hint="eastAsia" w:ascii="宋体" w:hAnsi="宋体"/>
          <w:b/>
          <w:sz w:val="32"/>
        </w:rPr>
        <w:t>测试</w:t>
      </w:r>
      <w:r>
        <w:rPr>
          <w:rFonts w:ascii="宋体" w:hAnsi="宋体"/>
          <w:b/>
          <w:sz w:val="32"/>
        </w:rPr>
        <w:t>目标</w:t>
      </w:r>
    </w:p>
    <w:p>
      <w:pPr>
        <w:spacing w:after="120" w:line="300" w:lineRule="auto"/>
      </w:pPr>
      <w:r>
        <w:rPr>
          <w:i w:val="0"/>
          <w:sz w:val="21"/>
        </w:rPr>
        <w:t>测试目标分三层：一是验证 Agent、后端、前端和观测组件的集成闭环；二是验证部署脚本和关键配置不会因为修改而失效；三是为答辩时的人工演示提供可回证的截图与入口。</w:t>
      </w:r>
    </w:p>
    <w:p>
      <w:pPr>
        <w:spacing w:after="120" w:line="300" w:lineRule="auto"/>
      </w:pPr>
      <w:r>
        <w:rPr>
          <w:i w:val="0"/>
          <w:sz w:val="21"/>
        </w:rPr>
        <w:t>测试目标不是单看某个接口是否返回 200，而是验证节点能否接入、指标能否抓到、链路能否形成、工作台能否展示、部署能否重复。</w:t>
      </w:r>
    </w:p>
    <w:p w14:paraId="5AB0A2B0">
      <w:pPr>
        <w:rPr>
          <w:rFonts w:ascii="宋体" w:hAnsi="宋体"/>
          <w:b/>
          <w:sz w:val="32"/>
        </w:rPr>
      </w:pPr>
      <w:r>
        <w:rPr>
          <w:rFonts w:ascii="宋体" w:hAnsi="宋体"/>
          <w:b/>
          <w:sz w:val="32"/>
        </w:rPr>
        <w:t xml:space="preserve">1.3 </w:t>
      </w:r>
      <w:r>
        <w:rPr>
          <w:rFonts w:hint="eastAsia" w:ascii="宋体" w:hAnsi="宋体"/>
          <w:b/>
          <w:sz w:val="32"/>
        </w:rPr>
        <w:t>测试</w:t>
      </w:r>
      <w:r>
        <w:rPr>
          <w:rFonts w:ascii="宋体" w:hAnsi="宋体"/>
          <w:b/>
          <w:sz w:val="32"/>
        </w:rPr>
        <w:t>环境</w:t>
      </w:r>
    </w:p>
    <w:p>
      <w:pPr>
        <w:spacing w:after="120" w:line="300" w:lineRule="auto"/>
      </w:pPr>
      <w:r>
        <w:rPr>
          <w:i w:val="0"/>
          <w:sz w:val="21"/>
        </w:rPr>
        <w:t>测试环境并不等于“有一台机器能启动就行”。对于本项目，环境要同时满足容器编排、指标抓取、链路追踪、前台代理和自动部署几个方面的前提。</w:t>
      </w:r>
    </w:p>
    <w:tbl>
      <w:tblPr>
        <w:tblW w:type="auto" w:w="0"/>
        <w:jc w:val="center"/>
        <w:tblLook w:firstColumn="1" w:firstRow="1" w:lastColumn="0" w:lastRow="0" w:noHBand="0" w:noVBand="1" w:val="04A0"/>
      </w:tblPr>
      <w:tblGrid>
        <w:gridCol w:w="4479"/>
        <w:gridCol w:w="4479"/>
      </w:tblGrid>
      <w:tr>
        <w:tc>
          <w:tcPr>
            <w:tcW w:type="dxa" w:w="2016"/>
            <w:vAlign w:val="center"/>
          </w:tcPr>
          <w:p>
            <w:pPr>
              <w:spacing w:after="40" w:line="264" w:lineRule="auto"/>
              <w:jc w:val="center"/>
            </w:pPr>
            <w:r>
              <w:rPr>
                <w:b/>
                <w:sz w:val="19"/>
              </w:rPr>
              <w:t>项</w:t>
            </w:r>
          </w:p>
        </w:tc>
        <w:tc>
          <w:tcPr>
            <w:tcW w:type="dxa" w:w="6912"/>
            <w:vAlign w:val="center"/>
          </w:tcPr>
          <w:p>
            <w:pPr>
              <w:spacing w:after="40" w:line="264" w:lineRule="auto"/>
              <w:jc w:val="center"/>
            </w:pPr>
            <w:r>
              <w:rPr>
                <w:b/>
                <w:sz w:val="19"/>
              </w:rPr>
              <w:t>内容</w:t>
            </w:r>
          </w:p>
        </w:tc>
      </w:tr>
      <w:tr>
        <w:tc>
          <w:tcPr>
            <w:tcW w:type="dxa" w:w="2016"/>
            <w:vAlign w:val="center"/>
          </w:tcPr>
          <w:p>
            <w:pPr>
              <w:spacing w:after="40" w:line="264" w:lineRule="auto"/>
              <w:jc w:val="left"/>
            </w:pPr>
            <w:r>
              <w:rPr>
                <w:sz w:val="19"/>
              </w:rPr>
              <w:t>代码环境</w:t>
            </w:r>
          </w:p>
        </w:tc>
        <w:tc>
          <w:tcPr>
            <w:tcW w:type="dxa" w:w="6912"/>
            <w:vAlign w:val="center"/>
          </w:tcPr>
          <w:p>
            <w:pPr>
              <w:spacing w:after="40" w:line="264" w:lineRule="auto"/>
              <w:jc w:val="left"/>
            </w:pPr>
            <w:r>
              <w:rPr>
                <w:sz w:val="19"/>
              </w:rPr>
              <w:t>当前仓库主分支代码。</w:t>
            </w:r>
          </w:p>
        </w:tc>
      </w:tr>
      <w:tr>
        <w:tc>
          <w:tcPr>
            <w:tcW w:type="dxa" w:w="2016"/>
            <w:vAlign w:val="center"/>
          </w:tcPr>
          <w:p>
            <w:pPr>
              <w:spacing w:after="40" w:line="264" w:lineRule="auto"/>
              <w:jc w:val="left"/>
            </w:pPr>
            <w:r>
              <w:rPr>
                <w:sz w:val="19"/>
              </w:rPr>
              <w:t>仓库地址</w:t>
            </w:r>
          </w:p>
        </w:tc>
        <w:tc>
          <w:tcPr>
            <w:tcW w:type="dxa" w:w="6912"/>
            <w:vAlign w:val="center"/>
          </w:tcPr>
          <w:p>
            <w:pPr>
              <w:spacing w:after="40" w:line="264" w:lineRule="auto"/>
              <w:jc w:val="left"/>
            </w:pPr>
            <w:r>
              <w:rPr>
                <w:sz w:val="19"/>
              </w:rPr>
              <w:t>https://github.com/cmzbutqq/SWE-CourseDesign-Insider</w:t>
            </w:r>
          </w:p>
        </w:tc>
      </w:tr>
      <w:tr>
        <w:tc>
          <w:tcPr>
            <w:tcW w:type="dxa" w:w="2016"/>
            <w:vAlign w:val="center"/>
          </w:tcPr>
          <w:p>
            <w:pPr>
              <w:spacing w:after="40" w:line="264" w:lineRule="auto"/>
              <w:jc w:val="left"/>
            </w:pPr>
            <w:r>
              <w:rPr>
                <w:sz w:val="19"/>
              </w:rPr>
              <w:t>运行方式</w:t>
            </w:r>
          </w:p>
        </w:tc>
        <w:tc>
          <w:tcPr>
            <w:tcW w:type="dxa" w:w="6912"/>
            <w:vAlign w:val="center"/>
          </w:tcPr>
          <w:p>
            <w:pPr>
              <w:spacing w:after="40" w:line="264" w:lineRule="auto"/>
              <w:jc w:val="left"/>
            </w:pPr>
            <w:r>
              <w:rPr>
                <w:sz w:val="19"/>
              </w:rPr>
              <w:t>Docker Compose；完整场景使用 `observability` 与 `nodes` profile。</w:t>
            </w:r>
          </w:p>
        </w:tc>
      </w:tr>
      <w:tr>
        <w:tc>
          <w:tcPr>
            <w:tcW w:type="dxa" w:w="2016"/>
            <w:vAlign w:val="center"/>
          </w:tcPr>
          <w:p>
            <w:pPr>
              <w:spacing w:after="40" w:line="264" w:lineRule="auto"/>
              <w:jc w:val="left"/>
            </w:pPr>
            <w:r>
              <w:rPr>
                <w:sz w:val="19"/>
              </w:rPr>
              <w:t>核心服务</w:t>
            </w:r>
          </w:p>
        </w:tc>
        <w:tc>
          <w:tcPr>
            <w:tcW w:type="dxa" w:w="6912"/>
            <w:vAlign w:val="center"/>
          </w:tcPr>
          <w:p>
            <w:pPr>
              <w:spacing w:after="40" w:line="264" w:lineRule="auto"/>
              <w:jc w:val="left"/>
            </w:pPr>
            <w:r>
              <w:rPr>
                <w:sz w:val="19"/>
              </w:rPr>
              <w:t>frontend、backend、mysql、prometheus、grafana、skywalking-oap、skywalking-ui、app-node、middleware-node。</w:t>
            </w:r>
          </w:p>
        </w:tc>
      </w:tr>
      <w:tr>
        <w:tc>
          <w:tcPr>
            <w:tcW w:type="dxa" w:w="2016"/>
            <w:vAlign w:val="center"/>
          </w:tcPr>
          <w:p>
            <w:pPr>
              <w:spacing w:after="40" w:line="264" w:lineRule="auto"/>
              <w:jc w:val="left"/>
            </w:pPr>
            <w:r>
              <w:rPr>
                <w:sz w:val="19"/>
              </w:rPr>
              <w:t>外部依赖</w:t>
            </w:r>
          </w:p>
        </w:tc>
        <w:tc>
          <w:tcPr>
            <w:tcW w:type="dxa" w:w="6912"/>
            <w:vAlign w:val="center"/>
          </w:tcPr>
          <w:p>
            <w:pPr>
              <w:spacing w:after="40" w:line="264" w:lineRule="auto"/>
              <w:jc w:val="left"/>
            </w:pPr>
            <w:r>
              <w:rPr>
                <w:sz w:val="19"/>
              </w:rPr>
              <w:t>GitHub Actions、SSH 部署、镜像源与包管理代理配置。</w:t>
            </w:r>
          </w:p>
        </w:tc>
      </w:tr>
      <w:tr>
        <w:tc>
          <w:tcPr>
            <w:tcW w:type="dxa" w:w="2016"/>
            <w:vAlign w:val="center"/>
          </w:tcPr>
          <w:p>
            <w:pPr>
              <w:spacing w:after="40" w:line="264" w:lineRule="auto"/>
              <w:jc w:val="left"/>
            </w:pPr>
            <w:r>
              <w:rPr>
                <w:sz w:val="19"/>
              </w:rPr>
              <w:t>公网部署入口</w:t>
            </w:r>
          </w:p>
        </w:tc>
        <w:tc>
          <w:tcPr>
            <w:tcW w:type="dxa" w:w="6912"/>
            <w:vAlign w:val="center"/>
          </w:tcPr>
          <w:p>
            <w:pPr>
              <w:spacing w:after="40" w:line="264" w:lineRule="auto"/>
              <w:jc w:val="left"/>
            </w:pPr>
            <w:r>
              <w:rPr>
                <w:sz w:val="19"/>
              </w:rPr>
              <w:t>http://103.236.55.76/（服务器到期日期：2026年07月14日）</w:t>
            </w:r>
          </w:p>
        </w:tc>
      </w:tr>
      <w:tr>
        <w:tc>
          <w:tcPr>
            <w:tcW w:type="dxa" w:w="2016"/>
            <w:vAlign w:val="center"/>
          </w:tcPr>
          <w:p>
            <w:pPr>
              <w:spacing w:after="40" w:line="264" w:lineRule="auto"/>
              <w:jc w:val="left"/>
            </w:pPr>
            <w:r>
              <w:rPr>
                <w:sz w:val="19"/>
              </w:rPr>
              <w:t>主验证来源</w:t>
            </w:r>
          </w:p>
        </w:tc>
        <w:tc>
          <w:tcPr>
            <w:tcW w:type="dxa" w:w="6912"/>
            <w:vAlign w:val="center"/>
          </w:tcPr>
          <w:p>
            <w:pPr>
              <w:spacing w:after="40" w:line="264" w:lineRule="auto"/>
              <w:jc w:val="left"/>
            </w:pPr>
            <w:r>
              <w:rPr>
                <w:sz w:val="19"/>
              </w:rPr>
              <w:t>GitHub Actions 的 `ci.yml`、`deploy-main.yml` 与现有答辩截图材料。</w:t>
            </w:r>
          </w:p>
        </w:tc>
      </w:tr>
      <w:tr>
        <w:tc>
          <w:tcPr>
            <w:tcW w:type="dxa" w:w="2016"/>
            <w:vAlign w:val="center"/>
          </w:tcPr>
          <w:p>
            <w:pPr>
              <w:spacing w:after="40" w:line="264" w:lineRule="auto"/>
              <w:jc w:val="left"/>
            </w:pPr>
            <w:r>
              <w:rPr>
                <w:sz w:val="19"/>
              </w:rPr>
              <w:t>前台截图来源</w:t>
            </w:r>
          </w:p>
        </w:tc>
        <w:tc>
          <w:tcPr>
            <w:tcW w:type="dxa" w:w="6912"/>
            <w:vAlign w:val="center"/>
          </w:tcPr>
          <w:p>
            <w:pPr>
              <w:spacing w:after="40" w:line="264" w:lineRule="auto"/>
              <w:jc w:val="left"/>
            </w:pPr>
            <w:r>
              <w:rPr>
                <w:sz w:val="19"/>
              </w:rPr>
              <w:t>前台页面截图取自公网部署地址 http://103.236.55.76/ 的实际访问结果，不使用本地开发环境截图。</w:t>
            </w:r>
          </w:p>
        </w:tc>
      </w:tr>
      <w:tr>
        <w:tc>
          <w:tcPr>
            <w:tcW w:type="dxa" w:w="2016"/>
            <w:vAlign w:val="center"/>
          </w:tcPr>
          <w:p>
            <w:pPr>
              <w:spacing w:after="40" w:line="264" w:lineRule="auto"/>
              <w:jc w:val="left"/>
            </w:pPr>
            <w:r>
              <w:rPr>
                <w:sz w:val="19"/>
              </w:rPr>
              <w:t>浏览器与截图材料</w:t>
            </w:r>
          </w:p>
        </w:tc>
        <w:tc>
          <w:tcPr>
            <w:tcW w:type="dxa" w:w="6912"/>
            <w:vAlign w:val="center"/>
          </w:tcPr>
          <w:p>
            <w:pPr>
              <w:spacing w:after="40" w:line="264" w:lineRule="auto"/>
              <w:jc w:val="left"/>
            </w:pPr>
            <w:r>
              <w:rPr>
                <w:sz w:val="19"/>
              </w:rPr>
              <w:t>前台工作台截图、Prometheus 后台截图、SkyWalking Trace 截图、GitHub Actions 运行截图。</w:t>
            </w:r>
          </w:p>
        </w:tc>
      </w:tr>
    </w:tbl>
    <w:p>
      <w:pPr>
        <w:spacing w:after="120"/>
      </w:pPr>
    </w:p>
    <w:p w14:paraId="5CC16480">
      <w:pPr>
        <w:rPr>
          <w:rFonts w:ascii="宋体" w:hAnsi="宋体"/>
          <w:b/>
          <w:sz w:val="32"/>
        </w:rPr>
      </w:pPr>
      <w:r>
        <w:rPr>
          <w:rFonts w:ascii="宋体" w:hAnsi="宋体"/>
          <w:b/>
          <w:sz w:val="32"/>
        </w:rPr>
        <w:t xml:space="preserve">1.4 </w:t>
      </w:r>
      <w:r>
        <w:rPr>
          <w:rFonts w:hint="eastAsia" w:ascii="宋体" w:hAnsi="宋体"/>
          <w:b/>
          <w:sz w:val="32"/>
        </w:rPr>
        <w:t>测试人员</w:t>
      </w:r>
    </w:p>
    <w:p>
      <w:pPr>
        <w:spacing w:after="120" w:line="300" w:lineRule="auto"/>
      </w:pPr>
      <w:r>
        <w:rPr>
          <w:i w:val="0"/>
          <w:sz w:val="21"/>
        </w:rPr>
        <w:t>测试分工与开发分工保持一致。组长负责跨模块链路确认，其余成员分别覆盖各自主负责页面与功能。</w:t>
      </w:r>
    </w:p>
    <w:tbl>
      <w:tblPr>
        <w:tblW w:type="auto" w:w="0"/>
        <w:jc w:val="center"/>
        <w:tblLook w:firstColumn="1" w:firstRow="1" w:lastColumn="0" w:lastRow="0" w:noHBand="0" w:noVBand="1" w:val="04A0"/>
      </w:tblPr>
      <w:tblGrid>
        <w:gridCol w:w="4479"/>
        <w:gridCol w:w="4479"/>
      </w:tblGrid>
      <w:tr>
        <w:tc>
          <w:tcPr>
            <w:tcW w:type="dxa" w:w="1944"/>
            <w:vAlign w:val="center"/>
          </w:tcPr>
          <w:p>
            <w:pPr>
              <w:spacing w:after="40" w:line="264" w:lineRule="auto"/>
              <w:jc w:val="center"/>
            </w:pPr>
            <w:r>
              <w:rPr>
                <w:b/>
                <w:sz w:val="19"/>
              </w:rPr>
              <w:t>人员</w:t>
            </w:r>
          </w:p>
        </w:tc>
        <w:tc>
          <w:tcPr>
            <w:tcW w:type="dxa" w:w="6984"/>
            <w:vAlign w:val="center"/>
          </w:tcPr>
          <w:p>
            <w:pPr>
              <w:spacing w:after="40" w:line="264" w:lineRule="auto"/>
              <w:jc w:val="center"/>
            </w:pPr>
            <w:r>
              <w:rPr>
                <w:b/>
                <w:sz w:val="19"/>
              </w:rPr>
              <w:t>主要测试关注点</w:t>
            </w:r>
          </w:p>
        </w:tc>
      </w:tr>
      <w:tr>
        <w:tc>
          <w:tcPr>
            <w:tcW w:type="dxa" w:w="1944"/>
            <w:vAlign w:val="center"/>
          </w:tcPr>
          <w:p>
            <w:pPr>
              <w:spacing w:after="40" w:line="264" w:lineRule="auto"/>
              <w:jc w:val="left"/>
            </w:pPr>
            <w:r>
              <w:rPr>
                <w:sz w:val="19"/>
              </w:rPr>
              <w:t>陈梦泽</w:t>
            </w:r>
          </w:p>
        </w:tc>
        <w:tc>
          <w:tcPr>
            <w:tcW w:type="dxa" w:w="6984"/>
            <w:vAlign w:val="center"/>
          </w:tcPr>
          <w:p>
            <w:pPr>
              <w:spacing w:after="40" w:line="264" w:lineRule="auto"/>
              <w:jc w:val="left"/>
            </w:pPr>
            <w:r>
              <w:rPr>
                <w:sz w:val="19"/>
              </w:rPr>
              <w:t>整体联调、部署链路、CI/CD、Agent/后端主线和最终演示材料。</w:t>
            </w:r>
          </w:p>
        </w:tc>
      </w:tr>
      <w:tr>
        <w:tc>
          <w:tcPr>
            <w:tcW w:type="dxa" w:w="1944"/>
            <w:vAlign w:val="center"/>
          </w:tcPr>
          <w:p>
            <w:pPr>
              <w:spacing w:after="40" w:line="264" w:lineRule="auto"/>
              <w:jc w:val="left"/>
            </w:pPr>
            <w:r>
              <w:rPr>
                <w:sz w:val="19"/>
              </w:rPr>
              <w:t>陈紫暄</w:t>
            </w:r>
          </w:p>
        </w:tc>
        <w:tc>
          <w:tcPr>
            <w:tcW w:type="dxa" w:w="6984"/>
            <w:vAlign w:val="center"/>
          </w:tcPr>
          <w:p>
            <w:pPr>
              <w:spacing w:after="40" w:line="264" w:lineRule="auto"/>
              <w:jc w:val="left"/>
            </w:pPr>
            <w:r>
              <w:rPr>
                <w:sz w:val="19"/>
              </w:rPr>
              <w:t>总览页、趋势图、节点页筛选与节点详情交互。</w:t>
            </w:r>
          </w:p>
        </w:tc>
      </w:tr>
      <w:tr>
        <w:tc>
          <w:tcPr>
            <w:tcW w:type="dxa" w:w="1944"/>
            <w:vAlign w:val="center"/>
          </w:tcPr>
          <w:p>
            <w:pPr>
              <w:spacing w:after="40" w:line="264" w:lineRule="auto"/>
              <w:jc w:val="left"/>
            </w:pPr>
            <w:r>
              <w:rPr>
                <w:sz w:val="19"/>
              </w:rPr>
              <w:t>曹丹</w:t>
            </w:r>
          </w:p>
        </w:tc>
        <w:tc>
          <w:tcPr>
            <w:tcW w:type="dxa" w:w="6984"/>
            <w:vAlign w:val="center"/>
          </w:tcPr>
          <w:p>
            <w:pPr>
              <w:spacing w:after="40" w:line="264" w:lineRule="auto"/>
              <w:jc w:val="left"/>
            </w:pPr>
            <w:r>
              <w:rPr>
                <w:sz w:val="19"/>
              </w:rPr>
              <w:t>服务视图可用性、趋势表达细节、答辩视频整理。</w:t>
            </w:r>
          </w:p>
        </w:tc>
      </w:tr>
    </w:tbl>
    <w:p>
      <w:pPr>
        <w:spacing w:after="120"/>
      </w:pPr>
    </w:p>
    <w:p w14:paraId="214AE94F">
      <w:pPr>
        <w:rPr>
          <w:rFonts w:ascii="宋体" w:hAnsi="宋体"/>
          <w:b/>
          <w:sz w:val="32"/>
        </w:rPr>
      </w:pPr>
      <w:r>
        <w:rPr>
          <w:rFonts w:ascii="宋体" w:hAnsi="宋体"/>
          <w:b/>
          <w:sz w:val="32"/>
        </w:rPr>
        <w:t>1.5 参考材料</w:t>
      </w:r>
    </w:p>
    <w:p>
      <w:pPr>
        <w:spacing w:after="120" w:line="300" w:lineRule="auto"/>
      </w:pPr>
      <w:r>
        <w:rPr>
          <w:i w:val="0"/>
          <w:sz w:val="21"/>
        </w:rPr>
        <w:t>测试材料包括代码级脚本、工作流级自动化和展示级截图。三类材料共同构成测试证据。</w:t>
      </w:r>
    </w:p>
    <w:tbl>
      <w:tblPr>
        <w:tblW w:type="auto" w:w="0"/>
        <w:jc w:val="center"/>
        <w:tblLook w:firstColumn="1" w:firstRow="1" w:lastColumn="0" w:lastRow="0" w:noHBand="0" w:noVBand="1" w:val="04A0"/>
      </w:tblPr>
      <w:tblGrid>
        <w:gridCol w:w="4479"/>
        <w:gridCol w:w="4479"/>
      </w:tblGrid>
      <w:tr>
        <w:tc>
          <w:tcPr>
            <w:tcW w:type="dxa" w:w="3456"/>
            <w:vAlign w:val="center"/>
          </w:tcPr>
          <w:p>
            <w:pPr>
              <w:spacing w:after="40" w:line="264" w:lineRule="auto"/>
              <w:jc w:val="center"/>
            </w:pPr>
            <w:r>
              <w:rPr>
                <w:b/>
                <w:sz w:val="19"/>
              </w:rPr>
              <w:t>材料</w:t>
            </w:r>
          </w:p>
        </w:tc>
        <w:tc>
          <w:tcPr>
            <w:tcW w:type="dxa" w:w="5400"/>
            <w:vAlign w:val="center"/>
          </w:tcPr>
          <w:p>
            <w:pPr>
              <w:spacing w:after="40" w:line="264" w:lineRule="auto"/>
              <w:jc w:val="center"/>
            </w:pPr>
            <w:r>
              <w:rPr>
                <w:b/>
                <w:sz w:val="19"/>
              </w:rPr>
              <w:t>用途</w:t>
            </w:r>
          </w:p>
        </w:tc>
      </w:tr>
      <w:tr>
        <w:tc>
          <w:tcPr>
            <w:tcW w:type="dxa" w:w="3456"/>
            <w:vAlign w:val="center"/>
          </w:tcPr>
          <w:p>
            <w:pPr>
              <w:spacing w:after="40" w:line="264" w:lineRule="auto"/>
              <w:jc w:val="left"/>
            </w:pPr>
            <w:r>
              <w:rPr>
                <w:sz w:val="19"/>
              </w:rPr>
              <w:t>https://github.com/cmzbutqq/SWE-CourseDesign-Insider</w:t>
            </w:r>
          </w:p>
        </w:tc>
        <w:tc>
          <w:tcPr>
            <w:tcW w:type="dxa" w:w="5400"/>
            <w:vAlign w:val="center"/>
          </w:tcPr>
          <w:p>
            <w:pPr>
              <w:spacing w:after="40" w:line="264" w:lineRule="auto"/>
              <w:jc w:val="left"/>
            </w:pPr>
            <w:r>
              <w:rPr>
                <w:sz w:val="19"/>
              </w:rPr>
              <w:t>复核源码、工作流和文档版本。</w:t>
            </w:r>
          </w:p>
        </w:tc>
      </w:tr>
      <w:tr>
        <w:tc>
          <w:tcPr>
            <w:tcW w:type="dxa" w:w="3456"/>
            <w:vAlign w:val="center"/>
          </w:tcPr>
          <w:p>
            <w:pPr>
              <w:spacing w:after="40" w:line="264" w:lineRule="auto"/>
              <w:jc w:val="left"/>
            </w:pPr>
            <w:r>
              <w:rPr>
                <w:sz w:val="19"/>
              </w:rPr>
              <w:t>`tests/smoke-test.sh`</w:t>
            </w:r>
          </w:p>
        </w:tc>
        <w:tc>
          <w:tcPr>
            <w:tcW w:type="dxa" w:w="5400"/>
            <w:vAlign w:val="center"/>
          </w:tcPr>
          <w:p>
            <w:pPr>
              <w:spacing w:after="40" w:line="264" w:lineRule="auto"/>
              <w:jc w:val="left"/>
            </w:pPr>
            <w:r>
              <w:rPr>
                <w:sz w:val="19"/>
              </w:rPr>
              <w:t>完整环境冒烟验证。</w:t>
            </w:r>
          </w:p>
        </w:tc>
      </w:tr>
      <w:tr>
        <w:tc>
          <w:tcPr>
            <w:tcW w:type="dxa" w:w="3456"/>
            <w:vAlign w:val="center"/>
          </w:tcPr>
          <w:p>
            <w:pPr>
              <w:spacing w:after="40" w:line="264" w:lineRule="auto"/>
              <w:jc w:val="left"/>
            </w:pPr>
            <w:r>
              <w:rPr>
                <w:sz w:val="19"/>
              </w:rPr>
              <w:t>`tests/skywalking-agent-source-test.sh`</w:t>
            </w:r>
          </w:p>
        </w:tc>
        <w:tc>
          <w:tcPr>
            <w:tcW w:type="dxa" w:w="5400"/>
            <w:vAlign w:val="center"/>
          </w:tcPr>
          <w:p>
            <w:pPr>
              <w:spacing w:after="40" w:line="264" w:lineRule="auto"/>
              <w:jc w:val="left"/>
            </w:pPr>
            <w:r>
              <w:rPr>
                <w:sz w:val="19"/>
              </w:rPr>
              <w:t>检查 SkyWalking Java Agent 来源是否稳定。</w:t>
            </w:r>
          </w:p>
        </w:tc>
      </w:tr>
      <w:tr>
        <w:tc>
          <w:tcPr>
            <w:tcW w:type="dxa" w:w="3456"/>
            <w:vAlign w:val="center"/>
          </w:tcPr>
          <w:p>
            <w:pPr>
              <w:spacing w:after="40" w:line="264" w:lineRule="auto"/>
              <w:jc w:val="left"/>
            </w:pPr>
            <w:r>
              <w:rPr>
                <w:sz w:val="19"/>
              </w:rPr>
              <w:t>`tests/prometheus-route-prefix-test.sh`</w:t>
            </w:r>
          </w:p>
        </w:tc>
        <w:tc>
          <w:tcPr>
            <w:tcW w:type="dxa" w:w="5400"/>
            <w:vAlign w:val="center"/>
          </w:tcPr>
          <w:p>
            <w:pPr>
              <w:spacing w:after="40" w:line="264" w:lineRule="auto"/>
              <w:jc w:val="left"/>
            </w:pPr>
            <w:r>
              <w:rPr>
                <w:sz w:val="19"/>
              </w:rPr>
              <w:t>检查 Prometheus route-prefix 和 smoke test 配置。</w:t>
            </w:r>
          </w:p>
        </w:tc>
      </w:tr>
      <w:tr>
        <w:tc>
          <w:tcPr>
            <w:tcW w:type="dxa" w:w="3456"/>
            <w:vAlign w:val="center"/>
          </w:tcPr>
          <w:p>
            <w:pPr>
              <w:spacing w:after="40" w:line="264" w:lineRule="auto"/>
              <w:jc w:val="left"/>
            </w:pPr>
            <w:r>
              <w:rPr>
                <w:sz w:val="19"/>
              </w:rPr>
              <w:t>`tests/deploy-observability-config-test.sh`</w:t>
            </w:r>
          </w:p>
        </w:tc>
        <w:tc>
          <w:tcPr>
            <w:tcW w:type="dxa" w:w="5400"/>
            <w:vAlign w:val="center"/>
          </w:tcPr>
          <w:p>
            <w:pPr>
              <w:spacing w:after="40" w:line="264" w:lineRule="auto"/>
              <w:jc w:val="left"/>
            </w:pPr>
            <w:r>
              <w:rPr>
                <w:sz w:val="19"/>
              </w:rPr>
              <w:t>检查部署脚本与观测配置关键路径。</w:t>
            </w:r>
          </w:p>
        </w:tc>
      </w:tr>
      <w:tr>
        <w:tc>
          <w:tcPr>
            <w:tcW w:type="dxa" w:w="3456"/>
            <w:vAlign w:val="center"/>
          </w:tcPr>
          <w:p>
            <w:pPr>
              <w:spacing w:after="40" w:line="264" w:lineRule="auto"/>
              <w:jc w:val="left"/>
            </w:pPr>
            <w:r>
              <w:rPr>
                <w:sz w:val="19"/>
              </w:rPr>
              <w:t>`tests/network-mirror-config-test.sh`</w:t>
            </w:r>
          </w:p>
        </w:tc>
        <w:tc>
          <w:tcPr>
            <w:tcW w:type="dxa" w:w="5400"/>
            <w:vAlign w:val="center"/>
          </w:tcPr>
          <w:p>
            <w:pPr>
              <w:spacing w:after="40" w:line="264" w:lineRule="auto"/>
              <w:jc w:val="left"/>
            </w:pPr>
            <w:r>
              <w:rPr>
                <w:sz w:val="19"/>
              </w:rPr>
              <w:t>检查镜像源与代理配置，主要用于环境准备阶段复核。</w:t>
            </w:r>
          </w:p>
        </w:tc>
      </w:tr>
      <w:tr>
        <w:tc>
          <w:tcPr>
            <w:tcW w:type="dxa" w:w="3456"/>
            <w:vAlign w:val="center"/>
          </w:tcPr>
          <w:p>
            <w:pPr>
              <w:spacing w:after="40" w:line="264" w:lineRule="auto"/>
              <w:jc w:val="left"/>
            </w:pPr>
            <w:r>
              <w:rPr>
                <w:sz w:val="19"/>
              </w:rPr>
              <w:t>`.github/workflows/ci.yml`、`deploy-main.yml`</w:t>
            </w:r>
          </w:p>
        </w:tc>
        <w:tc>
          <w:tcPr>
            <w:tcW w:type="dxa" w:w="5400"/>
            <w:vAlign w:val="center"/>
          </w:tcPr>
          <w:p>
            <w:pPr>
              <w:spacing w:after="40" w:line="264" w:lineRule="auto"/>
              <w:jc w:val="left"/>
            </w:pPr>
            <w:r>
              <w:rPr>
                <w:sz w:val="19"/>
              </w:rPr>
              <w:t>查看持续集成与自动部署流程。</w:t>
            </w:r>
          </w:p>
        </w:tc>
      </w:tr>
    </w:tbl>
    <w:p>
      <w:pPr>
        <w:spacing w:after="120"/>
      </w:pPr>
    </w:p>
    <w:p w14:paraId="20FA9D59">
      <w:pPr>
        <w:rPr>
          <w:rFonts w:ascii="宋体" w:hAnsi="宋体"/>
          <w:b/>
          <w:sz w:val="36"/>
        </w:rPr>
      </w:pPr>
      <w:r>
        <w:rPr>
          <w:rFonts w:ascii="宋体" w:hAnsi="宋体"/>
          <w:b/>
          <w:sz w:val="36"/>
        </w:rPr>
        <w:t>2、</w:t>
      </w:r>
      <w:r>
        <w:rPr>
          <w:rFonts w:hint="eastAsia" w:ascii="宋体" w:hAnsi="宋体"/>
          <w:b/>
          <w:sz w:val="36"/>
        </w:rPr>
        <w:t>测试</w:t>
      </w:r>
      <w:r>
        <w:rPr>
          <w:rFonts w:ascii="宋体" w:hAnsi="宋体"/>
          <w:b/>
          <w:sz w:val="36"/>
        </w:rPr>
        <w:t>用例设计</w:t>
      </w:r>
    </w:p>
    <w:p>
      <w:pPr>
        <w:spacing w:after="120" w:line="300" w:lineRule="auto"/>
      </w:pPr>
      <w:r>
        <w:rPr>
          <w:i w:val="0"/>
          <w:sz w:val="21"/>
        </w:rPr>
        <w:t>测试设计先覆盖最容易回归的配置点，再用冒烟脚本串起主链路，最后用截图和页面入口补充人工复核。</w:t>
      </w:r>
    </w:p>
    <w:tbl>
      <w:tblPr>
        <w:tblW w:type="auto" w:w="0"/>
        <w:jc w:val="center"/>
        <w:tblLook w:firstColumn="1" w:firstRow="1" w:lastColumn="0" w:lastRow="0" w:noHBand="0" w:noVBand="1" w:val="04A0"/>
      </w:tblPr>
      <w:tblGrid>
        <w:gridCol w:w="2239"/>
        <w:gridCol w:w="2239"/>
        <w:gridCol w:w="2239"/>
        <w:gridCol w:w="2239"/>
      </w:tblGrid>
      <w:tr>
        <w:tc>
          <w:tcPr>
            <w:tcW w:type="dxa" w:w="1656"/>
            <w:vAlign w:val="center"/>
          </w:tcPr>
          <w:p>
            <w:pPr>
              <w:spacing w:after="40" w:line="264" w:lineRule="auto"/>
              <w:jc w:val="center"/>
            </w:pPr>
            <w:r>
              <w:rPr>
                <w:b/>
                <w:sz w:val="19"/>
              </w:rPr>
              <w:t>测试层级</w:t>
            </w:r>
          </w:p>
        </w:tc>
        <w:tc>
          <w:tcPr>
            <w:tcW w:type="dxa" w:w="1728"/>
            <w:vAlign w:val="center"/>
          </w:tcPr>
          <w:p>
            <w:pPr>
              <w:spacing w:after="40" w:line="264" w:lineRule="auto"/>
              <w:jc w:val="center"/>
            </w:pPr>
            <w:r>
              <w:rPr>
                <w:b/>
                <w:sz w:val="19"/>
              </w:rPr>
              <w:t>执行位置</w:t>
            </w:r>
          </w:p>
        </w:tc>
        <w:tc>
          <w:tcPr>
            <w:tcW w:type="dxa" w:w="2880"/>
            <w:vAlign w:val="center"/>
          </w:tcPr>
          <w:p>
            <w:pPr>
              <w:spacing w:after="40" w:line="264" w:lineRule="auto"/>
              <w:jc w:val="center"/>
            </w:pPr>
            <w:r>
              <w:rPr>
                <w:b/>
                <w:sz w:val="19"/>
              </w:rPr>
              <w:t>主要覆盖对象</w:t>
            </w:r>
          </w:p>
        </w:tc>
        <w:tc>
          <w:tcPr>
            <w:tcW w:type="dxa" w:w="3096"/>
            <w:vAlign w:val="center"/>
          </w:tcPr>
          <w:p>
            <w:pPr>
              <w:spacing w:after="40" w:line="264" w:lineRule="auto"/>
              <w:jc w:val="center"/>
            </w:pPr>
            <w:r>
              <w:rPr>
                <w:b/>
                <w:sz w:val="19"/>
              </w:rPr>
              <w:t>当前证据</w:t>
            </w:r>
          </w:p>
        </w:tc>
      </w:tr>
      <w:tr>
        <w:tc>
          <w:tcPr>
            <w:tcW w:type="dxa" w:w="1656"/>
            <w:vAlign w:val="center"/>
          </w:tcPr>
          <w:p>
            <w:pPr>
              <w:spacing w:after="40" w:line="264" w:lineRule="auto"/>
              <w:jc w:val="left"/>
            </w:pPr>
            <w:r>
              <w:rPr>
                <w:sz w:val="19"/>
              </w:rPr>
              <w:t>模块级测试</w:t>
            </w:r>
          </w:p>
        </w:tc>
        <w:tc>
          <w:tcPr>
            <w:tcW w:type="dxa" w:w="1728"/>
            <w:vAlign w:val="center"/>
          </w:tcPr>
          <w:p>
            <w:pPr>
              <w:spacing w:after="40" w:line="264" w:lineRule="auto"/>
              <w:jc w:val="left"/>
            </w:pPr>
            <w:r>
              <w:rPr>
                <w:sz w:val="19"/>
              </w:rPr>
              <w:t>GitHub Actions</w:t>
            </w:r>
          </w:p>
        </w:tc>
        <w:tc>
          <w:tcPr>
            <w:tcW w:type="dxa" w:w="2880"/>
            <w:vAlign w:val="center"/>
          </w:tcPr>
          <w:p>
            <w:pPr>
              <w:spacing w:after="40" w:line="264" w:lineRule="auto"/>
              <w:jc w:val="left"/>
            </w:pPr>
            <w:r>
              <w:rPr>
                <w:sz w:val="19"/>
              </w:rPr>
              <w:t>前端、后端、Agent 各自的单元或模块逻辑</w:t>
            </w:r>
          </w:p>
        </w:tc>
        <w:tc>
          <w:tcPr>
            <w:tcW w:type="dxa" w:w="3096"/>
            <w:vAlign w:val="center"/>
          </w:tcPr>
          <w:p>
            <w:pPr>
              <w:spacing w:after="40" w:line="264" w:lineRule="auto"/>
              <w:jc w:val="left"/>
            </w:pPr>
            <w:r>
              <w:rPr>
                <w:sz w:val="19"/>
              </w:rPr>
              <w:t>`ci.yml`、`deploy-main.yml`。</w:t>
            </w:r>
          </w:p>
        </w:tc>
      </w:tr>
      <w:tr>
        <w:tc>
          <w:tcPr>
            <w:tcW w:type="dxa" w:w="1656"/>
            <w:vAlign w:val="center"/>
          </w:tcPr>
          <w:p>
            <w:pPr>
              <w:spacing w:after="40" w:line="264" w:lineRule="auto"/>
              <w:jc w:val="left"/>
            </w:pPr>
            <w:r>
              <w:rPr>
                <w:sz w:val="19"/>
              </w:rPr>
              <w:t>配置回归测试</w:t>
            </w:r>
          </w:p>
        </w:tc>
        <w:tc>
          <w:tcPr>
            <w:tcW w:type="dxa" w:w="1728"/>
            <w:vAlign w:val="center"/>
          </w:tcPr>
          <w:p>
            <w:pPr>
              <w:spacing w:after="40" w:line="264" w:lineRule="auto"/>
              <w:jc w:val="left"/>
            </w:pPr>
            <w:r>
              <w:rPr>
                <w:sz w:val="19"/>
              </w:rPr>
              <w:t>GitHub Actions；网络镜像脚本可用于环境准备复核</w:t>
            </w:r>
          </w:p>
        </w:tc>
        <w:tc>
          <w:tcPr>
            <w:tcW w:type="dxa" w:w="2880"/>
            <w:vAlign w:val="center"/>
          </w:tcPr>
          <w:p>
            <w:pPr>
              <w:spacing w:after="40" w:line="264" w:lineRule="auto"/>
              <w:jc w:val="left"/>
            </w:pPr>
            <w:r>
              <w:rPr>
                <w:sz w:val="19"/>
              </w:rPr>
              <w:t>SkyWalking agent 来源、Prometheus route-prefix、部署观测配置、镜像源配置</w:t>
            </w:r>
          </w:p>
        </w:tc>
        <w:tc>
          <w:tcPr>
            <w:tcW w:type="dxa" w:w="3096"/>
            <w:vAlign w:val="center"/>
          </w:tcPr>
          <w:p>
            <w:pPr>
              <w:spacing w:after="40" w:line="264" w:lineRule="auto"/>
              <w:jc w:val="left"/>
            </w:pPr>
            <w:r>
              <w:rPr>
                <w:sz w:val="19"/>
              </w:rPr>
              <w:t>`tests/*.sh`。</w:t>
            </w:r>
          </w:p>
        </w:tc>
      </w:tr>
      <w:tr>
        <w:tc>
          <w:tcPr>
            <w:tcW w:type="dxa" w:w="1656"/>
            <w:vAlign w:val="center"/>
          </w:tcPr>
          <w:p>
            <w:pPr>
              <w:spacing w:after="40" w:line="264" w:lineRule="auto"/>
              <w:jc w:val="left"/>
            </w:pPr>
            <w:r>
              <w:rPr>
                <w:sz w:val="19"/>
              </w:rPr>
              <w:t>全链路冒烟测试</w:t>
            </w:r>
          </w:p>
        </w:tc>
        <w:tc>
          <w:tcPr>
            <w:tcW w:type="dxa" w:w="1728"/>
            <w:vAlign w:val="center"/>
          </w:tcPr>
          <w:p>
            <w:pPr>
              <w:spacing w:after="40" w:line="264" w:lineRule="auto"/>
              <w:jc w:val="left"/>
            </w:pPr>
            <w:r>
              <w:rPr>
                <w:sz w:val="19"/>
              </w:rPr>
              <w:t>GitHub Actions</w:t>
            </w:r>
          </w:p>
        </w:tc>
        <w:tc>
          <w:tcPr>
            <w:tcW w:type="dxa" w:w="2880"/>
            <w:vAlign w:val="center"/>
          </w:tcPr>
          <w:p>
            <w:pPr>
              <w:spacing w:after="40" w:line="264" w:lineRule="auto"/>
              <w:jc w:val="left"/>
            </w:pPr>
            <w:r>
              <w:rPr>
                <w:sz w:val="19"/>
              </w:rPr>
              <w:t>容器拉起、节点注册、服务发现、指标抓取、Trace 形成</w:t>
            </w:r>
          </w:p>
        </w:tc>
        <w:tc>
          <w:tcPr>
            <w:tcW w:type="dxa" w:w="3096"/>
            <w:vAlign w:val="center"/>
          </w:tcPr>
          <w:p>
            <w:pPr>
              <w:spacing w:after="40" w:line="264" w:lineRule="auto"/>
              <w:jc w:val="left"/>
            </w:pPr>
            <w:r>
              <w:rPr>
                <w:sz w:val="19"/>
              </w:rPr>
              <w:t>`tests/smoke-test.sh`。</w:t>
            </w:r>
          </w:p>
        </w:tc>
      </w:tr>
      <w:tr>
        <w:tc>
          <w:tcPr>
            <w:tcW w:type="dxa" w:w="1656"/>
            <w:vAlign w:val="center"/>
          </w:tcPr>
          <w:p>
            <w:pPr>
              <w:spacing w:after="40" w:line="264" w:lineRule="auto"/>
              <w:jc w:val="left"/>
            </w:pPr>
            <w:r>
              <w:rPr>
                <w:sz w:val="19"/>
              </w:rPr>
              <w:t>人工页面复核</w:t>
            </w:r>
          </w:p>
        </w:tc>
        <w:tc>
          <w:tcPr>
            <w:tcW w:type="dxa" w:w="1728"/>
            <w:vAlign w:val="center"/>
          </w:tcPr>
          <w:p>
            <w:pPr>
              <w:spacing w:after="40" w:line="264" w:lineRule="auto"/>
              <w:jc w:val="left"/>
            </w:pPr>
            <w:r>
              <w:rPr>
                <w:sz w:val="19"/>
              </w:rPr>
              <w:t>演示环境</w:t>
            </w:r>
          </w:p>
        </w:tc>
        <w:tc>
          <w:tcPr>
            <w:tcW w:type="dxa" w:w="2880"/>
            <w:vAlign w:val="center"/>
          </w:tcPr>
          <w:p>
            <w:pPr>
              <w:spacing w:after="40" w:line="264" w:lineRule="auto"/>
              <w:jc w:val="left"/>
            </w:pPr>
            <w:r>
              <w:rPr>
                <w:sz w:val="19"/>
              </w:rPr>
              <w:t>总览、节点、服务、链路、调试和第三方后台截图</w:t>
            </w:r>
          </w:p>
        </w:tc>
        <w:tc>
          <w:tcPr>
            <w:tcW w:type="dxa" w:w="3096"/>
            <w:vAlign w:val="center"/>
          </w:tcPr>
          <w:p>
            <w:pPr>
              <w:spacing w:after="40" w:line="264" w:lineRule="auto"/>
              <w:jc w:val="left"/>
            </w:pPr>
            <w:r>
              <w:rPr>
                <w:sz w:val="19"/>
              </w:rPr>
              <w:t>`pics/`、答辩 PPT。</w:t>
            </w:r>
          </w:p>
        </w:tc>
      </w:tr>
    </w:tbl>
    <w:p>
      <w:pPr>
        <w:spacing w:after="120"/>
      </w:pPr>
    </w:p>
    <w:p>
      <w:pPr>
        <w:spacing w:after="120" w:line="300" w:lineRule="auto"/>
      </w:pPr>
      <w:r>
        <w:rPr>
          <w:i w:val="0"/>
          <w:sz w:val="21"/>
        </w:rPr>
        <w:t>这种测试层次覆盖了课程交付最容易失分的回归点：依赖、路径、targets、业务 Trace 和部署顺序。</w:t>
      </w:r>
    </w:p>
    <w:p w14:paraId="33D7A4D9">
      <w:pPr>
        <w:rPr>
          <w:b/>
          <w:bCs/>
          <w:sz w:val="24"/>
        </w:rPr>
      </w:pPr>
      <w:r>
        <w:rPr>
          <w:rFonts w:hint="eastAsia" w:ascii="宋体" w:hAnsi="宋体"/>
          <w:b/>
          <w:sz w:val="32"/>
        </w:rPr>
        <w:t>2</w:t>
      </w:r>
      <w:r>
        <w:rPr>
          <w:rFonts w:ascii="宋体" w:hAnsi="宋体"/>
          <w:b/>
          <w:sz w:val="32"/>
        </w:rPr>
        <w:t>.1</w:t>
      </w:r>
      <w:r>
        <w:rPr>
          <w:rFonts w:hint="eastAsia" w:ascii="宋体" w:hAnsi="宋体"/>
          <w:b/>
          <w:sz w:val="32"/>
        </w:rPr>
        <w:t>测试数据准备</w:t>
      </w:r>
    </w:p>
    <w:p>
      <w:pPr>
        <w:spacing w:after="120" w:line="300" w:lineRule="auto"/>
      </w:pPr>
      <w:r>
        <w:rPr>
          <w:i w:val="0"/>
          <w:sz w:val="21"/>
        </w:rPr>
        <w:t>运行完整环境前，需要准备 `.env`，并保证 Docker、镜像源和 Maven/NPM/Go 代理配置可用。</w:t>
      </w:r>
    </w:p>
    <w:p>
      <w:pPr>
        <w:spacing w:after="120" w:line="300" w:lineRule="auto"/>
      </w:pPr>
      <w:r>
        <w:rPr>
          <w:i w:val="0"/>
          <w:sz w:val="21"/>
        </w:rPr>
        <w:t>为了让 Trace 页面稳定出数，系统在 `app-node` 内置 `traffic-generator.sh`，部署脚本也会主动访问 `/api/demo-chain` 进行预热。</w:t>
      </w:r>
    </w:p>
    <w:p>
      <w:pPr>
        <w:spacing w:after="120" w:line="300" w:lineRule="auto"/>
      </w:pPr>
      <w:r>
        <w:rPr>
          <w:i w:val="0"/>
          <w:sz w:val="21"/>
        </w:rPr>
        <w:t>因此，本项目的测试准备不仅包括代码和依赖，还包括业务流量准备。没有持续流量时，SkyWalking 和部分 Grafana 面板会出现“组件可用但链路为空”的情况。</w:t>
      </w:r>
    </w:p>
    <w:p w14:paraId="58B65DAA">
      <w:pPr>
        <w:rPr>
          <w:rFonts w:ascii="宋体" w:hAnsi="宋体"/>
          <w:b/>
          <w:sz w:val="32"/>
        </w:rPr>
      </w:pPr>
      <w:r>
        <w:rPr>
          <w:rFonts w:hint="eastAsia" w:ascii="宋体" w:hAnsi="宋体"/>
          <w:b/>
          <w:sz w:val="32"/>
        </w:rPr>
        <w:t>2</w:t>
      </w:r>
      <w:r>
        <w:rPr>
          <w:rFonts w:ascii="宋体" w:hAnsi="宋体"/>
          <w:b/>
          <w:sz w:val="32"/>
        </w:rPr>
        <w:t>.2</w:t>
      </w:r>
      <w:r>
        <w:rPr>
          <w:rFonts w:hint="eastAsia" w:ascii="宋体" w:hAnsi="宋体"/>
          <w:b/>
          <w:sz w:val="32"/>
        </w:rPr>
        <w:t>测试策略</w:t>
      </w:r>
    </w:p>
    <w:p>
      <w:pPr>
        <w:spacing w:after="120" w:line="300" w:lineRule="auto"/>
      </w:pPr>
      <w:r>
        <w:rPr>
          <w:i w:val="0"/>
          <w:sz w:val="21"/>
        </w:rPr>
        <w:t>当前测试策略分为四层：模块级单测、配置回归、完整环境冒烟、人工页面复核。</w:t>
      </w:r>
    </w:p>
    <w:p>
      <w:pPr>
        <w:spacing w:after="120" w:line="300" w:lineRule="auto"/>
      </w:pPr>
      <w:r>
        <w:rPr>
          <w:i w:val="0"/>
          <w:sz w:val="21"/>
        </w:rPr>
        <w:t>其中，模块级单测由 GitHub Actions 执行；`packaging-test` 负责执行关键配置回归脚本；完整环境冒烟由 `smoke-test.sh` 验证节点注册、Prometheus 抓取和业务 Trace；人工复核主要依赖前台页面、原生后台截图和工作流运行记录。</w:t>
      </w:r>
    </w:p>
    <w:p>
      <w:pPr>
        <w:spacing w:after="120" w:line="300" w:lineRule="auto"/>
      </w:pPr>
      <w:r>
        <w:rPr>
          <w:i w:val="0"/>
          <w:sz w:val="21"/>
        </w:rPr>
        <w:t>四层策略同时覆盖代码逻辑回归、工程配置回归、完整环境闭环和答辩展示材料。</w:t>
      </w:r>
    </w:p>
    <w:p w14:paraId="41DE3B4C">
      <w:pPr>
        <w:rPr>
          <w:rFonts w:ascii="宋体" w:hAnsi="宋体"/>
          <w:b/>
          <w:sz w:val="32"/>
        </w:rPr>
      </w:pPr>
      <w:r>
        <w:rPr>
          <w:rFonts w:hint="eastAsia" w:ascii="宋体" w:hAnsi="宋体"/>
          <w:b/>
          <w:sz w:val="32"/>
        </w:rPr>
        <w:t>2</w:t>
      </w:r>
      <w:r>
        <w:rPr>
          <w:rFonts w:ascii="宋体" w:hAnsi="宋体"/>
          <w:b/>
          <w:sz w:val="32"/>
        </w:rPr>
        <w:t>.3</w:t>
      </w:r>
      <w:r>
        <w:rPr>
          <w:rFonts w:hint="eastAsia" w:ascii="宋体" w:hAnsi="宋体"/>
          <w:b/>
          <w:sz w:val="32"/>
        </w:rPr>
        <w:t>测试原则</w:t>
      </w:r>
    </w:p>
    <w:p>
      <w:pPr>
        <w:spacing w:after="120" w:line="300" w:lineRule="auto"/>
      </w:pPr>
      <w:r>
        <w:rPr>
          <w:i w:val="0"/>
          <w:sz w:val="21"/>
        </w:rPr>
        <w:t>测试内容尽量直接对应课题要求：主机纳管、服务发现、资源监控、技术栈信息、指标抓取和调用链展示。</w:t>
      </w:r>
    </w:p>
    <w:p>
      <w:pPr>
        <w:spacing w:after="120" w:line="300" w:lineRule="auto"/>
      </w:pPr>
      <w:r>
        <w:rPr>
          <w:i w:val="0"/>
          <w:sz w:val="21"/>
        </w:rPr>
        <w:t>对没有当前 CI 记录、截图或仓库证据支持的部分，不把它表述成“已通过”；对已经由 GitHub Actions 跑通的链路，则直接按通过状态记录。</w:t>
      </w:r>
    </w:p>
    <w:p>
      <w:pPr>
        <w:spacing w:after="120" w:line="300" w:lineRule="auto"/>
      </w:pPr>
      <w:r>
        <w:rPr>
          <w:i w:val="0"/>
          <w:sz w:val="21"/>
        </w:rPr>
        <w:t>同样需要区分“脚本存在”和“结果已通过”。对于课程文档，前者可以证明工程意识，后者才能证明当前版本状态。两者都应写，但不能混写。</w:t>
      </w:r>
    </w:p>
    <w:p w14:paraId="3AEACAC3">
      <w:pPr>
        <w:rPr>
          <w:rFonts w:ascii="宋体" w:hAnsi="宋体"/>
          <w:b/>
          <w:sz w:val="32"/>
        </w:rPr>
      </w:pPr>
      <w:r>
        <w:rPr>
          <w:rFonts w:hint="eastAsia" w:ascii="宋体" w:hAnsi="宋体"/>
          <w:b/>
          <w:sz w:val="32"/>
        </w:rPr>
        <w:t>2</w:t>
      </w:r>
      <w:r>
        <w:rPr>
          <w:rFonts w:ascii="宋体" w:hAnsi="宋体"/>
          <w:b/>
          <w:sz w:val="32"/>
        </w:rPr>
        <w:t>.4</w:t>
      </w:r>
      <w:r>
        <w:rPr>
          <w:rFonts w:hint="eastAsia" w:ascii="宋体" w:hAnsi="宋体"/>
          <w:b/>
          <w:sz w:val="32"/>
        </w:rPr>
        <w:t>测试用例设计</w:t>
      </w:r>
    </w:p>
    <w:p>
      <w:pPr>
        <w:spacing w:after="120" w:line="300" w:lineRule="auto"/>
      </w:pPr>
      <w:r>
        <w:rPr>
          <w:i w:val="0"/>
          <w:sz w:val="21"/>
        </w:rPr>
        <w:t>测试用例设计围绕题目原始要求展开，不额外发明脱离课题的花哨场景。只要纳管、发现、采集、展示、追踪和部署验收六条主线能闭环，课程目标就能被直接回证。</w:t>
      </w:r>
    </w:p>
    <w:tbl>
      <w:tblPr>
        <w:tblW w:type="auto" w:w="0"/>
        <w:jc w:val="center"/>
        <w:tblLook w:firstColumn="1" w:firstRow="1" w:lastColumn="0" w:lastRow="0" w:noHBand="0" w:noVBand="1" w:val="04A0"/>
      </w:tblPr>
      <w:tblGrid>
        <w:gridCol w:w="2239"/>
        <w:gridCol w:w="2239"/>
        <w:gridCol w:w="2239"/>
        <w:gridCol w:w="2239"/>
      </w:tblGrid>
      <w:tr>
        <w:tc>
          <w:tcPr>
            <w:tcW w:type="dxa" w:w="1080"/>
            <w:vAlign w:val="center"/>
          </w:tcPr>
          <w:p>
            <w:pPr>
              <w:spacing w:after="40" w:line="264" w:lineRule="auto"/>
              <w:jc w:val="center"/>
            </w:pPr>
            <w:r>
              <w:rPr>
                <w:b/>
                <w:sz w:val="19"/>
              </w:rPr>
              <w:t>用例ID</w:t>
            </w:r>
          </w:p>
        </w:tc>
        <w:tc>
          <w:tcPr>
            <w:tcW w:type="dxa" w:w="1944"/>
            <w:vAlign w:val="center"/>
          </w:tcPr>
          <w:p>
            <w:pPr>
              <w:spacing w:after="40" w:line="264" w:lineRule="auto"/>
              <w:jc w:val="center"/>
            </w:pPr>
            <w:r>
              <w:rPr>
                <w:b/>
                <w:sz w:val="19"/>
              </w:rPr>
              <w:t>测试目标</w:t>
            </w:r>
          </w:p>
        </w:tc>
        <w:tc>
          <w:tcPr>
            <w:tcW w:type="dxa" w:w="2808"/>
            <w:vAlign w:val="center"/>
          </w:tcPr>
          <w:p>
            <w:pPr>
              <w:spacing w:after="40" w:line="264" w:lineRule="auto"/>
              <w:jc w:val="center"/>
            </w:pPr>
            <w:r>
              <w:rPr>
                <w:b/>
                <w:sz w:val="19"/>
              </w:rPr>
              <w:t>执行方式</w:t>
            </w:r>
          </w:p>
        </w:tc>
        <w:tc>
          <w:tcPr>
            <w:tcW w:type="dxa" w:w="3096"/>
            <w:vAlign w:val="center"/>
          </w:tcPr>
          <w:p>
            <w:pPr>
              <w:spacing w:after="40" w:line="264" w:lineRule="auto"/>
              <w:jc w:val="center"/>
            </w:pPr>
            <w:r>
              <w:rPr>
                <w:b/>
                <w:sz w:val="19"/>
              </w:rPr>
              <w:t>预期结果</w:t>
            </w:r>
          </w:p>
        </w:tc>
      </w:tr>
      <w:tr>
        <w:tc>
          <w:tcPr>
            <w:tcW w:type="dxa" w:w="1080"/>
            <w:vAlign w:val="center"/>
          </w:tcPr>
          <w:p>
            <w:pPr>
              <w:spacing w:after="40" w:line="264" w:lineRule="auto"/>
              <w:jc w:val="left"/>
            </w:pPr>
            <w:r>
              <w:rPr>
                <w:sz w:val="19"/>
              </w:rPr>
              <w:t>T01</w:t>
            </w:r>
          </w:p>
        </w:tc>
        <w:tc>
          <w:tcPr>
            <w:tcW w:type="dxa" w:w="1944"/>
            <w:vAlign w:val="center"/>
          </w:tcPr>
          <w:p>
            <w:pPr>
              <w:spacing w:after="40" w:line="264" w:lineRule="auto"/>
              <w:jc w:val="left"/>
            </w:pPr>
            <w:r>
              <w:rPr>
                <w:sz w:val="19"/>
              </w:rPr>
              <w:t>节点注册</w:t>
            </w:r>
          </w:p>
        </w:tc>
        <w:tc>
          <w:tcPr>
            <w:tcW w:type="dxa" w:w="2808"/>
            <w:vAlign w:val="center"/>
          </w:tcPr>
          <w:p>
            <w:pPr>
              <w:spacing w:after="40" w:line="264" w:lineRule="auto"/>
              <w:jc w:val="left"/>
            </w:pPr>
            <w:r>
              <w:rPr>
                <w:sz w:val="19"/>
              </w:rPr>
              <w:t>运行完整环境后访问 `/api/nodes`。</w:t>
            </w:r>
          </w:p>
        </w:tc>
        <w:tc>
          <w:tcPr>
            <w:tcW w:type="dxa" w:w="3096"/>
            <w:vAlign w:val="center"/>
          </w:tcPr>
          <w:p>
            <w:pPr>
              <w:spacing w:after="40" w:line="264" w:lineRule="auto"/>
              <w:jc w:val="left"/>
            </w:pPr>
            <w:r>
              <w:rPr>
                <w:sz w:val="19"/>
              </w:rPr>
              <w:t>能看到 `app-node` 和 `middleware-node`。</w:t>
            </w:r>
          </w:p>
        </w:tc>
      </w:tr>
      <w:tr>
        <w:tc>
          <w:tcPr>
            <w:tcW w:type="dxa" w:w="1080"/>
            <w:vAlign w:val="center"/>
          </w:tcPr>
          <w:p>
            <w:pPr>
              <w:spacing w:after="40" w:line="264" w:lineRule="auto"/>
              <w:jc w:val="left"/>
            </w:pPr>
            <w:r>
              <w:rPr>
                <w:sz w:val="19"/>
              </w:rPr>
              <w:t>T02</w:t>
            </w:r>
          </w:p>
        </w:tc>
        <w:tc>
          <w:tcPr>
            <w:tcW w:type="dxa" w:w="1944"/>
            <w:vAlign w:val="center"/>
          </w:tcPr>
          <w:p>
            <w:pPr>
              <w:spacing w:after="40" w:line="264" w:lineRule="auto"/>
              <w:jc w:val="left"/>
            </w:pPr>
            <w:r>
              <w:rPr>
                <w:sz w:val="19"/>
              </w:rPr>
              <w:t>服务发现</w:t>
            </w:r>
          </w:p>
        </w:tc>
        <w:tc>
          <w:tcPr>
            <w:tcW w:type="dxa" w:w="2808"/>
            <w:vAlign w:val="center"/>
          </w:tcPr>
          <w:p>
            <w:pPr>
              <w:spacing w:after="40" w:line="264" w:lineRule="auto"/>
              <w:jc w:val="left"/>
            </w:pPr>
            <w:r>
              <w:rPr>
                <w:sz w:val="19"/>
              </w:rPr>
              <w:t>访问 `/api/services`。</w:t>
            </w:r>
          </w:p>
        </w:tc>
        <w:tc>
          <w:tcPr>
            <w:tcW w:type="dxa" w:w="3096"/>
            <w:vAlign w:val="center"/>
          </w:tcPr>
          <w:p>
            <w:pPr>
              <w:spacing w:after="40" w:line="264" w:lineRule="auto"/>
              <w:jc w:val="left"/>
            </w:pPr>
            <w:r>
              <w:rPr>
                <w:sz w:val="19"/>
              </w:rPr>
              <w:t>能看到 Spring Boot、MySQL、Redis、Nginx、node_exporter 等服务目录。</w:t>
            </w:r>
          </w:p>
        </w:tc>
      </w:tr>
      <w:tr>
        <w:tc>
          <w:tcPr>
            <w:tcW w:type="dxa" w:w="1080"/>
            <w:vAlign w:val="center"/>
          </w:tcPr>
          <w:p>
            <w:pPr>
              <w:spacing w:after="40" w:line="264" w:lineRule="auto"/>
              <w:jc w:val="left"/>
            </w:pPr>
            <w:r>
              <w:rPr>
                <w:sz w:val="19"/>
              </w:rPr>
              <w:t>T03</w:t>
            </w:r>
          </w:p>
        </w:tc>
        <w:tc>
          <w:tcPr>
            <w:tcW w:type="dxa" w:w="1944"/>
            <w:vAlign w:val="center"/>
          </w:tcPr>
          <w:p>
            <w:pPr>
              <w:spacing w:after="40" w:line="264" w:lineRule="auto"/>
              <w:jc w:val="left"/>
            </w:pPr>
            <w:r>
              <w:rPr>
                <w:sz w:val="19"/>
              </w:rPr>
              <w:t>心跳与资源指标</w:t>
            </w:r>
          </w:p>
        </w:tc>
        <w:tc>
          <w:tcPr>
            <w:tcW w:type="dxa" w:w="2808"/>
            <w:vAlign w:val="center"/>
          </w:tcPr>
          <w:p>
            <w:pPr>
              <w:spacing w:after="40" w:line="264" w:lineRule="auto"/>
              <w:jc w:val="left"/>
            </w:pPr>
            <w:r>
              <w:rPr>
                <w:sz w:val="19"/>
              </w:rPr>
              <w:t>访问节点详情接口或前台节点详情页。</w:t>
            </w:r>
          </w:p>
        </w:tc>
        <w:tc>
          <w:tcPr>
            <w:tcW w:type="dxa" w:w="3096"/>
            <w:vAlign w:val="center"/>
          </w:tcPr>
          <w:p>
            <w:pPr>
              <w:spacing w:after="40" w:line="264" w:lineRule="auto"/>
              <w:jc w:val="left"/>
            </w:pPr>
            <w:r>
              <w:rPr>
                <w:sz w:val="19"/>
              </w:rPr>
              <w:t>能看到 CPU、内存、磁盘、网络等指标。</w:t>
            </w:r>
          </w:p>
        </w:tc>
      </w:tr>
      <w:tr>
        <w:tc>
          <w:tcPr>
            <w:tcW w:type="dxa" w:w="1080"/>
            <w:vAlign w:val="center"/>
          </w:tcPr>
          <w:p>
            <w:pPr>
              <w:spacing w:after="40" w:line="264" w:lineRule="auto"/>
              <w:jc w:val="left"/>
            </w:pPr>
            <w:r>
              <w:rPr>
                <w:sz w:val="19"/>
              </w:rPr>
              <w:t>T04</w:t>
            </w:r>
          </w:p>
        </w:tc>
        <w:tc>
          <w:tcPr>
            <w:tcW w:type="dxa" w:w="1944"/>
            <w:vAlign w:val="center"/>
          </w:tcPr>
          <w:p>
            <w:pPr>
              <w:spacing w:after="40" w:line="264" w:lineRule="auto"/>
              <w:jc w:val="left"/>
            </w:pPr>
            <w:r>
              <w:rPr>
                <w:sz w:val="19"/>
              </w:rPr>
              <w:t>总览页聚合</w:t>
            </w:r>
          </w:p>
        </w:tc>
        <w:tc>
          <w:tcPr>
            <w:tcW w:type="dxa" w:w="2808"/>
            <w:vAlign w:val="center"/>
          </w:tcPr>
          <w:p>
            <w:pPr>
              <w:spacing w:after="40" w:line="264" w:lineRule="auto"/>
              <w:jc w:val="left"/>
            </w:pPr>
            <w:r>
              <w:rPr>
                <w:sz w:val="19"/>
              </w:rPr>
              <w:t>访问 `/overview`。</w:t>
            </w:r>
          </w:p>
        </w:tc>
        <w:tc>
          <w:tcPr>
            <w:tcW w:type="dxa" w:w="3096"/>
            <w:vAlign w:val="center"/>
          </w:tcPr>
          <w:p>
            <w:pPr>
              <w:spacing w:after="40" w:line="264" w:lineRule="auto"/>
              <w:jc w:val="left"/>
            </w:pPr>
            <w:r>
              <w:rPr>
                <w:sz w:val="19"/>
              </w:rPr>
              <w:t>能看到节点计数、服务计数、异常入口和趋势图。</w:t>
            </w:r>
          </w:p>
        </w:tc>
      </w:tr>
      <w:tr>
        <w:tc>
          <w:tcPr>
            <w:tcW w:type="dxa" w:w="1080"/>
            <w:vAlign w:val="center"/>
          </w:tcPr>
          <w:p>
            <w:pPr>
              <w:spacing w:after="40" w:line="264" w:lineRule="auto"/>
              <w:jc w:val="left"/>
            </w:pPr>
            <w:r>
              <w:rPr>
                <w:sz w:val="19"/>
              </w:rPr>
              <w:t>T05</w:t>
            </w:r>
          </w:p>
        </w:tc>
        <w:tc>
          <w:tcPr>
            <w:tcW w:type="dxa" w:w="1944"/>
            <w:vAlign w:val="center"/>
          </w:tcPr>
          <w:p>
            <w:pPr>
              <w:spacing w:after="40" w:line="264" w:lineRule="auto"/>
              <w:jc w:val="left"/>
            </w:pPr>
            <w:r>
              <w:rPr>
                <w:sz w:val="19"/>
              </w:rPr>
              <w:t>服务详情下钻</w:t>
            </w:r>
          </w:p>
        </w:tc>
        <w:tc>
          <w:tcPr>
            <w:tcW w:type="dxa" w:w="2808"/>
            <w:vAlign w:val="center"/>
          </w:tcPr>
          <w:p>
            <w:pPr>
              <w:spacing w:after="40" w:line="264" w:lineRule="auto"/>
              <w:jc w:val="left"/>
            </w:pPr>
            <w:r>
              <w:rPr>
                <w:sz w:val="19"/>
              </w:rPr>
              <w:t>进入 `/services/:id`。</w:t>
            </w:r>
          </w:p>
        </w:tc>
        <w:tc>
          <w:tcPr>
            <w:tcW w:type="dxa" w:w="3096"/>
            <w:vAlign w:val="center"/>
          </w:tcPr>
          <w:p>
            <w:pPr>
              <w:spacing w:after="40" w:line="264" w:lineRule="auto"/>
              <w:jc w:val="left"/>
            </w:pPr>
            <w:r>
              <w:rPr>
                <w:sz w:val="19"/>
              </w:rPr>
              <w:t>能看到基础信息、运行指标、Trace 入口和 Prometheus 调试入口。</w:t>
            </w:r>
          </w:p>
        </w:tc>
      </w:tr>
      <w:tr>
        <w:tc>
          <w:tcPr>
            <w:tcW w:type="dxa" w:w="1080"/>
            <w:vAlign w:val="center"/>
          </w:tcPr>
          <w:p>
            <w:pPr>
              <w:spacing w:after="40" w:line="264" w:lineRule="auto"/>
              <w:jc w:val="left"/>
            </w:pPr>
            <w:r>
              <w:rPr>
                <w:sz w:val="19"/>
              </w:rPr>
              <w:t>T06</w:t>
            </w:r>
          </w:p>
        </w:tc>
        <w:tc>
          <w:tcPr>
            <w:tcW w:type="dxa" w:w="1944"/>
            <w:vAlign w:val="center"/>
          </w:tcPr>
          <w:p>
            <w:pPr>
              <w:spacing w:after="40" w:line="264" w:lineRule="auto"/>
              <w:jc w:val="left"/>
            </w:pPr>
            <w:r>
              <w:rPr>
                <w:sz w:val="19"/>
              </w:rPr>
              <w:t>Prometheus 抓取链路</w:t>
            </w:r>
          </w:p>
        </w:tc>
        <w:tc>
          <w:tcPr>
            <w:tcW w:type="dxa" w:w="2808"/>
            <w:vAlign w:val="center"/>
          </w:tcPr>
          <w:p>
            <w:pPr>
              <w:spacing w:after="40" w:line="264" w:lineRule="auto"/>
              <w:jc w:val="left"/>
            </w:pPr>
            <w:r>
              <w:rPr>
                <w:sz w:val="19"/>
              </w:rPr>
              <w:t>查看 Prometheus targets。</w:t>
            </w:r>
          </w:p>
        </w:tc>
        <w:tc>
          <w:tcPr>
            <w:tcW w:type="dxa" w:w="3096"/>
            <w:vAlign w:val="center"/>
          </w:tcPr>
          <w:p>
            <w:pPr>
              <w:spacing w:after="40" w:line="264" w:lineRule="auto"/>
              <w:jc w:val="left"/>
            </w:pPr>
            <w:r>
              <w:rPr>
                <w:sz w:val="19"/>
              </w:rPr>
              <w:t>能看到 `sample-service` 等 targets 正常暴露。</w:t>
            </w:r>
          </w:p>
        </w:tc>
      </w:tr>
      <w:tr>
        <w:tc>
          <w:tcPr>
            <w:tcW w:type="dxa" w:w="1080"/>
            <w:vAlign w:val="center"/>
          </w:tcPr>
          <w:p>
            <w:pPr>
              <w:spacing w:after="40" w:line="264" w:lineRule="auto"/>
              <w:jc w:val="left"/>
            </w:pPr>
            <w:r>
              <w:rPr>
                <w:sz w:val="19"/>
              </w:rPr>
              <w:t>T07</w:t>
            </w:r>
          </w:p>
        </w:tc>
        <w:tc>
          <w:tcPr>
            <w:tcW w:type="dxa" w:w="1944"/>
            <w:vAlign w:val="center"/>
          </w:tcPr>
          <w:p>
            <w:pPr>
              <w:spacing w:after="40" w:line="264" w:lineRule="auto"/>
              <w:jc w:val="left"/>
            </w:pPr>
            <w:r>
              <w:rPr>
                <w:sz w:val="19"/>
              </w:rPr>
              <w:t>Trace 采集链路</w:t>
            </w:r>
          </w:p>
        </w:tc>
        <w:tc>
          <w:tcPr>
            <w:tcW w:type="dxa" w:w="2808"/>
            <w:vAlign w:val="center"/>
          </w:tcPr>
          <w:p>
            <w:pPr>
              <w:spacing w:after="40" w:line="264" w:lineRule="auto"/>
              <w:jc w:val="left"/>
            </w:pPr>
            <w:r>
              <w:rPr>
                <w:sz w:val="19"/>
              </w:rPr>
              <w:t>访问 `/api/tracing/summary` 或前台链路页。</w:t>
            </w:r>
          </w:p>
        </w:tc>
        <w:tc>
          <w:tcPr>
            <w:tcW w:type="dxa" w:w="3096"/>
            <w:vAlign w:val="center"/>
          </w:tcPr>
          <w:p>
            <w:pPr>
              <w:spacing w:after="40" w:line="264" w:lineRule="auto"/>
              <w:jc w:val="left"/>
            </w:pPr>
            <w:r>
              <w:rPr>
                <w:sz w:val="19"/>
              </w:rPr>
              <w:t>能出现 `/api/demo-chain` 相关业务 Trace。</w:t>
            </w:r>
          </w:p>
        </w:tc>
      </w:tr>
      <w:tr>
        <w:tc>
          <w:tcPr>
            <w:tcW w:type="dxa" w:w="1080"/>
            <w:vAlign w:val="center"/>
          </w:tcPr>
          <w:p>
            <w:pPr>
              <w:spacing w:after="40" w:line="264" w:lineRule="auto"/>
              <w:jc w:val="left"/>
            </w:pPr>
            <w:r>
              <w:rPr>
                <w:sz w:val="19"/>
              </w:rPr>
              <w:t>T08</w:t>
            </w:r>
          </w:p>
        </w:tc>
        <w:tc>
          <w:tcPr>
            <w:tcW w:type="dxa" w:w="1944"/>
            <w:vAlign w:val="center"/>
          </w:tcPr>
          <w:p>
            <w:pPr>
              <w:spacing w:after="40" w:line="264" w:lineRule="auto"/>
              <w:jc w:val="left"/>
            </w:pPr>
            <w:r>
              <w:rPr>
                <w:sz w:val="19"/>
              </w:rPr>
              <w:t>部署脚本自检</w:t>
            </w:r>
          </w:p>
        </w:tc>
        <w:tc>
          <w:tcPr>
            <w:tcW w:type="dxa" w:w="2808"/>
            <w:vAlign w:val="center"/>
          </w:tcPr>
          <w:p>
            <w:pPr>
              <w:spacing w:after="40" w:line="264" w:lineRule="auto"/>
              <w:jc w:val="left"/>
            </w:pPr>
            <w:r>
              <w:rPr>
                <w:sz w:val="19"/>
              </w:rPr>
              <w:t>执行 `deploy/deploy-main.sh`。</w:t>
            </w:r>
          </w:p>
        </w:tc>
        <w:tc>
          <w:tcPr>
            <w:tcW w:type="dxa" w:w="3096"/>
            <w:vAlign w:val="center"/>
          </w:tcPr>
          <w:p>
            <w:pPr>
              <w:spacing w:after="40" w:line="264" w:lineRule="auto"/>
              <w:jc w:val="left"/>
            </w:pPr>
            <w:r>
              <w:rPr>
                <w:sz w:val="19"/>
              </w:rPr>
              <w:t>脚本会等待健康检查、节点注册、Prometheus targets 和业务 Trace。</w:t>
            </w:r>
          </w:p>
        </w:tc>
      </w:tr>
      <w:tr>
        <w:tc>
          <w:tcPr>
            <w:tcW w:type="dxa" w:w="1080"/>
            <w:vAlign w:val="center"/>
          </w:tcPr>
          <w:p>
            <w:pPr>
              <w:spacing w:after="40" w:line="264" w:lineRule="auto"/>
              <w:jc w:val="left"/>
            </w:pPr>
            <w:r>
              <w:rPr>
                <w:sz w:val="19"/>
              </w:rPr>
              <w:t>T09</w:t>
            </w:r>
          </w:p>
        </w:tc>
        <w:tc>
          <w:tcPr>
            <w:tcW w:type="dxa" w:w="1944"/>
            <w:vAlign w:val="center"/>
          </w:tcPr>
          <w:p>
            <w:pPr>
              <w:spacing w:after="40" w:line="264" w:lineRule="auto"/>
              <w:jc w:val="left"/>
            </w:pPr>
            <w:r>
              <w:rPr>
                <w:sz w:val="19"/>
              </w:rPr>
              <w:t>关键配置回归</w:t>
            </w:r>
          </w:p>
        </w:tc>
        <w:tc>
          <w:tcPr>
            <w:tcW w:type="dxa" w:w="2808"/>
            <w:vAlign w:val="center"/>
          </w:tcPr>
          <w:p>
            <w:pPr>
              <w:spacing w:after="40" w:line="264" w:lineRule="auto"/>
              <w:jc w:val="left"/>
            </w:pPr>
            <w:r>
              <w:rPr>
                <w:sz w:val="19"/>
              </w:rPr>
              <w:t>执行工作流中的关键 shell 脚本。</w:t>
            </w:r>
          </w:p>
        </w:tc>
        <w:tc>
          <w:tcPr>
            <w:tcW w:type="dxa" w:w="3096"/>
            <w:vAlign w:val="center"/>
          </w:tcPr>
          <w:p>
            <w:pPr>
              <w:spacing w:after="40" w:line="264" w:lineRule="auto"/>
              <w:jc w:val="left"/>
            </w:pPr>
            <w:r>
              <w:rPr>
                <w:sz w:val="19"/>
              </w:rPr>
              <w:t>SkyWalking agent 来源、Prometheus route-prefix 与部署观测关键路径保持一致。</w:t>
            </w:r>
          </w:p>
        </w:tc>
      </w:tr>
      <w:tr>
        <w:tc>
          <w:tcPr>
            <w:tcW w:type="dxa" w:w="1080"/>
            <w:vAlign w:val="center"/>
          </w:tcPr>
          <w:p>
            <w:pPr>
              <w:spacing w:after="40" w:line="264" w:lineRule="auto"/>
              <w:jc w:val="left"/>
            </w:pPr>
            <w:r>
              <w:rPr>
                <w:sz w:val="19"/>
              </w:rPr>
              <w:t>T10</w:t>
            </w:r>
          </w:p>
        </w:tc>
        <w:tc>
          <w:tcPr>
            <w:tcW w:type="dxa" w:w="1944"/>
            <w:vAlign w:val="center"/>
          </w:tcPr>
          <w:p>
            <w:pPr>
              <w:spacing w:after="40" w:line="264" w:lineRule="auto"/>
              <w:jc w:val="left"/>
            </w:pPr>
            <w:r>
              <w:rPr>
                <w:sz w:val="19"/>
              </w:rPr>
              <w:t>服务视图分组展示</w:t>
            </w:r>
          </w:p>
        </w:tc>
        <w:tc>
          <w:tcPr>
            <w:tcW w:type="dxa" w:w="2808"/>
            <w:vAlign w:val="center"/>
          </w:tcPr>
          <w:p>
            <w:pPr>
              <w:spacing w:after="40" w:line="264" w:lineRule="auto"/>
              <w:jc w:val="left"/>
            </w:pPr>
            <w:r>
              <w:rPr>
                <w:sz w:val="19"/>
              </w:rPr>
              <w:t>访问 `/services`。</w:t>
            </w:r>
          </w:p>
        </w:tc>
        <w:tc>
          <w:tcPr>
            <w:tcW w:type="dxa" w:w="3096"/>
            <w:vAlign w:val="center"/>
          </w:tcPr>
          <w:p>
            <w:pPr>
              <w:spacing w:after="40" w:line="264" w:lineRule="auto"/>
              <w:jc w:val="left"/>
            </w:pPr>
            <w:r>
              <w:rPr>
                <w:sz w:val="19"/>
              </w:rPr>
              <w:t>服务按类型分组，缺失抓取入口的服务被单独标识。</w:t>
            </w:r>
          </w:p>
        </w:tc>
      </w:tr>
      <w:tr>
        <w:tc>
          <w:tcPr>
            <w:tcW w:type="dxa" w:w="1080"/>
            <w:vAlign w:val="center"/>
          </w:tcPr>
          <w:p>
            <w:pPr>
              <w:spacing w:after="40" w:line="264" w:lineRule="auto"/>
              <w:jc w:val="left"/>
            </w:pPr>
            <w:r>
              <w:rPr>
                <w:sz w:val="19"/>
              </w:rPr>
              <w:t>T11</w:t>
            </w:r>
          </w:p>
        </w:tc>
        <w:tc>
          <w:tcPr>
            <w:tcW w:type="dxa" w:w="1944"/>
            <w:vAlign w:val="center"/>
          </w:tcPr>
          <w:p>
            <w:pPr>
              <w:spacing w:after="40" w:line="264" w:lineRule="auto"/>
              <w:jc w:val="left"/>
            </w:pPr>
            <w:r>
              <w:rPr>
                <w:sz w:val="19"/>
              </w:rPr>
              <w:t>调试页原始链路验证</w:t>
            </w:r>
          </w:p>
        </w:tc>
        <w:tc>
          <w:tcPr>
            <w:tcW w:type="dxa" w:w="2808"/>
            <w:vAlign w:val="center"/>
          </w:tcPr>
          <w:p>
            <w:pPr>
              <w:spacing w:after="40" w:line="264" w:lineRule="auto"/>
              <w:jc w:val="left"/>
            </w:pPr>
            <w:r>
              <w:rPr>
                <w:sz w:val="19"/>
              </w:rPr>
              <w:t>访问 `/debug`。</w:t>
            </w:r>
          </w:p>
        </w:tc>
        <w:tc>
          <w:tcPr>
            <w:tcW w:type="dxa" w:w="3096"/>
            <w:vAlign w:val="center"/>
          </w:tcPr>
          <w:p>
            <w:pPr>
              <w:spacing w:after="40" w:line="264" w:lineRule="auto"/>
              <w:jc w:val="left"/>
            </w:pPr>
            <w:r>
              <w:rPr>
                <w:sz w:val="19"/>
              </w:rPr>
              <w:t>可看到 Prometheus 抓取摘要与原始调试入口。</w:t>
            </w:r>
          </w:p>
        </w:tc>
      </w:tr>
      <w:tr>
        <w:tc>
          <w:tcPr>
            <w:tcW w:type="dxa" w:w="1080"/>
            <w:vAlign w:val="center"/>
          </w:tcPr>
          <w:p>
            <w:pPr>
              <w:spacing w:after="40" w:line="264" w:lineRule="auto"/>
              <w:jc w:val="left"/>
            </w:pPr>
            <w:r>
              <w:rPr>
                <w:sz w:val="19"/>
              </w:rPr>
              <w:t>T12</w:t>
            </w:r>
          </w:p>
        </w:tc>
        <w:tc>
          <w:tcPr>
            <w:tcW w:type="dxa" w:w="1944"/>
            <w:vAlign w:val="center"/>
          </w:tcPr>
          <w:p>
            <w:pPr>
              <w:spacing w:after="40" w:line="264" w:lineRule="auto"/>
              <w:jc w:val="left"/>
            </w:pPr>
            <w:r>
              <w:rPr>
                <w:sz w:val="19"/>
              </w:rPr>
              <w:t>自动部署串行约束</w:t>
            </w:r>
          </w:p>
        </w:tc>
        <w:tc>
          <w:tcPr>
            <w:tcW w:type="dxa" w:w="2808"/>
            <w:vAlign w:val="center"/>
          </w:tcPr>
          <w:p>
            <w:pPr>
              <w:spacing w:after="40" w:line="264" w:lineRule="auto"/>
              <w:jc w:val="left"/>
            </w:pPr>
            <w:r>
              <w:rPr>
                <w:sz w:val="19"/>
              </w:rPr>
              <w:t>查看 `deploy-main.yml`。</w:t>
            </w:r>
          </w:p>
        </w:tc>
        <w:tc>
          <w:tcPr>
            <w:tcW w:type="dxa" w:w="3096"/>
            <w:vAlign w:val="center"/>
          </w:tcPr>
          <w:p>
            <w:pPr>
              <w:spacing w:after="40" w:line="264" w:lineRule="auto"/>
              <w:jc w:val="left"/>
            </w:pPr>
            <w:r>
              <w:rPr>
                <w:sz w:val="19"/>
              </w:rPr>
              <w:t>仅当 smoke test 通过后才执行 SSH 部署。</w:t>
            </w:r>
          </w:p>
        </w:tc>
      </w:tr>
    </w:tbl>
    <w:p>
      <w:pPr>
        <w:spacing w:after="120"/>
      </w:pPr>
    </w:p>
    <w:p>
      <w:pPr>
        <w:spacing w:after="120" w:line="300" w:lineRule="auto"/>
      </w:pPr>
      <w:r>
        <w:rPr>
          <w:i w:val="0"/>
          <w:sz w:val="21"/>
        </w:rPr>
        <w:t>这些用例同时覆盖接口、页面、工作流和部署脚本，因为本项目的交付对象不是单一应用，而是一套需要完整环境配合的系统。</w:t>
      </w:r>
    </w:p>
    <w:p w14:paraId="5DC2772B">
      <w:pPr>
        <w:rPr>
          <w:rFonts w:ascii="宋体" w:hAnsi="宋体"/>
          <w:b/>
          <w:sz w:val="36"/>
        </w:rPr>
      </w:pPr>
      <w:r>
        <w:rPr>
          <w:rFonts w:hint="eastAsia" w:ascii="宋体" w:hAnsi="宋体"/>
          <w:b/>
          <w:sz w:val="36"/>
        </w:rPr>
        <w:t>3</w:t>
      </w:r>
      <w:r>
        <w:rPr>
          <w:rFonts w:ascii="宋体" w:hAnsi="宋体"/>
          <w:b/>
          <w:sz w:val="36"/>
        </w:rPr>
        <w:t>、测试过程</w:t>
      </w:r>
    </w:p>
    <w:p>
      <w:pPr>
        <w:spacing w:after="120" w:line="300" w:lineRule="auto"/>
      </w:pPr>
      <w:r>
        <w:rPr>
          <w:i w:val="0"/>
          <w:sz w:val="21"/>
        </w:rPr>
        <w:t>GitHub Actions 已串行执行前端测试与构建、后端测试、Agent 测试、关键配置回归、完整 smoke test 和 main 分支自动部署，现有记录显示这些流程通过。</w:t>
      </w:r>
    </w:p>
    <w:p>
      <w:pPr>
        <w:spacing w:after="120" w:line="300" w:lineRule="auto"/>
      </w:pPr>
      <w:r>
        <w:rPr>
          <w:i w:val="0"/>
          <w:sz w:val="21"/>
        </w:rPr>
        <w:t>主分支工作流中的 `packaging-test` 执行了 `skywalking-agent-source-test.sh`、`prometheus-route-prefix-test.sh` 和 `deploy-observability-config-test.sh`，用于拦截最容易影响演示闭环的配置回归。</w:t>
      </w:r>
    </w:p>
    <w:p>
      <w:pPr>
        <w:spacing w:after="120" w:line="300" w:lineRule="auto"/>
      </w:pPr>
      <w:r>
        <w:rPr>
          <w:i w:val="0"/>
          <w:sz w:val="21"/>
        </w:rPr>
        <w:t>仓库对 `main` 分支启用了保护规则：禁止删除和强推，改动需通过 Pull Request 合入，至少 1 个评审通过并解决评审线程；`frontend-build`、`backend-test`、`agent-test` 三项状态检查必须通过，并要求按最新主分支严格复核。</w:t>
      </w:r>
    </w:p>
    <w:p>
      <w:pPr>
        <w:spacing w:after="120" w:line="300" w:lineRule="auto"/>
      </w:pPr>
      <w:r>
        <w:rPr>
          <w:i w:val="0"/>
          <w:sz w:val="21"/>
        </w:rPr>
        <w:t>除了工作流记录，当前还保留了在线复核入口：公网部署地址为 http://103.236.55.76/，该云服务器到期日期为 2026年07月14日。在到期日前，可直接通过该地址复核当前部署版本。</w:t>
      </w:r>
    </w:p>
    <w:p>
      <w:pPr>
        <w:spacing w:after="120" w:line="300" w:lineRule="auto"/>
      </w:pPr>
      <w:r>
        <w:rPr>
          <w:i w:val="0"/>
          <w:sz w:val="21"/>
        </w:rPr>
        <w:t>`smoke-test.sh` 负责拉起完整环境并检查节点注册、服务发现、Prometheus targets 和业务 Trace；`deploy-main.sh` 则在 smoke test 通过后继续执行远端部署、健康检查和业务链路预热。</w:t>
      </w:r>
    </w:p>
    <w:p>
      <w:pPr>
        <w:spacing w:after="80" w:line="300" w:lineRule="auto"/>
        <w:jc w:val="center"/>
      </w:pPr>
      <w:r>
        <w:rPr>
          <w:i w:val="0"/>
          <w:sz w:val="21"/>
        </w:rPr>
        <w:drawing>
          <wp:inline xmlns:a="http://schemas.openxmlformats.org/drawingml/2006/main" xmlns:pic="http://schemas.openxmlformats.org/drawingml/2006/picture">
            <wp:extent cx="5303520" cy="3489158"/>
            <wp:docPr id="2" name="Picture 2"/>
            <wp:cNvGraphicFramePr>
              <a:graphicFrameLocks noChangeAspect="1"/>
            </wp:cNvGraphicFramePr>
            <a:graphic>
              <a:graphicData uri="http://schemas.openxmlformats.org/drawingml/2006/picture">
                <pic:pic>
                  <pic:nvPicPr>
                    <pic:cNvPr id="0" name="UML-主分支交付时序图.png"/>
                    <pic:cNvPicPr/>
                  </pic:nvPicPr>
                  <pic:blipFill>
                    <a:blip r:embed="rId6"/>
                    <a:stretch>
                      <a:fillRect/>
                    </a:stretch>
                  </pic:blipFill>
                  <pic:spPr>
                    <a:xfrm>
                      <a:off x="0" y="0"/>
                      <a:ext cx="5303520" cy="3489158"/>
                    </a:xfrm>
                    <a:prstGeom prst="rect"/>
                  </pic:spPr>
                </pic:pic>
              </a:graphicData>
            </a:graphic>
          </wp:inline>
        </w:drawing>
      </w:r>
    </w:p>
    <w:p>
      <w:pPr>
        <w:spacing w:after="160" w:line="300" w:lineRule="auto"/>
        <w:jc w:val="center"/>
      </w:pPr>
      <w:r>
        <w:rPr>
          <w:i/>
          <w:sz w:val="21"/>
        </w:rPr>
        <w:t>图1 主分支交付与部署时序图</w:t>
      </w:r>
    </w:p>
    <w:p>
      <w:pPr>
        <w:spacing w:after="80" w:line="300" w:lineRule="auto"/>
        <w:jc w:val="center"/>
      </w:pPr>
      <w:r>
        <w:rPr>
          <w:i w:val="0"/>
          <w:sz w:val="21"/>
        </w:rPr>
        <w:drawing>
          <wp:inline xmlns:a="http://schemas.openxmlformats.org/drawingml/2006/main" xmlns:pic="http://schemas.openxmlformats.org/drawingml/2006/picture">
            <wp:extent cx="5394960" cy="3423992"/>
            <wp:docPr id="3" name="Picture 3"/>
            <wp:cNvGraphicFramePr>
              <a:graphicFrameLocks noChangeAspect="1"/>
            </wp:cNvGraphicFramePr>
            <a:graphic>
              <a:graphicData uri="http://schemas.openxmlformats.org/drawingml/2006/picture">
                <pic:pic>
                  <pic:nvPicPr>
                    <pic:cNvPr id="0" name="GitHub action流程详情.png"/>
                    <pic:cNvPicPr/>
                  </pic:nvPicPr>
                  <pic:blipFill>
                    <a:blip r:embed="rId7"/>
                    <a:stretch>
                      <a:fillRect/>
                    </a:stretch>
                  </pic:blipFill>
                  <pic:spPr>
                    <a:xfrm>
                      <a:off x="0" y="0"/>
                      <a:ext cx="5394960" cy="3423992"/>
                    </a:xfrm>
                    <a:prstGeom prst="rect"/>
                  </pic:spPr>
                </pic:pic>
              </a:graphicData>
            </a:graphic>
          </wp:inline>
        </w:drawing>
      </w:r>
    </w:p>
    <w:p>
      <w:pPr>
        <w:spacing w:after="160" w:line="300" w:lineRule="auto"/>
        <w:jc w:val="center"/>
      </w:pPr>
      <w:r>
        <w:rPr>
          <w:i/>
          <w:sz w:val="21"/>
        </w:rPr>
        <w:t>图2 GitHub Actions 中的测试与部署依赖关系</w:t>
      </w:r>
    </w:p>
    <w:p>
      <w:pPr>
        <w:spacing w:after="120" w:line="300" w:lineRule="auto"/>
      </w:pPr>
      <w:r>
        <w:rPr>
          <w:i w:val="0"/>
          <w:sz w:val="21"/>
        </w:rPr>
        <w:t>这条时序和当前交付链路的依赖关系一致：先完成基础测试，再做配置回归和完整冒烟，最后才进入远端部署。这样可以避免把明显有问题的版本直接推到服务器。</w:t>
      </w:r>
    </w:p>
    <w:p>
      <w:pPr>
        <w:spacing w:after="120" w:line="300" w:lineRule="auto"/>
      </w:pPr>
      <w:r>
        <w:rPr>
          <w:i w:val="0"/>
          <w:sz w:val="21"/>
        </w:rPr>
        <w:t>GitHub Actions 流程详情图进一步把这一点固定成了可见事实：`frontend-build`、`backend-test`、`agent-test` 和 `packaging-test` 全部成功后，工作流才会放行 `smoke-test`；`smoke-test` 通过后，才会进入 `deploy`。</w:t>
      </w:r>
    </w:p>
    <w:tbl>
      <w:tblPr>
        <w:tblW w:type="auto" w:w="0"/>
        <w:jc w:val="center"/>
        <w:tblLook w:firstColumn="1" w:firstRow="1" w:lastColumn="0" w:lastRow="0" w:noHBand="0" w:noVBand="1" w:val="04A0"/>
      </w:tblPr>
      <w:tblGrid>
        <w:gridCol w:w="2986"/>
        <w:gridCol w:w="2986"/>
        <w:gridCol w:w="2986"/>
      </w:tblGrid>
      <w:tr>
        <w:tc>
          <w:tcPr>
            <w:tcW w:type="dxa" w:w="2520"/>
            <w:vAlign w:val="center"/>
          </w:tcPr>
          <w:p>
            <w:pPr>
              <w:spacing w:after="40" w:line="264" w:lineRule="auto"/>
              <w:jc w:val="center"/>
            </w:pPr>
            <w:r>
              <w:rPr>
                <w:b/>
                <w:sz w:val="19"/>
              </w:rPr>
              <w:t>工作流 / 作业</w:t>
            </w:r>
          </w:p>
        </w:tc>
        <w:tc>
          <w:tcPr>
            <w:tcW w:type="dxa" w:w="3456"/>
            <w:vAlign w:val="center"/>
          </w:tcPr>
          <w:p>
            <w:pPr>
              <w:spacing w:after="40" w:line="264" w:lineRule="auto"/>
              <w:jc w:val="center"/>
            </w:pPr>
            <w:r>
              <w:rPr>
                <w:b/>
                <w:sz w:val="19"/>
              </w:rPr>
              <w:t>作用</w:t>
            </w:r>
          </w:p>
        </w:tc>
        <w:tc>
          <w:tcPr>
            <w:tcW w:type="dxa" w:w="3384"/>
            <w:vAlign w:val="center"/>
          </w:tcPr>
          <w:p>
            <w:pPr>
              <w:spacing w:after="40" w:line="264" w:lineRule="auto"/>
              <w:jc w:val="center"/>
            </w:pPr>
            <w:r>
              <w:rPr>
                <w:b/>
                <w:sz w:val="19"/>
              </w:rPr>
              <w:t>当前状态口径</w:t>
            </w:r>
          </w:p>
        </w:tc>
      </w:tr>
      <w:tr>
        <w:tc>
          <w:tcPr>
            <w:tcW w:type="dxa" w:w="2520"/>
            <w:vAlign w:val="center"/>
          </w:tcPr>
          <w:p>
            <w:pPr>
              <w:spacing w:after="40" w:line="264" w:lineRule="auto"/>
              <w:jc w:val="left"/>
            </w:pPr>
            <w:r>
              <w:rPr>
                <w:sz w:val="19"/>
              </w:rPr>
              <w:t>`ci.yml` / `frontend-build`</w:t>
            </w:r>
          </w:p>
        </w:tc>
        <w:tc>
          <w:tcPr>
            <w:tcW w:type="dxa" w:w="3456"/>
            <w:vAlign w:val="center"/>
          </w:tcPr>
          <w:p>
            <w:pPr>
              <w:spacing w:after="40" w:line="264" w:lineRule="auto"/>
              <w:jc w:val="left"/>
            </w:pPr>
            <w:r>
              <w:rPr>
                <w:sz w:val="19"/>
              </w:rPr>
              <w:t>执行前端依赖安装、测试与构建。</w:t>
            </w:r>
          </w:p>
        </w:tc>
        <w:tc>
          <w:tcPr>
            <w:tcW w:type="dxa" w:w="3384"/>
            <w:vAlign w:val="center"/>
          </w:tcPr>
          <w:p>
            <w:pPr>
              <w:spacing w:after="40" w:line="264" w:lineRule="auto"/>
              <w:jc w:val="left"/>
            </w:pPr>
            <w:r>
              <w:rPr>
                <w:sz w:val="19"/>
              </w:rPr>
              <w:t>GitHub Actions 已通过。</w:t>
            </w:r>
          </w:p>
        </w:tc>
      </w:tr>
      <w:tr>
        <w:tc>
          <w:tcPr>
            <w:tcW w:type="dxa" w:w="2520"/>
            <w:vAlign w:val="center"/>
          </w:tcPr>
          <w:p>
            <w:pPr>
              <w:spacing w:after="40" w:line="264" w:lineRule="auto"/>
              <w:jc w:val="left"/>
            </w:pPr>
            <w:r>
              <w:rPr>
                <w:sz w:val="19"/>
              </w:rPr>
              <w:t>`ci.yml` / `backend-test`</w:t>
            </w:r>
          </w:p>
        </w:tc>
        <w:tc>
          <w:tcPr>
            <w:tcW w:type="dxa" w:w="3456"/>
            <w:vAlign w:val="center"/>
          </w:tcPr>
          <w:p>
            <w:pPr>
              <w:spacing w:after="40" w:line="264" w:lineRule="auto"/>
              <w:jc w:val="left"/>
            </w:pPr>
            <w:r>
              <w:rPr>
                <w:sz w:val="19"/>
              </w:rPr>
              <w:t>执行后端 Maven 测试。</w:t>
            </w:r>
          </w:p>
        </w:tc>
        <w:tc>
          <w:tcPr>
            <w:tcW w:type="dxa" w:w="3384"/>
            <w:vAlign w:val="center"/>
          </w:tcPr>
          <w:p>
            <w:pPr>
              <w:spacing w:after="40" w:line="264" w:lineRule="auto"/>
              <w:jc w:val="left"/>
            </w:pPr>
            <w:r>
              <w:rPr>
                <w:sz w:val="19"/>
              </w:rPr>
              <w:t>GitHub Actions 已通过。</w:t>
            </w:r>
          </w:p>
        </w:tc>
      </w:tr>
      <w:tr>
        <w:tc>
          <w:tcPr>
            <w:tcW w:type="dxa" w:w="2520"/>
            <w:vAlign w:val="center"/>
          </w:tcPr>
          <w:p>
            <w:pPr>
              <w:spacing w:after="40" w:line="264" w:lineRule="auto"/>
              <w:jc w:val="left"/>
            </w:pPr>
            <w:r>
              <w:rPr>
                <w:sz w:val="19"/>
              </w:rPr>
              <w:t>`ci.yml` / `agent-test`</w:t>
            </w:r>
          </w:p>
        </w:tc>
        <w:tc>
          <w:tcPr>
            <w:tcW w:type="dxa" w:w="3456"/>
            <w:vAlign w:val="center"/>
          </w:tcPr>
          <w:p>
            <w:pPr>
              <w:spacing w:after="40" w:line="264" w:lineRule="auto"/>
              <w:jc w:val="left"/>
            </w:pPr>
            <w:r>
              <w:rPr>
                <w:sz w:val="19"/>
              </w:rPr>
              <w:t>执行 Agent Go 测试。</w:t>
            </w:r>
          </w:p>
        </w:tc>
        <w:tc>
          <w:tcPr>
            <w:tcW w:type="dxa" w:w="3384"/>
            <w:vAlign w:val="center"/>
          </w:tcPr>
          <w:p>
            <w:pPr>
              <w:spacing w:after="40" w:line="264" w:lineRule="auto"/>
              <w:jc w:val="left"/>
            </w:pPr>
            <w:r>
              <w:rPr>
                <w:sz w:val="19"/>
              </w:rPr>
              <w:t>GitHub Actions 已通过。</w:t>
            </w:r>
          </w:p>
        </w:tc>
      </w:tr>
      <w:tr>
        <w:tc>
          <w:tcPr>
            <w:tcW w:type="dxa" w:w="2520"/>
            <w:vAlign w:val="center"/>
          </w:tcPr>
          <w:p>
            <w:pPr>
              <w:spacing w:after="40" w:line="264" w:lineRule="auto"/>
              <w:jc w:val="left"/>
            </w:pPr>
            <w:r>
              <w:rPr>
                <w:sz w:val="19"/>
              </w:rPr>
              <w:t>`deploy-main.yml` / `packaging-test`</w:t>
            </w:r>
          </w:p>
        </w:tc>
        <w:tc>
          <w:tcPr>
            <w:tcW w:type="dxa" w:w="3456"/>
            <w:vAlign w:val="center"/>
          </w:tcPr>
          <w:p>
            <w:pPr>
              <w:spacing w:after="40" w:line="264" w:lineRule="auto"/>
              <w:jc w:val="left"/>
            </w:pPr>
            <w:r>
              <w:rPr>
                <w:sz w:val="19"/>
              </w:rPr>
              <w:t>执行关键配置回归脚本。</w:t>
            </w:r>
          </w:p>
        </w:tc>
        <w:tc>
          <w:tcPr>
            <w:tcW w:type="dxa" w:w="3384"/>
            <w:vAlign w:val="center"/>
          </w:tcPr>
          <w:p>
            <w:pPr>
              <w:spacing w:after="40" w:line="264" w:lineRule="auto"/>
              <w:jc w:val="left"/>
            </w:pPr>
            <w:r>
              <w:rPr>
                <w:sz w:val="19"/>
              </w:rPr>
              <w:t>GitHub Actions 已通过。</w:t>
            </w:r>
          </w:p>
        </w:tc>
      </w:tr>
      <w:tr>
        <w:tc>
          <w:tcPr>
            <w:tcW w:type="dxa" w:w="2520"/>
            <w:vAlign w:val="center"/>
          </w:tcPr>
          <w:p>
            <w:pPr>
              <w:spacing w:after="40" w:line="264" w:lineRule="auto"/>
              <w:jc w:val="left"/>
            </w:pPr>
            <w:r>
              <w:rPr>
                <w:sz w:val="19"/>
              </w:rPr>
              <w:t>`deploy-main.yml` / `smoke-test`</w:t>
            </w:r>
          </w:p>
        </w:tc>
        <w:tc>
          <w:tcPr>
            <w:tcW w:type="dxa" w:w="3456"/>
            <w:vAlign w:val="center"/>
          </w:tcPr>
          <w:p>
            <w:pPr>
              <w:spacing w:after="40" w:line="264" w:lineRule="auto"/>
              <w:jc w:val="left"/>
            </w:pPr>
            <w:r>
              <w:rPr>
                <w:sz w:val="19"/>
              </w:rPr>
              <w:t>验证完整环境闭环。</w:t>
            </w:r>
          </w:p>
        </w:tc>
        <w:tc>
          <w:tcPr>
            <w:tcW w:type="dxa" w:w="3384"/>
            <w:vAlign w:val="center"/>
          </w:tcPr>
          <w:p>
            <w:pPr>
              <w:spacing w:after="40" w:line="264" w:lineRule="auto"/>
              <w:jc w:val="left"/>
            </w:pPr>
            <w:r>
              <w:rPr>
                <w:sz w:val="19"/>
              </w:rPr>
              <w:t>GitHub Actions 已通过。</w:t>
            </w:r>
          </w:p>
        </w:tc>
      </w:tr>
      <w:tr>
        <w:tc>
          <w:tcPr>
            <w:tcW w:type="dxa" w:w="2520"/>
            <w:vAlign w:val="center"/>
          </w:tcPr>
          <w:p>
            <w:pPr>
              <w:spacing w:after="40" w:line="264" w:lineRule="auto"/>
              <w:jc w:val="left"/>
            </w:pPr>
            <w:r>
              <w:rPr>
                <w:sz w:val="19"/>
              </w:rPr>
              <w:t>`deploy-main.yml` / `deploy`</w:t>
            </w:r>
          </w:p>
        </w:tc>
        <w:tc>
          <w:tcPr>
            <w:tcW w:type="dxa" w:w="3456"/>
            <w:vAlign w:val="center"/>
          </w:tcPr>
          <w:p>
            <w:pPr>
              <w:spacing w:after="40" w:line="264" w:lineRule="auto"/>
              <w:jc w:val="left"/>
            </w:pPr>
            <w:r>
              <w:rPr>
                <w:sz w:val="19"/>
              </w:rPr>
              <w:t>在 smoke test 通过后执行远端部署。</w:t>
            </w:r>
          </w:p>
        </w:tc>
        <w:tc>
          <w:tcPr>
            <w:tcW w:type="dxa" w:w="3384"/>
            <w:vAlign w:val="center"/>
          </w:tcPr>
          <w:p>
            <w:pPr>
              <w:spacing w:after="40" w:line="264" w:lineRule="auto"/>
              <w:jc w:val="left"/>
            </w:pPr>
            <w:r>
              <w:rPr>
                <w:sz w:val="19"/>
              </w:rPr>
              <w:t>GitHub Actions 已通过。</w:t>
            </w:r>
          </w:p>
        </w:tc>
      </w:tr>
    </w:tbl>
    <w:p>
      <w:pPr>
        <w:spacing w:after="120"/>
      </w:pPr>
    </w:p>
    <w:tbl>
      <w:tblPr>
        <w:tblW w:type="auto" w:w="0"/>
        <w:jc w:val="center"/>
        <w:tblLook w:firstColumn="1" w:firstRow="1" w:lastColumn="0" w:lastRow="0" w:noHBand="0" w:noVBand="1" w:val="04A0"/>
      </w:tblPr>
      <w:tblGrid>
        <w:gridCol w:w="2986"/>
        <w:gridCol w:w="2986"/>
        <w:gridCol w:w="2986"/>
      </w:tblGrid>
      <w:tr>
        <w:tc>
          <w:tcPr>
            <w:tcW w:type="dxa" w:w="3384"/>
            <w:vAlign w:val="center"/>
          </w:tcPr>
          <w:p>
            <w:pPr>
              <w:spacing w:after="40" w:line="264" w:lineRule="auto"/>
              <w:jc w:val="center"/>
            </w:pPr>
            <w:r>
              <w:rPr>
                <w:b/>
                <w:sz w:val="19"/>
              </w:rPr>
              <w:t>脚本或检查点</w:t>
            </w:r>
          </w:p>
        </w:tc>
        <w:tc>
          <w:tcPr>
            <w:tcW w:type="dxa" w:w="3672"/>
            <w:vAlign w:val="center"/>
          </w:tcPr>
          <w:p>
            <w:pPr>
              <w:spacing w:after="40" w:line="264" w:lineRule="auto"/>
              <w:jc w:val="center"/>
            </w:pPr>
            <w:r>
              <w:rPr>
                <w:b/>
                <w:sz w:val="19"/>
              </w:rPr>
              <w:t>GitHub Actions 中的验证内容</w:t>
            </w:r>
          </w:p>
        </w:tc>
        <w:tc>
          <w:tcPr>
            <w:tcW w:type="dxa" w:w="1872"/>
            <w:vAlign w:val="center"/>
          </w:tcPr>
          <w:p>
            <w:pPr>
              <w:spacing w:after="40" w:line="264" w:lineRule="auto"/>
              <w:jc w:val="center"/>
            </w:pPr>
            <w:r>
              <w:rPr>
                <w:b/>
                <w:sz w:val="19"/>
              </w:rPr>
              <w:t>结果口径</w:t>
            </w:r>
          </w:p>
        </w:tc>
      </w:tr>
      <w:tr>
        <w:tc>
          <w:tcPr>
            <w:tcW w:type="dxa" w:w="3384"/>
            <w:vAlign w:val="center"/>
          </w:tcPr>
          <w:p>
            <w:pPr>
              <w:spacing w:after="40" w:line="264" w:lineRule="auto"/>
              <w:jc w:val="left"/>
            </w:pPr>
            <w:r>
              <w:rPr>
                <w:sz w:val="19"/>
              </w:rPr>
              <w:t>`tests/skywalking-agent-source-test.sh`</w:t>
            </w:r>
          </w:p>
        </w:tc>
        <w:tc>
          <w:tcPr>
            <w:tcW w:type="dxa" w:w="3672"/>
            <w:vAlign w:val="center"/>
          </w:tcPr>
          <w:p>
            <w:pPr>
              <w:spacing w:after="40" w:line="264" w:lineRule="auto"/>
              <w:jc w:val="left"/>
            </w:pPr>
            <w:r>
              <w:rPr>
                <w:sz w:val="19"/>
              </w:rPr>
              <w:t>检查 app-node 与 middleware-node Dockerfile 是否继续从 Apache 归档包复制 SkyWalking Java Agent。</w:t>
            </w:r>
          </w:p>
        </w:tc>
        <w:tc>
          <w:tcPr>
            <w:tcW w:type="dxa" w:w="1872"/>
            <w:vAlign w:val="center"/>
          </w:tcPr>
          <w:p>
            <w:pPr>
              <w:spacing w:after="40" w:line="264" w:lineRule="auto"/>
              <w:jc w:val="left"/>
            </w:pPr>
            <w:r>
              <w:rPr>
                <w:sz w:val="19"/>
              </w:rPr>
              <w:t>`packaging-test` 已通过。</w:t>
            </w:r>
          </w:p>
        </w:tc>
      </w:tr>
      <w:tr>
        <w:tc>
          <w:tcPr>
            <w:tcW w:type="dxa" w:w="3384"/>
            <w:vAlign w:val="center"/>
          </w:tcPr>
          <w:p>
            <w:pPr>
              <w:spacing w:after="40" w:line="264" w:lineRule="auto"/>
              <w:jc w:val="left"/>
            </w:pPr>
            <w:r>
              <w:rPr>
                <w:sz w:val="19"/>
              </w:rPr>
              <w:t>`tests/prometheus-route-prefix-test.sh`</w:t>
            </w:r>
          </w:p>
        </w:tc>
        <w:tc>
          <w:tcPr>
            <w:tcW w:type="dxa" w:w="3672"/>
            <w:vAlign w:val="center"/>
          </w:tcPr>
          <w:p>
            <w:pPr>
              <w:spacing w:after="40" w:line="264" w:lineRule="auto"/>
              <w:jc w:val="left"/>
            </w:pPr>
            <w:r>
              <w:rPr>
                <w:sz w:val="19"/>
              </w:rPr>
              <w:t>检查 Prometheus route-prefix 与 smoke test 健康检查路径是否一致。</w:t>
            </w:r>
          </w:p>
        </w:tc>
        <w:tc>
          <w:tcPr>
            <w:tcW w:type="dxa" w:w="1872"/>
            <w:vAlign w:val="center"/>
          </w:tcPr>
          <w:p>
            <w:pPr>
              <w:spacing w:after="40" w:line="264" w:lineRule="auto"/>
              <w:jc w:val="left"/>
            </w:pPr>
            <w:r>
              <w:rPr>
                <w:sz w:val="19"/>
              </w:rPr>
              <w:t>`packaging-test` 已通过。</w:t>
            </w:r>
          </w:p>
        </w:tc>
      </w:tr>
      <w:tr>
        <w:tc>
          <w:tcPr>
            <w:tcW w:type="dxa" w:w="3384"/>
            <w:vAlign w:val="center"/>
          </w:tcPr>
          <w:p>
            <w:pPr>
              <w:spacing w:after="40" w:line="264" w:lineRule="auto"/>
              <w:jc w:val="left"/>
            </w:pPr>
            <w:r>
              <w:rPr>
                <w:sz w:val="19"/>
              </w:rPr>
              <w:t>`tests/deploy-observability-config-test.sh`</w:t>
            </w:r>
          </w:p>
        </w:tc>
        <w:tc>
          <w:tcPr>
            <w:tcW w:type="dxa" w:w="3672"/>
            <w:vAlign w:val="center"/>
          </w:tcPr>
          <w:p>
            <w:pPr>
              <w:spacing w:after="40" w:line="264" w:lineRule="auto"/>
              <w:jc w:val="left"/>
            </w:pPr>
            <w:r>
              <w:rPr>
                <w:sz w:val="19"/>
              </w:rPr>
              <w:t>检查部署脚本中的 Prometheus、Grafana、SkyWalking 关键等待逻辑与业务 Trace 预热路径。</w:t>
            </w:r>
          </w:p>
        </w:tc>
        <w:tc>
          <w:tcPr>
            <w:tcW w:type="dxa" w:w="1872"/>
            <w:vAlign w:val="center"/>
          </w:tcPr>
          <w:p>
            <w:pPr>
              <w:spacing w:after="40" w:line="264" w:lineRule="auto"/>
              <w:jc w:val="left"/>
            </w:pPr>
            <w:r>
              <w:rPr>
                <w:sz w:val="19"/>
              </w:rPr>
              <w:t>`packaging-test` 已通过。</w:t>
            </w:r>
          </w:p>
        </w:tc>
      </w:tr>
      <w:tr>
        <w:tc>
          <w:tcPr>
            <w:tcW w:type="dxa" w:w="3384"/>
            <w:vAlign w:val="center"/>
          </w:tcPr>
          <w:p>
            <w:pPr>
              <w:spacing w:after="40" w:line="264" w:lineRule="auto"/>
              <w:jc w:val="left"/>
            </w:pPr>
            <w:r>
              <w:rPr>
                <w:sz w:val="19"/>
              </w:rPr>
              <w:t>`tests/smoke-test.sh`</w:t>
            </w:r>
          </w:p>
        </w:tc>
        <w:tc>
          <w:tcPr>
            <w:tcW w:type="dxa" w:w="3672"/>
            <w:vAlign w:val="center"/>
          </w:tcPr>
          <w:p>
            <w:pPr>
              <w:spacing w:after="40" w:line="264" w:lineRule="auto"/>
              <w:jc w:val="left"/>
            </w:pPr>
            <w:r>
              <w:rPr>
                <w:sz w:val="19"/>
              </w:rPr>
              <w:t>启动完整环境并检查节点注册、服务发现、Prometheus 抓取与业务 Trace。</w:t>
            </w:r>
          </w:p>
        </w:tc>
        <w:tc>
          <w:tcPr>
            <w:tcW w:type="dxa" w:w="1872"/>
            <w:vAlign w:val="center"/>
          </w:tcPr>
          <w:p>
            <w:pPr>
              <w:spacing w:after="40" w:line="264" w:lineRule="auto"/>
              <w:jc w:val="left"/>
            </w:pPr>
            <w:r>
              <w:rPr>
                <w:sz w:val="19"/>
              </w:rPr>
              <w:t>`smoke-test` 已通过。</w:t>
            </w:r>
          </w:p>
        </w:tc>
      </w:tr>
      <w:tr>
        <w:tc>
          <w:tcPr>
            <w:tcW w:type="dxa" w:w="3384"/>
            <w:vAlign w:val="center"/>
          </w:tcPr>
          <w:p>
            <w:pPr>
              <w:spacing w:after="40" w:line="264" w:lineRule="auto"/>
              <w:jc w:val="left"/>
            </w:pPr>
            <w:r>
              <w:rPr>
                <w:sz w:val="19"/>
              </w:rPr>
              <w:t>`deploy/deploy-main.sh`</w:t>
            </w:r>
          </w:p>
        </w:tc>
        <w:tc>
          <w:tcPr>
            <w:tcW w:type="dxa" w:w="3672"/>
            <w:vAlign w:val="center"/>
          </w:tcPr>
          <w:p>
            <w:pPr>
              <w:spacing w:after="40" w:line="264" w:lineRule="auto"/>
              <w:jc w:val="left"/>
            </w:pPr>
            <w:r>
              <w:rPr>
                <w:sz w:val="19"/>
              </w:rPr>
              <w:t>在 smoke test 之后执行远端部署，并等待健康检查、targets 与业务 Trace。</w:t>
            </w:r>
          </w:p>
        </w:tc>
        <w:tc>
          <w:tcPr>
            <w:tcW w:type="dxa" w:w="1872"/>
            <w:vAlign w:val="center"/>
          </w:tcPr>
          <w:p>
            <w:pPr>
              <w:spacing w:after="40" w:line="264" w:lineRule="auto"/>
              <w:jc w:val="left"/>
            </w:pPr>
            <w:r>
              <w:rPr>
                <w:sz w:val="19"/>
              </w:rPr>
              <w:t>`deploy` 已通过。</w:t>
            </w:r>
          </w:p>
        </w:tc>
      </w:tr>
    </w:tbl>
    <w:p>
      <w:pPr>
        <w:spacing w:after="120"/>
      </w:pPr>
    </w:p>
    <w:tbl>
      <w:tblPr>
        <w:tblW w:type="auto" w:w="0"/>
        <w:jc w:val="center"/>
        <w:tblLook w:firstColumn="1" w:firstRow="1" w:lastColumn="0" w:lastRow="0" w:noHBand="0" w:noVBand="1" w:val="04A0"/>
      </w:tblPr>
      <w:tblGrid>
        <w:gridCol w:w="2986"/>
        <w:gridCol w:w="2986"/>
        <w:gridCol w:w="2986"/>
      </w:tblGrid>
      <w:tr>
        <w:tc>
          <w:tcPr>
            <w:tcW w:type="dxa" w:w="2016"/>
            <w:vAlign w:val="center"/>
          </w:tcPr>
          <w:p>
            <w:pPr>
              <w:spacing w:after="40" w:line="264" w:lineRule="auto"/>
              <w:jc w:val="center"/>
            </w:pPr>
            <w:r>
              <w:rPr>
                <w:b/>
                <w:sz w:val="19"/>
              </w:rPr>
              <w:t>关键检查点</w:t>
            </w:r>
          </w:p>
        </w:tc>
        <w:tc>
          <w:tcPr>
            <w:tcW w:type="dxa" w:w="3528"/>
            <w:vAlign w:val="center"/>
          </w:tcPr>
          <w:p>
            <w:pPr>
              <w:spacing w:after="40" w:line="264" w:lineRule="auto"/>
              <w:jc w:val="center"/>
            </w:pPr>
            <w:r>
              <w:rPr>
                <w:b/>
                <w:sz w:val="19"/>
              </w:rPr>
              <w:t>断言内容</w:t>
            </w:r>
          </w:p>
        </w:tc>
        <w:tc>
          <w:tcPr>
            <w:tcW w:type="dxa" w:w="3024"/>
            <w:vAlign w:val="center"/>
          </w:tcPr>
          <w:p>
            <w:pPr>
              <w:spacing w:after="40" w:line="264" w:lineRule="auto"/>
              <w:jc w:val="center"/>
            </w:pPr>
            <w:r>
              <w:rPr>
                <w:b/>
                <w:sz w:val="19"/>
              </w:rPr>
              <w:t>对应意义</w:t>
            </w:r>
          </w:p>
        </w:tc>
      </w:tr>
      <w:tr>
        <w:tc>
          <w:tcPr>
            <w:tcW w:type="dxa" w:w="2016"/>
            <w:vAlign w:val="center"/>
          </w:tcPr>
          <w:p>
            <w:pPr>
              <w:spacing w:after="40" w:line="264" w:lineRule="auto"/>
              <w:jc w:val="left"/>
            </w:pPr>
            <w:r>
              <w:rPr>
                <w:sz w:val="19"/>
              </w:rPr>
              <w:t>节点注册</w:t>
            </w:r>
          </w:p>
        </w:tc>
        <w:tc>
          <w:tcPr>
            <w:tcW w:type="dxa" w:w="3528"/>
            <w:vAlign w:val="center"/>
          </w:tcPr>
          <w:p>
            <w:pPr>
              <w:spacing w:after="40" w:line="264" w:lineRule="auto"/>
              <w:jc w:val="left"/>
            </w:pPr>
            <w:r>
              <w:rPr>
                <w:sz w:val="19"/>
              </w:rPr>
              <w:t>`/api/nodes` 中出现 `app-node` 和 `middleware-node`。</w:t>
            </w:r>
          </w:p>
        </w:tc>
        <w:tc>
          <w:tcPr>
            <w:tcW w:type="dxa" w:w="3024"/>
            <w:vAlign w:val="center"/>
          </w:tcPr>
          <w:p>
            <w:pPr>
              <w:spacing w:after="40" w:line="264" w:lineRule="auto"/>
              <w:jc w:val="left"/>
            </w:pPr>
            <w:r>
              <w:rPr>
                <w:sz w:val="19"/>
              </w:rPr>
              <w:t>证明 Agent 注册链路成立。</w:t>
            </w:r>
          </w:p>
        </w:tc>
      </w:tr>
      <w:tr>
        <w:tc>
          <w:tcPr>
            <w:tcW w:type="dxa" w:w="2016"/>
            <w:vAlign w:val="center"/>
          </w:tcPr>
          <w:p>
            <w:pPr>
              <w:spacing w:after="40" w:line="264" w:lineRule="auto"/>
              <w:jc w:val="left"/>
            </w:pPr>
            <w:r>
              <w:rPr>
                <w:sz w:val="19"/>
              </w:rPr>
              <w:t>服务发现</w:t>
            </w:r>
          </w:p>
        </w:tc>
        <w:tc>
          <w:tcPr>
            <w:tcW w:type="dxa" w:w="3528"/>
            <w:vAlign w:val="center"/>
          </w:tcPr>
          <w:p>
            <w:pPr>
              <w:spacing w:after="40" w:line="264" w:lineRule="auto"/>
              <w:jc w:val="left"/>
            </w:pPr>
            <w:r>
              <w:rPr>
                <w:sz w:val="19"/>
              </w:rPr>
              <w:t>`/api/services` 中出现 `SPRING_BOOT` 与 `MYSQL`。</w:t>
            </w:r>
          </w:p>
        </w:tc>
        <w:tc>
          <w:tcPr>
            <w:tcW w:type="dxa" w:w="3024"/>
            <w:vAlign w:val="center"/>
          </w:tcPr>
          <w:p>
            <w:pPr>
              <w:spacing w:after="40" w:line="264" w:lineRule="auto"/>
              <w:jc w:val="left"/>
            </w:pPr>
            <w:r>
              <w:rPr>
                <w:sz w:val="19"/>
              </w:rPr>
              <w:t>证明节点目录与服务目录已同步。</w:t>
            </w:r>
          </w:p>
        </w:tc>
      </w:tr>
      <w:tr>
        <w:tc>
          <w:tcPr>
            <w:tcW w:type="dxa" w:w="2016"/>
            <w:vAlign w:val="center"/>
          </w:tcPr>
          <w:p>
            <w:pPr>
              <w:spacing w:after="40" w:line="264" w:lineRule="auto"/>
              <w:jc w:val="left"/>
            </w:pPr>
            <w:r>
              <w:rPr>
                <w:sz w:val="19"/>
              </w:rPr>
              <w:t>指标抓取</w:t>
            </w:r>
          </w:p>
        </w:tc>
        <w:tc>
          <w:tcPr>
            <w:tcW w:type="dxa" w:w="3528"/>
            <w:vAlign w:val="center"/>
          </w:tcPr>
          <w:p>
            <w:pPr>
              <w:spacing w:after="40" w:line="264" w:lineRule="auto"/>
              <w:jc w:val="left"/>
            </w:pPr>
            <w:r>
              <w:rPr>
                <w:sz w:val="19"/>
              </w:rPr>
              <w:t>Prometheus targets 中出现 `sample-service`。</w:t>
            </w:r>
          </w:p>
        </w:tc>
        <w:tc>
          <w:tcPr>
            <w:tcW w:type="dxa" w:w="3024"/>
            <w:vAlign w:val="center"/>
          </w:tcPr>
          <w:p>
            <w:pPr>
              <w:spacing w:after="40" w:line="264" w:lineRule="auto"/>
              <w:jc w:val="left"/>
            </w:pPr>
            <w:r>
              <w:rPr>
                <w:sz w:val="19"/>
              </w:rPr>
              <w:t>证明 Prometheus 已接到业务指标源。</w:t>
            </w:r>
          </w:p>
        </w:tc>
      </w:tr>
      <w:tr>
        <w:tc>
          <w:tcPr>
            <w:tcW w:type="dxa" w:w="2016"/>
            <w:vAlign w:val="center"/>
          </w:tcPr>
          <w:p>
            <w:pPr>
              <w:spacing w:after="40" w:line="264" w:lineRule="auto"/>
              <w:jc w:val="left"/>
            </w:pPr>
            <w:r>
              <w:rPr>
                <w:sz w:val="19"/>
              </w:rPr>
              <w:t>链路形成</w:t>
            </w:r>
          </w:p>
        </w:tc>
        <w:tc>
          <w:tcPr>
            <w:tcW w:type="dxa" w:w="3528"/>
            <w:vAlign w:val="center"/>
          </w:tcPr>
          <w:p>
            <w:pPr>
              <w:spacing w:after="40" w:line="264" w:lineRule="auto"/>
              <w:jc w:val="left"/>
            </w:pPr>
            <w:r>
              <w:rPr>
                <w:sz w:val="19"/>
              </w:rPr>
              <w:t>`/api/tracing/summary` 中出现 `/api/demo-chain`。</w:t>
            </w:r>
          </w:p>
        </w:tc>
        <w:tc>
          <w:tcPr>
            <w:tcW w:type="dxa" w:w="3024"/>
            <w:vAlign w:val="center"/>
          </w:tcPr>
          <w:p>
            <w:pPr>
              <w:spacing w:after="40" w:line="264" w:lineRule="auto"/>
              <w:jc w:val="left"/>
            </w:pPr>
            <w:r>
              <w:rPr>
                <w:sz w:val="19"/>
              </w:rPr>
              <w:t>证明业务 Trace 已被 SkyWalking 和后端摘要链路接住。</w:t>
            </w:r>
          </w:p>
        </w:tc>
      </w:tr>
      <w:tr>
        <w:tc>
          <w:tcPr>
            <w:tcW w:type="dxa" w:w="2016"/>
            <w:vAlign w:val="center"/>
          </w:tcPr>
          <w:p>
            <w:pPr>
              <w:spacing w:after="40" w:line="264" w:lineRule="auto"/>
              <w:jc w:val="left"/>
            </w:pPr>
            <w:r>
              <w:rPr>
                <w:sz w:val="19"/>
              </w:rPr>
              <w:t>部署后预热</w:t>
            </w:r>
          </w:p>
        </w:tc>
        <w:tc>
          <w:tcPr>
            <w:tcW w:type="dxa" w:w="3528"/>
            <w:vAlign w:val="center"/>
          </w:tcPr>
          <w:p>
            <w:pPr>
              <w:spacing w:after="40" w:line="264" w:lineRule="auto"/>
              <w:jc w:val="left"/>
            </w:pPr>
            <w:r>
              <w:rPr>
                <w:sz w:val="19"/>
              </w:rPr>
              <w:t>`deploy-main.sh` 主动 warmup `/api/demo-chain` 并重试等待业务 Trace。</w:t>
            </w:r>
          </w:p>
        </w:tc>
        <w:tc>
          <w:tcPr>
            <w:tcW w:type="dxa" w:w="3024"/>
            <w:vAlign w:val="center"/>
          </w:tcPr>
          <w:p>
            <w:pPr>
              <w:spacing w:after="40" w:line="264" w:lineRule="auto"/>
              <w:jc w:val="left"/>
            </w:pPr>
            <w:r>
              <w:rPr>
                <w:sz w:val="19"/>
              </w:rPr>
              <w:t>证明远端部署不是只拉起容器，而是继续验证观测闭环。</w:t>
            </w:r>
          </w:p>
        </w:tc>
      </w:tr>
    </w:tbl>
    <w:p>
      <w:pPr>
        <w:spacing w:after="120"/>
      </w:pPr>
    </w:p>
    <w:p>
      <w:pPr>
        <w:spacing w:after="120" w:line="300" w:lineRule="auto"/>
      </w:pPr>
      <w:r>
        <w:rPr>
          <w:i w:val="0"/>
          <w:sz w:val="21"/>
        </w:rPr>
        <w:t>工作流顺序为：先在 PR 阶段完成前端、后端、Agent 的基础回归，再在 main 工作流中补齐配置检查、完整冒烟和远端部署。</w:t>
      </w:r>
    </w:p>
    <w:p>
      <w:pPr>
        <w:spacing w:after="80" w:line="300" w:lineRule="auto"/>
        <w:jc w:val="center"/>
      </w:pPr>
      <w:r>
        <w:rPr>
          <w:i w:val="0"/>
          <w:sz w:val="21"/>
        </w:rPr>
        <w:drawing>
          <wp:inline xmlns:a="http://schemas.openxmlformats.org/drawingml/2006/main" xmlns:pic="http://schemas.openxmlformats.org/drawingml/2006/picture">
            <wp:extent cx="5303520" cy="5749127"/>
            <wp:docPr id="4" name="Picture 4"/>
            <wp:cNvGraphicFramePr>
              <a:graphicFrameLocks noChangeAspect="1"/>
            </wp:cNvGraphicFramePr>
            <a:graphic>
              <a:graphicData uri="http://schemas.openxmlformats.org/drawingml/2006/picture">
                <pic:pic>
                  <pic:nvPicPr>
                    <pic:cNvPr id="0" name="Prometheus后台（targets）.png"/>
                    <pic:cNvPicPr/>
                  </pic:nvPicPr>
                  <pic:blipFill>
                    <a:blip r:embed="rId8"/>
                    <a:stretch>
                      <a:fillRect/>
                    </a:stretch>
                  </pic:blipFill>
                  <pic:spPr>
                    <a:xfrm>
                      <a:off x="0" y="0"/>
                      <a:ext cx="5303520" cy="5749127"/>
                    </a:xfrm>
                    <a:prstGeom prst="rect"/>
                  </pic:spPr>
                </pic:pic>
              </a:graphicData>
            </a:graphic>
          </wp:inline>
        </w:drawing>
      </w:r>
    </w:p>
    <w:p>
      <w:pPr>
        <w:spacing w:after="160" w:line="300" w:lineRule="auto"/>
        <w:jc w:val="center"/>
      </w:pPr>
      <w:r>
        <w:rPr>
          <w:i/>
          <w:sz w:val="21"/>
        </w:rPr>
        <w:t>图3 Prometheus targets 截图</w:t>
      </w:r>
    </w:p>
    <w:p>
      <w:pPr>
        <w:spacing w:after="80" w:line="300" w:lineRule="auto"/>
        <w:jc w:val="center"/>
      </w:pPr>
      <w:r>
        <w:rPr>
          <w:i w:val="0"/>
          <w:sz w:val="21"/>
        </w:rPr>
        <w:drawing>
          <wp:inline xmlns:a="http://schemas.openxmlformats.org/drawingml/2006/main" xmlns:pic="http://schemas.openxmlformats.org/drawingml/2006/picture">
            <wp:extent cx="5303520" cy="8379005"/>
            <wp:docPr id="5" name="Picture 5"/>
            <wp:cNvGraphicFramePr>
              <a:graphicFrameLocks noChangeAspect="1"/>
            </wp:cNvGraphicFramePr>
            <a:graphic>
              <a:graphicData uri="http://schemas.openxmlformats.org/drawingml/2006/picture">
                <pic:pic>
                  <pic:nvPicPr>
                    <pic:cNvPr id="0" name="Prometheus后台（service discovery）.png"/>
                    <pic:cNvPicPr/>
                  </pic:nvPicPr>
                  <pic:blipFill>
                    <a:blip r:embed="rId9"/>
                    <a:stretch>
                      <a:fillRect/>
                    </a:stretch>
                  </pic:blipFill>
                  <pic:spPr>
                    <a:xfrm>
                      <a:off x="0" y="0"/>
                      <a:ext cx="5303520" cy="8379005"/>
                    </a:xfrm>
                    <a:prstGeom prst="rect"/>
                  </pic:spPr>
                </pic:pic>
              </a:graphicData>
            </a:graphic>
          </wp:inline>
        </w:drawing>
      </w:r>
    </w:p>
    <w:p>
      <w:pPr>
        <w:spacing w:after="160" w:line="300" w:lineRule="auto"/>
        <w:jc w:val="center"/>
      </w:pPr>
      <w:r>
        <w:rPr>
          <w:i/>
          <w:sz w:val="21"/>
        </w:rPr>
        <w:t>图4 Prometheus service discovery 截图</w:t>
      </w:r>
    </w:p>
    <w:p>
      <w:pPr>
        <w:spacing w:after="80" w:line="300" w:lineRule="auto"/>
        <w:jc w:val="center"/>
      </w:pPr>
      <w:r>
        <w:rPr>
          <w:i w:val="0"/>
          <w:sz w:val="21"/>
        </w:rPr>
        <w:drawing>
          <wp:inline xmlns:a="http://schemas.openxmlformats.org/drawingml/2006/main" xmlns:pic="http://schemas.openxmlformats.org/drawingml/2006/picture">
            <wp:extent cx="5303520" cy="3251763"/>
            <wp:docPr id="6" name="Picture 6"/>
            <wp:cNvGraphicFramePr>
              <a:graphicFrameLocks noChangeAspect="1"/>
            </wp:cNvGraphicFramePr>
            <a:graphic>
              <a:graphicData uri="http://schemas.openxmlformats.org/drawingml/2006/picture">
                <pic:pic>
                  <pic:nvPicPr>
                    <pic:cNvPr id="0" name="SkyWalking Trace.png"/>
                    <pic:cNvPicPr/>
                  </pic:nvPicPr>
                  <pic:blipFill>
                    <a:blip r:embed="rId10"/>
                    <a:stretch>
                      <a:fillRect/>
                    </a:stretch>
                  </pic:blipFill>
                  <pic:spPr>
                    <a:xfrm>
                      <a:off x="0" y="0"/>
                      <a:ext cx="5303520" cy="3251763"/>
                    </a:xfrm>
                    <a:prstGeom prst="rect"/>
                  </pic:spPr>
                </pic:pic>
              </a:graphicData>
            </a:graphic>
          </wp:inline>
        </w:drawing>
      </w:r>
    </w:p>
    <w:p>
      <w:pPr>
        <w:spacing w:after="160" w:line="300" w:lineRule="auto"/>
        <w:jc w:val="center"/>
      </w:pPr>
      <w:r>
        <w:rPr>
          <w:i/>
          <w:sz w:val="21"/>
        </w:rPr>
        <w:t>图5 SkyWalking Trace 截图</w:t>
      </w:r>
    </w:p>
    <w:p>
      <w:pPr>
        <w:spacing w:after="80" w:line="300" w:lineRule="auto"/>
        <w:jc w:val="center"/>
      </w:pPr>
      <w:r>
        <w:rPr>
          <w:i w:val="0"/>
          <w:sz w:val="21"/>
        </w:rPr>
        <w:drawing>
          <wp:inline xmlns:a="http://schemas.openxmlformats.org/drawingml/2006/main" xmlns:pic="http://schemas.openxmlformats.org/drawingml/2006/picture">
            <wp:extent cx="5303520" cy="6341971"/>
            <wp:docPr id="7" name="Picture 7"/>
            <wp:cNvGraphicFramePr>
              <a:graphicFrameLocks noChangeAspect="1"/>
            </wp:cNvGraphicFramePr>
            <a:graphic>
              <a:graphicData uri="http://schemas.openxmlformats.org/drawingml/2006/picture">
                <pic:pic>
                  <pic:nvPicPr>
                    <pic:cNvPr id="0" name="GitHub actions.png"/>
                    <pic:cNvPicPr/>
                  </pic:nvPicPr>
                  <pic:blipFill>
                    <a:blip r:embed="rId11"/>
                    <a:stretch>
                      <a:fillRect/>
                    </a:stretch>
                  </pic:blipFill>
                  <pic:spPr>
                    <a:xfrm>
                      <a:off x="0" y="0"/>
                      <a:ext cx="5303520" cy="6341971"/>
                    </a:xfrm>
                    <a:prstGeom prst="rect"/>
                  </pic:spPr>
                </pic:pic>
              </a:graphicData>
            </a:graphic>
          </wp:inline>
        </w:drawing>
      </w:r>
    </w:p>
    <w:p>
      <w:pPr>
        <w:spacing w:after="160" w:line="300" w:lineRule="auto"/>
        <w:jc w:val="center"/>
      </w:pPr>
      <w:r>
        <w:rPr>
          <w:i/>
          <w:sz w:val="21"/>
        </w:rPr>
        <w:t>图6 GitHub Actions 截图</w:t>
      </w:r>
    </w:p>
    <w:p>
      <w:pPr>
        <w:spacing w:after="80" w:line="300" w:lineRule="auto"/>
        <w:jc w:val="center"/>
      </w:pPr>
      <w:r>
        <w:rPr>
          <w:i w:val="0"/>
          <w:sz w:val="21"/>
        </w:rPr>
        <w:drawing>
          <wp:inline xmlns:a="http://schemas.openxmlformats.org/drawingml/2006/main" xmlns:pic="http://schemas.openxmlformats.org/drawingml/2006/picture">
            <wp:extent cx="5303520" cy="7192899"/>
            <wp:docPr id="8" name="Picture 8"/>
            <wp:cNvGraphicFramePr>
              <a:graphicFrameLocks noChangeAspect="1"/>
            </wp:cNvGraphicFramePr>
            <a:graphic>
              <a:graphicData uri="http://schemas.openxmlformats.org/drawingml/2006/picture">
                <pic:pic>
                  <pic:nvPicPr>
                    <pic:cNvPr id="0" name="调试面板.png"/>
                    <pic:cNvPicPr/>
                  </pic:nvPicPr>
                  <pic:blipFill>
                    <a:blip r:embed="rId12"/>
                    <a:stretch>
                      <a:fillRect/>
                    </a:stretch>
                  </pic:blipFill>
                  <pic:spPr>
                    <a:xfrm>
                      <a:off x="0" y="0"/>
                      <a:ext cx="5303520" cy="7192899"/>
                    </a:xfrm>
                    <a:prstGeom prst="rect"/>
                  </pic:spPr>
                </pic:pic>
              </a:graphicData>
            </a:graphic>
          </wp:inline>
        </w:drawing>
      </w:r>
    </w:p>
    <w:p>
      <w:pPr>
        <w:spacing w:after="160" w:line="300" w:lineRule="auto"/>
        <w:jc w:val="center"/>
      </w:pPr>
      <w:r>
        <w:rPr>
          <w:i/>
          <w:sz w:val="21"/>
        </w:rPr>
        <w:t>图7 调试面板截图</w:t>
      </w:r>
    </w:p>
    <w:p>
      <w:pPr>
        <w:spacing w:after="120" w:line="300" w:lineRule="auto"/>
      </w:pPr>
      <w:r>
        <w:rPr>
          <w:i w:val="0"/>
          <w:sz w:val="21"/>
        </w:rPr>
        <w:t>这些截图在测试文档中的作用并不相同。Prometheus targets 和 service discovery 用来证明抓取链路已经建立；SkyWalking Trace 用来证明业务链路确实形成；GitHub Actions 用来证明自动化链路已经跑通；调试面板截图则说明前台已经把原始观测入口组织成可直接排查的工作台。</w:t>
      </w:r>
    </w:p>
    <w:p>
      <w:pPr>
        <w:spacing w:after="120" w:line="300" w:lineRule="auto"/>
      </w:pPr>
      <w:r>
        <w:rPr>
          <w:i w:val="0"/>
          <w:sz w:val="21"/>
        </w:rPr>
        <w:t>测试文档、报告和答辩 PPT 中使用的前台页面截图，均来自公网部署地址 http://103.236.55.76/ 的实际访问结果，不使用本地开发环境页面截图。这样页面证据与在线复核入口保持一致。</w:t>
      </w:r>
    </w:p>
    <w:p>
      <w:pPr>
        <w:spacing w:after="120" w:line="300" w:lineRule="auto"/>
      </w:pPr>
      <w:r>
        <w:rPr>
          <w:i w:val="0"/>
          <w:sz w:val="21"/>
        </w:rPr>
        <w:t>演示视频按总览、节点或服务下钻、链路追踪、原生后台回证的顺序组织，只作为展示路径补充，不替代代码、脚本和工作流证据。</w:t>
      </w:r>
    </w:p>
    <w:p w14:paraId="4E88F23F">
      <w:pPr>
        <w:rPr>
          <w:rFonts w:ascii="宋体" w:hAnsi="宋体"/>
          <w:b/>
          <w:sz w:val="36"/>
        </w:rPr>
      </w:pPr>
      <w:r>
        <w:rPr>
          <w:rFonts w:hint="eastAsia" w:ascii="宋体" w:hAnsi="宋体"/>
          <w:b/>
          <w:sz w:val="36"/>
        </w:rPr>
        <w:t>4</w:t>
      </w:r>
      <w:r>
        <w:rPr>
          <w:rFonts w:ascii="宋体" w:hAnsi="宋体"/>
          <w:b/>
          <w:sz w:val="36"/>
        </w:rPr>
        <w:t>、结论</w:t>
      </w:r>
    </w:p>
    <w:p>
      <w:pPr>
        <w:spacing w:after="120" w:line="300" w:lineRule="auto"/>
      </w:pPr>
      <w:r>
        <w:rPr>
          <w:i w:val="0"/>
          <w:sz w:val="21"/>
        </w:rPr>
        <w:t>从仓库证据看，这套项目已经具备课程设计所需的主链路：节点纳管、服务发现、主机资源采集、统一总览、服务下钻、调用链展示和自动部署验收。</w:t>
      </w:r>
    </w:p>
    <w:p>
      <w:pPr>
        <w:spacing w:after="120" w:line="300" w:lineRule="auto"/>
      </w:pPr>
      <w:r>
        <w:rPr>
          <w:i w:val="0"/>
          <w:sz w:val="21"/>
        </w:rPr>
        <w:t>同时也要把边界说清楚：演示环境中的 MySQL 被刻意保留为未接独立 exporter 的状态，用于验证异常识别；Prometheus 仍是静态 targets；当前部署形态偏演示环境。这些边界不影响课程要求中的监控闭环和自动化验收。</w:t>
      </w:r>
    </w:p>
    <w:p>
      <w:pPr>
        <w:spacing w:after="120" w:line="300" w:lineRule="auto"/>
      </w:pPr>
      <w:r>
        <w:rPr>
          <w:i w:val="0"/>
          <w:sz w:val="21"/>
        </w:rPr>
        <w:t>当前测试证据包括模块级测试、配置回归、冒烟验证和远端部署四层记录。</w:t>
      </w:r>
    </w:p>
    <w:p>
      <w:pPr>
        <w:spacing w:after="120" w:line="300" w:lineRule="auto"/>
      </w:pPr>
      <w:r>
        <w:rPr>
          <w:i w:val="0"/>
          <w:sz w:val="21"/>
        </w:rPr>
        <w:t>结论口径以 GitHub Actions 运行记录、脚本断言和截图材料为准。课程设计所要求的关键链路已经被多层证据覆盖，当前版本状态可以由工作流记录和界面材料共同证明。</w:t>
      </w:r>
    </w:p>
    <w:p w14:paraId="6D66D245">
      <w:pPr>
        <w:rPr>
          <w:rFonts w:ascii="宋体" w:hAnsi="宋体"/>
          <w:b/>
          <w:sz w:val="36"/>
        </w:rPr>
      </w:pPr>
      <w:r>
        <w:rPr>
          <w:rFonts w:hint="eastAsia" w:ascii="宋体" w:hAnsi="宋体"/>
          <w:b/>
          <w:sz w:val="36"/>
        </w:rPr>
        <w:t>5</w:t>
      </w:r>
      <w:r>
        <w:rPr>
          <w:rFonts w:ascii="宋体" w:hAnsi="宋体"/>
          <w:b/>
          <w:sz w:val="36"/>
        </w:rPr>
        <w:t>、</w:t>
      </w:r>
      <w:r>
        <w:rPr>
          <w:rFonts w:hint="eastAsia" w:ascii="宋体" w:hAnsi="宋体"/>
          <w:b/>
          <w:sz w:val="36"/>
        </w:rPr>
        <w:t>其他</w:t>
      </w:r>
    </w:p>
    <w:p>
      <w:pPr>
        <w:spacing w:after="120" w:line="300" w:lineRule="auto"/>
      </w:pPr>
      <w:r>
        <w:rPr>
          <w:i w:val="0"/>
          <w:sz w:val="21"/>
        </w:rPr>
        <w:t>后续若要补强测试体系，优先建议增加两类内容：一类是浏览器级端到端用例，用来覆盖工作台主要路径；另一类是更多服务发现与异常场景的 Agent 单测，用来降低规则改动带来的回归风险。</w:t>
      </w:r>
    </w:p>
    <w:tbl>
      <w:tblPr>
        <w:tblW w:type="auto" w:w="0"/>
        <w:jc w:val="center"/>
        <w:tblLook w:firstColumn="1" w:firstRow="1" w:lastColumn="0" w:lastRow="0" w:noHBand="0" w:noVBand="1" w:val="04A0"/>
      </w:tblPr>
      <w:tblGrid>
        <w:gridCol w:w="4479"/>
        <w:gridCol w:w="4479"/>
      </w:tblGrid>
      <w:tr>
        <w:tc>
          <w:tcPr>
            <w:tcW w:type="dxa" w:w="3024"/>
            <w:vAlign w:val="center"/>
          </w:tcPr>
          <w:p>
            <w:pPr>
              <w:spacing w:after="40" w:line="264" w:lineRule="auto"/>
              <w:jc w:val="center"/>
            </w:pPr>
            <w:r>
              <w:rPr>
                <w:b/>
                <w:sz w:val="19"/>
              </w:rPr>
              <w:t>补强方向</w:t>
            </w:r>
          </w:p>
        </w:tc>
        <w:tc>
          <w:tcPr>
            <w:tcW w:type="dxa" w:w="6336"/>
            <w:vAlign w:val="center"/>
          </w:tcPr>
          <w:p>
            <w:pPr>
              <w:spacing w:after="40" w:line="264" w:lineRule="auto"/>
              <w:jc w:val="center"/>
            </w:pPr>
            <w:r>
              <w:rPr>
                <w:b/>
                <w:sz w:val="19"/>
              </w:rPr>
              <w:t>价值</w:t>
            </w:r>
          </w:p>
        </w:tc>
      </w:tr>
      <w:tr>
        <w:tc>
          <w:tcPr>
            <w:tcW w:type="dxa" w:w="3024"/>
            <w:vAlign w:val="center"/>
          </w:tcPr>
          <w:p>
            <w:pPr>
              <w:spacing w:after="40" w:line="264" w:lineRule="auto"/>
              <w:jc w:val="left"/>
            </w:pPr>
            <w:r>
              <w:rPr>
                <w:sz w:val="19"/>
              </w:rPr>
              <w:t>浏览器级 E2E</w:t>
            </w:r>
          </w:p>
        </w:tc>
        <w:tc>
          <w:tcPr>
            <w:tcW w:type="dxa" w:w="6336"/>
            <w:vAlign w:val="center"/>
          </w:tcPr>
          <w:p>
            <w:pPr>
              <w:spacing w:after="40" w:line="264" w:lineRule="auto"/>
              <w:jc w:val="left"/>
            </w:pPr>
            <w:r>
              <w:rPr>
                <w:sz w:val="19"/>
              </w:rPr>
              <w:t>把总览、节点、服务、链路和调试五类页面串成真实用户路径。</w:t>
            </w:r>
          </w:p>
        </w:tc>
      </w:tr>
      <w:tr>
        <w:tc>
          <w:tcPr>
            <w:tcW w:type="dxa" w:w="3024"/>
            <w:vAlign w:val="center"/>
          </w:tcPr>
          <w:p>
            <w:pPr>
              <w:spacing w:after="40" w:line="264" w:lineRule="auto"/>
              <w:jc w:val="left"/>
            </w:pPr>
            <w:r>
              <w:rPr>
                <w:sz w:val="19"/>
              </w:rPr>
              <w:t>更多 Agent 规则单测</w:t>
            </w:r>
          </w:p>
        </w:tc>
        <w:tc>
          <w:tcPr>
            <w:tcW w:type="dxa" w:w="6336"/>
            <w:vAlign w:val="center"/>
          </w:tcPr>
          <w:p>
            <w:pPr>
              <w:spacing w:after="40" w:line="264" w:lineRule="auto"/>
              <w:jc w:val="left"/>
            </w:pPr>
            <w:r>
              <w:rPr>
                <w:sz w:val="19"/>
              </w:rPr>
              <w:t>降低服务发现规则调整后误识别或漏识别的风险。</w:t>
            </w:r>
          </w:p>
        </w:tc>
      </w:tr>
      <w:tr>
        <w:tc>
          <w:tcPr>
            <w:tcW w:type="dxa" w:w="3024"/>
            <w:vAlign w:val="center"/>
          </w:tcPr>
          <w:p>
            <w:pPr>
              <w:spacing w:after="40" w:line="264" w:lineRule="auto"/>
              <w:jc w:val="left"/>
            </w:pPr>
            <w:r>
              <w:rPr>
                <w:sz w:val="19"/>
              </w:rPr>
              <w:t>异常注入场景</w:t>
            </w:r>
          </w:p>
        </w:tc>
        <w:tc>
          <w:tcPr>
            <w:tcW w:type="dxa" w:w="6336"/>
            <w:vAlign w:val="center"/>
          </w:tcPr>
          <w:p>
            <w:pPr>
              <w:spacing w:after="40" w:line="264" w:lineRule="auto"/>
              <w:jc w:val="left"/>
            </w:pPr>
            <w:r>
              <w:rPr>
                <w:sz w:val="19"/>
              </w:rPr>
              <w:t>更有针对性地验证 `NO_SCRAPE_ENDPOINT`、节点告警和链路缺失等场景的页面提示。</w:t>
            </w:r>
          </w:p>
        </w:tc>
      </w:tr>
    </w:tbl>
    <w:p>
      <w:pPr>
        <w:spacing w:after="120"/>
      </w:pPr>
    </w:p>
    <w:p>
      <w:pPr>
        <w:spacing w:after="120" w:line="300" w:lineRule="auto"/>
      </w:pPr>
      <w:r>
        <w:rPr>
          <w:i w:val="0"/>
          <w:sz w:val="21"/>
        </w:rPr>
        <w:t>这几项补强都能在现有仓库结构上继续推进，不需要推翻当前平台。现有测试体系已经足够支撑课程验收，同时也给后续继续深化留下了清晰入口。</w:t>
      </w:r>
    </w:p>
    <w:p>
      <w:r>
        <w:br w:type="page"/>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7694"/>
      </w:tblGrid>
      <w:tr w14:paraId="5CD1AFD9">
        <w:trPr>
          <w:wBefore w:w="0" w:type="dxa"/>
          <w:trHeight w:val="7310" w:hRule="atLeast"/>
        </w:trPr>
        <w:tc>
          <w:tcPr>
            <w:tcW w:w="828" w:type="dxa"/>
            <w:noWrap w:val="0"/>
            <w:vAlign w:val="center"/>
          </w:tcPr>
          <w:p w14:paraId="5E8C3006">
            <w:pPr>
              <w:spacing w:line="400" w:lineRule="exact"/>
              <w:jc w:val="center"/>
              <w:rPr>
                <w:rFonts w:hint="eastAsia"/>
                <w:sz w:val="24"/>
              </w:rPr>
            </w:pPr>
            <w:r>
              <w:rPr>
                <w:rFonts w:hint="eastAsia"/>
                <w:sz w:val="24"/>
              </w:rPr>
              <w:t>教</w:t>
            </w:r>
          </w:p>
          <w:p w14:paraId="47814C06">
            <w:pPr>
              <w:spacing w:line="400" w:lineRule="exact"/>
              <w:jc w:val="center"/>
              <w:rPr>
                <w:rFonts w:hint="eastAsia"/>
                <w:sz w:val="24"/>
              </w:rPr>
            </w:pPr>
            <w:r>
              <w:rPr>
                <w:rFonts w:hint="eastAsia"/>
                <w:sz w:val="24"/>
              </w:rPr>
              <w:t>师</w:t>
            </w:r>
          </w:p>
          <w:p w14:paraId="3022852C">
            <w:pPr>
              <w:spacing w:line="400" w:lineRule="exact"/>
              <w:jc w:val="center"/>
              <w:rPr>
                <w:rFonts w:hint="eastAsia"/>
                <w:sz w:val="24"/>
              </w:rPr>
            </w:pPr>
            <w:r>
              <w:rPr>
                <w:rFonts w:hint="eastAsia"/>
                <w:sz w:val="24"/>
              </w:rPr>
              <w:t>评</w:t>
            </w:r>
          </w:p>
          <w:p w14:paraId="6301F1CF">
            <w:pPr>
              <w:spacing w:line="400" w:lineRule="exact"/>
              <w:jc w:val="center"/>
              <w:rPr>
                <w:rFonts w:hint="eastAsia"/>
                <w:sz w:val="24"/>
              </w:rPr>
            </w:pPr>
            <w:r>
              <w:rPr>
                <w:rFonts w:hint="eastAsia"/>
                <w:sz w:val="24"/>
              </w:rPr>
              <w:t>语</w:t>
            </w:r>
          </w:p>
        </w:tc>
        <w:tc>
          <w:tcPr>
            <w:tcW w:w="7694" w:type="dxa"/>
            <w:noWrap w:val="0"/>
            <w:vAlign w:val="top"/>
          </w:tcPr>
          <w:p w14:paraId="61936DC1">
            <w:pPr>
              <w:spacing w:line="400" w:lineRule="exact"/>
              <w:rPr>
                <w:rFonts w:hint="eastAsia"/>
                <w:sz w:val="24"/>
              </w:rPr>
            </w:pPr>
          </w:p>
          <w:p w14:paraId="207A07B4">
            <w:pPr>
              <w:spacing w:line="400" w:lineRule="exact"/>
              <w:rPr>
                <w:rFonts w:hint="eastAsia"/>
                <w:sz w:val="24"/>
              </w:rPr>
            </w:pPr>
          </w:p>
          <w:p w14:paraId="6E508E39">
            <w:pPr>
              <w:spacing w:line="400" w:lineRule="exact"/>
              <w:rPr>
                <w:rFonts w:hint="eastAsia"/>
                <w:sz w:val="24"/>
              </w:rPr>
            </w:pPr>
          </w:p>
          <w:p w14:paraId="29D87617">
            <w:pPr>
              <w:spacing w:line="400" w:lineRule="exact"/>
              <w:rPr>
                <w:rFonts w:hint="eastAsia"/>
                <w:sz w:val="24"/>
              </w:rPr>
            </w:pPr>
          </w:p>
          <w:p w14:paraId="1119AD7E">
            <w:pPr>
              <w:spacing w:line="400" w:lineRule="exact"/>
              <w:rPr>
                <w:rFonts w:hint="eastAsia"/>
                <w:sz w:val="24"/>
              </w:rPr>
            </w:pPr>
          </w:p>
          <w:p w14:paraId="04A2F867">
            <w:pPr>
              <w:spacing w:line="400" w:lineRule="exact"/>
              <w:rPr>
                <w:rFonts w:hint="eastAsia"/>
                <w:sz w:val="24"/>
              </w:rPr>
            </w:pPr>
          </w:p>
          <w:p w14:paraId="16B2BB4F">
            <w:pPr>
              <w:spacing w:line="400" w:lineRule="exact"/>
              <w:rPr>
                <w:rFonts w:hint="eastAsia"/>
                <w:sz w:val="24"/>
              </w:rPr>
            </w:pPr>
          </w:p>
          <w:p w14:paraId="55B4D9AF">
            <w:pPr>
              <w:spacing w:line="400" w:lineRule="exact"/>
              <w:rPr>
                <w:rFonts w:hint="eastAsia"/>
                <w:sz w:val="24"/>
              </w:rPr>
            </w:pPr>
          </w:p>
          <w:p w14:paraId="2CDAF378">
            <w:pPr>
              <w:spacing w:line="400" w:lineRule="exact"/>
              <w:rPr>
                <w:rFonts w:hint="eastAsia"/>
                <w:sz w:val="24"/>
              </w:rPr>
            </w:pPr>
          </w:p>
          <w:p w14:paraId="044650D5">
            <w:pPr>
              <w:spacing w:line="400" w:lineRule="exact"/>
              <w:rPr>
                <w:rFonts w:hint="eastAsia"/>
                <w:sz w:val="24"/>
              </w:rPr>
            </w:pPr>
          </w:p>
          <w:p w14:paraId="3E3A5534">
            <w:pPr>
              <w:spacing w:line="400" w:lineRule="exact"/>
              <w:rPr>
                <w:rFonts w:hint="eastAsia"/>
                <w:sz w:val="24"/>
              </w:rPr>
            </w:pPr>
          </w:p>
          <w:p w14:paraId="54705A3F">
            <w:pPr>
              <w:spacing w:line="400" w:lineRule="exact"/>
              <w:rPr>
                <w:rFonts w:hint="eastAsia"/>
                <w:sz w:val="24"/>
              </w:rPr>
            </w:pPr>
          </w:p>
          <w:p w14:paraId="4D00CA6F">
            <w:pPr>
              <w:spacing w:line="400" w:lineRule="exact"/>
              <w:rPr>
                <w:rFonts w:hint="eastAsia"/>
                <w:sz w:val="24"/>
              </w:rPr>
            </w:pPr>
          </w:p>
          <w:p w14:paraId="5457302A">
            <w:pPr>
              <w:spacing w:line="400" w:lineRule="exact"/>
              <w:rPr>
                <w:rFonts w:hint="eastAsia"/>
                <w:sz w:val="24"/>
              </w:rPr>
            </w:pPr>
          </w:p>
          <w:p w14:paraId="105E8886">
            <w:pPr>
              <w:spacing w:line="400" w:lineRule="exact"/>
              <w:rPr>
                <w:rFonts w:hint="eastAsia"/>
                <w:sz w:val="24"/>
              </w:rPr>
            </w:pPr>
          </w:p>
          <w:p w14:paraId="0CA58684">
            <w:pPr>
              <w:spacing w:line="400" w:lineRule="exact"/>
              <w:rPr>
                <w:rFonts w:hint="eastAsia"/>
                <w:sz w:val="24"/>
              </w:rPr>
            </w:pPr>
          </w:p>
          <w:p w14:paraId="7D69F936">
            <w:pPr>
              <w:spacing w:line="400" w:lineRule="exact"/>
              <w:rPr>
                <w:rFonts w:hint="eastAsia"/>
                <w:sz w:val="24"/>
              </w:rPr>
            </w:pPr>
          </w:p>
          <w:p w14:paraId="5E7AA3C1">
            <w:pPr>
              <w:spacing w:line="400" w:lineRule="exact"/>
              <w:rPr>
                <w:rFonts w:hint="eastAsia"/>
                <w:sz w:val="24"/>
              </w:rPr>
            </w:pPr>
          </w:p>
          <w:p w14:paraId="7E854A7E">
            <w:pPr>
              <w:spacing w:line="400" w:lineRule="exact"/>
              <w:rPr>
                <w:rFonts w:hint="eastAsia"/>
                <w:sz w:val="24"/>
              </w:rPr>
            </w:pPr>
          </w:p>
          <w:p w14:paraId="461CE814">
            <w:pPr>
              <w:spacing w:line="400" w:lineRule="exact"/>
              <w:rPr>
                <w:rFonts w:hint="eastAsia"/>
                <w:sz w:val="24"/>
              </w:rPr>
            </w:pPr>
          </w:p>
          <w:p w14:paraId="24623510">
            <w:pPr>
              <w:spacing w:line="400" w:lineRule="exact"/>
              <w:rPr>
                <w:rFonts w:hint="eastAsia"/>
                <w:sz w:val="24"/>
              </w:rPr>
            </w:pPr>
          </w:p>
          <w:p w14:paraId="4200AC41">
            <w:pPr>
              <w:spacing w:line="400" w:lineRule="exact"/>
              <w:jc w:val="center"/>
              <w:rPr>
                <w:rFonts w:hint="eastAsia"/>
                <w:sz w:val="24"/>
              </w:rPr>
            </w:pPr>
            <w:r>
              <w:rPr>
                <w:rFonts w:hint="eastAsia"/>
                <w:sz w:val="24"/>
              </w:rPr>
              <w:t>教师签名：</w:t>
            </w:r>
          </w:p>
          <w:p w14:paraId="7ABBD18F">
            <w:pPr>
              <w:spacing w:line="400" w:lineRule="exact"/>
              <w:jc w:val="center"/>
              <w:rPr>
                <w:rFonts w:hint="eastAsia"/>
                <w:sz w:val="24"/>
              </w:rPr>
            </w:pPr>
            <w:r>
              <w:rPr>
                <w:rFonts w:hint="eastAsia"/>
                <w:sz w:val="24"/>
              </w:rPr>
              <w:t>日期：</w:t>
            </w:r>
          </w:p>
        </w:tc>
      </w:tr>
      <w:tr w14:paraId="262DD7A2">
        <w:trPr>
          <w:wBefore w:w="0" w:type="dxa"/>
          <w:trHeight w:val="1088" w:hRule="atLeast"/>
        </w:trPr>
        <w:tc>
          <w:tcPr>
            <w:tcW w:w="828" w:type="dxa"/>
            <w:noWrap w:val="0"/>
            <w:vAlign w:val="center"/>
          </w:tcPr>
          <w:p w14:paraId="515E1850">
            <w:pPr>
              <w:spacing w:line="400" w:lineRule="exact"/>
              <w:jc w:val="center"/>
              <w:rPr>
                <w:rFonts w:hint="eastAsia"/>
                <w:sz w:val="24"/>
              </w:rPr>
            </w:pPr>
            <w:r>
              <w:rPr>
                <w:rFonts w:hint="eastAsia"/>
                <w:sz w:val="24"/>
              </w:rPr>
              <w:t>成</w:t>
            </w:r>
          </w:p>
          <w:p w14:paraId="37E7FC3A">
            <w:pPr>
              <w:spacing w:line="400" w:lineRule="exact"/>
              <w:jc w:val="center"/>
              <w:rPr>
                <w:rFonts w:hint="eastAsia"/>
                <w:sz w:val="24"/>
              </w:rPr>
            </w:pPr>
            <w:r>
              <w:rPr>
                <w:rFonts w:hint="eastAsia"/>
                <w:sz w:val="24"/>
              </w:rPr>
              <w:t>绩</w:t>
            </w:r>
          </w:p>
          <w:p w14:paraId="5E11E572">
            <w:pPr>
              <w:spacing w:line="400" w:lineRule="exact"/>
              <w:jc w:val="center"/>
              <w:rPr>
                <w:rFonts w:hint="eastAsia"/>
                <w:sz w:val="24"/>
              </w:rPr>
            </w:pPr>
            <w:r>
              <w:rPr>
                <w:rFonts w:hint="eastAsia"/>
                <w:sz w:val="24"/>
              </w:rPr>
              <w:t>评</w:t>
            </w:r>
          </w:p>
          <w:p w14:paraId="08089F04">
            <w:pPr>
              <w:spacing w:line="400" w:lineRule="exact"/>
              <w:jc w:val="center"/>
              <w:rPr>
                <w:rFonts w:hint="eastAsia"/>
                <w:sz w:val="24"/>
              </w:rPr>
            </w:pPr>
            <w:r>
              <w:rPr>
                <w:rFonts w:hint="eastAsia"/>
                <w:sz w:val="24"/>
              </w:rPr>
              <w:t>定</w:t>
            </w:r>
          </w:p>
        </w:tc>
        <w:tc>
          <w:tcPr>
            <w:tcW w:w="7694" w:type="dxa"/>
            <w:noWrap w:val="0"/>
            <w:vAlign w:val="top"/>
          </w:tcPr>
          <w:p w14:paraId="77B62978">
            <w:pPr>
              <w:spacing w:line="400" w:lineRule="exact"/>
              <w:rPr>
                <w:rFonts w:hint="eastAsia"/>
                <w:sz w:val="24"/>
              </w:rPr>
            </w:pPr>
          </w:p>
          <w:p w14:paraId="5E670E1A">
            <w:pPr>
              <w:spacing w:line="400" w:lineRule="exact"/>
              <w:rPr>
                <w:rFonts w:hint="eastAsia"/>
                <w:sz w:val="24"/>
              </w:rPr>
            </w:pPr>
          </w:p>
          <w:p w14:paraId="61591A9B">
            <w:pPr>
              <w:spacing w:line="400" w:lineRule="exact"/>
              <w:rPr>
                <w:rFonts w:hint="eastAsia"/>
                <w:sz w:val="24"/>
              </w:rPr>
            </w:pPr>
          </w:p>
          <w:p w14:paraId="0245961C">
            <w:pPr>
              <w:spacing w:line="400" w:lineRule="exact"/>
              <w:rPr>
                <w:rFonts w:hint="eastAsia"/>
                <w:sz w:val="24"/>
              </w:rPr>
            </w:pPr>
          </w:p>
          <w:p w14:paraId="55B53371">
            <w:pPr>
              <w:spacing w:line="400" w:lineRule="exact"/>
              <w:rPr>
                <w:rFonts w:hint="eastAsia"/>
                <w:sz w:val="24"/>
              </w:rPr>
            </w:pPr>
          </w:p>
          <w:p w14:paraId="79975091">
            <w:pPr>
              <w:spacing w:line="400" w:lineRule="exact"/>
              <w:rPr>
                <w:rFonts w:hint="eastAsia"/>
                <w:sz w:val="24"/>
              </w:rPr>
            </w:pPr>
          </w:p>
        </w:tc>
      </w:tr>
      <w:tr w14:paraId="3CA2CCA0">
        <w:trPr>
          <w:wBefore w:w="0" w:type="dxa"/>
        </w:trPr>
        <w:tc>
          <w:tcPr>
            <w:tcW w:w="828" w:type="dxa"/>
            <w:noWrap w:val="0"/>
            <w:vAlign w:val="center"/>
          </w:tcPr>
          <w:p w14:paraId="4C87DC2A">
            <w:pPr>
              <w:spacing w:line="400" w:lineRule="exact"/>
              <w:jc w:val="center"/>
              <w:rPr>
                <w:rFonts w:hint="eastAsia"/>
                <w:sz w:val="24"/>
              </w:rPr>
            </w:pPr>
            <w:r>
              <w:rPr>
                <w:rFonts w:hint="eastAsia"/>
                <w:sz w:val="24"/>
              </w:rPr>
              <w:t>备</w:t>
            </w:r>
          </w:p>
          <w:p w14:paraId="4FE7DEF7">
            <w:pPr>
              <w:spacing w:line="400" w:lineRule="exact"/>
              <w:jc w:val="center"/>
              <w:rPr>
                <w:rFonts w:hint="eastAsia"/>
                <w:sz w:val="24"/>
              </w:rPr>
            </w:pPr>
            <w:r>
              <w:rPr>
                <w:rFonts w:hint="eastAsia"/>
                <w:sz w:val="24"/>
              </w:rPr>
              <w:t>注</w:t>
            </w:r>
          </w:p>
        </w:tc>
        <w:tc>
          <w:tcPr>
            <w:tcW w:w="7694" w:type="dxa"/>
            <w:noWrap w:val="0"/>
            <w:vAlign w:val="top"/>
          </w:tcPr>
          <w:p w14:paraId="4A91E2A1">
            <w:pPr>
              <w:spacing w:line="400" w:lineRule="exact"/>
              <w:rPr>
                <w:rFonts w:hint="eastAsia"/>
                <w:sz w:val="24"/>
              </w:rPr>
            </w:pPr>
          </w:p>
          <w:p w14:paraId="6F0BFFD6">
            <w:pPr>
              <w:spacing w:line="400" w:lineRule="exact"/>
              <w:rPr>
                <w:rFonts w:hint="eastAsia"/>
                <w:sz w:val="24"/>
              </w:rPr>
            </w:pPr>
          </w:p>
          <w:p w14:paraId="73274C7C">
            <w:pPr>
              <w:spacing w:line="400" w:lineRule="exact"/>
              <w:rPr>
                <w:rFonts w:hint="eastAsia"/>
                <w:sz w:val="24"/>
              </w:rPr>
            </w:pPr>
          </w:p>
        </w:tc>
      </w:tr>
    </w:tbl>
    <w:sectPr>
      <w:pgSz w:w="11906" w:h="16838"/>
      <w:pgMar w:top="1814" w:right="1474" w:bottom="1814" w:left="1474" w:header="851" w:footer="130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4000EFF" w:usb1="4200247B" w:usb2="00000001" w:usb3="00000000" w:csb0="200001BF" w:csb1="00000000"/>
  </w:font>
  <w:font w:name="仿宋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BDF"/>
    <w:rsid w:val="000015E5"/>
    <w:rsid w:val="00001AAC"/>
    <w:rsid w:val="00001BD7"/>
    <w:rsid w:val="00005CAB"/>
    <w:rsid w:val="00005F5D"/>
    <w:rsid w:val="00011261"/>
    <w:rsid w:val="00011849"/>
    <w:rsid w:val="00011A9F"/>
    <w:rsid w:val="000144CD"/>
    <w:rsid w:val="0001715B"/>
    <w:rsid w:val="0002291B"/>
    <w:rsid w:val="00023FA2"/>
    <w:rsid w:val="00024090"/>
    <w:rsid w:val="0002597A"/>
    <w:rsid w:val="000302A3"/>
    <w:rsid w:val="000365E7"/>
    <w:rsid w:val="00043819"/>
    <w:rsid w:val="00051F12"/>
    <w:rsid w:val="000728A1"/>
    <w:rsid w:val="0007719E"/>
    <w:rsid w:val="00080964"/>
    <w:rsid w:val="000847D2"/>
    <w:rsid w:val="0009133A"/>
    <w:rsid w:val="00094B6B"/>
    <w:rsid w:val="00096BCF"/>
    <w:rsid w:val="00097BFB"/>
    <w:rsid w:val="000A08C4"/>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062A9"/>
    <w:rsid w:val="001116D2"/>
    <w:rsid w:val="0011250C"/>
    <w:rsid w:val="00114672"/>
    <w:rsid w:val="00122CB1"/>
    <w:rsid w:val="001244E1"/>
    <w:rsid w:val="00126689"/>
    <w:rsid w:val="00126EEF"/>
    <w:rsid w:val="00127024"/>
    <w:rsid w:val="00134DAD"/>
    <w:rsid w:val="001377F3"/>
    <w:rsid w:val="001405C2"/>
    <w:rsid w:val="00140D24"/>
    <w:rsid w:val="00141D13"/>
    <w:rsid w:val="00145475"/>
    <w:rsid w:val="00152437"/>
    <w:rsid w:val="0015394B"/>
    <w:rsid w:val="00155DCD"/>
    <w:rsid w:val="00157BDF"/>
    <w:rsid w:val="0016052E"/>
    <w:rsid w:val="0016562E"/>
    <w:rsid w:val="00171060"/>
    <w:rsid w:val="0017326E"/>
    <w:rsid w:val="00173ED1"/>
    <w:rsid w:val="001745AE"/>
    <w:rsid w:val="001771AF"/>
    <w:rsid w:val="0018238A"/>
    <w:rsid w:val="001848AD"/>
    <w:rsid w:val="00186AC1"/>
    <w:rsid w:val="00190AA1"/>
    <w:rsid w:val="0019192C"/>
    <w:rsid w:val="00194C7C"/>
    <w:rsid w:val="00196E58"/>
    <w:rsid w:val="001A0C80"/>
    <w:rsid w:val="001A401E"/>
    <w:rsid w:val="001A5C6E"/>
    <w:rsid w:val="001A6355"/>
    <w:rsid w:val="001B179B"/>
    <w:rsid w:val="001B1FF4"/>
    <w:rsid w:val="001B7CCB"/>
    <w:rsid w:val="001C1E9D"/>
    <w:rsid w:val="001C277C"/>
    <w:rsid w:val="001C3C72"/>
    <w:rsid w:val="001C407F"/>
    <w:rsid w:val="001C5189"/>
    <w:rsid w:val="001C5F08"/>
    <w:rsid w:val="001D2FA0"/>
    <w:rsid w:val="001D4F1B"/>
    <w:rsid w:val="001D533D"/>
    <w:rsid w:val="001D5FCC"/>
    <w:rsid w:val="001E0B6D"/>
    <w:rsid w:val="001E5083"/>
    <w:rsid w:val="001F0769"/>
    <w:rsid w:val="001F0FFF"/>
    <w:rsid w:val="001F1EA7"/>
    <w:rsid w:val="001F2341"/>
    <w:rsid w:val="001F31C9"/>
    <w:rsid w:val="001F4F9B"/>
    <w:rsid w:val="001F50FD"/>
    <w:rsid w:val="001F7F19"/>
    <w:rsid w:val="00200594"/>
    <w:rsid w:val="002025E0"/>
    <w:rsid w:val="00203BCE"/>
    <w:rsid w:val="00210FA7"/>
    <w:rsid w:val="00211D21"/>
    <w:rsid w:val="00212A24"/>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CF6"/>
    <w:rsid w:val="00271DCA"/>
    <w:rsid w:val="00276BF4"/>
    <w:rsid w:val="002773B9"/>
    <w:rsid w:val="00282781"/>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538D"/>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79"/>
    <w:rsid w:val="003879BD"/>
    <w:rsid w:val="003906EC"/>
    <w:rsid w:val="00391200"/>
    <w:rsid w:val="003917EF"/>
    <w:rsid w:val="003956C4"/>
    <w:rsid w:val="003A16D1"/>
    <w:rsid w:val="003A305B"/>
    <w:rsid w:val="003A5253"/>
    <w:rsid w:val="003A56AC"/>
    <w:rsid w:val="003B156B"/>
    <w:rsid w:val="003B39AF"/>
    <w:rsid w:val="003B6781"/>
    <w:rsid w:val="003B79E9"/>
    <w:rsid w:val="003C294B"/>
    <w:rsid w:val="003C32F5"/>
    <w:rsid w:val="003C72D5"/>
    <w:rsid w:val="003D3BC4"/>
    <w:rsid w:val="003D5AA4"/>
    <w:rsid w:val="003E226E"/>
    <w:rsid w:val="003E33D5"/>
    <w:rsid w:val="003E6D38"/>
    <w:rsid w:val="003F0D18"/>
    <w:rsid w:val="003F37A6"/>
    <w:rsid w:val="003F3871"/>
    <w:rsid w:val="0040176B"/>
    <w:rsid w:val="004127A5"/>
    <w:rsid w:val="0041525E"/>
    <w:rsid w:val="004153F5"/>
    <w:rsid w:val="00416F3E"/>
    <w:rsid w:val="004237D5"/>
    <w:rsid w:val="00423D3C"/>
    <w:rsid w:val="004251EA"/>
    <w:rsid w:val="0043000B"/>
    <w:rsid w:val="004347C5"/>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A25B9"/>
    <w:rsid w:val="004B1154"/>
    <w:rsid w:val="004B3F5A"/>
    <w:rsid w:val="004B4F33"/>
    <w:rsid w:val="004C1530"/>
    <w:rsid w:val="004C1E19"/>
    <w:rsid w:val="004C2F6F"/>
    <w:rsid w:val="004C3CDB"/>
    <w:rsid w:val="004C5AC0"/>
    <w:rsid w:val="004C5ACE"/>
    <w:rsid w:val="004D23ED"/>
    <w:rsid w:val="004D30F8"/>
    <w:rsid w:val="004D444F"/>
    <w:rsid w:val="004D4AA1"/>
    <w:rsid w:val="004D533F"/>
    <w:rsid w:val="004D76A1"/>
    <w:rsid w:val="004D7A6C"/>
    <w:rsid w:val="004E3C1D"/>
    <w:rsid w:val="004E4DC7"/>
    <w:rsid w:val="004F1B02"/>
    <w:rsid w:val="004F2DBD"/>
    <w:rsid w:val="004F2F29"/>
    <w:rsid w:val="004F5A46"/>
    <w:rsid w:val="0050195C"/>
    <w:rsid w:val="00502DE1"/>
    <w:rsid w:val="00503F4F"/>
    <w:rsid w:val="00504772"/>
    <w:rsid w:val="00504C9B"/>
    <w:rsid w:val="00505F68"/>
    <w:rsid w:val="005100CD"/>
    <w:rsid w:val="00521067"/>
    <w:rsid w:val="00521463"/>
    <w:rsid w:val="00521C48"/>
    <w:rsid w:val="00522E73"/>
    <w:rsid w:val="00522FBC"/>
    <w:rsid w:val="00523623"/>
    <w:rsid w:val="00524B5D"/>
    <w:rsid w:val="005252FE"/>
    <w:rsid w:val="00526555"/>
    <w:rsid w:val="00532B38"/>
    <w:rsid w:val="00541076"/>
    <w:rsid w:val="00544CFE"/>
    <w:rsid w:val="005465C3"/>
    <w:rsid w:val="00547C41"/>
    <w:rsid w:val="00550B28"/>
    <w:rsid w:val="00553EF9"/>
    <w:rsid w:val="005564A8"/>
    <w:rsid w:val="00557AA3"/>
    <w:rsid w:val="00561911"/>
    <w:rsid w:val="005635FA"/>
    <w:rsid w:val="0056380A"/>
    <w:rsid w:val="005646BF"/>
    <w:rsid w:val="005651EC"/>
    <w:rsid w:val="00574250"/>
    <w:rsid w:val="005745AE"/>
    <w:rsid w:val="0057694B"/>
    <w:rsid w:val="005771FF"/>
    <w:rsid w:val="00577A9F"/>
    <w:rsid w:val="00581D97"/>
    <w:rsid w:val="005826D4"/>
    <w:rsid w:val="00582CEB"/>
    <w:rsid w:val="00584997"/>
    <w:rsid w:val="00586E48"/>
    <w:rsid w:val="005911B7"/>
    <w:rsid w:val="005929F5"/>
    <w:rsid w:val="00593C01"/>
    <w:rsid w:val="0059433E"/>
    <w:rsid w:val="00594B21"/>
    <w:rsid w:val="005968BD"/>
    <w:rsid w:val="0059747F"/>
    <w:rsid w:val="005978D5"/>
    <w:rsid w:val="00597B2E"/>
    <w:rsid w:val="005A0F69"/>
    <w:rsid w:val="005A142D"/>
    <w:rsid w:val="005A1F80"/>
    <w:rsid w:val="005A3BF0"/>
    <w:rsid w:val="005A4ADB"/>
    <w:rsid w:val="005B0380"/>
    <w:rsid w:val="005B1B7E"/>
    <w:rsid w:val="005B2D78"/>
    <w:rsid w:val="005C3556"/>
    <w:rsid w:val="005C4647"/>
    <w:rsid w:val="005C5839"/>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12BB"/>
    <w:rsid w:val="0062192E"/>
    <w:rsid w:val="0062342A"/>
    <w:rsid w:val="00623CCA"/>
    <w:rsid w:val="0062466B"/>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5872"/>
    <w:rsid w:val="006759FD"/>
    <w:rsid w:val="00675D3C"/>
    <w:rsid w:val="00677D6F"/>
    <w:rsid w:val="0069352A"/>
    <w:rsid w:val="00695034"/>
    <w:rsid w:val="00697820"/>
    <w:rsid w:val="006A47BD"/>
    <w:rsid w:val="006A5537"/>
    <w:rsid w:val="006B0C90"/>
    <w:rsid w:val="006B1A96"/>
    <w:rsid w:val="006B53D2"/>
    <w:rsid w:val="006B6C42"/>
    <w:rsid w:val="006C63F6"/>
    <w:rsid w:val="006C67EC"/>
    <w:rsid w:val="006D0769"/>
    <w:rsid w:val="006D251E"/>
    <w:rsid w:val="006D27CA"/>
    <w:rsid w:val="006E01D7"/>
    <w:rsid w:val="006E3C8F"/>
    <w:rsid w:val="006E6A83"/>
    <w:rsid w:val="006F6778"/>
    <w:rsid w:val="00701629"/>
    <w:rsid w:val="00704F9A"/>
    <w:rsid w:val="00707203"/>
    <w:rsid w:val="00713EC0"/>
    <w:rsid w:val="0072500B"/>
    <w:rsid w:val="00725114"/>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9099A"/>
    <w:rsid w:val="00790AC6"/>
    <w:rsid w:val="007956D0"/>
    <w:rsid w:val="00795D3E"/>
    <w:rsid w:val="00796734"/>
    <w:rsid w:val="007A2484"/>
    <w:rsid w:val="007B0038"/>
    <w:rsid w:val="007B2EE3"/>
    <w:rsid w:val="007B3576"/>
    <w:rsid w:val="007B601C"/>
    <w:rsid w:val="007B7065"/>
    <w:rsid w:val="007C2682"/>
    <w:rsid w:val="007C4765"/>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150EB"/>
    <w:rsid w:val="00822298"/>
    <w:rsid w:val="00822BFD"/>
    <w:rsid w:val="0082328D"/>
    <w:rsid w:val="008237A0"/>
    <w:rsid w:val="00827B1F"/>
    <w:rsid w:val="00827BBD"/>
    <w:rsid w:val="008302FC"/>
    <w:rsid w:val="00830CF7"/>
    <w:rsid w:val="008310A7"/>
    <w:rsid w:val="00831A62"/>
    <w:rsid w:val="00834C4A"/>
    <w:rsid w:val="00835D87"/>
    <w:rsid w:val="0083609D"/>
    <w:rsid w:val="00845941"/>
    <w:rsid w:val="00846C9E"/>
    <w:rsid w:val="00851592"/>
    <w:rsid w:val="008529F9"/>
    <w:rsid w:val="00856A66"/>
    <w:rsid w:val="00862CAF"/>
    <w:rsid w:val="008638A5"/>
    <w:rsid w:val="00865F65"/>
    <w:rsid w:val="00873107"/>
    <w:rsid w:val="0088004C"/>
    <w:rsid w:val="00880064"/>
    <w:rsid w:val="00880236"/>
    <w:rsid w:val="008807FF"/>
    <w:rsid w:val="00882649"/>
    <w:rsid w:val="00882FD4"/>
    <w:rsid w:val="00887127"/>
    <w:rsid w:val="008902AA"/>
    <w:rsid w:val="00891CA9"/>
    <w:rsid w:val="008928C9"/>
    <w:rsid w:val="008936ED"/>
    <w:rsid w:val="00894874"/>
    <w:rsid w:val="008968C5"/>
    <w:rsid w:val="008A1101"/>
    <w:rsid w:val="008B04EF"/>
    <w:rsid w:val="008B27AA"/>
    <w:rsid w:val="008B719E"/>
    <w:rsid w:val="008C0B3E"/>
    <w:rsid w:val="008C3128"/>
    <w:rsid w:val="008C6884"/>
    <w:rsid w:val="008C68FA"/>
    <w:rsid w:val="008D0549"/>
    <w:rsid w:val="008D366F"/>
    <w:rsid w:val="008E0F29"/>
    <w:rsid w:val="008E5460"/>
    <w:rsid w:val="008E5963"/>
    <w:rsid w:val="008E6C08"/>
    <w:rsid w:val="008F16BB"/>
    <w:rsid w:val="008F6C24"/>
    <w:rsid w:val="00907D4E"/>
    <w:rsid w:val="00910DEE"/>
    <w:rsid w:val="0091704B"/>
    <w:rsid w:val="00921559"/>
    <w:rsid w:val="009252A7"/>
    <w:rsid w:val="009270AB"/>
    <w:rsid w:val="0093119D"/>
    <w:rsid w:val="00937E66"/>
    <w:rsid w:val="00942A4D"/>
    <w:rsid w:val="00942BEB"/>
    <w:rsid w:val="00942D86"/>
    <w:rsid w:val="0095634A"/>
    <w:rsid w:val="0096030C"/>
    <w:rsid w:val="009608C5"/>
    <w:rsid w:val="009613FA"/>
    <w:rsid w:val="00963955"/>
    <w:rsid w:val="00964F00"/>
    <w:rsid w:val="009656FA"/>
    <w:rsid w:val="009662C2"/>
    <w:rsid w:val="009712DC"/>
    <w:rsid w:val="009743A6"/>
    <w:rsid w:val="009760EE"/>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696F"/>
    <w:rsid w:val="00A27DC4"/>
    <w:rsid w:val="00A31886"/>
    <w:rsid w:val="00A32B6F"/>
    <w:rsid w:val="00A3535E"/>
    <w:rsid w:val="00A35582"/>
    <w:rsid w:val="00A37BB8"/>
    <w:rsid w:val="00A37FD8"/>
    <w:rsid w:val="00A40775"/>
    <w:rsid w:val="00A410CE"/>
    <w:rsid w:val="00A4110D"/>
    <w:rsid w:val="00A4506C"/>
    <w:rsid w:val="00A46B91"/>
    <w:rsid w:val="00A55172"/>
    <w:rsid w:val="00A5590A"/>
    <w:rsid w:val="00A5605F"/>
    <w:rsid w:val="00A56D09"/>
    <w:rsid w:val="00A60CB4"/>
    <w:rsid w:val="00A675CD"/>
    <w:rsid w:val="00A7076B"/>
    <w:rsid w:val="00A717A2"/>
    <w:rsid w:val="00A722CB"/>
    <w:rsid w:val="00A72A5D"/>
    <w:rsid w:val="00A73D33"/>
    <w:rsid w:val="00A808C4"/>
    <w:rsid w:val="00A843BB"/>
    <w:rsid w:val="00A933B5"/>
    <w:rsid w:val="00AA6EF7"/>
    <w:rsid w:val="00AB117B"/>
    <w:rsid w:val="00AB249D"/>
    <w:rsid w:val="00AB35EF"/>
    <w:rsid w:val="00AB3CE1"/>
    <w:rsid w:val="00AB5FEF"/>
    <w:rsid w:val="00AB7599"/>
    <w:rsid w:val="00AB7D55"/>
    <w:rsid w:val="00AC09FF"/>
    <w:rsid w:val="00AC3111"/>
    <w:rsid w:val="00AC3217"/>
    <w:rsid w:val="00AC4632"/>
    <w:rsid w:val="00AC4B9A"/>
    <w:rsid w:val="00AD00CF"/>
    <w:rsid w:val="00AD0D1E"/>
    <w:rsid w:val="00AD3A7F"/>
    <w:rsid w:val="00AE53A9"/>
    <w:rsid w:val="00AE5F36"/>
    <w:rsid w:val="00AE65EE"/>
    <w:rsid w:val="00AF30CC"/>
    <w:rsid w:val="00AF5D83"/>
    <w:rsid w:val="00AF6955"/>
    <w:rsid w:val="00B021AC"/>
    <w:rsid w:val="00B03021"/>
    <w:rsid w:val="00B04054"/>
    <w:rsid w:val="00B1235C"/>
    <w:rsid w:val="00B12414"/>
    <w:rsid w:val="00B13670"/>
    <w:rsid w:val="00B2138C"/>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00D8"/>
    <w:rsid w:val="00B7427A"/>
    <w:rsid w:val="00B74793"/>
    <w:rsid w:val="00B757A1"/>
    <w:rsid w:val="00B84EE9"/>
    <w:rsid w:val="00B86516"/>
    <w:rsid w:val="00B91021"/>
    <w:rsid w:val="00BA403F"/>
    <w:rsid w:val="00BA5178"/>
    <w:rsid w:val="00BB4E6C"/>
    <w:rsid w:val="00BB5731"/>
    <w:rsid w:val="00BC08EE"/>
    <w:rsid w:val="00BC3031"/>
    <w:rsid w:val="00BC596D"/>
    <w:rsid w:val="00BC6535"/>
    <w:rsid w:val="00BC6572"/>
    <w:rsid w:val="00BD6E97"/>
    <w:rsid w:val="00BE048D"/>
    <w:rsid w:val="00BE5280"/>
    <w:rsid w:val="00BE614D"/>
    <w:rsid w:val="00BE74C0"/>
    <w:rsid w:val="00BE753B"/>
    <w:rsid w:val="00BE782F"/>
    <w:rsid w:val="00BF0F4C"/>
    <w:rsid w:val="00BF1381"/>
    <w:rsid w:val="00BF5A35"/>
    <w:rsid w:val="00BF68F1"/>
    <w:rsid w:val="00C01C44"/>
    <w:rsid w:val="00C024CF"/>
    <w:rsid w:val="00C0479C"/>
    <w:rsid w:val="00C0794C"/>
    <w:rsid w:val="00C13EBE"/>
    <w:rsid w:val="00C14A60"/>
    <w:rsid w:val="00C154AC"/>
    <w:rsid w:val="00C20BAA"/>
    <w:rsid w:val="00C23BD9"/>
    <w:rsid w:val="00C33151"/>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5687"/>
    <w:rsid w:val="00CF6C76"/>
    <w:rsid w:val="00D003C1"/>
    <w:rsid w:val="00D0200D"/>
    <w:rsid w:val="00D031FC"/>
    <w:rsid w:val="00D03FF9"/>
    <w:rsid w:val="00D063C0"/>
    <w:rsid w:val="00D06C15"/>
    <w:rsid w:val="00D1133A"/>
    <w:rsid w:val="00D1273D"/>
    <w:rsid w:val="00D14892"/>
    <w:rsid w:val="00D17D44"/>
    <w:rsid w:val="00D214AB"/>
    <w:rsid w:val="00D2198A"/>
    <w:rsid w:val="00D2246E"/>
    <w:rsid w:val="00D23C5D"/>
    <w:rsid w:val="00D24D9F"/>
    <w:rsid w:val="00D25435"/>
    <w:rsid w:val="00D37616"/>
    <w:rsid w:val="00D40766"/>
    <w:rsid w:val="00D47204"/>
    <w:rsid w:val="00D473BD"/>
    <w:rsid w:val="00D475FB"/>
    <w:rsid w:val="00D53BFB"/>
    <w:rsid w:val="00D550FF"/>
    <w:rsid w:val="00D6368A"/>
    <w:rsid w:val="00D65D62"/>
    <w:rsid w:val="00D66A01"/>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7946"/>
    <w:rsid w:val="00DD1E04"/>
    <w:rsid w:val="00DD2DBD"/>
    <w:rsid w:val="00DD494A"/>
    <w:rsid w:val="00DD7EC4"/>
    <w:rsid w:val="00DE46B6"/>
    <w:rsid w:val="00DF231A"/>
    <w:rsid w:val="00DF4F89"/>
    <w:rsid w:val="00DF6747"/>
    <w:rsid w:val="00E0096D"/>
    <w:rsid w:val="00E02078"/>
    <w:rsid w:val="00E023D6"/>
    <w:rsid w:val="00E04E7C"/>
    <w:rsid w:val="00E1020A"/>
    <w:rsid w:val="00E109C5"/>
    <w:rsid w:val="00E17309"/>
    <w:rsid w:val="00E174DE"/>
    <w:rsid w:val="00E17AC9"/>
    <w:rsid w:val="00E26C6C"/>
    <w:rsid w:val="00E26F3E"/>
    <w:rsid w:val="00E318D3"/>
    <w:rsid w:val="00E340A2"/>
    <w:rsid w:val="00E41A9A"/>
    <w:rsid w:val="00E4334C"/>
    <w:rsid w:val="00E46836"/>
    <w:rsid w:val="00E50B1F"/>
    <w:rsid w:val="00E55A69"/>
    <w:rsid w:val="00E55D7D"/>
    <w:rsid w:val="00E564A2"/>
    <w:rsid w:val="00E72241"/>
    <w:rsid w:val="00E73F53"/>
    <w:rsid w:val="00E86EED"/>
    <w:rsid w:val="00EA0C28"/>
    <w:rsid w:val="00EA2CB3"/>
    <w:rsid w:val="00EA578A"/>
    <w:rsid w:val="00EA6D21"/>
    <w:rsid w:val="00EA713B"/>
    <w:rsid w:val="00EA7A60"/>
    <w:rsid w:val="00EB587C"/>
    <w:rsid w:val="00EB5C34"/>
    <w:rsid w:val="00EC1FE9"/>
    <w:rsid w:val="00EC2015"/>
    <w:rsid w:val="00EC21EE"/>
    <w:rsid w:val="00EC4B40"/>
    <w:rsid w:val="00EC58FC"/>
    <w:rsid w:val="00ED590F"/>
    <w:rsid w:val="00ED63A4"/>
    <w:rsid w:val="00ED75F5"/>
    <w:rsid w:val="00EE1336"/>
    <w:rsid w:val="00EE30DA"/>
    <w:rsid w:val="00EF1977"/>
    <w:rsid w:val="00EF3C27"/>
    <w:rsid w:val="00EF6846"/>
    <w:rsid w:val="00F01190"/>
    <w:rsid w:val="00F02E48"/>
    <w:rsid w:val="00F04EEB"/>
    <w:rsid w:val="00F141FF"/>
    <w:rsid w:val="00F21FFC"/>
    <w:rsid w:val="00F25A67"/>
    <w:rsid w:val="00F26F76"/>
    <w:rsid w:val="00F46048"/>
    <w:rsid w:val="00F55775"/>
    <w:rsid w:val="00F56FA6"/>
    <w:rsid w:val="00F62946"/>
    <w:rsid w:val="00F64B4F"/>
    <w:rsid w:val="00F64D60"/>
    <w:rsid w:val="00F70D98"/>
    <w:rsid w:val="00F72DAA"/>
    <w:rsid w:val="00F82DA3"/>
    <w:rsid w:val="00F8482C"/>
    <w:rsid w:val="00F85431"/>
    <w:rsid w:val="00F929AF"/>
    <w:rsid w:val="00FA0AAC"/>
    <w:rsid w:val="00FA624F"/>
    <w:rsid w:val="00FA66AB"/>
    <w:rsid w:val="00FB3A01"/>
    <w:rsid w:val="00FB53C8"/>
    <w:rsid w:val="00FC0A27"/>
    <w:rsid w:val="00FC1EA1"/>
    <w:rsid w:val="00FD21EE"/>
    <w:rsid w:val="00FD23F9"/>
    <w:rsid w:val="00FD3B62"/>
    <w:rsid w:val="00FD524F"/>
    <w:rsid w:val="00FD6269"/>
    <w:rsid w:val="00FD6D13"/>
    <w:rsid w:val="00FD73B5"/>
    <w:rsid w:val="00FE08F9"/>
    <w:rsid w:val="00FE193F"/>
    <w:rsid w:val="00FE4970"/>
    <w:rsid w:val="00FE53A7"/>
    <w:rsid w:val="00FF021C"/>
    <w:rsid w:val="00FF0904"/>
    <w:rsid w:val="00FF6D4F"/>
    <w:rsid w:val="00FF707B"/>
    <w:rsid w:val="00FF7C6D"/>
    <w:rsid w:val="03714C8B"/>
    <w:rsid w:val="FFE277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nhideWhenUsed="0" w:uiPriority="99" w:semiHidden="0" w:name="Medium Grid 2"/>
    <w:lsdException w:unhideWhenUsed="0" w:uiPriority="60" w:semiHidden="0" w:name="Medium Grid 3"/>
    <w:lsdException w:unhideWhenUsed="0" w:uiPriority="61" w:semiHidden="0" w:name="Dark List"/>
    <w:lsdException w:unhideWhenUsed="0" w:uiPriority="62" w:semiHidden="0" w:name="Colorful Shading"/>
    <w:lsdException w:unhideWhenUsed="0" w:uiPriority="63" w:semiHidden="0" w:name="Colorful List"/>
    <w:lsdException w:unhideWhenUsed="0" w:uiPriority="64" w:semiHidden="0" w:name="Colorful Grid"/>
    <w:lsdException w:unhideWhenUsed="0" w:uiPriority="65" w:semiHidden="0" w:name="Light Shading Accent 1"/>
    <w:lsdException w:unhideWhenUsed="0" w:uiPriority="66" w:semiHidden="0" w:name="Light List Accent 1"/>
    <w:lsdException w:unhideWhenUsed="0" w:uiPriority="67" w:semiHidden="0" w:name="Light Grid Accent 1"/>
    <w:lsdException w:unhideWhenUsed="0" w:uiPriority="68" w:semiHidden="0" w:name="Medium Shading 1 Accent 1"/>
    <w:lsdException w:unhideWhenUsed="0" w:uiPriority="69" w:semiHidden="0" w:name="Medium Shading 2 Accent 1"/>
    <w:lsdException w:unhideWhenUsed="0" w:uiPriority="70" w:semiHidden="0" w:name="Medium List 1 Accent 1"/>
    <w:lsdException w:unhideWhenUsed="0" w:uiPriority="61" w:semiHidden="0" w:name="Medium List 2 Accent 1"/>
    <w:lsdException w:unhideWhenUsed="0" w:uiPriority="62" w:semiHidden="0" w:name="Medium Grid 1 Accent 1"/>
    <w:lsdException w:unhideWhenUsed="0" w:uiPriority="63" w:semiHidden="0" w:name="Medium Grid 2 Accent 1"/>
    <w:lsdException w:unhideWhenUsed="0" w:uiPriority="64" w:semiHidden="0" w:name="Medium Grid 3 Accent 1"/>
    <w:lsdException w:unhideWhenUsed="0" w:uiPriority="65" w:semiHidden="0" w:name="Dark List Accent 1"/>
    <w:lsdException w:uiPriority="99" w:name="Colorful Shading Accent 1"/>
    <w:lsdException w:qFormat="1" w:unhideWhenUsed="0" w:uiPriority="34" w:semiHidden="0" w:name="Colorful List Accent 1"/>
    <w:lsdException w:qFormat="1" w:unhideWhenUsed="0" w:uiPriority="99" w:semiHidden="0" w:name="Colorful Grid Accent 1"/>
    <w:lsdException w:qFormat="1" w:unhideWhenUsed="0" w:uiPriority="99" w:semiHidden="0" w:name="Light Shading Accent 2"/>
    <w:lsdException w:unhideWhenUsed="0" w:uiPriority="66" w:semiHidden="0" w:name="Light List Accent 2"/>
    <w:lsdException w:unhideWhenUsed="0" w:uiPriority="67" w:semiHidden="0" w:name="Light Grid Accent 2"/>
    <w:lsdException w:unhideWhenUsed="0" w:uiPriority="68" w:semiHidden="0" w:name="Medium Shading 1 Accent 2"/>
    <w:lsdException w:unhideWhenUsed="0" w:uiPriority="69" w:semiHidden="0" w:name="Medium Shading 2 Accent 2"/>
    <w:lsdException w:unhideWhenUsed="0" w:uiPriority="70" w:semiHidden="0" w:name="Medium List 1 Accent 2"/>
    <w:lsdException w:unhideWhenUsed="0" w:uiPriority="71" w:semiHidden="0" w:name="Medium List 2 Accent 2"/>
    <w:lsdException w:unhideWhenUsed="0" w:uiPriority="72" w:semiHidden="0" w:name="Medium Grid 1 Accent 2"/>
    <w:lsdException w:unhideWhenUsed="0" w:uiPriority="73" w:semiHidden="0" w:name="Medium Grid 2 Accent 2"/>
    <w:lsdException w:unhideWhenUsed="0" w:uiPriority="60" w:semiHidden="0" w:name="Medium Grid 3 Accent 2"/>
    <w:lsdException w:unhideWhenUsed="0" w:uiPriority="61" w:semiHidden="0" w:name="Dark List Accent 2"/>
    <w:lsdException w:unhideWhenUsed="0" w:uiPriority="62" w:semiHidden="0" w:name="Colorful Shading Accent 2"/>
    <w:lsdException w:unhideWhenUsed="0" w:uiPriority="63" w:semiHidden="0" w:name="Colorful List Accent 2"/>
    <w:lsdException w:unhideWhenUsed="0" w:uiPriority="64" w:semiHidden="0" w:name="Colorful Grid Accent 2"/>
    <w:lsdException w:unhideWhenUsed="0" w:uiPriority="65" w:semiHidden="0" w:name="Light Shading Accent 3"/>
    <w:lsdException w:unhideWhenUsed="0" w:uiPriority="66" w:semiHidden="0" w:name="Light List Accent 3"/>
    <w:lsdException w:unhideWhenUsed="0" w:uiPriority="67" w:semiHidden="0" w:name="Light Grid Accent 3"/>
    <w:lsdException w:unhideWhenUsed="0" w:uiPriority="68" w:semiHidden="0" w:name="Medium Shading 1 Accent 3"/>
    <w:lsdException w:unhideWhenUsed="0" w:uiPriority="69" w:semiHidden="0" w:name="Medium Shading 2 Accent 3"/>
    <w:lsdException w:unhideWhenUsed="0" w:uiPriority="70" w:semiHidden="0" w:name="Medium List 1 Accent 3"/>
    <w:lsdException w:unhideWhenUsed="0" w:uiPriority="71" w:semiHidden="0" w:name="Medium List 2 Accent 3"/>
    <w:lsdException w:unhideWhenUsed="0" w:uiPriority="72" w:semiHidden="0" w:name="Medium Grid 1 Accent 3"/>
    <w:lsdException w:unhideWhenUsed="0" w:uiPriority="73" w:semiHidden="0" w:name="Medium Grid 2 Accent 3"/>
    <w:lsdException w:unhideWhenUsed="0" w:uiPriority="60" w:semiHidden="0" w:name="Medium Grid 3 Accent 3"/>
    <w:lsdException w:unhideWhenUsed="0" w:uiPriority="61" w:semiHidden="0" w:name="Dark List Accent 3"/>
    <w:lsdException w:unhideWhenUsed="0" w:uiPriority="62" w:semiHidden="0" w:name="Colorful Shading Accent 3"/>
    <w:lsdException w:unhideWhenUsed="0" w:uiPriority="63" w:semiHidden="0" w:name="Colorful List Accent 3"/>
    <w:lsdException w:unhideWhenUsed="0" w:uiPriority="64" w:semiHidden="0" w:name="Colorful Grid Accent 3"/>
    <w:lsdException w:unhideWhenUsed="0" w:uiPriority="65" w:semiHidden="0" w:name="Light Shading Accent 4"/>
    <w:lsdException w:unhideWhenUsed="0" w:uiPriority="66" w:semiHidden="0" w:name="Light List Accent 4"/>
    <w:lsdException w:unhideWhenUsed="0" w:uiPriority="67" w:semiHidden="0" w:name="Light Grid Accent 4"/>
    <w:lsdException w:unhideWhenUsed="0" w:uiPriority="68" w:semiHidden="0" w:name="Medium Shading 1 Accent 4"/>
    <w:lsdException w:unhideWhenUsed="0" w:uiPriority="69" w:semiHidden="0" w:name="Medium Shading 2 Accent 4"/>
    <w:lsdException w:unhideWhenUsed="0" w:uiPriority="70" w:semiHidden="0" w:name="Medium List 1 Accent 4"/>
    <w:lsdException w:unhideWhenUsed="0" w:uiPriority="71" w:semiHidden="0" w:name="Medium List 2 Accent 4"/>
    <w:lsdException w:unhideWhenUsed="0" w:uiPriority="72" w:semiHidden="0" w:name="Medium Grid 1 Accent 4"/>
    <w:lsdException w:unhideWhenUsed="0" w:uiPriority="73" w:semiHidden="0" w:name="Medium Grid 2 Accent 4"/>
    <w:lsdException w:unhideWhenUsed="0" w:uiPriority="60" w:semiHidden="0" w:name="Medium Grid 3 Accent 4"/>
    <w:lsdException w:unhideWhenUsed="0" w:uiPriority="61" w:semiHidden="0" w:name="Dark List Accent 4"/>
    <w:lsdException w:unhideWhenUsed="0" w:uiPriority="62" w:semiHidden="0" w:name="Colorful Shading Accent 4"/>
    <w:lsdException w:unhideWhenUsed="0" w:uiPriority="63" w:semiHidden="0" w:name="Colorful List Accent 4"/>
    <w:lsdException w:unhideWhenUsed="0" w:uiPriority="64" w:semiHidden="0" w:name="Colorful Grid Accent 4"/>
    <w:lsdException w:unhideWhenUsed="0" w:uiPriority="65" w:semiHidden="0" w:name="Light Shading Accent 5"/>
    <w:lsdException w:unhideWhenUsed="0" w:uiPriority="66" w:semiHidden="0" w:name="Light List Accent 5"/>
    <w:lsdException w:unhideWhenUsed="0" w:uiPriority="67" w:semiHidden="0" w:name="Light Grid Accent 5"/>
    <w:lsdException w:unhideWhenUsed="0" w:uiPriority="68" w:semiHidden="0" w:name="Medium Shading 1 Accent 5"/>
    <w:lsdException w:unhideWhenUsed="0" w:uiPriority="69" w:semiHidden="0" w:name="Medium Shading 2 Accent 5"/>
    <w:lsdException w:unhideWhenUsed="0" w:uiPriority="70" w:semiHidden="0" w:name="Medium List 1 Accent 5"/>
    <w:lsdException w:unhideWhenUsed="0" w:uiPriority="71" w:semiHidden="0" w:name="Medium List 2 Accent 5"/>
    <w:lsdException w:unhideWhenUsed="0" w:uiPriority="72" w:semiHidden="0" w:name="Medium Grid 1 Accent 5"/>
    <w:lsdException w:unhideWhenUsed="0" w:uiPriority="73" w:semiHidden="0" w:name="Medium Grid 2 Accent 5"/>
    <w:lsdException w:unhideWhenUsed="0" w:uiPriority="60" w:semiHidden="0" w:name="Medium Grid 3 Accent 5"/>
    <w:lsdException w:unhideWhenUsed="0" w:uiPriority="61" w:semiHidden="0" w:name="Dark List Accent 5"/>
    <w:lsdException w:unhideWhenUsed="0" w:uiPriority="62" w:semiHidden="0" w:name="Colorful Shading Accent 5"/>
    <w:lsdException w:unhideWhenUsed="0" w:uiPriority="63" w:semiHidden="0" w:name="Colorful List Accent 5"/>
    <w:lsdException w:unhideWhenUsed="0" w:uiPriority="64" w:semiHidden="0" w:name="Colorful Grid Accent 5"/>
    <w:lsdException w:unhideWhenUsed="0" w:uiPriority="65" w:semiHidden="0" w:name="Light Shading Accent 6"/>
    <w:lsdException w:unhideWhenUsed="0" w:uiPriority="66" w:semiHidden="0" w:name="Light List Accent 6"/>
    <w:lsdException w:unhideWhenUsed="0" w:uiPriority="67" w:semiHidden="0" w:name="Light Grid Accent 6"/>
    <w:lsdException w:unhideWhenUsed="0" w:uiPriority="68" w:semiHidden="0" w:name="Medium Shading 1 Accent 6"/>
    <w:lsdException w:unhideWhenUsed="0" w:uiPriority="69" w:semiHidden="0" w:name="Medium Shading 2 Accent 6"/>
    <w:lsdException w:unhideWhenUsed="0" w:uiPriority="70" w:semiHidden="0" w:name="Medium List 1 Accent 6"/>
    <w:lsdException w:unhideWhenUsed="0" w:uiPriority="71" w:semiHidden="0" w:name="Medium List 2 Accent 6"/>
    <w:lsdException w:unhideWhenUsed="0" w:uiPriority="72" w:semiHidden="0" w:name="Medium Grid 1 Accent 6"/>
    <w:lsdException w:unhideWhenUsed="0" w:uiPriority="73" w:semiHidden="0" w:name="Medium Grid 2 Accent 6"/>
    <w:lsdException w:unhideWhenUsed="0" w:uiPriority="60" w:semiHidden="0" w:name="Medium Grid 3 Accent 6"/>
    <w:lsdException w:unhideWhenUsed="0" w:uiPriority="61" w:semiHidden="0" w:name="Dark List Accent 6"/>
    <w:lsdException w:unhideWhenUsed="0" w:uiPriority="62" w:semiHidden="0" w:name="Colorful Shading Accent 6"/>
    <w:lsdException w:unhideWhenUsed="0" w:uiPriority="63" w:semiHidden="0" w:name="Colorful List Accent 6"/>
    <w:lsdException w:unhideWhenUsed="0" w:uiPriority="64"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Style w:val="5"/>
      <w:tblCellMar>
        <w:top w:w="0" w:type="dxa"/>
        <w:left w:w="108" w:type="dxa"/>
        <w:bottom w:w="0" w:type="dxa"/>
        <w:right w:w="108" w:type="dxa"/>
      </w:tblCellMar>
    </w:tblPr>
  </w:style>
  <w:style w:type="paragraph" w:styleId="2">
    <w:name w:val="Balloon Text"/>
    <w:basedOn w:val="1"/>
    <w:link w:val="10"/>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unhideWhenUsed/>
    <w:uiPriority w:val="99"/>
    <w:rPr>
      <w:color w:val="0563C1"/>
      <w:u w:val="single"/>
    </w:rPr>
  </w:style>
  <w:style w:type="character" w:customStyle="1" w:styleId="8">
    <w:name w:val="页脚 Char"/>
    <w:link w:val="3"/>
    <w:semiHidden/>
    <w:uiPriority w:val="99"/>
    <w:rPr>
      <w:rFonts w:ascii="Times New Roman" w:hAnsi="Times New Roman"/>
      <w:kern w:val="2"/>
      <w:sz w:val="18"/>
      <w:szCs w:val="18"/>
    </w:rPr>
  </w:style>
  <w:style w:type="character" w:customStyle="1" w:styleId="9">
    <w:name w:val="页眉 Char"/>
    <w:link w:val="4"/>
    <w:semiHidden/>
    <w:uiPriority w:val="99"/>
    <w:rPr>
      <w:rFonts w:ascii="Times New Roman" w:hAnsi="Times New Roman"/>
      <w:kern w:val="2"/>
      <w:sz w:val="18"/>
      <w:szCs w:val="18"/>
    </w:rPr>
  </w:style>
  <w:style w:type="character" w:customStyle="1" w:styleId="10">
    <w:name w:val="批注框文本 Char"/>
    <w:link w:val="2"/>
    <w:semiHidden/>
    <w:uiPriority w:val="99"/>
    <w:rPr>
      <w:rFonts w:ascii="Times New Roman" w:hAnsi="Times New Roman" w:eastAsia="宋体" w:cs="Times New Roman"/>
      <w:sz w:val="18"/>
      <w:szCs w:val="18"/>
    </w:rPr>
  </w:style>
  <w:style w:type="paragraph" w:customStyle="1" w:styleId="11">
    <w:name w:val="中等深浅网格 1 - 强调文字颜色 21"/>
    <w:basedOn w:val="1"/>
    <w:qFormat/>
    <w:uiPriority w:val="34"/>
    <w:pPr>
      <w:ind w:firstLine="420" w:firstLineChars="200"/>
    </w:pPr>
    <w:rPr>
      <w:rFonts w:ascii="Calibri" w:hAnsi="Calibri" w:eastAsia="宋体" w:cs="Times New Roman"/>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72</Words>
  <Characters>411</Characters>
  <Lines>3</Lines>
  <Paragraphs>1</Paragraphs>
  <TotalTime>0</TotalTime>
  <ScaleCrop>false</ScaleCrop>
  <LinksUpToDate>false</LinksUpToDate>
  <CharactersWithSpaces>482</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2018-06-29T03:43:00Z</dcterms:created>
  <dc:creator>秦艳珍</dc:creator>
  <cp:lastModifiedBy>长期失踪人口</cp:lastModifiedBy>
  <dcterms:modified xsi:type="dcterms:W3CDTF">2026-06-29T14:38:33Z</dcterms:modified>
  <dc:title>_x0001_</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EDC9D549DF02E8DBE912426AB9D633FB_42</vt:lpwstr>
  </property>
</Properties>
</file>