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5E842">
      <w:pPr>
        <w:rPr>
          <w:rFonts w:hint="eastAsia" w:ascii="黑体" w:eastAsia="黑体"/>
          <w:b/>
          <w:lang/>
        </w:rPr>
      </w:pPr>
      <w:bookmarkStart w:id="0" w:name="_GoBack"/>
      <w:bookmarkEnd w:id="0"/>
    </w:p>
    <w:p w14:paraId="5210849D">
      <w:pPr>
        <w:jc w:val="center"/>
        <w:rPr>
          <w:rFonts w:hint="eastAsia" w:ascii="黑体" w:eastAsia="黑体"/>
          <w:b/>
          <w:sz w:val="28"/>
          <w:lang/>
        </w:rPr>
      </w:pPr>
    </w:p>
    <w:p w14:paraId="07B281BA">
      <w:pPr>
        <w:jc w:val="center"/>
        <w:rPr>
          <w:rFonts w:hint="eastAsia" w:ascii="黑体" w:eastAsia="黑体"/>
          <w:b/>
          <w:bCs/>
          <w:sz w:val="28"/>
        </w:rPr>
      </w:pPr>
      <w:r>
        <w:rPr>
          <w:rFonts w:ascii="黑体" w:eastAsia="黑体"/>
          <w:b/>
          <w:sz w:val="28"/>
          <w:lang/>
        </w:rPr>
        <w:drawing>
          <wp:inline distT="0" distB="0" distL="114300" distR="114300">
            <wp:extent cx="3200400" cy="723900"/>
            <wp:effectExtent l="0" t="0" r="0" b="1270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2B48">
      <w:pPr>
        <w:spacing w:before="312" w:beforeLines="100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 w14:paraId="4B646AC7">
      <w:pPr>
        <w:ind w:firstLine="883" w:firstLineChars="200"/>
        <w:rPr>
          <w:rFonts w:hint="eastAsia" w:ascii="黑体" w:eastAsia="黑体"/>
          <w:b/>
          <w:sz w:val="44"/>
          <w:szCs w:val="44"/>
        </w:rPr>
      </w:pPr>
    </w:p>
    <w:p w14:paraId="26A58917">
      <w:pPr>
        <w:rPr>
          <w:rFonts w:ascii="黑体" w:eastAsia="黑体"/>
          <w:b/>
          <w:sz w:val="44"/>
          <w:szCs w:val="44"/>
        </w:rPr>
      </w:pPr>
    </w:p>
    <w:p w14:paraId="44AFD243">
      <w:pPr>
        <w:ind w:firstLine="883" w:firstLineChars="200"/>
        <w:jc w:val="center"/>
        <w:rPr>
          <w:rFonts w:hint="eastAsia" w:ascii="仿宋_GB2312" w:hAnsi="华文楷体" w:eastAsia="仿宋_GB2312"/>
          <w:b/>
          <w:color w:val="008000"/>
          <w:sz w:val="28"/>
          <w:szCs w:val="28"/>
        </w:rPr>
      </w:pPr>
      <w:r>
        <w:rPr>
          <w:rFonts w:hint="eastAsia" w:ascii="黑体" w:eastAsia="黑体"/>
          <w:b/>
          <w:sz w:val="44"/>
          <w:szCs w:val="44"/>
        </w:rPr>
        <w:t>一</w:t>
      </w:r>
      <w:r>
        <w:rPr>
          <w:rFonts w:ascii="黑体" w:eastAsia="黑体"/>
          <w:b/>
          <w:sz w:val="44"/>
          <w:szCs w:val="44"/>
        </w:rPr>
        <w:t>体化监控平台开发—需求说明书</w:t>
      </w:r>
    </w:p>
    <w:p w14:paraId="6EA0206A">
      <w:pPr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</w:t>
      </w:r>
    </w:p>
    <w:p w14:paraId="34C5686F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32116831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6EE25C9F">
      <w:pPr>
        <w:ind w:firstLine="1946" w:firstLineChars="6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学  院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>计</w:t>
      </w:r>
      <w:r>
        <w:rPr>
          <w:rFonts w:ascii="宋体" w:hAnsi="宋体"/>
          <w:b/>
          <w:sz w:val="30"/>
          <w:szCs w:val="30"/>
          <w:u w:val="single"/>
        </w:rPr>
        <w:t xml:space="preserve">算机科学与工程学院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6DF4DE87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专  业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>计</w:t>
      </w:r>
      <w:r>
        <w:rPr>
          <w:rFonts w:ascii="宋体" w:hAnsi="宋体"/>
          <w:b/>
          <w:sz w:val="30"/>
          <w:szCs w:val="30"/>
          <w:u w:val="single"/>
        </w:rPr>
        <w:t xml:space="preserve">算机科学与技术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6A6C1E4E">
      <w:pPr>
        <w:ind w:firstLine="1946" w:firstLineChars="646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组长姓名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陈梦泽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138F3D7E">
      <w:pPr>
        <w:ind w:firstLine="1946" w:firstLineChars="646"/>
        <w:jc w:val="left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组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员 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陈紫</w:t>
      </w:r>
      <w:r>
        <w:rPr>
          <w:rFonts w:hint="eastAsia" w:ascii="宋体" w:hAnsi="宋体"/>
          <w:b/>
          <w:sz w:val="30"/>
          <w:szCs w:val="30"/>
          <w:u w:val="single"/>
        </w:rPr>
        <w:t>暄</w:t>
      </w:r>
      <w:r>
        <w:rPr>
          <w:rFonts w:ascii="宋体" w:hAnsi="宋体"/>
          <w:b/>
          <w:sz w:val="30"/>
          <w:szCs w:val="30"/>
          <w:u w:val="single"/>
        </w:rPr>
        <w:t xml:space="preserve">、曹丹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4782CB13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苏锦钿、</w:t>
      </w:r>
      <w:r>
        <w:rPr>
          <w:rFonts w:ascii="宋体" w:hAnsi="宋体"/>
          <w:b/>
          <w:sz w:val="30"/>
          <w:szCs w:val="30"/>
          <w:u w:val="single"/>
        </w:rPr>
        <w:t>黄平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</w:t>
      </w:r>
    </w:p>
    <w:p w14:paraId="12CB039F">
      <w:pPr>
        <w:ind w:firstLine="1946" w:firstLineChars="646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课程编号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045102191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</w:p>
    <w:p w14:paraId="0392A658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课程学分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2.0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</w:t>
      </w:r>
    </w:p>
    <w:p w14:paraId="3AFA7A67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起始日期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2026年3月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3A733AE2">
      <w:pPr>
        <w:rPr>
          <w:rFonts w:hint="eastAsia"/>
          <w:iCs/>
          <w:color w:val="008000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792CE3E3">
        <w:trPr>
          <w:wBefore w:w="0" w:type="dxa"/>
          <w:trHeight w:val="7310" w:hRule="atLeast"/>
        </w:trPr>
        <w:tc>
          <w:tcPr>
            <w:tcW w:w="828" w:type="dxa"/>
            <w:noWrap w:val="0"/>
            <w:vAlign w:val="center"/>
          </w:tcPr>
          <w:p w14:paraId="3E424715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38EC6FD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11BAE61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74AC62F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noWrap w:val="0"/>
            <w:vAlign w:val="top"/>
          </w:tcPr>
          <w:p w14:paraId="3DC848D7">
            <w:pPr>
              <w:spacing w:line="400" w:lineRule="exact"/>
              <w:rPr>
                <w:rFonts w:hint="eastAsia"/>
                <w:sz w:val="24"/>
              </w:rPr>
            </w:pPr>
          </w:p>
          <w:p w14:paraId="16F1A94D">
            <w:pPr>
              <w:spacing w:line="400" w:lineRule="exact"/>
              <w:rPr>
                <w:rFonts w:hint="eastAsia"/>
                <w:sz w:val="24"/>
              </w:rPr>
            </w:pPr>
          </w:p>
          <w:p w14:paraId="540040FC">
            <w:pPr>
              <w:spacing w:line="400" w:lineRule="exact"/>
              <w:rPr>
                <w:rFonts w:hint="eastAsia"/>
                <w:sz w:val="24"/>
              </w:rPr>
            </w:pPr>
          </w:p>
          <w:p w14:paraId="12105B2C">
            <w:pPr>
              <w:spacing w:line="400" w:lineRule="exact"/>
              <w:rPr>
                <w:rFonts w:hint="eastAsia"/>
                <w:sz w:val="24"/>
              </w:rPr>
            </w:pPr>
          </w:p>
          <w:p w14:paraId="1E826295">
            <w:pPr>
              <w:spacing w:line="400" w:lineRule="exact"/>
              <w:rPr>
                <w:rFonts w:hint="eastAsia"/>
                <w:sz w:val="24"/>
              </w:rPr>
            </w:pPr>
          </w:p>
          <w:p w14:paraId="09B793B4">
            <w:pPr>
              <w:spacing w:line="400" w:lineRule="exact"/>
              <w:rPr>
                <w:rFonts w:hint="eastAsia"/>
                <w:sz w:val="24"/>
              </w:rPr>
            </w:pPr>
          </w:p>
          <w:p w14:paraId="69C2A72F">
            <w:pPr>
              <w:spacing w:line="400" w:lineRule="exact"/>
              <w:rPr>
                <w:rFonts w:hint="eastAsia"/>
                <w:sz w:val="24"/>
              </w:rPr>
            </w:pPr>
          </w:p>
          <w:p w14:paraId="712D68DA">
            <w:pPr>
              <w:spacing w:line="400" w:lineRule="exact"/>
              <w:rPr>
                <w:rFonts w:hint="eastAsia"/>
                <w:sz w:val="24"/>
              </w:rPr>
            </w:pPr>
          </w:p>
          <w:p w14:paraId="60618965">
            <w:pPr>
              <w:spacing w:line="400" w:lineRule="exact"/>
              <w:rPr>
                <w:rFonts w:hint="eastAsia"/>
                <w:sz w:val="24"/>
              </w:rPr>
            </w:pPr>
          </w:p>
          <w:p w14:paraId="19B39DCD">
            <w:pPr>
              <w:spacing w:line="400" w:lineRule="exact"/>
              <w:rPr>
                <w:rFonts w:hint="eastAsia"/>
                <w:sz w:val="24"/>
              </w:rPr>
            </w:pPr>
          </w:p>
          <w:p w14:paraId="3B233722">
            <w:pPr>
              <w:spacing w:line="400" w:lineRule="exact"/>
              <w:rPr>
                <w:rFonts w:hint="eastAsia"/>
                <w:sz w:val="24"/>
              </w:rPr>
            </w:pPr>
          </w:p>
          <w:p w14:paraId="34BC626E">
            <w:pPr>
              <w:spacing w:line="400" w:lineRule="exact"/>
              <w:rPr>
                <w:rFonts w:hint="eastAsia"/>
                <w:sz w:val="24"/>
              </w:rPr>
            </w:pPr>
          </w:p>
          <w:p w14:paraId="5600F7E6">
            <w:pPr>
              <w:spacing w:line="400" w:lineRule="exact"/>
              <w:rPr>
                <w:rFonts w:hint="eastAsia"/>
                <w:sz w:val="24"/>
              </w:rPr>
            </w:pPr>
          </w:p>
          <w:p w14:paraId="3B6FB38B">
            <w:pPr>
              <w:spacing w:line="400" w:lineRule="exact"/>
              <w:rPr>
                <w:rFonts w:hint="eastAsia"/>
                <w:sz w:val="24"/>
              </w:rPr>
            </w:pPr>
          </w:p>
          <w:p w14:paraId="7E146107">
            <w:pPr>
              <w:spacing w:line="400" w:lineRule="exact"/>
              <w:rPr>
                <w:rFonts w:hint="eastAsia"/>
                <w:sz w:val="24"/>
              </w:rPr>
            </w:pPr>
          </w:p>
          <w:p w14:paraId="362316DF">
            <w:pPr>
              <w:spacing w:line="400" w:lineRule="exact"/>
              <w:rPr>
                <w:rFonts w:hint="eastAsia"/>
                <w:sz w:val="24"/>
              </w:rPr>
            </w:pPr>
          </w:p>
          <w:p w14:paraId="309FA648">
            <w:pPr>
              <w:spacing w:line="400" w:lineRule="exact"/>
              <w:rPr>
                <w:rFonts w:hint="eastAsia"/>
                <w:sz w:val="24"/>
              </w:rPr>
            </w:pPr>
          </w:p>
          <w:p w14:paraId="4C1563E2">
            <w:pPr>
              <w:spacing w:line="400" w:lineRule="exact"/>
              <w:rPr>
                <w:rFonts w:hint="eastAsia"/>
                <w:sz w:val="24"/>
              </w:rPr>
            </w:pPr>
          </w:p>
          <w:p w14:paraId="59755C77">
            <w:pPr>
              <w:spacing w:line="400" w:lineRule="exact"/>
              <w:rPr>
                <w:rFonts w:hint="eastAsia"/>
                <w:sz w:val="24"/>
              </w:rPr>
            </w:pPr>
          </w:p>
          <w:p w14:paraId="2B3D4269">
            <w:pPr>
              <w:spacing w:line="400" w:lineRule="exact"/>
              <w:rPr>
                <w:rFonts w:hint="eastAsia"/>
                <w:sz w:val="24"/>
              </w:rPr>
            </w:pPr>
          </w:p>
          <w:p w14:paraId="27D05B9F">
            <w:pPr>
              <w:spacing w:line="400" w:lineRule="exact"/>
              <w:rPr>
                <w:rFonts w:hint="eastAsia"/>
                <w:sz w:val="24"/>
              </w:rPr>
            </w:pPr>
          </w:p>
          <w:p w14:paraId="2041AA2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373D96E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659BC33D">
        <w:trPr>
          <w:wBefore w:w="0" w:type="dxa"/>
          <w:trHeight w:val="1088" w:hRule="atLeast"/>
        </w:trPr>
        <w:tc>
          <w:tcPr>
            <w:tcW w:w="828" w:type="dxa"/>
            <w:noWrap w:val="0"/>
            <w:vAlign w:val="center"/>
          </w:tcPr>
          <w:p w14:paraId="1430C3FB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72015D0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79DCC2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E92DDE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noWrap w:val="0"/>
            <w:vAlign w:val="top"/>
          </w:tcPr>
          <w:p w14:paraId="19717C14">
            <w:pPr>
              <w:spacing w:line="400" w:lineRule="exact"/>
              <w:rPr>
                <w:rFonts w:hint="eastAsia"/>
                <w:sz w:val="24"/>
              </w:rPr>
            </w:pPr>
          </w:p>
          <w:p w14:paraId="25B51044">
            <w:pPr>
              <w:spacing w:line="400" w:lineRule="exact"/>
              <w:rPr>
                <w:rFonts w:hint="eastAsia"/>
                <w:sz w:val="24"/>
              </w:rPr>
            </w:pPr>
          </w:p>
          <w:p w14:paraId="05591D2F">
            <w:pPr>
              <w:spacing w:line="400" w:lineRule="exact"/>
              <w:rPr>
                <w:rFonts w:hint="eastAsia"/>
                <w:sz w:val="24"/>
              </w:rPr>
            </w:pPr>
          </w:p>
          <w:p w14:paraId="12E12F50">
            <w:pPr>
              <w:spacing w:line="400" w:lineRule="exact"/>
              <w:rPr>
                <w:rFonts w:hint="eastAsia"/>
                <w:sz w:val="24"/>
              </w:rPr>
            </w:pPr>
          </w:p>
          <w:p w14:paraId="015E23EE">
            <w:pPr>
              <w:spacing w:line="400" w:lineRule="exact"/>
              <w:rPr>
                <w:rFonts w:hint="eastAsia"/>
                <w:sz w:val="24"/>
              </w:rPr>
            </w:pPr>
          </w:p>
          <w:p w14:paraId="5C452715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14:paraId="3BD34695">
        <w:trPr>
          <w:wBefore w:w="0" w:type="dxa"/>
        </w:trPr>
        <w:tc>
          <w:tcPr>
            <w:tcW w:w="828" w:type="dxa"/>
            <w:noWrap w:val="0"/>
            <w:vAlign w:val="center"/>
          </w:tcPr>
          <w:p w14:paraId="0E245DC3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30A008EE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noWrap w:val="0"/>
            <w:vAlign w:val="top"/>
          </w:tcPr>
          <w:p w14:paraId="22E93ED1">
            <w:pPr>
              <w:spacing w:line="400" w:lineRule="exact"/>
              <w:rPr>
                <w:rFonts w:hint="eastAsia"/>
                <w:sz w:val="24"/>
              </w:rPr>
            </w:pPr>
          </w:p>
          <w:p w14:paraId="67A313E9">
            <w:pPr>
              <w:spacing w:line="400" w:lineRule="exact"/>
              <w:rPr>
                <w:rFonts w:hint="eastAsia"/>
                <w:sz w:val="24"/>
              </w:rPr>
            </w:pPr>
          </w:p>
          <w:p w14:paraId="06F654DD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07F3C83B"/>
    <w:p w14:paraId="33FF4565">
      <w:pPr>
        <w:rPr>
          <w:rFonts w:hint="eastAsia" w:ascii="宋体" w:hAnsi="宋体"/>
          <w:b/>
          <w:sz w:val="36"/>
        </w:rPr>
      </w:pPr>
      <w:r>
        <w:rPr>
          <w:rFonts w:ascii="宋体" w:hAnsi="宋体"/>
          <w:b/>
          <w:sz w:val="36"/>
        </w:rPr>
        <w:t>1、</w:t>
      </w:r>
      <w:r>
        <w:rPr>
          <w:rFonts w:hint="eastAsia" w:ascii="宋体" w:hAnsi="宋体"/>
          <w:b/>
          <w:sz w:val="36"/>
        </w:rPr>
        <w:t>引言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需求范围限定在当前仓库已经实现并可由代码、脚本、截图回证的能力，包括节点纳管、服务发现、资源采集、统一展示、链路追踪和自动部署。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尚未落地的设想不写成现成能力。需求范围只保留可以被源码、工作流或界面材料直接证明的事实。</w:t>
      </w:r>
    </w:p>
    <w:p w14:paraId="64679AE5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1.1 </w:t>
      </w:r>
      <w:r>
        <w:rPr>
          <w:rFonts w:hint="eastAsia" w:ascii="宋体" w:hAnsi="宋体"/>
          <w:b/>
          <w:sz w:val="32"/>
        </w:rPr>
        <w:t>编写目的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需求内容覆盖设计、编码、测试和答辩所需的同一套系统能力。主机发现、资源采集、指标展示和调用链展示都对应可验证实现。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页面结果与系统内部实现保持一致。页面截图、接口返回、部署脚本和自动化记录描述的是同一套事实。</w:t>
      </w:r>
    </w:p>
    <w:p w14:paraId="52FDD5E7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1.2 </w:t>
      </w:r>
      <w:r>
        <w:rPr>
          <w:rFonts w:hint="eastAsia" w:ascii="宋体" w:hAnsi="宋体"/>
          <w:b/>
          <w:sz w:val="32"/>
        </w:rPr>
        <w:t>项目背景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课题原始背景来自企业运维场景：系统数量增加、架构变复杂、需要一套能够发现主机上服务并集中展示的监控工具。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因此，本项目的需求不是单做页面，而是围绕主机纳管、资源采集、服务识别、指标展示和调用链展示建立一条能运行的主线。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项目采用“自研控制面 + 复用成熟观测底座”的策略。Agent、平台聚合后端和统一工作台承担课程要求中的自研部分，Prometheus、Grafana 和 SkyWalking 提供底层指标与链路能力。</w:t>
      </w:r>
    </w:p>
    <w:p w14:paraId="71A857F9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1.3 </w:t>
      </w:r>
      <w:r>
        <w:rPr>
          <w:rFonts w:hint="eastAsia" w:ascii="宋体" w:hAnsi="宋体"/>
          <w:b/>
          <w:color w:val="000000"/>
          <w:sz w:val="32"/>
          <w:szCs w:val="44"/>
        </w:rPr>
        <w:t>参考</w:t>
      </w:r>
      <w:r>
        <w:rPr>
          <w:rFonts w:ascii="宋体" w:hAnsi="宋体"/>
          <w:b/>
          <w:color w:val="000000"/>
          <w:sz w:val="32"/>
          <w:szCs w:val="44"/>
        </w:rPr>
        <w:t>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3806"/>
        <w:gridCol w:w="4864"/>
      </w:tblGrid>
      <w:tr>
        <w:trPr>
          <w:tblHeader w:val="true"/>
        </w:trP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资料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https://github.com/cmzbutqq/SWE-CourseDesign-Insider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给出当前源码、工作流、说明文档和提交历史。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`documents/base/广东公司提供实训课题2026年版-课题二.md`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给出课题背景、展示内容和硬件条件。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`docs/项目说明.md`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说明当前实现与课题要求的映射关系。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`README.md`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给出当前仓库的运行方式、入口地址和测试命令。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 与 `infra/` 配置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给出系统拓扑、端口和观测组件接入方式。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`tests/` 与 `.github/workflows/`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给出验收脚本和自动化验证入口。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`deploy/deploy-main.sh`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给出远端部署后的真实健康检查顺序。</w:t>
            </w:r>
          </w:p>
        </w:tc>
      </w:tr>
      <w:tr>
        <w:tc>
          <w:tcPr>
            <w:tcW w:type="dxa" w:w="380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`pics/` 与 `documents/答辩PPT.pptx`</w:t>
            </w:r>
          </w:p>
        </w:tc>
        <w:tc>
          <w:tcPr>
            <w:tcW w:type="dxa" w:w="486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给出工作台、观测后台和答辩展示可回证的图像材料。</w:t>
            </w:r>
          </w:p>
        </w:tc>
      </w:tr>
    </w:tbl>
    <w:p>
      <w:pPr>
        <w:spacing w:after="120"/>
      </w:pPr>
    </w:p>
    <w:p w14:paraId="5F810F6B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>1.4 术语说明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833"/>
        <w:gridCol w:w="6837"/>
      </w:tblGrid>
      <w:tr>
        <w:trPr>
          <w:tblHeader w:val="true"/>
        </w:trP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运行在被监控节点上的 Go 程序，负责注册、心跳、服务发现和主机资源采集。</w:t>
            </w:r>
          </w:p>
        </w:tc>
      </w:tr>
      <w:t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统一工作台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前端工作台，包含总览、节点、服务、链路和调试五类页面。</w:t>
            </w:r>
          </w:p>
        </w:tc>
      </w:tr>
      <w:t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平台聚合后端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Spring Boot 后端，对节点、服务、趋势和 Trace 摘要做统一加工。</w:t>
            </w:r>
          </w:p>
        </w:tc>
      </w:tr>
      <w:t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语义节点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为答辩演示而定义的逻辑主机。当前仓库里对应 `app-node` 和 `middleware-node`。</w:t>
            </w:r>
          </w:p>
        </w:tc>
      </w:tr>
      <w:tr>
        <w:tc>
          <w:tcPr>
            <w:tcW w:type="dxa" w:w="18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异常服务</w:t>
            </w:r>
          </w:p>
        </w:tc>
        <w:tc>
          <w:tcPr>
            <w:tcW w:type="dxa" w:w="683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当前主要指已识别但缺少抓取入口的服务，前台用 `NO_SCRAPE_ENDPOINT` 表示。演示环境中的 MySQL 是刻意保留的示例。</w:t>
            </w:r>
          </w:p>
        </w:tc>
      </w:tr>
    </w:tbl>
    <w:p>
      <w:pPr>
        <w:spacing w:after="120"/>
      </w:pPr>
    </w:p>
    <w:p w14:paraId="566345DC">
      <w:pPr>
        <w:jc w:val="left"/>
        <w:rPr>
          <w:rFonts w:ascii="宋体" w:hAnsi="宋体" w:cs="Arial"/>
          <w:b/>
          <w:color w:val="3E3E3E"/>
          <w:kern w:val="0"/>
          <w:sz w:val="32"/>
          <w:szCs w:val="32"/>
        </w:rPr>
      </w:pPr>
      <w:r>
        <w:rPr>
          <w:rFonts w:ascii="宋体" w:hAnsi="宋体" w:cs="Arial"/>
          <w:b/>
          <w:color w:val="3E3E3E"/>
          <w:kern w:val="0"/>
          <w:sz w:val="32"/>
          <w:szCs w:val="32"/>
        </w:rPr>
        <w:t>1.5 产品范围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需求范围覆盖节点纳管、服务发现、主机资源采集、统一总览、节点和服务详情、链路追踪、Prometheus/Grafana/SkyWalking 联通、自动部署和冒烟验收。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当前不要求做生产级高可用部署，不要求做动态改写 Prometheus 配置，也不要求做浏览器级端到端自动化。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867"/>
        <w:gridCol w:w="6803"/>
      </w:tblGrid>
      <w:tr>
        <w:trPr>
          <w:tblHeader w:val="true"/>
        </w:trP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范围类别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当前要求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必须完成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注册与心跳、服务发现、主机指标采集、统一工作台、链路摘要、自动化测试和自动部署。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建议完成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截图材料、答辩演示链路、配置回归脚本、趋势分析展示。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当前不纳入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多租户、权限细分、动态 Prometheus 改写、生产级高可用、复杂告警编排。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435"/>
        <w:gridCol w:w="1934"/>
        <w:gridCol w:w="2433"/>
        <w:gridCol w:w="2869"/>
      </w:tblGrid>
      <w:tr>
        <w:trPr>
          <w:tblHeader w:val="true"/>
        </w:trP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监控对象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识别方式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当前接入方式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当前状态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Linux 主机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所在节点自动纳管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采集系统信息与资源指标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已实现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Spring Boot 应用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`java` 进程与 Spring 启动特征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Actuator + Micrometer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已实现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Nginx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`nginx`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`nginx-prometheus-exporter`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已实现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Redis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`redis-server`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`redis_exporter`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已实现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`mysqld` 或 `mariadbd`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当前仅做服务识别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已识别，刻意未接独立 exporter</w:t>
            </w:r>
          </w:p>
        </w:tc>
      </w:tr>
      <w:tr>
        <w:tc>
          <w:tcPr>
            <w:tcW w:type="dxa" w:w="14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node_exporter</w:t>
            </w:r>
          </w:p>
        </w:tc>
        <w:tc>
          <w:tcPr>
            <w:tcW w:type="dxa" w:w="193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`node_exporter`</w:t>
            </w:r>
          </w:p>
        </w:tc>
        <w:tc>
          <w:tcPr>
            <w:tcW w:type="dxa" w:w="243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Prometheus 直接抓取</w:t>
            </w:r>
          </w:p>
        </w:tc>
        <w:tc>
          <w:tcPr>
            <w:tcW w:type="dxa" w:w="2869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已实现</w:t>
            </w:r>
          </w:p>
        </w:tc>
      </w:tr>
    </w:tbl>
    <w:p>
      <w:pPr>
        <w:spacing w:after="120"/>
      </w:pPr>
    </w:p>
    <w:p w14:paraId="325ABFDC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2、</w:t>
      </w:r>
      <w:r>
        <w:rPr>
          <w:rFonts w:hint="eastAsia" w:ascii="宋体" w:hAnsi="宋体"/>
          <w:b/>
          <w:color w:val="000000"/>
          <w:sz w:val="36"/>
          <w:szCs w:val="44"/>
        </w:rPr>
        <w:t>综合</w:t>
      </w:r>
      <w:r>
        <w:rPr>
          <w:rFonts w:ascii="宋体" w:hAnsi="宋体"/>
          <w:b/>
          <w:color w:val="000000"/>
          <w:sz w:val="36"/>
          <w:szCs w:val="44"/>
        </w:rPr>
        <w:t>描述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系统的使用路径是：Agent 上报节点和服务，后端聚合平台信息，前端按不同视角展示，Prometheus、Grafana、SkyWalking 提供底层指标和链路能力。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典型使用顺序是：先在总览页看平台状态，再从节点或服务入口下钻，必要时进入链路页或调试页继续确认底层数据是否真实存在。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120640" cy="4328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腾讯文档-总体架构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2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图1 平台总体架构图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这套系统不是单一网页，而是采集、聚合、展示三段能力同时成立的结果。Agent、后端、前端和观测底座同时接通，才满足课题里的集中监控要求。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303520" cy="4408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（角色与语义拓扑）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图2 角色与语义拓扑</w:t>
      </w:r>
    </w:p>
    <w:p w14:paraId="5460F128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2.1 </w:t>
      </w:r>
      <w:r>
        <w:rPr>
          <w:rFonts w:hint="eastAsia" w:ascii="宋体" w:hAnsi="宋体"/>
          <w:b/>
          <w:color w:val="000000"/>
          <w:sz w:val="32"/>
          <w:szCs w:val="44"/>
        </w:rPr>
        <w:t>用户类</w:t>
      </w:r>
      <w:r>
        <w:rPr>
          <w:rFonts w:ascii="宋体" w:hAnsi="宋体"/>
          <w:b/>
          <w:color w:val="000000"/>
          <w:sz w:val="32"/>
          <w:szCs w:val="44"/>
        </w:rPr>
        <w:t>和特性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三类使用者分别是课程答辩教师、演示人员和维护成员。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974"/>
        <w:gridCol w:w="6696"/>
      </w:tblGrid>
      <w:tr>
        <w:trPr>
          <w:tblHeader w:val="true"/>
        </w:trPr>
        <w:tc>
          <w:tcPr>
            <w:tcW w:type="dxa" w:w="197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用户类</w:t>
            </w:r>
          </w:p>
        </w:tc>
        <w:tc>
          <w:tcPr>
            <w:tcW w:type="dxa" w:w="669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特性与需求</w:t>
            </w:r>
          </w:p>
        </w:tc>
      </w:tr>
      <w:tr>
        <w:tc>
          <w:tcPr>
            <w:tcW w:type="dxa" w:w="197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课程答辩教师</w:t>
            </w:r>
          </w:p>
        </w:tc>
        <w:tc>
          <w:tcPr>
            <w:tcW w:type="dxa" w:w="669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更关注课题完成度、链路是否真实、数据来源是否能回证。</w:t>
            </w:r>
          </w:p>
        </w:tc>
      </w:tr>
      <w:tr>
        <w:tc>
          <w:tcPr>
            <w:tcW w:type="dxa" w:w="197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演示人员</w:t>
            </w:r>
          </w:p>
        </w:tc>
        <w:tc>
          <w:tcPr>
            <w:tcW w:type="dxa" w:w="669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需要一个统一入口，能在 10 分钟内讲清楚系统结构和排障流程。</w:t>
            </w:r>
          </w:p>
        </w:tc>
      </w:tr>
      <w:tr>
        <w:tc>
          <w:tcPr>
            <w:tcW w:type="dxa" w:w="1974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项目维护者</w:t>
            </w:r>
          </w:p>
        </w:tc>
        <w:tc>
          <w:tcPr>
            <w:tcW w:type="dxa" w:w="669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需要看到节点、服务、指标、Trace 和配置回归脚本之间的关系，方便继续修改。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120640" cy="2834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腾讯文档-系统用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图3 系统主要用例图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用例图把不同角色的核心动作收束成统一入口、节点巡检、服务下钻和链路核对四组路径，和当前工作台的页面分工是一致的。</w:t>
      </w:r>
    </w:p>
    <w:p w14:paraId="2BA4C872">
      <w:pPr>
        <w:jc w:val="left"/>
        <w:rPr>
          <w:rFonts w:hint="eastAsia"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2.2 </w:t>
      </w:r>
      <w:r>
        <w:rPr>
          <w:rFonts w:hint="eastAsia" w:ascii="宋体" w:hAnsi="宋体"/>
          <w:b/>
          <w:color w:val="000000"/>
          <w:sz w:val="32"/>
          <w:szCs w:val="44"/>
        </w:rPr>
        <w:t>运行</w:t>
      </w:r>
      <w:r>
        <w:rPr>
          <w:rFonts w:ascii="宋体" w:hAnsi="宋体"/>
          <w:b/>
          <w:color w:val="000000"/>
          <w:sz w:val="32"/>
          <w:szCs w:val="44"/>
        </w:rPr>
        <w:t>环境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当前需求落地对应的外部交付入口有两个：代码仓库为 https://github.com/cmzbutqq/SWE-CourseDesign-Insider，公网部署地址为 http://103.236.55.76/。当前云服务器租期到 2026年07月14日。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762"/>
        <w:gridCol w:w="6908"/>
      </w:tblGrid>
      <w:tr>
        <w:trPr>
          <w:tblHeader w:val="true"/>
        </w:trP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硬件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演示可在本地 Docker 环境运行，也可在 1 台 8C16G 云服务器上模拟 2 个语义节点。</w:t>
            </w:r>
          </w:p>
        </w:tc>
      </w:tr>
      <w:t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软件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Docker Compose、Vue 3 + Vite、Spring Boot、MySQL、Go Agent、Prometheus、Grafana、SkyWalking。</w:t>
            </w:r>
          </w:p>
        </w:tc>
      </w:tr>
      <w:t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网络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容器网络互通；演示环境需要能够访问 GitHub、镜像源和 Maven/NPM/Go 代理时才便于首次构建。</w:t>
            </w:r>
          </w:p>
        </w:tc>
      </w:tr>
      <w:t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入口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前台统一入口 15173；后端 18081；Prometheus 19090；Grafana 13000；SkyWalking UI 18082。</w:t>
            </w:r>
          </w:p>
        </w:tc>
      </w:tr>
      <w:tr>
        <w:tc>
          <w:tcPr>
            <w:tcW w:type="dxa" w:w="176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浏览器与展示</w:t>
            </w:r>
          </w:p>
        </w:tc>
        <w:tc>
          <w:tcPr>
            <w:tcW w:type="dxa" w:w="690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工作台需要正常访问本地代理路径 `/api`、`/prometheus`、`/grafana`，并允许嵌入 Grafana 与 SkyWalking 可视化页面。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2278"/>
        <w:gridCol w:w="1690"/>
        <w:gridCol w:w="4702"/>
      </w:tblGrid>
      <w:tr>
        <w:trPr>
          <w:tblHeader w:val="true"/>
        </w:trP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关键软件或镜像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当前版本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仓库依据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Node 运行时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`node:22-alpine`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Vue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3.5.13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`frontend/package.json`。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Vite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8.0.14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`frontend/package.json`。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Spring Boot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3.3.5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`backend/pom.xml`。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Java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21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`backend/pom.xml` 与镜像配置。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8.4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Go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1.23.0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`agent/go.mod`。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Prometheus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v2.54.1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Grafana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11.2.2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`docker-compose.yml`。</w:t>
            </w:r>
          </w:p>
        </w:tc>
      </w:tr>
      <w:tr>
        <w:tc>
          <w:tcPr>
            <w:tcW w:type="dxa" w:w="22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SkyWalking OAP / UI</w:t>
            </w:r>
          </w:p>
        </w:tc>
        <w:tc>
          <w:tcPr>
            <w:tcW w:type="dxa" w:w="169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10.0.1</w:t>
            </w:r>
          </w:p>
        </w:tc>
        <w:tc>
          <w:tcPr>
            <w:tcW w:type="dxa" w:w="470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`docker-compose.yml`。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669280" cy="3968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图4 总览页示意</w:t>
      </w:r>
    </w:p>
    <w:p w14:paraId="4F85BBC9">
      <w:pPr>
        <w:jc w:val="left"/>
        <w:rPr>
          <w:rFonts w:hint="eastAsia"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2.3 </w:t>
      </w:r>
      <w:r>
        <w:rPr>
          <w:rFonts w:hint="eastAsia" w:ascii="宋体" w:hAnsi="宋体"/>
          <w:b/>
          <w:color w:val="000000"/>
          <w:sz w:val="32"/>
          <w:szCs w:val="44"/>
        </w:rPr>
        <w:t>设计</w:t>
      </w:r>
      <w:r>
        <w:rPr>
          <w:rFonts w:ascii="宋体" w:hAnsi="宋体"/>
          <w:b/>
          <w:color w:val="000000"/>
          <w:sz w:val="32"/>
          <w:szCs w:val="44"/>
        </w:rPr>
        <w:t>和实现</w:t>
      </w:r>
      <w:r>
        <w:rPr>
          <w:rFonts w:hint="eastAsia" w:ascii="宋体" w:hAnsi="宋体"/>
          <w:b/>
          <w:color w:val="000000"/>
          <w:sz w:val="32"/>
          <w:szCs w:val="44"/>
        </w:rPr>
        <w:t>上</w:t>
      </w:r>
      <w:r>
        <w:rPr>
          <w:rFonts w:ascii="宋体" w:hAnsi="宋体"/>
          <w:b/>
          <w:color w:val="000000"/>
          <w:sz w:val="32"/>
          <w:szCs w:val="44"/>
        </w:rPr>
        <w:t>的限制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服务识别基于静态规则。它适合当前演示链路，不等于对任意程序都能自动建模。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Prometheus 的 targets 是静态配置，不会因为 Agent 发现了新服务就自动增加抓取项。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当前环境重点是可演示、可复现，不追求生产级伸缩、审计和多租户隔离。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系统能发现某服务，并不自动代表它已经具备完整指标接入。演示环境中的 MySQL 被刻意保留为未接独立 exporter 的状态，用于验证异常识别。</w:t>
      </w:r>
    </w:p>
    <w:p w14:paraId="062112C8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2.4 </w:t>
      </w:r>
      <w:r>
        <w:rPr>
          <w:rFonts w:hint="eastAsia" w:ascii="宋体" w:hAnsi="宋体"/>
          <w:b/>
          <w:color w:val="000000"/>
          <w:sz w:val="32"/>
          <w:szCs w:val="44"/>
        </w:rPr>
        <w:t>假设</w:t>
      </w:r>
      <w:r>
        <w:rPr>
          <w:rFonts w:ascii="宋体" w:hAnsi="宋体"/>
          <w:b/>
          <w:color w:val="000000"/>
          <w:sz w:val="32"/>
          <w:szCs w:val="44"/>
        </w:rPr>
        <w:t>和约束（依赖）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假设容器环境可用，系统时间基本同步，后端数据库可连通，SkyWalking OAP 与 UI 正常启动。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链路展示还依赖业务流量。若没有 `demo-chain` 请求，Trace 页面只能看到组件存在，不能看到完整业务闭环。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自动部署能力还依赖目标服务器预置环境和密钥配置，这属于部署阶段的外部约束，不是单靠应用代码就能满足的。</w:t>
      </w:r>
    </w:p>
    <w:p w14:paraId="2B1A10EB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3、功能性需求</w:t>
      </w:r>
      <w:r>
        <w:rPr>
          <w:rFonts w:hint="eastAsia" w:ascii="宋体" w:hAnsi="宋体"/>
          <w:b/>
          <w:color w:val="000000"/>
          <w:sz w:val="36"/>
          <w:szCs w:val="44"/>
        </w:rPr>
        <w:t>分析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功能性需求可以分成五组：纳管、采集、展示、下钻和验收。前四组决定系统是否像一个平台，第五组决定它是否具备可交付性。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4754880" cy="2734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腾讯文档-心跳上报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3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图5 Agent 心跳上报流程图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F01 到 F03 的核心就是把注册、服务发现和心跳采集做成稳定链路。节点只有先完成注册并持续上报，后续的总览、详情和趋势页面才有可信数据。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238"/>
        <w:gridCol w:w="1377"/>
        <w:gridCol w:w="3383"/>
        <w:gridCol w:w="2671"/>
      </w:tblGrid>
      <w:tr>
        <w:trPr>
          <w:tblHeader w:val="true"/>
        </w:trP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验收方式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F01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节点注册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启动后必须向后端注册节点名、主机名、IP、OS、版本和当前识别到的服务。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调用 `POST /api/agents/register` 并在 `/api/nodes` 中看到节点。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F02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服务发现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必须识别 Spring Boot、MySQL、Redis、Nginx、node_exporter 等固定类型服务，并带上端口；有抓取入口的服务带上指标入口，缺少抓取入口的服务保留异常标记。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查看后端服务目录和前台服务页。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F03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心跳与资源采集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必须定时上报状态、CPU、内存、磁盘和网络指标。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查看 `/api/nodes/{id}` 与节点详情页。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F04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统一总览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平台首页必须展示节点、服务、异常和趋势信息，并给出下钻入口。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访问 `/overview` 页面。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F05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节点与服务下钻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用户必须能从节点和服务两个入口查看基础信息、运行指标和原始监控链接。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访问 `/nodes/:id`、`/services/:id`。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F06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链路追踪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系统必须对 `demo-chain` 业务链路提供 Trace 摘要，并能进入 SkyWalking 原视图。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访问 `/tracing` 和 `/api/tracing/summary`。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F07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调试能力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系统必须保留 Prometheus targets 和 query 的调试入口，便于确认抓取链路是否正常。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访问 `/debug` 和 Prometheus targets。</w:t>
            </w:r>
          </w:p>
        </w:tc>
      </w:tr>
      <w:tr>
        <w:tc>
          <w:tcPr>
            <w:tcW w:type="dxa" w:w="123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F08</w:t>
            </w:r>
          </w:p>
        </w:tc>
        <w:tc>
          <w:tcPr>
            <w:tcW w:type="dxa" w:w="137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部署验收</w:t>
            </w:r>
          </w:p>
        </w:tc>
        <w:tc>
          <w:tcPr>
            <w:tcW w:type="dxa" w:w="3383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push 到 main 后，系统应先跑测试和 smoke test，再执行远端部署脚本。</w:t>
            </w:r>
          </w:p>
        </w:tc>
        <w:tc>
          <w:tcPr>
            <w:tcW w:type="dxa" w:w="2671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查看 `deploy-main.yml` 与 `deploy-main.sh`。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626"/>
        <w:gridCol w:w="2642"/>
        <w:gridCol w:w="1558"/>
        <w:gridCol w:w="2845"/>
      </w:tblGrid>
      <w:tr>
        <w:trPr>
          <w:tblHeader w:val="true"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服务类型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主要识别依据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当前示例端口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当前指标入口状态</w:t>
            </w:r>
          </w:p>
        </w:tc>
      </w:tr>
      <w:t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SPRING_BOOT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`java` 进程与 Spring 启动特征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8081 / 8082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`/actuator/prometheus`</w:t>
            </w:r>
          </w:p>
        </w:tc>
      </w:tr>
      <w:t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NGINX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`nginx`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80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`:9113/metrics`</w:t>
            </w:r>
          </w:p>
        </w:tc>
      </w:tr>
      <w:t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`mysqld` 或 `mariadbd`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3306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刻意不接独立 exporter</w:t>
            </w:r>
          </w:p>
        </w:tc>
      </w:tr>
      <w:t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REDIS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`redis-server`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6379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`:9121/metrics`</w:t>
            </w:r>
          </w:p>
        </w:tc>
      </w:tr>
      <w:tr>
        <w:tc>
          <w:tcPr>
            <w:tcW w:type="dxa" w:w="162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NODE_EXPORTER</w:t>
            </w:r>
          </w:p>
        </w:tc>
        <w:tc>
          <w:tcPr>
            <w:tcW w:type="dxa" w:w="2642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进程名含 `node_exporter`</w:t>
            </w:r>
          </w:p>
        </w:tc>
        <w:tc>
          <w:tcPr>
            <w:tcW w:type="dxa" w:w="155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9100</w:t>
            </w:r>
          </w:p>
        </w:tc>
        <w:tc>
          <w:tcPr>
            <w:tcW w:type="dxa" w:w="284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`/metrics`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867"/>
        <w:gridCol w:w="1867"/>
        <w:gridCol w:w="4935"/>
      </w:tblGrid>
      <w:tr>
        <w:trPr>
          <w:tblHeader w:val="true"/>
        </w:trP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业务场景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相关需求编号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涉及页面或接口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新节点接入平台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F01、F02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`/api/agents/register`、节点页、服务页。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巡检主机健康状态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F03、F04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`/overview`、`/nodes`、`/nodes/{id}`。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确认某服务有没有接全监控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F02、F05、F07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`/services/{id}`、Prometheus targets、调试页。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验证业务调用链是否形成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F06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`/tracing`、`/api/tracing/summary`、SkyWalking UI。</w:t>
            </w:r>
          </w:p>
        </w:tc>
      </w:tr>
      <w:tr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验证主分支交付闭环</w:t>
            </w:r>
          </w:p>
        </w:tc>
        <w:tc>
          <w:tcPr>
            <w:tcW w:type="dxa" w:w="1867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F08</w:t>
            </w:r>
          </w:p>
        </w:tc>
        <w:tc>
          <w:tcPr>
            <w:tcW w:type="dxa" w:w="4935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`deploy-main.yml`、`deploy-main.sh`、`tests/smoke-test.sh`。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303520" cy="3749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统一工作台页面映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图6 统一工作台页面映射图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页面映射图把功能需求落到了具体入口。总览负责平台态势，节点与服务负责实体下钻，链路页负责业务闭环，调试页负责回证底层抓取事实。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303520" cy="40579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服务详情（基础信息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图7 服务详情中的基础信息与监控入口</w:t>
      </w:r>
    </w:p>
    <w:p w14:paraId="2168A546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4、</w:t>
      </w:r>
      <w:r>
        <w:rPr>
          <w:rFonts w:hint="eastAsia" w:ascii="宋体" w:hAnsi="宋体"/>
          <w:b/>
          <w:color w:val="000000"/>
          <w:sz w:val="36"/>
          <w:szCs w:val="44"/>
        </w:rPr>
        <w:t>非</w:t>
      </w:r>
      <w:r>
        <w:rPr>
          <w:rFonts w:ascii="宋体" w:hAnsi="宋体"/>
          <w:b/>
          <w:color w:val="000000"/>
          <w:sz w:val="36"/>
          <w:szCs w:val="44"/>
        </w:rPr>
        <w:t>功能需求分析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非功能要求集中在可演示、可复现、可定位问题三点。课程验收更关心系统能否稳定展示、能否重复部署、能否快速回证问题来源。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没有实测数据支持的吞吐量和容量指标不写入需求说明，文档只保留仓库已经体现的约束。</w:t>
      </w:r>
    </w:p>
    <w:p w14:paraId="0252FB9F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>4.1 性能需求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系统需支持 10 秒级心跳和 15 秒级指标抓取，满足课程演示和平台巡检需要。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总览趋势按 5 分钟粒度保存平台快照，用来观察状态变化，不要求替代高精度时序分析。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页面层面的性能诉求也比较明确：总览、节点和服务详情要以聚合数据快速响应，不能要求使用者手工到多个原始后台拼装信息。</w:t>
      </w:r>
    </w:p>
    <w:p w14:paraId="037507DA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4.2 </w:t>
      </w:r>
      <w:r>
        <w:rPr>
          <w:rFonts w:hint="eastAsia" w:ascii="宋体" w:hAnsi="宋体"/>
          <w:b/>
          <w:color w:val="000000"/>
          <w:sz w:val="32"/>
          <w:szCs w:val="44"/>
        </w:rPr>
        <w:t>可靠性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心跳状态值必须经过合法性校验。缺失指标应尽量和上一条指标合并，避免图表因单次采集不完整而明显断裂。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4937760" cy="14476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腾讯文档-Agent心跳状态流转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4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图8 Agent 心跳状态流转图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可靠性要求最终会落到状态解释上。心跳正常和心跳超时这两类情况需要被明确区分，否则使用者无法准确判断当前问题属于数据缺失还是节点异常。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部署脚本需要在服务拉起后做健康检查，并确认节点注册、Prometheus targets 和业务 Trace 已经出现。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需求层面对可靠性的判断标准也应写清：不是单看容器是否启动，而是看注册、抓取、链路和页面入口这几条关键路径能否同时成立。</w:t>
      </w:r>
    </w:p>
    <w:p w14:paraId="0B51A2F9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4.3 安全性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部署链路需区分“本机到服务器”和“服务器到 GitHub”两条 SSH 密钥路径，避免混用。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Grafana 的匿名只读访问仅服务于演示嵌入，不应被误认为生产环境默认策略。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调试入口和观测后台的开放程度以演示便利为先，因此文档必须明确这些配置是教学场景折中，而不是通用上线建议。</w:t>
      </w:r>
    </w:p>
    <w:p w14:paraId="7603DE7E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4.4 可维护性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模块目录、配置文件和脚本应按职责分开。当前仓库已经按前端、后端、Agent、演示节点、基础设施、部署与测试拆分。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常见回归点应尽量写成脚本。当前仓库已经为 SkyWalking agent 来源、Prometheus route-prefix 和部署观测配置提供了独立回归脚本。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前端服务层、后端服务层和 Agent 模块边界保持清楚，团队成员才能分工开发而不互相覆盖。</w:t>
      </w:r>
    </w:p>
    <w:p w14:paraId="7B4BB33B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4.5 可扩展性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系统应允许继续增加服务识别规则、更多 Grafana dashboard、更多前台面板组和更多服务详情指标。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后端对节点、服务、趋势和 Trace 摘要都用了独立 DTO，便于继续扩展读接口。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后续继续扩展时，需求优先级应放在补更多 exporter、补异常场景、补自动化验证，而不是先追求更复杂的装饰性页面。</w:t>
      </w:r>
    </w:p>
    <w:p w14:paraId="65CF1A0F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4.6</w:t>
      </w:r>
      <w:r>
        <w:rPr>
          <w:rFonts w:ascii="宋体" w:hAnsi="宋体"/>
          <w:b/>
          <w:color w:val="000000"/>
          <w:sz w:val="32"/>
          <w:szCs w:val="44"/>
        </w:rPr>
        <w:t xml:space="preserve"> </w:t>
      </w:r>
      <w:r>
        <w:rPr>
          <w:rFonts w:hint="eastAsia" w:ascii="宋体" w:hAnsi="宋体"/>
          <w:b/>
          <w:color w:val="000000"/>
          <w:sz w:val="32"/>
          <w:szCs w:val="44"/>
        </w:rPr>
        <w:t>数据</w:t>
      </w:r>
      <w:r>
        <w:rPr>
          <w:rFonts w:ascii="宋体" w:hAnsi="宋体"/>
          <w:b/>
          <w:color w:val="000000"/>
          <w:sz w:val="32"/>
          <w:szCs w:val="44"/>
        </w:rPr>
        <w:t>一致性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注册接口只负责节点与服务目录，心跳接口只负责状态和资源指标，两类数据不能混在一条写路径里。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趋势页读取的快照数据应和平台总览口径一致，避免一个页面说正常、另一个页面说异常。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同样地，服务详情页里的抓取入口、节点详情页里的服务清单和调试页里的 targets 应当描述同一套接入事实，否则使用者无法判断是页面错、后端错还是底层抓取错。</w:t>
      </w:r>
    </w:p>
    <w:p w14:paraId="3A25FE0D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5、验收要点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验收证据包括代码、脚本、接口、截图和工作流运行记录。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验收时可直接使用 https://github.com/cmzbutqq/SWE-CourseDesign-Insider 复核源码和工作流，用 http://103.236.55.76/ 复核在线系统；当前服务器到期日期为 2026年07月14日。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仓库对 `main` 分支启用了保护规则：禁止删除和强推，改动需通过 Pull Request 合入，至少 1 个评审通过并解决评审线程，且 `frontend-build`、`backend-test`、`agent-test` 三项状态检查必须通过。</w:t>
      </w:r>
    </w:p>
    <w:p>
      <w:pPr>
        <w:spacing w:after="0" w:line="360" w:lineRule="auto"/>
      </w:pPr>
      <w:r>
        <w:rPr>
          <w:rFonts w:ascii="宋体" w:hAnsi="宋体" w:eastAsia="宋体"/>
          <w:i w:val="0"/>
          <w:sz w:val="24"/>
        </w:rPr>
        <w:t>用于验收的前台页面截图以公网部署环境为准，直接取自 http://103.236.55.76/ 的实际访问结果，不以本地开发环境截图代替。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1678"/>
        <w:gridCol w:w="3216"/>
        <w:gridCol w:w="3776"/>
      </w:tblGrid>
      <w:tr>
        <w:trPr>
          <w:tblHeader w:val="true"/>
        </w:trP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对应证据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Agent 注册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后端能收到 `app-node` 和 `middleware-node`。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`tests/smoke-test.sh`、`deploy/deploy-main.sh`。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服务发现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服务目录至少包含 Spring Boot 与 MySQL。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`tests/smoke-test.sh` 中的服务检查。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Prometheus 抓取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targets 中能看到 `sample-service`。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`tests/prometheus-route-prefix-test.sh`、`tests/smoke-test.sh`。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链路追踪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`/api/tracing/summary` 中出现 `/api/demo-chain`。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`deploy-main.sh` 中的 `wait_for_business_traces`。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统一入口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总览、节点、服务、链路、调试五类页面可访问。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前端路由和答辩截图。</w:t>
            </w:r>
          </w:p>
        </w:tc>
      </w:tr>
      <w:tr>
        <w:tc>
          <w:tcPr>
            <w:tcW w:type="dxa" w:w="1678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自动部署</w:t>
            </w:r>
          </w:p>
        </w:tc>
        <w:tc>
          <w:tcPr>
            <w:tcW w:type="dxa" w:w="321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main 分支工作流在 smoke test 通过后再执行 SSH 部署。</w:t>
            </w:r>
          </w:p>
        </w:tc>
        <w:tc>
          <w:tcPr>
            <w:tcW w:type="dxa" w:w="3776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`.github/workflows/deploy-main.yml`。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7B3"/>
          <w:left w:val="single" w:sz="6" w:space="0" w:color="9EA7B3"/>
          <w:bottom w:val="single" w:sz="6" w:space="0" w:color="9EA7B3"/>
          <w:right w:val="single" w:sz="6" w:space="0" w:color="9EA7B3"/>
          <w:insideH w:val="single" w:sz="6" w:space="0" w:color="9EA7B3"/>
          <w:insideV w:val="single" w:sz="6" w:space="0" w:color="9EA7B3"/>
        </w:tblBorders>
      </w:tblPr>
      <w:tblGrid>
        <w:gridCol w:w="3360"/>
        <w:gridCol w:w="5310"/>
      </w:tblGrid>
      <w:tr>
        <w:trPr>
          <w:tblHeader w:val="true"/>
        </w:trPr>
        <w:tc>
          <w:tcPr>
            <w:tcW w:type="dxa" w:w="336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不通过或需说明情况</w:t>
            </w:r>
          </w:p>
        </w:tc>
        <w:tc>
          <w:tcPr>
            <w:tcW w:type="dxa" w:w="531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E6EBF2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</w:tr>
      <w:tr>
        <w:tc>
          <w:tcPr>
            <w:tcW w:type="dxa" w:w="336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只展示静态页面，没有真实节点和业务流量</w:t>
            </w:r>
          </w:p>
        </w:tc>
        <w:tc>
          <w:tcPr>
            <w:tcW w:type="dxa" w:w="531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无法证明 Agent、Prometheus 和 SkyWalking 已形成真实闭环。</w:t>
            </w:r>
          </w:p>
        </w:tc>
      </w:tr>
      <w:tr>
        <w:tc>
          <w:tcPr>
            <w:tcW w:type="dxa" w:w="336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只能进入 Grafana 或 SkyWalking 原生页面，前台没有统一入口</w:t>
            </w:r>
          </w:p>
        </w:tc>
        <w:tc>
          <w:tcPr>
            <w:tcW w:type="dxa" w:w="531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  <w:shd w:val="clear" w:color="auto" w:fill="F7F9FC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无法体现“一体化工作台”的项目目标。</w:t>
            </w:r>
          </w:p>
        </w:tc>
      </w:tr>
      <w:tr>
        <w:tc>
          <w:tcPr>
            <w:tcW w:type="dxa" w:w="336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没有测试与部署脚本支撑</w:t>
            </w:r>
          </w:p>
        </w:tc>
        <w:tc>
          <w:tcPr>
            <w:tcW w:type="dxa" w:w="5310"/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难以证明系统具备可复现和可交付性。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center"/>
      </w:pPr>
      <w:r>
        <w:rPr>
          <w:rFonts w:ascii="宋体" w:hAnsi="宋体" w:eastAsia="宋体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303520" cy="6341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 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宋体" w:hAnsi="宋体" w:eastAsia="宋体"/>
          <w:i/>
          <w:sz w:val="21"/>
        </w:rPr>
        <w:t>图9 GitHub Actions 运行结果</w:t>
      </w:r>
    </w:p>
    <w:sectPr>
      <w:pgSz w:w="11906" w:h="16838"/>
      <w:pgMar w:top="1814" w:right="1474" w:bottom="1814" w:left="1474" w:header="851" w:footer="130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BDF"/>
    <w:rsid w:val="000015E5"/>
    <w:rsid w:val="00001AAC"/>
    <w:rsid w:val="00001BD7"/>
    <w:rsid w:val="00002494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066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4ED8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E31"/>
    <w:rsid w:val="001B1FF4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7F19"/>
    <w:rsid w:val="00200594"/>
    <w:rsid w:val="002025E0"/>
    <w:rsid w:val="002038BF"/>
    <w:rsid w:val="00203BCE"/>
    <w:rsid w:val="00210305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5308"/>
    <w:rsid w:val="00247686"/>
    <w:rsid w:val="0025131C"/>
    <w:rsid w:val="002530CB"/>
    <w:rsid w:val="002532F8"/>
    <w:rsid w:val="00256830"/>
    <w:rsid w:val="002569CA"/>
    <w:rsid w:val="00266F49"/>
    <w:rsid w:val="00271DCA"/>
    <w:rsid w:val="00276BF4"/>
    <w:rsid w:val="002773B9"/>
    <w:rsid w:val="0028006D"/>
    <w:rsid w:val="00282781"/>
    <w:rsid w:val="0029015C"/>
    <w:rsid w:val="002936BD"/>
    <w:rsid w:val="002940E8"/>
    <w:rsid w:val="0029695C"/>
    <w:rsid w:val="00297B01"/>
    <w:rsid w:val="002A5120"/>
    <w:rsid w:val="002A55D5"/>
    <w:rsid w:val="002A71B1"/>
    <w:rsid w:val="002B04AE"/>
    <w:rsid w:val="002B0941"/>
    <w:rsid w:val="002B7541"/>
    <w:rsid w:val="002B76DB"/>
    <w:rsid w:val="002B7966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16591"/>
    <w:rsid w:val="003207BA"/>
    <w:rsid w:val="00320890"/>
    <w:rsid w:val="00320A7B"/>
    <w:rsid w:val="003216F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BD"/>
    <w:rsid w:val="00391200"/>
    <w:rsid w:val="003917EF"/>
    <w:rsid w:val="003956C4"/>
    <w:rsid w:val="003A16D1"/>
    <w:rsid w:val="003A305B"/>
    <w:rsid w:val="003A5253"/>
    <w:rsid w:val="003A56AC"/>
    <w:rsid w:val="003B156B"/>
    <w:rsid w:val="003B1A71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B1154"/>
    <w:rsid w:val="004B3F5A"/>
    <w:rsid w:val="004C1530"/>
    <w:rsid w:val="004C1E19"/>
    <w:rsid w:val="004C2F6F"/>
    <w:rsid w:val="004C3CDB"/>
    <w:rsid w:val="004C5374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4128"/>
    <w:rsid w:val="004F5A46"/>
    <w:rsid w:val="0050195C"/>
    <w:rsid w:val="00502DE1"/>
    <w:rsid w:val="00503F4F"/>
    <w:rsid w:val="00504772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5CB3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9FD"/>
    <w:rsid w:val="00675D3C"/>
    <w:rsid w:val="0069352A"/>
    <w:rsid w:val="00695034"/>
    <w:rsid w:val="00697820"/>
    <w:rsid w:val="006A47BD"/>
    <w:rsid w:val="006B0C90"/>
    <w:rsid w:val="006B53D2"/>
    <w:rsid w:val="006B6C42"/>
    <w:rsid w:val="006C63F6"/>
    <w:rsid w:val="006C67EC"/>
    <w:rsid w:val="006D0769"/>
    <w:rsid w:val="006D251E"/>
    <w:rsid w:val="006D27CA"/>
    <w:rsid w:val="006D6FA0"/>
    <w:rsid w:val="006E01D7"/>
    <w:rsid w:val="006E3C8F"/>
    <w:rsid w:val="006E6A83"/>
    <w:rsid w:val="006F6778"/>
    <w:rsid w:val="00704F9A"/>
    <w:rsid w:val="00707203"/>
    <w:rsid w:val="00713EC0"/>
    <w:rsid w:val="0071488F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BC0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2626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70F8"/>
    <w:rsid w:val="009776D1"/>
    <w:rsid w:val="009809D4"/>
    <w:rsid w:val="00983E41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08E0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17D23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7581F"/>
    <w:rsid w:val="00A808C4"/>
    <w:rsid w:val="00A83482"/>
    <w:rsid w:val="00A8361D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0DF4"/>
    <w:rsid w:val="00AC3111"/>
    <w:rsid w:val="00AC3217"/>
    <w:rsid w:val="00AC4632"/>
    <w:rsid w:val="00AC4B9A"/>
    <w:rsid w:val="00AD00CF"/>
    <w:rsid w:val="00AD0D1E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12F6"/>
    <w:rsid w:val="00B1235C"/>
    <w:rsid w:val="00B12414"/>
    <w:rsid w:val="00B13670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919FF"/>
    <w:rsid w:val="00BA403F"/>
    <w:rsid w:val="00BB4E6C"/>
    <w:rsid w:val="00BB5731"/>
    <w:rsid w:val="00BC08EE"/>
    <w:rsid w:val="00BC3031"/>
    <w:rsid w:val="00BC596D"/>
    <w:rsid w:val="00BC6144"/>
    <w:rsid w:val="00BC6535"/>
    <w:rsid w:val="00BC6572"/>
    <w:rsid w:val="00BD6E97"/>
    <w:rsid w:val="00BE5280"/>
    <w:rsid w:val="00BE614D"/>
    <w:rsid w:val="00BE74C0"/>
    <w:rsid w:val="00BE753B"/>
    <w:rsid w:val="00BE782F"/>
    <w:rsid w:val="00BF0F4C"/>
    <w:rsid w:val="00BF1381"/>
    <w:rsid w:val="00BF5A35"/>
    <w:rsid w:val="00C01C44"/>
    <w:rsid w:val="00C024CF"/>
    <w:rsid w:val="00C0479C"/>
    <w:rsid w:val="00C0794C"/>
    <w:rsid w:val="00C13EBE"/>
    <w:rsid w:val="00C14A60"/>
    <w:rsid w:val="00C20BAA"/>
    <w:rsid w:val="00C23BD9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12F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6C76"/>
    <w:rsid w:val="00D003C1"/>
    <w:rsid w:val="00D0200D"/>
    <w:rsid w:val="00D031FC"/>
    <w:rsid w:val="00D03FF9"/>
    <w:rsid w:val="00D063C0"/>
    <w:rsid w:val="00D06C15"/>
    <w:rsid w:val="00D1133A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50FF"/>
    <w:rsid w:val="00D576BA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587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57E9"/>
    <w:rsid w:val="00F141FF"/>
    <w:rsid w:val="00F21FFC"/>
    <w:rsid w:val="00F25A67"/>
    <w:rsid w:val="00F26F76"/>
    <w:rsid w:val="00F353DE"/>
    <w:rsid w:val="00F46048"/>
    <w:rsid w:val="00F50E23"/>
    <w:rsid w:val="00F56FA6"/>
    <w:rsid w:val="00F62946"/>
    <w:rsid w:val="00F64B4F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73B5"/>
    <w:rsid w:val="00FE08F9"/>
    <w:rsid w:val="00FE4970"/>
    <w:rsid w:val="00FE53A7"/>
    <w:rsid w:val="00FF021C"/>
    <w:rsid w:val="00FF0904"/>
    <w:rsid w:val="00FF6D4F"/>
    <w:rsid w:val="00FF707B"/>
    <w:rsid w:val="00FF7C6D"/>
    <w:rsid w:val="03714C8B"/>
    <w:rsid w:val="F6FFF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8">
    <w:name w:val="页眉 Char"/>
    <w:link w:val="4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</Words>
  <Characters>491</Characters>
  <Lines>4</Lines>
  <Paragraphs>1</Paragraphs>
  <TotalTime>0</TotalTime>
  <ScaleCrop>false</ScaleCrop>
  <LinksUpToDate>false</LinksUpToDate>
  <CharactersWithSpaces>575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2018-06-29T00:14:00Z</dcterms:created>
  <dc:creator>秦艳珍</dc:creator>
  <cp:lastModifiedBy>长期失踪人口</cp:lastModifiedBy>
  <dcterms:modified xsi:type="dcterms:W3CDTF">2026-06-29T14:38:42Z</dcterms:modified>
  <dc:title>_x0001_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8405F41EC290E290F212426A515DEFF1_42</vt:lpwstr>
  </property>
</Properties>
</file>