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240" w:lineRule="auto"/>
        <w:rPr>
          <w:rFonts w:ascii="Gothic A1" w:cs="Gothic A1" w:eastAsia="Gothic A1" w:hAnsi="Gothic A1"/>
          <w:b w:val="1"/>
          <w:bCs w:val="1"/>
          <w:sz w:val="22"/>
          <w:szCs w:val="22"/>
        </w:rPr>
      </w:pPr>
      <w:bookmarkStart w:colFirst="0" w:colLast="0" w:name="_y6ivl0quznvy" w:id="0"/>
      <w:bookmarkEnd w:id="0"/>
      <w:r w:rsidDel="00000000" w:rsidR="00000000" w:rsidRPr="00000000">
        <w:rPr>
          <w:rFonts w:ascii="Gothic A1" w:cs="Gothic A1" w:eastAsia="Gothic A1" w:hAnsi="Gothic A1"/>
          <w:b w:val="1"/>
          <w:bCs w:val="1"/>
          <w:sz w:val="22"/>
          <w:szCs w:val="22"/>
          <w:rtl w:val="0"/>
        </w:rPr>
        <w:t xml:space="preserve">Monthly Investment Updates - </w:t>
      </w:r>
      <w:hyperlink r:id="rId7">
        <w:r w:rsidDel="00000000" w:rsidR="00000000" w:rsidRPr="00000000">
          <w:rPr>
            <w:rFonts w:ascii="Gothic A1" w:cs="Gothic A1" w:eastAsia="Gothic A1" w:hAnsi="Gothic A1"/>
            <w:b w:val="1"/>
            <w:bCs w:val="1"/>
            <w:color w:val="1155cc"/>
            <w:sz w:val="22"/>
            <w:szCs w:val="22"/>
            <w:u w:val="single"/>
            <w:rtl w:val="0"/>
          </w:rPr>
          <w:t xml:space="preserve">Spreadsheet</w:t>
        </w:r>
      </w:hyperlink>
      <w:r w:rsidDel="00000000" w:rsidR="00000000" w:rsidRPr="00000000">
        <w:rPr>
          <w:rtl w:val="0"/>
        </w:rPr>
      </w:r>
    </w:p>
    <w:p w:rsidR="00000000" w:rsidDel="00000000" w:rsidP="00000000" w:rsidRDefault="00000000" w:rsidRPr="00000000" w14:paraId="00000002">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003">
      <w:pPr>
        <w:spacing w:line="240" w:lineRule="auto"/>
        <w:rPr>
          <w:rFonts w:ascii="Gothic A1" w:cs="Gothic A1" w:eastAsia="Gothic A1" w:hAnsi="Gothic A1"/>
          <w:b w:val="1"/>
          <w:bCs w:val="1"/>
        </w:rPr>
      </w:pPr>
      <w:hyperlink r:id="rId8">
        <w:r w:rsidDel="00000000" w:rsidR="00000000" w:rsidRPr="00000000">
          <w:rPr>
            <w:rFonts w:ascii="Gothic A1" w:cs="Gothic A1" w:eastAsia="Gothic A1" w:hAnsi="Gothic A1"/>
            <w:b w:val="1"/>
            <w:bCs w:val="1"/>
            <w:color w:val="1155cc"/>
            <w:u w:val="single"/>
            <w:rtl w:val="0"/>
          </w:rPr>
          <w:t xml:space="preserve">GPT</w:t>
        </w:r>
      </w:hyperlink>
      <w:r w:rsidDel="00000000" w:rsidR="00000000" w:rsidRPr="00000000">
        <w:rPr>
          <w:rtl w:val="0"/>
        </w:rPr>
      </w:r>
    </w:p>
    <w:p w:rsidR="00000000" w:rsidDel="00000000" w:rsidP="00000000" w:rsidRDefault="00000000" w:rsidRPr="00000000" w14:paraId="00000004">
      <w:pPr>
        <w:spacing w:after="0" w:line="240" w:lineRule="auto"/>
        <w:rPr>
          <w:rFonts w:ascii="Gothic A1" w:cs="Gothic A1" w:eastAsia="Gothic A1" w:hAnsi="Gothic A1"/>
          <w:sz w:val="22"/>
          <w:szCs w:val="22"/>
        </w:rPr>
      </w:pPr>
      <w:r w:rsidDel="00000000" w:rsidR="00000000" w:rsidRPr="00000000">
        <w:rPr>
          <w:rFonts w:ascii="Gothic A1" w:cs="Gothic A1" w:eastAsia="Gothic A1" w:hAnsi="Gothic A1"/>
          <w:sz w:val="22"/>
          <w:szCs w:val="22"/>
          <w:rtl w:val="0"/>
        </w:rPr>
        <w:t xml:space="preserve">STARTING IN JANUARY 2025 PRIVATE CREDIT INVESTMENTS PLEASE ADD IN EXPECTED DISTRIBUTION % AND ACTUAL </w:t>
      </w:r>
      <w:r w:rsidDel="00000000" w:rsidR="00000000" w:rsidRPr="00000000">
        <w:rPr>
          <w:rFonts w:ascii="Arial" w:cs="Arial" w:eastAsia="Arial" w:hAnsi="Arial"/>
          <w:sz w:val="20"/>
          <w:szCs w:val="20"/>
          <w:rtl w:val="0"/>
        </w:rPr>
        <w:t xml:space="preserve">II</w:t>
      </w:r>
      <w:r w:rsidDel="00000000" w:rsidR="00000000" w:rsidRPr="00000000">
        <w:rPr>
          <w:rFonts w:ascii="Gothic A1" w:cs="Gothic A1" w:eastAsia="Gothic A1" w:hAnsi="Gothic A1"/>
          <w:sz w:val="22"/>
          <w:szCs w:val="22"/>
          <w:rtl w:val="0"/>
        </w:rPr>
        <w:t xml:space="preserve">% AND COMMENT ON ANY DIFFERENCES.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New note: State the reasoning why a certain investment is listed as Outperforming or Underperforming in the month in the Overview</w:t>
      </w:r>
      <w:r w:rsidDel="00000000" w:rsidR="00000000" w:rsidRPr="00000000">
        <w:rPr>
          <w:rtl w:val="0"/>
        </w:rPr>
      </w:r>
    </w:p>
    <w:p w:rsidR="00000000" w:rsidDel="00000000" w:rsidP="00000000" w:rsidRDefault="00000000" w:rsidRPr="00000000" w14:paraId="00000007">
      <w:pPr>
        <w:pStyle w:val="Heading1"/>
        <w:spacing w:line="240" w:lineRule="auto"/>
        <w:rPr>
          <w:rFonts w:ascii="Gothic A1" w:cs="Gothic A1" w:eastAsia="Gothic A1" w:hAnsi="Gothic A1"/>
          <w:u w:val="none"/>
        </w:rPr>
      </w:pPr>
      <w:bookmarkStart w:colFirst="0" w:colLast="0" w:name="_pfsb3vjoyfkm" w:id="1"/>
      <w:bookmarkEnd w:id="1"/>
      <w:r w:rsidDel="00000000" w:rsidR="00000000" w:rsidRPr="00000000">
        <w:rPr>
          <w:rtl w:val="0"/>
        </w:rPr>
      </w:r>
    </w:p>
    <w:p w:rsidR="00000000" w:rsidDel="00000000" w:rsidP="00000000" w:rsidRDefault="00000000" w:rsidRPr="00000000" w14:paraId="00000008">
      <w:pPr>
        <w:pStyle w:val="Heading1"/>
        <w:spacing w:line="240" w:lineRule="auto"/>
        <w:rPr>
          <w:rFonts w:ascii="Gothic A1" w:cs="Gothic A1" w:eastAsia="Gothic A1" w:hAnsi="Gothic A1"/>
        </w:rPr>
      </w:pPr>
      <w:bookmarkStart w:colFirst="0" w:colLast="0" w:name="_7l0uqy3ila0p" w:id="2"/>
      <w:bookmarkEnd w:id="2"/>
      <w:r w:rsidDel="00000000" w:rsidR="00000000" w:rsidRPr="00000000">
        <w:rPr>
          <w:rFonts w:ascii="Gothic A1" w:cs="Gothic A1" w:eastAsia="Gothic A1" w:hAnsi="Gothic A1"/>
          <w:u w:val="none"/>
          <w:rtl w:val="0"/>
        </w:rPr>
        <w:t xml:space="preserve">TEMPLATE- [Investment Name] Update [Outperforming / Underperforming / As Expected]</w:t>
      </w:r>
      <w:r w:rsidDel="00000000" w:rsidR="00000000" w:rsidRPr="00000000">
        <w:rPr>
          <w:rtl w:val="0"/>
        </w:rPr>
      </w:r>
    </w:p>
    <w:p w:rsidR="00000000" w:rsidDel="00000000" w:rsidP="00000000" w:rsidRDefault="00000000" w:rsidRPr="00000000" w14:paraId="00000009">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00A">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00B">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00C">
      <w:pPr>
        <w:numPr>
          <w:ilvl w:val="0"/>
          <w:numId w:val="23"/>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00D">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0E">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Fund / Company</w:t>
      </w:r>
      <w:r w:rsidDel="00000000" w:rsidR="00000000" w:rsidRPr="00000000">
        <w:rPr>
          <w:rFonts w:ascii="Gothic A1" w:cs="Gothic A1" w:eastAsia="Gothic A1" w:hAnsi="Gothic A1"/>
          <w:u w:val="single"/>
          <w:rtl w:val="0"/>
        </w:rPr>
        <w:t xml:space="preserve"> Performance</w:t>
      </w:r>
    </w:p>
    <w:p w:rsidR="00000000" w:rsidDel="00000000" w:rsidP="00000000" w:rsidRDefault="00000000" w:rsidRPr="00000000" w14:paraId="0000000F">
      <w:pPr>
        <w:numPr>
          <w:ilvl w:val="0"/>
          <w:numId w:val="16"/>
        </w:numPr>
        <w:spacing w:line="240" w:lineRule="auto"/>
        <w:ind w:left="720" w:hanging="360"/>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010">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11">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012">
      <w:pPr>
        <w:numPr>
          <w:ilvl w:val="0"/>
          <w:numId w:val="12"/>
        </w:numPr>
        <w:spacing w:line="240" w:lineRule="auto"/>
        <w:ind w:left="720" w:hanging="360"/>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013">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14">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015">
      <w:pPr>
        <w:numPr>
          <w:ilvl w:val="0"/>
          <w:numId w:val="17"/>
        </w:numPr>
        <w:spacing w:line="240" w:lineRule="auto"/>
        <w:ind w:left="720" w:hanging="360"/>
        <w:rPr>
          <w:rFonts w:ascii="Gothic A1" w:cs="Gothic A1" w:eastAsia="Gothic A1" w:hAnsi="Gothic A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16y0h6dki1ti" w:id="3"/>
      <w:bookmarkEnd w:id="3"/>
      <w:r w:rsidDel="00000000" w:rsidR="00000000" w:rsidRPr="00000000">
        <w:rPr>
          <w:rtl w:val="0"/>
        </w:rPr>
        <w:t xml:space="preserve">DECEMBER 2025</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spacing w:line="240" w:lineRule="auto"/>
        <w:rPr>
          <w:rFonts w:ascii="Gothic A1" w:cs="Gothic A1" w:eastAsia="Gothic A1" w:hAnsi="Gothic A1"/>
        </w:rPr>
      </w:pPr>
      <w:bookmarkStart w:colFirst="0" w:colLast="0" w:name="_dccs8srbiggv" w:id="4"/>
      <w:bookmarkEnd w:id="4"/>
      <w:r w:rsidDel="00000000" w:rsidR="00000000" w:rsidRPr="00000000">
        <w:rPr>
          <w:rFonts w:ascii="Gothic A1" w:cs="Gothic A1" w:eastAsia="Gothic A1" w:hAnsi="Gothic A1"/>
          <w:u w:val="none"/>
          <w:rtl w:val="0"/>
        </w:rPr>
        <w:t xml:space="preserve">MBX I Update [Outperforming]</w:t>
      </w:r>
      <w:r w:rsidDel="00000000" w:rsidR="00000000" w:rsidRPr="00000000">
        <w:rPr>
          <w:rtl w:val="0"/>
        </w:rPr>
      </w:r>
    </w:p>
    <w:p w:rsidR="00000000" w:rsidDel="00000000" w:rsidP="00000000" w:rsidRDefault="00000000" w:rsidRPr="00000000" w14:paraId="0000001A">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01B">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01C">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01D">
      <w:pPr>
        <w:numPr>
          <w:ilvl w:val="0"/>
          <w:numId w:val="23"/>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01E">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1F">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Fund </w:t>
      </w:r>
      <w:r w:rsidDel="00000000" w:rsidR="00000000" w:rsidRPr="00000000">
        <w:rPr>
          <w:rFonts w:ascii="Gothic A1" w:cs="Gothic A1" w:eastAsia="Gothic A1" w:hAnsi="Gothic A1"/>
          <w:u w:val="single"/>
          <w:rtl w:val="0"/>
        </w:rPr>
        <w:t xml:space="preserve">Performance</w:t>
      </w:r>
    </w:p>
    <w:p w:rsidR="00000000" w:rsidDel="00000000" w:rsidP="00000000" w:rsidRDefault="00000000" w:rsidRPr="00000000" w14:paraId="00000020">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Fund is fully deployed with </w:t>
      </w:r>
      <w:r w:rsidDel="00000000" w:rsidR="00000000" w:rsidRPr="00000000">
        <w:rPr>
          <w:rFonts w:ascii="Gothic A1" w:cs="Gothic A1" w:eastAsia="Gothic A1" w:hAnsi="Gothic A1"/>
          <w:b w:val="1"/>
          <w:bCs w:val="1"/>
          <w:rtl w:val="0"/>
        </w:rPr>
        <w:t xml:space="preserve">100% of commitments called</w:t>
      </w:r>
      <w:r w:rsidDel="00000000" w:rsidR="00000000" w:rsidRPr="00000000">
        <w:rPr>
          <w:rFonts w:ascii="Gothic A1" w:cs="Gothic A1" w:eastAsia="Gothic A1" w:hAnsi="Gothic A1"/>
          <w:rtl w:val="0"/>
        </w:rPr>
        <w:t xml:space="preserve">, holding </w:t>
      </w:r>
      <w:r w:rsidDel="00000000" w:rsidR="00000000" w:rsidRPr="00000000">
        <w:rPr>
          <w:rFonts w:ascii="Gothic A1" w:cs="Gothic A1" w:eastAsia="Gothic A1" w:hAnsi="Gothic A1"/>
          <w:b w:val="1"/>
          <w:bCs w:val="1"/>
          <w:rtl w:val="0"/>
        </w:rPr>
        <w:t xml:space="preserve">20 portfolio companies</w:t>
      </w:r>
      <w:r w:rsidDel="00000000" w:rsidR="00000000" w:rsidRPr="00000000">
        <w:rPr>
          <w:rFonts w:ascii="Gothic A1" w:cs="Gothic A1" w:eastAsia="Gothic A1" w:hAnsi="Gothic A1"/>
          <w:rtl w:val="0"/>
        </w:rPr>
        <w:t xml:space="preserve">, of which </w:t>
      </w:r>
      <w:r w:rsidDel="00000000" w:rsidR="00000000" w:rsidRPr="00000000">
        <w:rPr>
          <w:rFonts w:ascii="Gothic A1" w:cs="Gothic A1" w:eastAsia="Gothic A1" w:hAnsi="Gothic A1"/>
          <w:b w:val="1"/>
          <w:bCs w:val="1"/>
          <w:rtl w:val="0"/>
        </w:rPr>
        <w:t xml:space="preserve">17 remain active</w:t>
      </w:r>
      <w:r w:rsidDel="00000000" w:rsidR="00000000" w:rsidRPr="00000000">
        <w:rPr>
          <w:rFonts w:ascii="Gothic A1" w:cs="Gothic A1" w:eastAsia="Gothic A1" w:hAnsi="Gothic A1"/>
          <w:rtl w:val="0"/>
        </w:rPr>
        <w:t xml:space="preserve">, </w:t>
      </w:r>
      <w:r w:rsidDel="00000000" w:rsidR="00000000" w:rsidRPr="00000000">
        <w:rPr>
          <w:rFonts w:ascii="Gothic A1" w:cs="Gothic A1" w:eastAsia="Gothic A1" w:hAnsi="Gothic A1"/>
          <w:b w:val="1"/>
          <w:bCs w:val="1"/>
          <w:rtl w:val="0"/>
        </w:rPr>
        <w:t xml:space="preserve">3 fully realized</w:t>
      </w:r>
      <w:r w:rsidDel="00000000" w:rsidR="00000000" w:rsidRPr="00000000">
        <w:rPr>
          <w:rFonts w:ascii="Gothic A1" w:cs="Gothic A1" w:eastAsia="Gothic A1" w:hAnsi="Gothic A1"/>
          <w:rtl w:val="0"/>
        </w:rPr>
        <w:t xml:space="preserve">, and </w:t>
      </w:r>
      <w:r w:rsidDel="00000000" w:rsidR="00000000" w:rsidRPr="00000000">
        <w:rPr>
          <w:rFonts w:ascii="Gothic A1" w:cs="Gothic A1" w:eastAsia="Gothic A1" w:hAnsi="Gothic A1"/>
          <w:b w:val="1"/>
          <w:bCs w:val="1"/>
          <w:rtl w:val="0"/>
        </w:rPr>
        <w:t xml:space="preserve">1 partially realized</w:t>
      </w:r>
      <w:r w:rsidDel="00000000" w:rsidR="00000000" w:rsidRPr="00000000">
        <w:rPr>
          <w:rFonts w:ascii="Gothic A1" w:cs="Gothic A1" w:eastAsia="Gothic A1" w:hAnsi="Gothic A1"/>
          <w:rtl w:val="0"/>
        </w:rPr>
        <w:t xml:space="preserve">, positioning the portfolio squarely in the value realization and maturation phase.</w:t>
      </w:r>
    </w:p>
    <w:p w:rsidR="00000000" w:rsidDel="00000000" w:rsidP="00000000" w:rsidRDefault="00000000" w:rsidRPr="00000000" w14:paraId="00000021">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b w:val="1"/>
          <w:bCs w:val="1"/>
          <w:rtl w:val="0"/>
        </w:rPr>
        <w:t xml:space="preserve">Net IRR of 15.75%</w:t>
      </w:r>
      <w:r w:rsidDel="00000000" w:rsidR="00000000" w:rsidRPr="00000000">
        <w:rPr>
          <w:rFonts w:ascii="Gothic A1" w:cs="Gothic A1" w:eastAsia="Gothic A1" w:hAnsi="Gothic A1"/>
          <w:rtl w:val="0"/>
        </w:rPr>
        <w:t xml:space="preserve">, </w:t>
      </w:r>
      <w:r w:rsidDel="00000000" w:rsidR="00000000" w:rsidRPr="00000000">
        <w:rPr>
          <w:rFonts w:ascii="Gothic A1" w:cs="Gothic A1" w:eastAsia="Gothic A1" w:hAnsi="Gothic A1"/>
          <w:b w:val="1"/>
          <w:bCs w:val="1"/>
          <w:rtl w:val="0"/>
        </w:rPr>
        <w:t xml:space="preserve">MOIC of 1.97x</w:t>
      </w:r>
      <w:r w:rsidDel="00000000" w:rsidR="00000000" w:rsidRPr="00000000">
        <w:rPr>
          <w:rFonts w:ascii="Gothic A1" w:cs="Gothic A1" w:eastAsia="Gothic A1" w:hAnsi="Gothic A1"/>
          <w:rtl w:val="0"/>
        </w:rPr>
        <w:t xml:space="preserve">, </w:t>
      </w:r>
      <w:r w:rsidDel="00000000" w:rsidR="00000000" w:rsidRPr="00000000">
        <w:rPr>
          <w:rFonts w:ascii="Gothic A1" w:cs="Gothic A1" w:eastAsia="Gothic A1" w:hAnsi="Gothic A1"/>
          <w:b w:val="1"/>
          <w:bCs w:val="1"/>
          <w:rtl w:val="0"/>
        </w:rPr>
        <w:t xml:space="preserve">TVPI of 1.61x</w:t>
      </w:r>
      <w:r w:rsidDel="00000000" w:rsidR="00000000" w:rsidRPr="00000000">
        <w:rPr>
          <w:rFonts w:ascii="Gothic A1" w:cs="Gothic A1" w:eastAsia="Gothic A1" w:hAnsi="Gothic A1"/>
          <w:rtl w:val="0"/>
        </w:rPr>
        <w:t xml:space="preserve">, and </w:t>
      </w:r>
      <w:r w:rsidDel="00000000" w:rsidR="00000000" w:rsidRPr="00000000">
        <w:rPr>
          <w:rFonts w:ascii="Gothic A1" w:cs="Gothic A1" w:eastAsia="Gothic A1" w:hAnsi="Gothic A1"/>
          <w:b w:val="1"/>
          <w:bCs w:val="1"/>
          <w:rtl w:val="0"/>
        </w:rPr>
        <w:t xml:space="preserve">DPI of 0.64x</w:t>
      </w:r>
      <w:r w:rsidDel="00000000" w:rsidR="00000000" w:rsidRPr="00000000">
        <w:rPr>
          <w:rFonts w:ascii="Gothic A1" w:cs="Gothic A1" w:eastAsia="Gothic A1" w:hAnsi="Gothic A1"/>
          <w:rtl w:val="0"/>
        </w:rPr>
        <w:t xml:space="preserve">, reflecting meaningful unrealized value still embedded in the portfolio alongside strong realized outcomes to date.</w:t>
      </w:r>
    </w:p>
    <w:p w:rsidR="00000000" w:rsidDel="00000000" w:rsidP="00000000" w:rsidRDefault="00000000" w:rsidRPr="00000000" w14:paraId="00000022">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Reali</w:t>
      </w:r>
      <w:r w:rsidDel="00000000" w:rsidR="00000000" w:rsidRPr="00000000">
        <w:rPr>
          <w:rFonts w:ascii="Gothic A1" w:cs="Gothic A1" w:eastAsia="Gothic A1" w:hAnsi="Gothic A1"/>
          <w:rtl w:val="0"/>
        </w:rPr>
        <w:t xml:space="preserve">zations to date have been driven primarily by Opentrons (partial secondary) and Brightside Health, both exiting at strong multiples, while SecureAire represents a full loss realization.</w:t>
      </w:r>
    </w:p>
    <w:p w:rsidR="00000000" w:rsidDel="00000000" w:rsidP="00000000" w:rsidRDefault="00000000" w:rsidRPr="00000000" w14:paraId="00000023">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Portfolio value concentration is skewed toward a small number of high-performing “Probable Contributors,” notably Atlas Labs and Lucy Goods, which together represent a significant share of remaining NAV.</w:t>
      </w:r>
    </w:p>
    <w:p w:rsidR="00000000" w:rsidDel="00000000" w:rsidP="00000000" w:rsidRDefault="00000000" w:rsidRPr="00000000" w14:paraId="00000024">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Three portfolio companies (CareRev, Koneksa Health, Luna Care) are fully written off following recapitalizations or senior liquidation overhangs.</w:t>
      </w:r>
      <w:r w:rsidDel="00000000" w:rsidR="00000000" w:rsidRPr="00000000">
        <w:rPr>
          <w:rtl w:val="0"/>
        </w:rPr>
      </w:r>
    </w:p>
    <w:p w:rsidR="00000000" w:rsidDel="00000000" w:rsidP="00000000" w:rsidRDefault="00000000" w:rsidRPr="00000000" w14:paraId="00000025">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26">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027">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Per Pitchbook’s most recent benchmarking, the fund is in the </w:t>
      </w:r>
      <w:r w:rsidDel="00000000" w:rsidR="00000000" w:rsidRPr="00000000">
        <w:rPr>
          <w:rFonts w:ascii="Gothic A1" w:cs="Gothic A1" w:eastAsia="Gothic A1" w:hAnsi="Gothic A1"/>
          <w:b w:val="1"/>
          <w:bCs w:val="1"/>
          <w:rtl w:val="0"/>
        </w:rPr>
        <w:t xml:space="preserve">top decile for DPI </w:t>
      </w:r>
      <w:r w:rsidDel="00000000" w:rsidR="00000000" w:rsidRPr="00000000">
        <w:rPr>
          <w:rFonts w:ascii="Gothic A1" w:cs="Gothic A1" w:eastAsia="Gothic A1" w:hAnsi="Gothic A1"/>
          <w:rtl w:val="0"/>
        </w:rPr>
        <w:t xml:space="preserve">and </w:t>
      </w:r>
      <w:r w:rsidDel="00000000" w:rsidR="00000000" w:rsidRPr="00000000">
        <w:rPr>
          <w:rFonts w:ascii="Gothic A1" w:cs="Gothic A1" w:eastAsia="Gothic A1" w:hAnsi="Gothic A1"/>
          <w:b w:val="1"/>
          <w:bCs w:val="1"/>
          <w:rtl w:val="0"/>
        </w:rPr>
        <w:t xml:space="preserve">2nd quartile for TVPI</w:t>
      </w:r>
      <w:r w:rsidDel="00000000" w:rsidR="00000000" w:rsidRPr="00000000">
        <w:rPr>
          <w:rFonts w:ascii="Gothic A1" w:cs="Gothic A1" w:eastAsia="Gothic A1" w:hAnsi="Gothic A1"/>
          <w:rtl w:val="0"/>
        </w:rPr>
        <w:t xml:space="preserve"> in the 2019 VC vintage. </w:t>
      </w:r>
    </w:p>
    <w:p w:rsidR="00000000" w:rsidDel="00000000" w:rsidP="00000000" w:rsidRDefault="00000000" w:rsidRPr="00000000" w14:paraId="00000028">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Management’s dec</w:t>
      </w:r>
      <w:r w:rsidDel="00000000" w:rsidR="00000000" w:rsidRPr="00000000">
        <w:rPr>
          <w:rFonts w:ascii="Gothic A1" w:cs="Gothic A1" w:eastAsia="Gothic A1" w:hAnsi="Gothic A1"/>
          <w:rtl w:val="0"/>
        </w:rPr>
        <w:t xml:space="preserve">ision to defer management fees en</w:t>
      </w:r>
      <w:r w:rsidDel="00000000" w:rsidR="00000000" w:rsidRPr="00000000">
        <w:rPr>
          <w:rFonts w:ascii="Gothic A1" w:cs="Gothic A1" w:eastAsia="Gothic A1" w:hAnsi="Gothic A1"/>
          <w:rtl w:val="0"/>
        </w:rPr>
        <w:t xml:space="preserve">hances potential net returns by preserving liquidity and reserves, though it pushes GP economics further into future liquidity events.</w:t>
      </w:r>
    </w:p>
    <w:p w:rsidR="00000000" w:rsidDel="00000000" w:rsidP="00000000" w:rsidRDefault="00000000" w:rsidRPr="00000000" w14:paraId="00000029">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2A">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02B">
      <w:pPr>
        <w:numPr>
          <w:ilvl w:val="0"/>
          <w:numId w:val="17"/>
        </w:numPr>
        <w:spacing w:line="240" w:lineRule="auto"/>
        <w:ind w:left="720" w:hanging="360"/>
        <w:rPr>
          <w:rFonts w:ascii="Gothic A1" w:cs="Gothic A1" w:eastAsia="Gothic A1" w:hAnsi="Gothic A1"/>
          <w:b w:val="0"/>
          <w:bCs w:val="0"/>
        </w:rPr>
      </w:pPr>
      <w:r w:rsidDel="00000000" w:rsidR="00000000" w:rsidRPr="00000000">
        <w:rPr>
          <w:rFonts w:ascii="Gothic A1" w:cs="Gothic A1" w:eastAsia="Gothic A1" w:hAnsi="Gothic A1"/>
          <w:rtl w:val="0"/>
        </w:rPr>
        <w:t xml:space="preserve">Several healthcare and biotech holdings (e.g., AmacaThera, Contraline, Tvardi Therapeutics) show meaningful technical and regulatory progress, including licensing deals, late-stage clinical data, and public market liquidity, though timelines remain uncertain.</w:t>
      </w:r>
    </w:p>
    <w:p w:rsidR="00000000" w:rsidDel="00000000" w:rsidP="00000000" w:rsidRDefault="00000000" w:rsidRPr="00000000" w14:paraId="0000002C">
      <w:pPr>
        <w:numPr>
          <w:ilvl w:val="0"/>
          <w:numId w:val="17"/>
        </w:numPr>
        <w:spacing w:line="240" w:lineRule="auto"/>
        <w:ind w:left="720" w:hanging="360"/>
        <w:rPr>
          <w:rFonts w:ascii="Gothic A1" w:cs="Gothic A1" w:eastAsia="Gothic A1" w:hAnsi="Gothic A1"/>
          <w:b w:val="0"/>
          <w:bCs w:val="0"/>
        </w:rPr>
      </w:pPr>
      <w:r w:rsidDel="00000000" w:rsidR="00000000" w:rsidRPr="00000000">
        <w:rPr>
          <w:rFonts w:ascii="Gothic A1" w:cs="Gothic A1" w:eastAsia="Gothic A1" w:hAnsi="Gothic A1"/>
          <w:rtl w:val="0"/>
        </w:rPr>
        <w:t xml:space="preserve">A subset of companies (CloudCath, ixLayer, Mightier) are navigating recapitalizations or strategic pivots, with valuation marks reflecting cost or liquidation preference rather than growth, preserving optionality but limiting near-term upside.</w:t>
      </w:r>
      <w:r w:rsidDel="00000000" w:rsidR="00000000" w:rsidRPr="00000000">
        <w:rPr>
          <w:rtl w:val="0"/>
        </w:rPr>
      </w:r>
    </w:p>
    <w:p w:rsidR="00000000" w:rsidDel="00000000" w:rsidP="00000000" w:rsidRDefault="00000000" w:rsidRPr="00000000" w14:paraId="0000002D">
      <w:pPr>
        <w:pStyle w:val="Heading1"/>
        <w:spacing w:line="240" w:lineRule="auto"/>
        <w:rPr>
          <w:rFonts w:ascii="Gothic A1" w:cs="Gothic A1" w:eastAsia="Gothic A1" w:hAnsi="Gothic A1"/>
          <w:u w:val="none"/>
        </w:rPr>
      </w:pPr>
      <w:bookmarkStart w:colFirst="0" w:colLast="0" w:name="_cwrp3yefum0b" w:id="5"/>
      <w:bookmarkEnd w:id="5"/>
      <w:r w:rsidDel="00000000" w:rsidR="00000000" w:rsidRPr="00000000">
        <w:rPr>
          <w:rtl w:val="0"/>
        </w:rPr>
      </w:r>
    </w:p>
    <w:p w:rsidR="00000000" w:rsidDel="00000000" w:rsidP="00000000" w:rsidRDefault="00000000" w:rsidRPr="00000000" w14:paraId="0000002E">
      <w:pPr>
        <w:pStyle w:val="Heading1"/>
        <w:spacing w:line="240" w:lineRule="auto"/>
        <w:rPr>
          <w:rFonts w:ascii="Gothic A1" w:cs="Gothic A1" w:eastAsia="Gothic A1" w:hAnsi="Gothic A1"/>
        </w:rPr>
      </w:pPr>
      <w:bookmarkStart w:colFirst="0" w:colLast="0" w:name="_zh8auqladtwn" w:id="6"/>
      <w:bookmarkEnd w:id="6"/>
      <w:r w:rsidDel="00000000" w:rsidR="00000000" w:rsidRPr="00000000">
        <w:rPr>
          <w:rFonts w:ascii="Gothic A1" w:cs="Gothic A1" w:eastAsia="Gothic A1" w:hAnsi="Gothic A1"/>
          <w:u w:val="none"/>
          <w:rtl w:val="0"/>
        </w:rPr>
        <w:t xml:space="preserve">MBX II Update [As Expected]</w:t>
      </w:r>
      <w:r w:rsidDel="00000000" w:rsidR="00000000" w:rsidRPr="00000000">
        <w:rPr>
          <w:rtl w:val="0"/>
        </w:rPr>
      </w:r>
    </w:p>
    <w:p w:rsidR="00000000" w:rsidDel="00000000" w:rsidP="00000000" w:rsidRDefault="00000000" w:rsidRPr="00000000" w14:paraId="0000002F">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030">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031">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032">
      <w:pPr>
        <w:numPr>
          <w:ilvl w:val="0"/>
          <w:numId w:val="23"/>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033">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34">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Fund </w:t>
      </w:r>
      <w:r w:rsidDel="00000000" w:rsidR="00000000" w:rsidRPr="00000000">
        <w:rPr>
          <w:rFonts w:ascii="Gothic A1" w:cs="Gothic A1" w:eastAsia="Gothic A1" w:hAnsi="Gothic A1"/>
          <w:u w:val="single"/>
          <w:rtl w:val="0"/>
        </w:rPr>
        <w:t xml:space="preserve">Performance</w:t>
      </w:r>
    </w:p>
    <w:p w:rsidR="00000000" w:rsidDel="00000000" w:rsidP="00000000" w:rsidRDefault="00000000" w:rsidRPr="00000000" w14:paraId="00000035">
      <w:pPr>
        <w:numPr>
          <w:ilvl w:val="0"/>
          <w:numId w:val="16"/>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As of September 30, 2025, the fund has called 85% of commitments, holds 22 portfolio companies (20 active, 2 realized), and is largely past initial deployment, with future activity limited to selective follow-ons rather than new platform investments.</w:t>
      </w:r>
    </w:p>
    <w:p w:rsidR="00000000" w:rsidDel="00000000" w:rsidP="00000000" w:rsidRDefault="00000000" w:rsidRPr="00000000" w14:paraId="00000036">
      <w:pPr>
        <w:numPr>
          <w:ilvl w:val="0"/>
          <w:numId w:val="16"/>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Aggregate fund performance reflects a Net IRR of 3.63%, MOIC of 1.29x, TVPI of 1.11x, and DPI of 0.19x.</w:t>
      </w:r>
    </w:p>
    <w:p w:rsidR="00000000" w:rsidDel="00000000" w:rsidP="00000000" w:rsidRDefault="00000000" w:rsidRPr="00000000" w14:paraId="00000037">
      <w:pPr>
        <w:numPr>
          <w:ilvl w:val="0"/>
          <w:numId w:val="16"/>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Two realizations to date include a strong outcome in Rula (Path CCM), generating ~$6.4mm of proceeds on ~$1.0mm invested, partially offset by a weak post-IPO exit in Vaxxinity with ~$0.16mm returned on $2.0mm invested.</w:t>
      </w:r>
      <w:r w:rsidDel="00000000" w:rsidR="00000000" w:rsidRPr="00000000">
        <w:rPr>
          <w:rtl w:val="0"/>
        </w:rPr>
      </w:r>
    </w:p>
    <w:p w:rsidR="00000000" w:rsidDel="00000000" w:rsidP="00000000" w:rsidRDefault="00000000" w:rsidRPr="00000000" w14:paraId="00000038">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39">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03A">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The fund is in the 2nd quartile for Net IRR and Net TVPI for the 2021 vintage. </w:t>
      </w:r>
    </w:p>
    <w:p w:rsidR="00000000" w:rsidDel="00000000" w:rsidP="00000000" w:rsidRDefault="00000000" w:rsidRPr="00000000" w14:paraId="0000003B">
      <w:pPr>
        <w:numPr>
          <w:ilvl w:val="0"/>
          <w:numId w:val="12"/>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It’s in the 1st quartile for DPI. </w:t>
      </w:r>
    </w:p>
    <w:p w:rsidR="00000000" w:rsidDel="00000000" w:rsidP="00000000" w:rsidRDefault="00000000" w:rsidRPr="00000000" w14:paraId="0000003C">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Several companies show encouraging operating momentum (e.g., Junction Health reaching unit-level profitability, OFFOR Health remaining EBITDA positive with strong YoY growth, Mae Health scaling revenue and utilization), but many remain capital-raising dependent or behind plan, contributing to overall performance uncertainty.</w:t>
      </w:r>
    </w:p>
    <w:p w:rsidR="00000000" w:rsidDel="00000000" w:rsidP="00000000" w:rsidRDefault="00000000" w:rsidRPr="00000000" w14:paraId="0000003D">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The write-off of Journey Colab and uneven outcomes across realized investments highlight continued downside risk, reinforcing that future fund returns hinge on successful financings, clinical milestones, and commercial execution in a concentrated subset of the portfolio.</w:t>
      </w:r>
    </w:p>
    <w:p w:rsidR="00000000" w:rsidDel="00000000" w:rsidP="00000000" w:rsidRDefault="00000000" w:rsidRPr="00000000" w14:paraId="0000003E">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3F">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040">
      <w:pPr>
        <w:numPr>
          <w:ilvl w:val="0"/>
          <w:numId w:val="17"/>
        </w:numPr>
        <w:spacing w:line="240" w:lineRule="auto"/>
        <w:ind w:left="720" w:hanging="360"/>
        <w:rPr>
          <w:rFonts w:ascii="Gothic A1" w:cs="Gothic A1" w:eastAsia="Gothic A1" w:hAnsi="Gothic A1"/>
          <w:b w:val="0"/>
          <w:bCs w:val="0"/>
        </w:rPr>
      </w:pPr>
      <w:r w:rsidDel="00000000" w:rsidR="00000000" w:rsidRPr="00000000">
        <w:rPr>
          <w:rFonts w:ascii="Gothic A1" w:cs="Gothic A1" w:eastAsia="Gothic A1" w:hAnsi="Gothic A1"/>
          <w:rtl w:val="0"/>
        </w:rPr>
        <w:t xml:space="preserve">Capital markets remain challenging for early-stage biotech, evidenced by multiple companies actively pursuing large Series A/B rounds (often $30–70mm) with thin cash buffers, extended timelines, and reliance on non-dilutive grants or strategic partnerships.</w:t>
      </w:r>
      <w:r w:rsidDel="00000000" w:rsidR="00000000" w:rsidRPr="00000000">
        <w:rPr>
          <w:rtl w:val="0"/>
        </w:rPr>
      </w:r>
    </w:p>
    <w:p w:rsidR="00000000" w:rsidDel="00000000" w:rsidP="00000000" w:rsidRDefault="00000000" w:rsidRPr="00000000" w14:paraId="00000041">
      <w:pPr>
        <w:pStyle w:val="Heading1"/>
        <w:spacing w:line="240" w:lineRule="auto"/>
        <w:rPr>
          <w:rFonts w:ascii="Gothic A1" w:cs="Gothic A1" w:eastAsia="Gothic A1" w:hAnsi="Gothic A1"/>
          <w:u w:val="none"/>
        </w:rPr>
      </w:pPr>
      <w:bookmarkStart w:colFirst="0" w:colLast="0" w:name="_ghug53vvky1n" w:id="7"/>
      <w:bookmarkEnd w:id="7"/>
      <w:r w:rsidDel="00000000" w:rsidR="00000000" w:rsidRPr="00000000">
        <w:rPr>
          <w:rtl w:val="0"/>
        </w:rPr>
      </w:r>
    </w:p>
    <w:p w:rsidR="00000000" w:rsidDel="00000000" w:rsidP="00000000" w:rsidRDefault="00000000" w:rsidRPr="00000000" w14:paraId="00000042">
      <w:pPr>
        <w:pStyle w:val="Heading1"/>
        <w:spacing w:line="240" w:lineRule="auto"/>
        <w:rPr>
          <w:rFonts w:ascii="Gothic A1" w:cs="Gothic A1" w:eastAsia="Gothic A1" w:hAnsi="Gothic A1"/>
        </w:rPr>
      </w:pPr>
      <w:bookmarkStart w:colFirst="0" w:colLast="0" w:name="_xaeq52iw3uc" w:id="8"/>
      <w:bookmarkEnd w:id="8"/>
      <w:r w:rsidDel="00000000" w:rsidR="00000000" w:rsidRPr="00000000">
        <w:rPr>
          <w:rFonts w:ascii="Gothic A1" w:cs="Gothic A1" w:eastAsia="Gothic A1" w:hAnsi="Gothic A1"/>
          <w:u w:val="none"/>
          <w:rtl w:val="0"/>
        </w:rPr>
        <w:t xml:space="preserve">MBX III Update [As Expected]</w:t>
      </w:r>
      <w:r w:rsidDel="00000000" w:rsidR="00000000" w:rsidRPr="00000000">
        <w:rPr>
          <w:rtl w:val="0"/>
        </w:rPr>
      </w:r>
    </w:p>
    <w:p w:rsidR="00000000" w:rsidDel="00000000" w:rsidP="00000000" w:rsidRDefault="00000000" w:rsidRPr="00000000" w14:paraId="00000043">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044">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045">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046">
      <w:pPr>
        <w:numPr>
          <w:ilvl w:val="0"/>
          <w:numId w:val="23"/>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047">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48">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Fund /</w:t>
      </w:r>
      <w:r w:rsidDel="00000000" w:rsidR="00000000" w:rsidRPr="00000000">
        <w:rPr>
          <w:rFonts w:ascii="Gothic A1" w:cs="Gothic A1" w:eastAsia="Gothic A1" w:hAnsi="Gothic A1"/>
          <w:u w:val="single"/>
          <w:rtl w:val="0"/>
        </w:rPr>
        <w:t xml:space="preserve">Performance</w:t>
      </w:r>
    </w:p>
    <w:p w:rsidR="00000000" w:rsidDel="00000000" w:rsidP="00000000" w:rsidRDefault="00000000" w:rsidRPr="00000000" w14:paraId="00000049">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MBX Capital III, LP is early in its deployment cycle with 27% of commitments called as of September 30, 2025, four investments closed and five additional investments planned, reflecting an active but still formative portfolio construction phase.</w:t>
      </w:r>
    </w:p>
    <w:p w:rsidR="00000000" w:rsidDel="00000000" w:rsidP="00000000" w:rsidRDefault="00000000" w:rsidRPr="00000000" w14:paraId="0000004A">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All closed investments are currently marked at cost, with no unrealized gains or losses reported this quarter, which is typical given the early-stage nature and recency of deployments.</w:t>
      </w:r>
    </w:p>
    <w:p w:rsidR="00000000" w:rsidDel="00000000" w:rsidP="00000000" w:rsidRDefault="00000000" w:rsidRPr="00000000" w14:paraId="0000004B">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Fund-level Net IRR, Net MOIC, and Net DPI are not reported this quarter, and no significant distributions are anticipated in the near term.</w:t>
      </w:r>
      <w:r w:rsidDel="00000000" w:rsidR="00000000" w:rsidRPr="00000000">
        <w:rPr>
          <w:rtl w:val="0"/>
        </w:rPr>
      </w:r>
    </w:p>
    <w:p w:rsidR="00000000" w:rsidDel="00000000" w:rsidP="00000000" w:rsidRDefault="00000000" w:rsidRPr="00000000" w14:paraId="0000004C">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4D">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04E">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Portfolio companies are showing early signs of operating traction, particularly Keebler Health with $4.7M in contracted ARR and Persist AI with $1.3M in YTD bookings, indicating revenue momentum despite conservative valuation marks.</w:t>
      </w:r>
    </w:p>
    <w:p w:rsidR="00000000" w:rsidDel="00000000" w:rsidP="00000000" w:rsidRDefault="00000000" w:rsidRPr="00000000" w14:paraId="0000004F">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Juniper Genomics has launched commercially and doubled revenue and clinic adoption quarter-over-quarter, ending Q3 at a $280K annualized revenue run rate, demonstrating initial product-market fit in IVF genetic testing.</w:t>
      </w:r>
    </w:p>
    <w:p w:rsidR="00000000" w:rsidDel="00000000" w:rsidP="00000000" w:rsidRDefault="00000000" w:rsidRPr="00000000" w14:paraId="00000050">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Capital call expectations are front-loaded, with up to 10% anticipated imminently and up to an additional 30% expected in 2026, suggesting an acceleration in deployment aligned with a robust deal pipeline.</w:t>
      </w:r>
    </w:p>
    <w:p w:rsidR="00000000" w:rsidDel="00000000" w:rsidP="00000000" w:rsidRDefault="00000000" w:rsidRPr="00000000" w14:paraId="00000051">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52">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053">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The fund remains focused on early-stage, deep health and biotech investments, targeting pre-seed through Series A rounds with $1–$4M check sizes and emphasizing platform science and differentiated technical risk.</w:t>
      </w:r>
    </w:p>
    <w:p w:rsidR="00000000" w:rsidDel="00000000" w:rsidP="00000000" w:rsidRDefault="00000000" w:rsidRPr="00000000" w14:paraId="00000054">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New and planned investments highlight themes in synthetic biology, AI-driven oncology decision support, microbiome therapeutics, and neurodegeneration, with several deals structured using tranched capital to manage development and execution risk.</w:t>
      </w:r>
    </w:p>
    <w:p w:rsidR="00000000" w:rsidDel="00000000" w:rsidP="00000000" w:rsidRDefault="00000000" w:rsidRPr="00000000" w14:paraId="00000055">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Management notes a strong opportunity pipeline and encourages LP engagement for founder introductions, while also offering year-end 1:1 check-ins to discuss fund progress, outlook, and strategy.</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spacing w:line="240" w:lineRule="auto"/>
        <w:rPr>
          <w:rFonts w:ascii="Gothic A1" w:cs="Gothic A1" w:eastAsia="Gothic A1" w:hAnsi="Gothic A1"/>
        </w:rPr>
      </w:pPr>
      <w:bookmarkStart w:colFirst="0" w:colLast="0" w:name="_cchdan37jzee" w:id="9"/>
      <w:bookmarkEnd w:id="9"/>
      <w:r w:rsidDel="00000000" w:rsidR="00000000" w:rsidRPr="00000000">
        <w:rPr>
          <w:rFonts w:ascii="Gothic A1" w:cs="Gothic A1" w:eastAsia="Gothic A1" w:hAnsi="Gothic A1"/>
          <w:u w:val="none"/>
          <w:rtl w:val="0"/>
        </w:rPr>
        <w:t xml:space="preserve">Trinity S2C REIT Investors LLC Update [ Underperforming]</w:t>
      </w:r>
      <w:r w:rsidDel="00000000" w:rsidR="00000000" w:rsidRPr="00000000">
        <w:rPr>
          <w:rtl w:val="0"/>
        </w:rPr>
      </w:r>
    </w:p>
    <w:p w:rsidR="00000000" w:rsidDel="00000000" w:rsidP="00000000" w:rsidRDefault="00000000" w:rsidRPr="00000000" w14:paraId="00000059">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05A">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05B">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05C">
      <w:pPr>
        <w:numPr>
          <w:ilvl w:val="0"/>
          <w:numId w:val="23"/>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05D">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5E">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Fund </w:t>
      </w:r>
      <w:r w:rsidDel="00000000" w:rsidR="00000000" w:rsidRPr="00000000">
        <w:rPr>
          <w:rFonts w:ascii="Gothic A1" w:cs="Gothic A1" w:eastAsia="Gothic A1" w:hAnsi="Gothic A1"/>
          <w:u w:val="single"/>
          <w:rtl w:val="0"/>
        </w:rPr>
        <w:t xml:space="preserve">Performance</w:t>
      </w:r>
    </w:p>
    <w:p w:rsidR="00000000" w:rsidDel="00000000" w:rsidP="00000000" w:rsidRDefault="00000000" w:rsidRPr="00000000" w14:paraId="0000005F">
      <w:pPr>
        <w:numPr>
          <w:ilvl w:val="0"/>
          <w:numId w:val="16"/>
        </w:numPr>
        <w:spacing w:after="0" w:afterAutospacing="0" w:before="24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As of 9/30/25, Net Asset Value (NAV) of the REIT was $234.7M, with a Total Asset Value of $1.62B, across 25 multifamily properties totaling 9,588 units.</w:t>
        <w:br w:type="textWrapping"/>
      </w:r>
    </w:p>
    <w:p w:rsidR="00000000" w:rsidDel="00000000" w:rsidP="00000000" w:rsidRDefault="00000000" w:rsidRPr="00000000" w14:paraId="00000060">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Share price for all classes (Class X Units, Class F Shares, Class I Units) declined 5.3% QoQ to $7.28, reflecting a -30.67% YTD return and -27.2% return since inception.</w:t>
        <w:br w:type="textWrapping"/>
      </w:r>
    </w:p>
    <w:p w:rsidR="00000000" w:rsidDel="00000000" w:rsidP="00000000" w:rsidRDefault="00000000" w:rsidRPr="00000000" w14:paraId="00000061">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Debt Service Coverage Ratio (DSCR) remains flat at 0.89x, indicating continued pressure on cash flow coverage from operations.</w:t>
        <w:br w:type="textWrapping"/>
      </w:r>
    </w:p>
    <w:p w:rsidR="00000000" w:rsidDel="00000000" w:rsidP="00000000" w:rsidRDefault="00000000" w:rsidRPr="00000000" w14:paraId="00000062">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Portfolio occupancy improved to 91.5%, up from 88.2% last quarter.</w:t>
        <w:br w:type="textWrapping"/>
      </w:r>
    </w:p>
    <w:p w:rsidR="00000000" w:rsidDel="00000000" w:rsidP="00000000" w:rsidRDefault="00000000" w:rsidRPr="00000000" w14:paraId="00000063">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Rent growth declined 1.2% QoQ and 3.0% YoY, with total rent growth since inception at -5%.</w:t>
        <w:br w:type="textWrapping"/>
      </w:r>
    </w:p>
    <w:p w:rsidR="00000000" w:rsidDel="00000000" w:rsidP="00000000" w:rsidRDefault="00000000" w:rsidRPr="00000000" w14:paraId="00000064">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NOI improved 3.1% QoQ, but remains down 2.3% YoY.</w:t>
        <w:br w:type="textWrapping"/>
      </w:r>
    </w:p>
    <w:p w:rsidR="00000000" w:rsidDel="00000000" w:rsidP="00000000" w:rsidRDefault="00000000" w:rsidRPr="00000000" w14:paraId="00000065">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Founder’s Shares and OP Units are both valued at $7.28/share or unit, down from the original $10.00 issue price.</w:t>
        <w:br w:type="textWrapping"/>
      </w:r>
    </w:p>
    <w:p w:rsidR="00000000" w:rsidDel="00000000" w:rsidP="00000000" w:rsidRDefault="00000000" w:rsidRPr="00000000" w14:paraId="00000066">
      <w:pPr>
        <w:numPr>
          <w:ilvl w:val="0"/>
          <w:numId w:val="16"/>
        </w:numPr>
        <w:spacing w:after="24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Approximately 52% of the portfolio has undergone renovations.</w:t>
      </w:r>
      <w:r w:rsidDel="00000000" w:rsidR="00000000" w:rsidRPr="00000000">
        <w:rPr>
          <w:rFonts w:ascii="Gothic A1" w:cs="Gothic A1" w:eastAsia="Gothic A1" w:hAnsi="Gothic A1"/>
          <w:rtl w:val="0"/>
        </w:rPr>
        <w:br w:type="textWrapping"/>
      </w:r>
      <w:r w:rsidDel="00000000" w:rsidR="00000000" w:rsidRPr="00000000">
        <w:rPr>
          <w:rtl w:val="0"/>
        </w:rPr>
      </w:r>
    </w:p>
    <w:p w:rsidR="00000000" w:rsidDel="00000000" w:rsidP="00000000" w:rsidRDefault="00000000" w:rsidRPr="00000000" w14:paraId="00000067">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68">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069">
      <w:pPr>
        <w:numPr>
          <w:ilvl w:val="0"/>
          <w:numId w:val="12"/>
        </w:numPr>
        <w:spacing w:after="0" w:afterAutospacing="0" w:before="24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Portfolio values continued to decline due to ongoing rent softness, despite occupancy gains. Rent declines and a challenging capital environment drove valuation markdowns.</w:t>
        <w:br w:type="textWrapping"/>
      </w:r>
    </w:p>
    <w:p w:rsidR="00000000" w:rsidDel="00000000" w:rsidP="00000000" w:rsidRDefault="00000000" w:rsidRPr="00000000" w14:paraId="0000006A">
      <w:pPr>
        <w:numPr>
          <w:ilvl w:val="0"/>
          <w:numId w:val="12"/>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Distributions remain suspended as management prioritizes liquidity and debt management.</w:t>
        <w:br w:type="textWrapping"/>
      </w:r>
    </w:p>
    <w:p w:rsidR="00000000" w:rsidDel="00000000" w:rsidP="00000000" w:rsidRDefault="00000000" w:rsidRPr="00000000" w14:paraId="0000006B">
      <w:pPr>
        <w:numPr>
          <w:ilvl w:val="0"/>
          <w:numId w:val="12"/>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S2 expects to initiate a capital call of ~15% of original investor commitment to cover 2026 liquidity needs, including interim credit facility retirements, vendor liabilities, property tax escrows, and essential CapEx.</w:t>
        <w:br w:type="textWrapping"/>
      </w:r>
    </w:p>
    <w:p w:rsidR="00000000" w:rsidDel="00000000" w:rsidP="00000000" w:rsidRDefault="00000000" w:rsidRPr="00000000" w14:paraId="0000006C">
      <w:pPr>
        <w:numPr>
          <w:ilvl w:val="0"/>
          <w:numId w:val="12"/>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The REIT has reduced floating-rate exposure and completed select asset sales (e.g., </w:t>
      </w:r>
      <w:r w:rsidDel="00000000" w:rsidR="00000000" w:rsidRPr="00000000">
        <w:rPr>
          <w:rFonts w:ascii="Gothic A1" w:cs="Gothic A1" w:eastAsia="Gothic A1" w:hAnsi="Gothic A1"/>
          <w:i w:val="1"/>
          <w:iCs w:val="1"/>
          <w:rtl w:val="0"/>
        </w:rPr>
        <w:t xml:space="preserve">Ramble &amp; Rose</w:t>
      </w:r>
      <w:r w:rsidDel="00000000" w:rsidR="00000000" w:rsidRPr="00000000">
        <w:rPr>
          <w:rFonts w:ascii="Gothic A1" w:cs="Gothic A1" w:eastAsia="Gothic A1" w:hAnsi="Gothic A1"/>
          <w:rtl w:val="0"/>
        </w:rPr>
        <w:t xml:space="preserve">) to manage liquidity.</w:t>
        <w:br w:type="textWrapping"/>
      </w:r>
    </w:p>
    <w:p w:rsidR="00000000" w:rsidDel="00000000" w:rsidP="00000000" w:rsidRDefault="00000000" w:rsidRPr="00000000" w14:paraId="0000006D">
      <w:pPr>
        <w:numPr>
          <w:ilvl w:val="0"/>
          <w:numId w:val="12"/>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2025 performance reflects stress from elevated interest rates and oversupply across Sunbelt multifamily markets, resulting in NOI compression and weaker DSCRs across many properties.</w:t>
        <w:br w:type="textWrapping"/>
      </w:r>
    </w:p>
    <w:p w:rsidR="00000000" w:rsidDel="00000000" w:rsidP="00000000" w:rsidRDefault="00000000" w:rsidRPr="00000000" w14:paraId="0000006E">
      <w:pPr>
        <w:numPr>
          <w:ilvl w:val="0"/>
          <w:numId w:val="12"/>
        </w:numPr>
        <w:spacing w:after="24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Rent-to-income ratios in the REIT’s markets have improved (from 25.1% peak to 21.0%), implying structural upside potential for rents once supply pressure eases.</w:t>
        <w:br w:type="textWrapping"/>
      </w:r>
    </w:p>
    <w:p w:rsidR="00000000" w:rsidDel="00000000" w:rsidP="00000000" w:rsidRDefault="00000000" w:rsidRPr="00000000" w14:paraId="0000006F">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70">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071">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The REIT operates in Sunbelt markets (TX, AZ, FL, GA, NC), with significant exposure to Dallas-Fort Worth (DFW), which represents over 50% of unit count.</w:t>
      </w:r>
    </w:p>
    <w:p w:rsidR="00000000" w:rsidDel="00000000" w:rsidP="00000000" w:rsidRDefault="00000000" w:rsidRPr="00000000" w14:paraId="00000072">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Four properties (including </w:t>
      </w:r>
      <w:r w:rsidDel="00000000" w:rsidR="00000000" w:rsidRPr="00000000">
        <w:rPr>
          <w:rFonts w:ascii="Gothic A1" w:cs="Gothic A1" w:eastAsia="Gothic A1" w:hAnsi="Gothic A1"/>
          <w:i w:val="1"/>
          <w:iCs w:val="1"/>
          <w:rtl w:val="0"/>
        </w:rPr>
        <w:t xml:space="preserve">The Brixton</w:t>
      </w:r>
      <w:r w:rsidDel="00000000" w:rsidR="00000000" w:rsidRPr="00000000">
        <w:rPr>
          <w:rFonts w:ascii="Gothic A1" w:cs="Gothic A1" w:eastAsia="Gothic A1" w:hAnsi="Gothic A1"/>
          <w:rtl w:val="0"/>
        </w:rPr>
        <w:t xml:space="preserve">, </w:t>
      </w:r>
      <w:r w:rsidDel="00000000" w:rsidR="00000000" w:rsidRPr="00000000">
        <w:rPr>
          <w:rFonts w:ascii="Gothic A1" w:cs="Gothic A1" w:eastAsia="Gothic A1" w:hAnsi="Gothic A1"/>
          <w:i w:val="1"/>
          <w:iCs w:val="1"/>
          <w:rtl w:val="0"/>
        </w:rPr>
        <w:t xml:space="preserve">The Oxford</w:t>
      </w:r>
      <w:r w:rsidDel="00000000" w:rsidR="00000000" w:rsidRPr="00000000">
        <w:rPr>
          <w:rFonts w:ascii="Gothic A1" w:cs="Gothic A1" w:eastAsia="Gothic A1" w:hAnsi="Gothic A1"/>
          <w:rtl w:val="0"/>
        </w:rPr>
        <w:t xml:space="preserve">, </w:t>
      </w:r>
      <w:r w:rsidDel="00000000" w:rsidR="00000000" w:rsidRPr="00000000">
        <w:rPr>
          <w:rFonts w:ascii="Gothic A1" w:cs="Gothic A1" w:eastAsia="Gothic A1" w:hAnsi="Gothic A1"/>
          <w:i w:val="1"/>
          <w:iCs w:val="1"/>
          <w:rtl w:val="0"/>
        </w:rPr>
        <w:t xml:space="preserve">The Tatum</w:t>
      </w:r>
      <w:r w:rsidDel="00000000" w:rsidR="00000000" w:rsidRPr="00000000">
        <w:rPr>
          <w:rFonts w:ascii="Gothic A1" w:cs="Gothic A1" w:eastAsia="Gothic A1" w:hAnsi="Gothic A1"/>
          <w:rtl w:val="0"/>
        </w:rPr>
        <w:t xml:space="preserve">, and </w:t>
      </w:r>
      <w:r w:rsidDel="00000000" w:rsidR="00000000" w:rsidRPr="00000000">
        <w:rPr>
          <w:rFonts w:ascii="Gothic A1" w:cs="Gothic A1" w:eastAsia="Gothic A1" w:hAnsi="Gothic A1"/>
          <w:i w:val="1"/>
          <w:iCs w:val="1"/>
          <w:rtl w:val="0"/>
        </w:rPr>
        <w:t xml:space="preserve">Ramble &amp; Rose</w:t>
      </w:r>
      <w:r w:rsidDel="00000000" w:rsidR="00000000" w:rsidRPr="00000000">
        <w:rPr>
          <w:rFonts w:ascii="Gothic A1" w:cs="Gothic A1" w:eastAsia="Gothic A1" w:hAnsi="Gothic A1"/>
          <w:rtl w:val="0"/>
        </w:rPr>
        <w:t xml:space="preserve">) are being marketed for disposition (~$231M aggregate value). The Brixton is under contract with an expected $8.5M in proceeds.</w:t>
      </w:r>
    </w:p>
    <w:p w:rsidR="00000000" w:rsidDel="00000000" w:rsidP="00000000" w:rsidRDefault="00000000" w:rsidRPr="00000000" w14:paraId="00000073">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Comparable public REITs (e.g., MAA, CPT, NXRT) are facing similar rent and valuation declines, underscoring sector-wide challenges.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spacing w:line="240" w:lineRule="auto"/>
        <w:rPr>
          <w:rFonts w:ascii="Gothic A1" w:cs="Gothic A1" w:eastAsia="Gothic A1" w:hAnsi="Gothic A1"/>
        </w:rPr>
      </w:pPr>
      <w:bookmarkStart w:colFirst="0" w:colLast="0" w:name="_ectjgoqui1y" w:id="10"/>
      <w:bookmarkEnd w:id="10"/>
      <w:r w:rsidDel="00000000" w:rsidR="00000000" w:rsidRPr="00000000">
        <w:rPr>
          <w:rFonts w:ascii="Gothic A1" w:cs="Gothic A1" w:eastAsia="Gothic A1" w:hAnsi="Gothic A1"/>
          <w:u w:val="none"/>
          <w:rtl w:val="0"/>
        </w:rPr>
        <w:t xml:space="preserve">Thoma Bravo XV Update [As Expected]</w:t>
      </w:r>
      <w:r w:rsidDel="00000000" w:rsidR="00000000" w:rsidRPr="00000000">
        <w:rPr>
          <w:rtl w:val="0"/>
        </w:rPr>
      </w:r>
    </w:p>
    <w:p w:rsidR="00000000" w:rsidDel="00000000" w:rsidP="00000000" w:rsidRDefault="00000000" w:rsidRPr="00000000" w14:paraId="00000078">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079">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07A">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07B">
      <w:pPr>
        <w:numPr>
          <w:ilvl w:val="0"/>
          <w:numId w:val="23"/>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07C">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7D">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Fund </w:t>
      </w:r>
      <w:r w:rsidDel="00000000" w:rsidR="00000000" w:rsidRPr="00000000">
        <w:rPr>
          <w:rFonts w:ascii="Gothic A1" w:cs="Gothic A1" w:eastAsia="Gothic A1" w:hAnsi="Gothic A1"/>
          <w:u w:val="single"/>
          <w:rtl w:val="0"/>
        </w:rPr>
        <w:t xml:space="preserve">Performance</w:t>
      </w:r>
    </w:p>
    <w:p w:rsidR="00000000" w:rsidDel="00000000" w:rsidP="00000000" w:rsidRDefault="00000000" w:rsidRPr="00000000" w14:paraId="0000007E">
      <w:pPr>
        <w:numPr>
          <w:ilvl w:val="0"/>
          <w:numId w:val="16"/>
        </w:numPr>
        <w:spacing w:after="0" w:afterAutospacing="0" w:before="24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Net IRR:</w:t>
      </w:r>
      <w:r w:rsidDel="00000000" w:rsidR="00000000" w:rsidRPr="00000000">
        <w:rPr>
          <w:rFonts w:ascii="Gothic A1" w:cs="Gothic A1" w:eastAsia="Gothic A1" w:hAnsi="Gothic A1"/>
          <w:rtl w:val="0"/>
        </w:rPr>
        <w:t xml:space="preserve"> 12.2% (fund level), 12.1% (for a $500K investor)</w:t>
        <w:br w:type="textWrapping"/>
      </w:r>
    </w:p>
    <w:p w:rsidR="00000000" w:rsidDel="00000000" w:rsidP="00000000" w:rsidRDefault="00000000" w:rsidRPr="00000000" w14:paraId="0000007F">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Net MOIC:</w:t>
      </w:r>
      <w:r w:rsidDel="00000000" w:rsidR="00000000" w:rsidRPr="00000000">
        <w:rPr>
          <w:rFonts w:ascii="Gothic A1" w:cs="Gothic A1" w:eastAsia="Gothic A1" w:hAnsi="Gothic A1"/>
          <w:rtl w:val="0"/>
        </w:rPr>
        <w:t xml:space="preserve"> 1.34x (fund level), 1.33x (for a $500K investor)</w:t>
        <w:br w:type="textWrapping"/>
      </w:r>
    </w:p>
    <w:p w:rsidR="00000000" w:rsidDel="00000000" w:rsidP="00000000" w:rsidRDefault="00000000" w:rsidRPr="00000000" w14:paraId="00000080">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Net DPI (Distributions / Paid-in Capital):</w:t>
      </w:r>
      <w:r w:rsidDel="00000000" w:rsidR="00000000" w:rsidRPr="00000000">
        <w:rPr>
          <w:rFonts w:ascii="Gothic A1" w:cs="Gothic A1" w:eastAsia="Gothic A1" w:hAnsi="Gothic A1"/>
          <w:rtl w:val="0"/>
        </w:rPr>
        <w:t xml:space="preserve"> 7.2%</w:t>
        <w:br w:type="textWrapping"/>
      </w:r>
    </w:p>
    <w:p w:rsidR="00000000" w:rsidDel="00000000" w:rsidP="00000000" w:rsidRDefault="00000000" w:rsidRPr="00000000" w14:paraId="00000081">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NAV (as of 9/30/25):</w:t>
      </w:r>
      <w:r w:rsidDel="00000000" w:rsidR="00000000" w:rsidRPr="00000000">
        <w:rPr>
          <w:rFonts w:ascii="Gothic A1" w:cs="Gothic A1" w:eastAsia="Gothic A1" w:hAnsi="Gothic A1"/>
          <w:rtl w:val="0"/>
        </w:rPr>
        <w:t xml:space="preserve"> $566.5M</w:t>
        <w:br w:type="textWrapping"/>
      </w:r>
    </w:p>
    <w:p w:rsidR="00000000" w:rsidDel="00000000" w:rsidP="00000000" w:rsidRDefault="00000000" w:rsidRPr="00000000" w14:paraId="00000082">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Total Commitments:</w:t>
      </w:r>
      <w:r w:rsidDel="00000000" w:rsidR="00000000" w:rsidRPr="00000000">
        <w:rPr>
          <w:rFonts w:ascii="Gothic A1" w:cs="Gothic A1" w:eastAsia="Gothic A1" w:hAnsi="Gothic A1"/>
          <w:rtl w:val="0"/>
        </w:rPr>
        <w:t xml:space="preserve"> $479.9M</w:t>
        <w:br w:type="textWrapping"/>
      </w:r>
    </w:p>
    <w:p w:rsidR="00000000" w:rsidDel="00000000" w:rsidP="00000000" w:rsidRDefault="00000000" w:rsidRPr="00000000" w14:paraId="00000083">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Funded Commitments (net of recallables):</w:t>
      </w:r>
      <w:r w:rsidDel="00000000" w:rsidR="00000000" w:rsidRPr="00000000">
        <w:rPr>
          <w:rFonts w:ascii="Gothic A1" w:cs="Gothic A1" w:eastAsia="Gothic A1" w:hAnsi="Gothic A1"/>
          <w:rtl w:val="0"/>
        </w:rPr>
        <w:t xml:space="preserve"> $388.2M (80.9%)</w:t>
        <w:br w:type="textWrapping"/>
      </w:r>
    </w:p>
    <w:p w:rsidR="00000000" w:rsidDel="00000000" w:rsidP="00000000" w:rsidRDefault="00000000" w:rsidRPr="00000000" w14:paraId="00000084">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Total Paid-in Capital:</w:t>
      </w:r>
      <w:r w:rsidDel="00000000" w:rsidR="00000000" w:rsidRPr="00000000">
        <w:rPr>
          <w:rFonts w:ascii="Gothic A1" w:cs="Gothic A1" w:eastAsia="Gothic A1" w:hAnsi="Gothic A1"/>
          <w:rtl w:val="0"/>
        </w:rPr>
        <w:t xml:space="preserve"> $438.7M</w:t>
        <w:br w:type="textWrapping"/>
      </w:r>
    </w:p>
    <w:p w:rsidR="00000000" w:rsidDel="00000000" w:rsidP="00000000" w:rsidRDefault="00000000" w:rsidRPr="00000000" w14:paraId="00000085">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Distributions to Date:</w:t>
      </w:r>
      <w:r w:rsidDel="00000000" w:rsidR="00000000" w:rsidRPr="00000000">
        <w:rPr>
          <w:rFonts w:ascii="Gothic A1" w:cs="Gothic A1" w:eastAsia="Gothic A1" w:hAnsi="Gothic A1"/>
          <w:rtl w:val="0"/>
        </w:rPr>
        <w:t xml:space="preserve"> $31.5M</w:t>
        <w:br w:type="textWrapping"/>
      </w:r>
    </w:p>
    <w:p w:rsidR="00000000" w:rsidDel="00000000" w:rsidP="00000000" w:rsidRDefault="00000000" w:rsidRPr="00000000" w14:paraId="00000086">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Underlying Fund (Thoma Bravo Fund XV) MOIC:</w:t>
      </w:r>
      <w:r w:rsidDel="00000000" w:rsidR="00000000" w:rsidRPr="00000000">
        <w:rPr>
          <w:rFonts w:ascii="Gothic A1" w:cs="Gothic A1" w:eastAsia="Gothic A1" w:hAnsi="Gothic A1"/>
          <w:rtl w:val="0"/>
        </w:rPr>
        <w:t xml:space="preserve"> 1.40x (82.8% funded)</w:t>
        <w:br w:type="textWrapping"/>
      </w:r>
    </w:p>
    <w:p w:rsidR="00000000" w:rsidDel="00000000" w:rsidP="00000000" w:rsidRDefault="00000000" w:rsidRPr="00000000" w14:paraId="00000087">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Total Investments:</w:t>
      </w:r>
      <w:r w:rsidDel="00000000" w:rsidR="00000000" w:rsidRPr="00000000">
        <w:rPr>
          <w:rFonts w:ascii="Gothic A1" w:cs="Gothic A1" w:eastAsia="Gothic A1" w:hAnsi="Gothic A1"/>
          <w:rtl w:val="0"/>
        </w:rPr>
        <w:t xml:space="preserve"> 8, all still unrealized; 1 is publicly traded</w:t>
        <w:br w:type="textWrapping"/>
      </w:r>
    </w:p>
    <w:p w:rsidR="00000000" w:rsidDel="00000000" w:rsidP="00000000" w:rsidRDefault="00000000" w:rsidRPr="00000000" w14:paraId="00000088">
      <w:pPr>
        <w:numPr>
          <w:ilvl w:val="0"/>
          <w:numId w:val="16"/>
        </w:numPr>
        <w:spacing w:after="24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Average Age of Portfolio:</w:t>
      </w:r>
      <w:r w:rsidDel="00000000" w:rsidR="00000000" w:rsidRPr="00000000">
        <w:rPr>
          <w:rFonts w:ascii="Gothic A1" w:cs="Gothic A1" w:eastAsia="Gothic A1" w:hAnsi="Gothic A1"/>
          <w:rtl w:val="0"/>
        </w:rPr>
        <w:t xml:space="preserve"> 2.5 years</w:t>
        <w:br w:type="textWrapping"/>
      </w:r>
      <w:r w:rsidDel="00000000" w:rsidR="00000000" w:rsidRPr="00000000">
        <w:rPr>
          <w:rtl w:val="0"/>
        </w:rPr>
      </w:r>
    </w:p>
    <w:p w:rsidR="00000000" w:rsidDel="00000000" w:rsidP="00000000" w:rsidRDefault="00000000" w:rsidRPr="00000000" w14:paraId="00000089">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08A">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Fund performance is tracking steadily with a Net IRR of 12.2% and MOIC of 1.34x, reflecting a solid mark-up across the portfolio</w:t>
        <w:br w:type="textWrapping"/>
      </w:r>
    </w:p>
    <w:p w:rsidR="00000000" w:rsidDel="00000000" w:rsidP="00000000" w:rsidRDefault="00000000" w:rsidRPr="00000000" w14:paraId="0000008B">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DPI remains modest at 7.2%, typical for a fund still early in realization phase (vintage 2022, avg. portfolio age 2.5 years)</w:t>
        <w:br w:type="textWrapping"/>
      </w:r>
    </w:p>
    <w:p w:rsidR="00000000" w:rsidDel="00000000" w:rsidP="00000000" w:rsidRDefault="00000000" w:rsidRPr="00000000" w14:paraId="0000008C">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Capital deployment is largely complete with over 80% of capital funded, supporting a transition into value build-up and select liquidity events</w:t>
        <w:br w:type="textWrapping"/>
      </w:r>
    </w:p>
    <w:p w:rsidR="00000000" w:rsidDel="00000000" w:rsidP="00000000" w:rsidRDefault="00000000" w:rsidRPr="00000000" w14:paraId="0000008D">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The portfolio is fully concentrated in software and IT, with 100% of value in that sector, and 89% of holdings based in the U.S.</w:t>
        <w:br w:type="textWrapping"/>
      </w:r>
    </w:p>
    <w:p w:rsidR="00000000" w:rsidDel="00000000" w:rsidP="00000000" w:rsidRDefault="00000000" w:rsidRPr="00000000" w14:paraId="0000008E">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The top 8 positions represent 100% of portfolio value, with largest exposures to SailPoint (18.9%), Ping Identity (17.3%), and Coupa Software (16.1%)</w:t>
        <w:br w:type="textWrapping"/>
      </w:r>
    </w:p>
    <w:p w:rsidR="00000000" w:rsidDel="00000000" w:rsidP="00000000" w:rsidRDefault="00000000" w:rsidRPr="00000000" w14:paraId="0000008F">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Net MOIC has steadily increased over time, rising from 0.97x in mid-2022 to 1.34x as of Q3 2025, signaling consistent NAV appreciation</w:t>
      </w:r>
    </w:p>
    <w:p w:rsidR="00000000" w:rsidDel="00000000" w:rsidP="00000000" w:rsidRDefault="00000000" w:rsidRPr="00000000" w14:paraId="00000090">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91">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092">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Anaplan: Acquired Syrup Tech in September 2025 to enhance AI-native retail supply chain forecasting; continues profitable growth with reinvestment in tech and GTM strategy</w:t>
        <w:br w:type="textWrapping"/>
      </w:r>
    </w:p>
    <w:p w:rsidR="00000000" w:rsidDel="00000000" w:rsidP="00000000" w:rsidRDefault="00000000" w:rsidRPr="00000000" w14:paraId="00000093">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Bottomline Technologies: Migrating customers to new Financial Messaging SaaS platform; investing in AI for accounts payable automation</w:t>
        <w:br w:type="textWrapping"/>
      </w:r>
    </w:p>
    <w:p w:rsidR="00000000" w:rsidDel="00000000" w:rsidP="00000000" w:rsidRDefault="00000000" w:rsidRPr="00000000" w14:paraId="00000094">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Coupa: Pursuing multiple revenue initiatives including payment monetization via Bottomline, supplier upsells, and launch of the Coupa Advantage Marketplace</w:t>
        <w:br w:type="textWrapping"/>
      </w:r>
    </w:p>
    <w:p w:rsidR="00000000" w:rsidDel="00000000" w:rsidP="00000000" w:rsidRDefault="00000000" w:rsidRPr="00000000" w14:paraId="00000095">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Darktrace: Closed acquisition of Mira Security in Q3 to boost network security visibility, especially in encrypted traffic analysis for regulated industries</w:t>
        <w:br w:type="textWrapping"/>
      </w:r>
    </w:p>
    <w:p w:rsidR="00000000" w:rsidDel="00000000" w:rsidP="00000000" w:rsidRDefault="00000000" w:rsidRPr="00000000" w14:paraId="00000096">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Imprivata: Restructuring sales to improve cross-sell efficiency; launching new face authentication and Patient Access identity tools</w:t>
        <w:br w:type="textWrapping"/>
      </w:r>
    </w:p>
    <w:p w:rsidR="00000000" w:rsidDel="00000000" w:rsidP="00000000" w:rsidRDefault="00000000" w:rsidRPr="00000000" w14:paraId="00000097">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Ping Identity: Q2 acquisition of Procyon continues to perform well, strengthening access management capabilities</w:t>
        <w:br w:type="textWrapping"/>
      </w:r>
    </w:p>
    <w:p w:rsidR="00000000" w:rsidDel="00000000" w:rsidP="00000000" w:rsidRDefault="00000000" w:rsidRPr="00000000" w14:paraId="00000098">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Qlik: Released Open Lakehouse and Agentic AI framework; focused on expanding analytics product suite and bookings growth</w:t>
        <w:br w:type="textWrapping"/>
      </w:r>
    </w:p>
    <w:p w:rsidR="00000000" w:rsidDel="00000000" w:rsidP="00000000" w:rsidRDefault="00000000" w:rsidRPr="00000000" w14:paraId="00000099">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These updates reflect a portfolio actively executing on AI, cybersecurity, cloud migration, and enterprise productivity trends through M&amp;A and product expansion</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spacing w:line="240" w:lineRule="auto"/>
        <w:rPr>
          <w:rFonts w:ascii="Gothic A1" w:cs="Gothic A1" w:eastAsia="Gothic A1" w:hAnsi="Gothic A1"/>
        </w:rPr>
      </w:pPr>
      <w:bookmarkStart w:colFirst="0" w:colLast="0" w:name="_i4vq8yo8qmwc" w:id="11"/>
      <w:bookmarkEnd w:id="11"/>
      <w:r w:rsidDel="00000000" w:rsidR="00000000" w:rsidRPr="00000000">
        <w:rPr>
          <w:rFonts w:ascii="Gothic A1" w:cs="Gothic A1" w:eastAsia="Gothic A1" w:hAnsi="Gothic A1"/>
          <w:u w:val="none"/>
          <w:rtl w:val="0"/>
        </w:rPr>
        <w:t xml:space="preserve">Star Mountain SBIC Fund I Update [ As Expected]</w:t>
      </w:r>
      <w:r w:rsidDel="00000000" w:rsidR="00000000" w:rsidRPr="00000000">
        <w:rPr>
          <w:rtl w:val="0"/>
        </w:rPr>
      </w:r>
    </w:p>
    <w:p w:rsidR="00000000" w:rsidDel="00000000" w:rsidP="00000000" w:rsidRDefault="00000000" w:rsidRPr="00000000" w14:paraId="0000009F">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0A0">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0A1">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0A2">
      <w:pPr>
        <w:numPr>
          <w:ilvl w:val="0"/>
          <w:numId w:val="23"/>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0A3">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A4">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Fund </w:t>
      </w:r>
      <w:r w:rsidDel="00000000" w:rsidR="00000000" w:rsidRPr="00000000">
        <w:rPr>
          <w:rFonts w:ascii="Gothic A1" w:cs="Gothic A1" w:eastAsia="Gothic A1" w:hAnsi="Gothic A1"/>
          <w:u w:val="single"/>
          <w:rtl w:val="0"/>
        </w:rPr>
        <w:t xml:space="preserve">Performance</w:t>
      </w:r>
    </w:p>
    <w:p w:rsidR="00000000" w:rsidDel="00000000" w:rsidP="00000000" w:rsidRDefault="00000000" w:rsidRPr="00000000" w14:paraId="000000A5">
      <w:pPr>
        <w:numPr>
          <w:ilvl w:val="0"/>
          <w:numId w:val="16"/>
        </w:numPr>
        <w:spacing w:after="0" w:afterAutospacing="0" w:before="24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Net IRR:</w:t>
      </w:r>
      <w:r w:rsidDel="00000000" w:rsidR="00000000" w:rsidRPr="00000000">
        <w:rPr>
          <w:rFonts w:ascii="Gothic A1" w:cs="Gothic A1" w:eastAsia="Gothic A1" w:hAnsi="Gothic A1"/>
          <w:rtl w:val="0"/>
        </w:rPr>
        <w:t xml:space="preserve"> 13.8%</w:t>
        <w:br w:type="textWrapping"/>
      </w:r>
    </w:p>
    <w:p w:rsidR="00000000" w:rsidDel="00000000" w:rsidP="00000000" w:rsidRDefault="00000000" w:rsidRPr="00000000" w14:paraId="000000A6">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Net TVPI (Total Value to Paid-In):</w:t>
      </w:r>
      <w:r w:rsidDel="00000000" w:rsidR="00000000" w:rsidRPr="00000000">
        <w:rPr>
          <w:rFonts w:ascii="Gothic A1" w:cs="Gothic A1" w:eastAsia="Gothic A1" w:hAnsi="Gothic A1"/>
          <w:rtl w:val="0"/>
        </w:rPr>
        <w:t xml:space="preserve"> 1.54x</w:t>
        <w:br w:type="textWrapping"/>
      </w:r>
    </w:p>
    <w:p w:rsidR="00000000" w:rsidDel="00000000" w:rsidP="00000000" w:rsidRDefault="00000000" w:rsidRPr="00000000" w14:paraId="000000A7">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Net RVPI (Residual Value to Paid-In):</w:t>
      </w:r>
      <w:r w:rsidDel="00000000" w:rsidR="00000000" w:rsidRPr="00000000">
        <w:rPr>
          <w:rFonts w:ascii="Gothic A1" w:cs="Gothic A1" w:eastAsia="Gothic A1" w:hAnsi="Gothic A1"/>
          <w:rtl w:val="0"/>
        </w:rPr>
        <w:t xml:space="preserve"> 1.37x</w:t>
        <w:br w:type="textWrapping"/>
      </w:r>
    </w:p>
    <w:p w:rsidR="00000000" w:rsidDel="00000000" w:rsidP="00000000" w:rsidRDefault="00000000" w:rsidRPr="00000000" w14:paraId="000000A8">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Net DPI (Distributions to Paid-In):</w:t>
      </w:r>
      <w:r w:rsidDel="00000000" w:rsidR="00000000" w:rsidRPr="00000000">
        <w:rPr>
          <w:rFonts w:ascii="Gothic A1" w:cs="Gothic A1" w:eastAsia="Gothic A1" w:hAnsi="Gothic A1"/>
          <w:rtl w:val="0"/>
        </w:rPr>
        <w:t xml:space="preserve"> 0.16x</w:t>
        <w:br w:type="textWrapping"/>
      </w:r>
    </w:p>
    <w:p w:rsidR="00000000" w:rsidDel="00000000" w:rsidP="00000000" w:rsidRDefault="00000000" w:rsidRPr="00000000" w14:paraId="000000A9">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Fund Size:</w:t>
      </w:r>
      <w:r w:rsidDel="00000000" w:rsidR="00000000" w:rsidRPr="00000000">
        <w:rPr>
          <w:rFonts w:ascii="Gothic A1" w:cs="Gothic A1" w:eastAsia="Gothic A1" w:hAnsi="Gothic A1"/>
          <w:rtl w:val="0"/>
        </w:rPr>
        <w:t xml:space="preserve"> $291M (inclusive of LP, GP, and ABL)</w:t>
        <w:br w:type="textWrapping"/>
      </w:r>
    </w:p>
    <w:p w:rsidR="00000000" w:rsidDel="00000000" w:rsidP="00000000" w:rsidRDefault="00000000" w:rsidRPr="00000000" w14:paraId="000000AA">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LP Capital Commitments:</w:t>
      </w:r>
      <w:r w:rsidDel="00000000" w:rsidR="00000000" w:rsidRPr="00000000">
        <w:rPr>
          <w:rFonts w:ascii="Gothic A1" w:cs="Gothic A1" w:eastAsia="Gothic A1" w:hAnsi="Gothic A1"/>
          <w:rtl w:val="0"/>
        </w:rPr>
        <w:t xml:space="preserve"> $113M, with </w:t>
      </w:r>
      <w:r w:rsidDel="00000000" w:rsidR="00000000" w:rsidRPr="00000000">
        <w:rPr>
          <w:rFonts w:ascii="Gothic A1" w:cs="Gothic A1" w:eastAsia="Gothic A1" w:hAnsi="Gothic A1"/>
          <w:b w:val="1"/>
          <w:bCs w:val="1"/>
          <w:rtl w:val="0"/>
        </w:rPr>
        <w:t xml:space="preserve">85% called</w:t>
      </w:r>
      <w:r w:rsidDel="00000000" w:rsidR="00000000" w:rsidRPr="00000000">
        <w:rPr>
          <w:rFonts w:ascii="Gothic A1" w:cs="Gothic A1" w:eastAsia="Gothic A1" w:hAnsi="Gothic A1"/>
          <w:rtl w:val="0"/>
        </w:rPr>
        <w:t xml:space="preserve"> ($96M)</w:t>
        <w:br w:type="textWrapping"/>
      </w:r>
    </w:p>
    <w:p w:rsidR="00000000" w:rsidDel="00000000" w:rsidP="00000000" w:rsidRDefault="00000000" w:rsidRPr="00000000" w14:paraId="000000AB">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Gross Capital Invested:</w:t>
      </w:r>
      <w:r w:rsidDel="00000000" w:rsidR="00000000" w:rsidRPr="00000000">
        <w:rPr>
          <w:rFonts w:ascii="Gothic A1" w:cs="Gothic A1" w:eastAsia="Gothic A1" w:hAnsi="Gothic A1"/>
          <w:rtl w:val="0"/>
        </w:rPr>
        <w:t xml:space="preserve"> $331M (reflects redeployment to optimize IRR and MOIC)</w:t>
        <w:br w:type="textWrapping"/>
      </w:r>
    </w:p>
    <w:p w:rsidR="00000000" w:rsidDel="00000000" w:rsidP="00000000" w:rsidRDefault="00000000" w:rsidRPr="00000000" w14:paraId="000000AC">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Total Gross Assets:</w:t>
      </w:r>
      <w:r w:rsidDel="00000000" w:rsidR="00000000" w:rsidRPr="00000000">
        <w:rPr>
          <w:rFonts w:ascii="Gothic A1" w:cs="Gothic A1" w:eastAsia="Gothic A1" w:hAnsi="Gothic A1"/>
          <w:rtl w:val="0"/>
        </w:rPr>
        <w:t xml:space="preserve"> $324M</w:t>
        <w:br w:type="textWrapping"/>
      </w:r>
    </w:p>
    <w:p w:rsidR="00000000" w:rsidDel="00000000" w:rsidP="00000000" w:rsidRDefault="00000000" w:rsidRPr="00000000" w14:paraId="000000AD">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SBA Leverage Drawn:</w:t>
      </w:r>
      <w:r w:rsidDel="00000000" w:rsidR="00000000" w:rsidRPr="00000000">
        <w:rPr>
          <w:rFonts w:ascii="Gothic A1" w:cs="Gothic A1" w:eastAsia="Gothic A1" w:hAnsi="Gothic A1"/>
          <w:rtl w:val="0"/>
        </w:rPr>
        <w:t xml:space="preserve"> $175M (fully drawn facility)</w:t>
        <w:br w:type="textWrapping"/>
      </w:r>
    </w:p>
    <w:p w:rsidR="00000000" w:rsidDel="00000000" w:rsidP="00000000" w:rsidRDefault="00000000" w:rsidRPr="00000000" w14:paraId="000000AE">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Leverage Ratio:</w:t>
      </w:r>
      <w:r w:rsidDel="00000000" w:rsidR="00000000" w:rsidRPr="00000000">
        <w:rPr>
          <w:rFonts w:ascii="Gothic A1" w:cs="Gothic A1" w:eastAsia="Gothic A1" w:hAnsi="Gothic A1"/>
          <w:rtl w:val="0"/>
        </w:rPr>
        <w:t xml:space="preserve"> 0.54x debt-to-total assets</w:t>
        <w:br w:type="textWrapping"/>
      </w:r>
    </w:p>
    <w:p w:rsidR="00000000" w:rsidDel="00000000" w:rsidP="00000000" w:rsidRDefault="00000000" w:rsidRPr="00000000" w14:paraId="000000AF">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Average Yield to Maturity (YTM):</w:t>
      </w:r>
      <w:r w:rsidDel="00000000" w:rsidR="00000000" w:rsidRPr="00000000">
        <w:rPr>
          <w:rFonts w:ascii="Gothic A1" w:cs="Gothic A1" w:eastAsia="Gothic A1" w:hAnsi="Gothic A1"/>
          <w:rtl w:val="0"/>
        </w:rPr>
        <w:t xml:space="preserve"> 14.1%</w:t>
        <w:br w:type="textWrapping"/>
      </w:r>
    </w:p>
    <w:p w:rsidR="00000000" w:rsidDel="00000000" w:rsidP="00000000" w:rsidRDefault="00000000" w:rsidRPr="00000000" w14:paraId="000000B0">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Average Cash Interest:</w:t>
      </w:r>
      <w:r w:rsidDel="00000000" w:rsidR="00000000" w:rsidRPr="00000000">
        <w:rPr>
          <w:rFonts w:ascii="Gothic A1" w:cs="Gothic A1" w:eastAsia="Gothic A1" w:hAnsi="Gothic A1"/>
          <w:rtl w:val="0"/>
        </w:rPr>
        <w:t xml:space="preserve"> 9.9%</w:t>
        <w:br w:type="textWrapping"/>
      </w:r>
    </w:p>
    <w:p w:rsidR="00000000" w:rsidDel="00000000" w:rsidP="00000000" w:rsidRDefault="00000000" w:rsidRPr="00000000" w14:paraId="000000B1">
      <w:pPr>
        <w:numPr>
          <w:ilvl w:val="0"/>
          <w:numId w:val="16"/>
        </w:numPr>
        <w:spacing w:after="24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Portfolio Composition:</w:t>
      </w:r>
      <w:r w:rsidDel="00000000" w:rsidR="00000000" w:rsidRPr="00000000">
        <w:rPr>
          <w:rFonts w:ascii="Gothic A1" w:cs="Gothic A1" w:eastAsia="Gothic A1" w:hAnsi="Gothic A1"/>
          <w:rtl w:val="0"/>
        </w:rPr>
        <w:t xml:space="preserve"> 75% 1st lien debt, 24% 2nd lien/preferred equity, &lt;1% common equity</w:t>
        <w:br w:type="textWrapping"/>
      </w:r>
      <w:r w:rsidDel="00000000" w:rsidR="00000000" w:rsidRPr="00000000">
        <w:rPr>
          <w:rtl w:val="0"/>
        </w:rPr>
      </w:r>
    </w:p>
    <w:p w:rsidR="00000000" w:rsidDel="00000000" w:rsidP="00000000" w:rsidRDefault="00000000" w:rsidRPr="00000000" w14:paraId="000000B2">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B3">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0B4">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b w:val="1"/>
          <w:bCs w:val="1"/>
          <w:rtl w:val="0"/>
        </w:rPr>
        <w:t xml:space="preserve">Consistent NAV and return growth</w:t>
      </w:r>
      <w:r w:rsidDel="00000000" w:rsidR="00000000" w:rsidRPr="00000000">
        <w:rPr>
          <w:rFonts w:ascii="Gothic A1" w:cs="Gothic A1" w:eastAsia="Gothic A1" w:hAnsi="Gothic A1"/>
          <w:rtl w:val="0"/>
        </w:rPr>
        <w:t xml:space="preserve">: The fund achieved a net TVPI of </w:t>
      </w:r>
      <w:r w:rsidDel="00000000" w:rsidR="00000000" w:rsidRPr="00000000">
        <w:rPr>
          <w:rFonts w:ascii="Gothic A1" w:cs="Gothic A1" w:eastAsia="Gothic A1" w:hAnsi="Gothic A1"/>
          <w:b w:val="1"/>
          <w:bCs w:val="1"/>
          <w:rtl w:val="0"/>
        </w:rPr>
        <w:t xml:space="preserve">1.54x</w:t>
      </w:r>
      <w:r w:rsidDel="00000000" w:rsidR="00000000" w:rsidRPr="00000000">
        <w:rPr>
          <w:rFonts w:ascii="Gothic A1" w:cs="Gothic A1" w:eastAsia="Gothic A1" w:hAnsi="Gothic A1"/>
          <w:rtl w:val="0"/>
        </w:rPr>
        <w:t xml:space="preserve">, up from 1.45x in Q2, reflecting strong unrealized gains despite limited DPI</w:t>
        <w:br w:type="textWrapping"/>
      </w:r>
    </w:p>
    <w:p w:rsidR="00000000" w:rsidDel="00000000" w:rsidP="00000000" w:rsidRDefault="00000000" w:rsidRPr="00000000" w14:paraId="000000B5">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b w:val="1"/>
          <w:bCs w:val="1"/>
          <w:rtl w:val="0"/>
        </w:rPr>
        <w:t xml:space="preserve">Net IRR of 13.8%</w:t>
      </w:r>
      <w:r w:rsidDel="00000000" w:rsidR="00000000" w:rsidRPr="00000000">
        <w:rPr>
          <w:rFonts w:ascii="Gothic A1" w:cs="Gothic A1" w:eastAsia="Gothic A1" w:hAnsi="Gothic A1"/>
          <w:rtl w:val="0"/>
        </w:rPr>
        <w:t xml:space="preserve"> reflects healthy risk-adjusted performance, especially given conservative underwriting and moderate leverage</w:t>
        <w:br w:type="textWrapping"/>
      </w:r>
    </w:p>
    <w:p w:rsidR="00000000" w:rsidDel="00000000" w:rsidP="00000000" w:rsidRDefault="00000000" w:rsidRPr="00000000" w14:paraId="000000B6">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b w:val="1"/>
          <w:bCs w:val="1"/>
          <w:rtl w:val="0"/>
        </w:rPr>
        <w:t xml:space="preserve">Diversified portfolio</w:t>
      </w:r>
      <w:r w:rsidDel="00000000" w:rsidR="00000000" w:rsidRPr="00000000">
        <w:rPr>
          <w:rFonts w:ascii="Gothic A1" w:cs="Gothic A1" w:eastAsia="Gothic A1" w:hAnsi="Gothic A1"/>
          <w:rtl w:val="0"/>
        </w:rPr>
        <w:t xml:space="preserve"> of 29 companies with median operating history of 27 years and average EBITDA of $12M, indicating stability in lower middle market exposure</w:t>
        <w:br w:type="textWrapping"/>
      </w:r>
    </w:p>
    <w:p w:rsidR="00000000" w:rsidDel="00000000" w:rsidP="00000000" w:rsidRDefault="00000000" w:rsidRPr="00000000" w14:paraId="000000B7">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b w:val="1"/>
          <w:bCs w:val="1"/>
          <w:rtl w:val="0"/>
        </w:rPr>
        <w:t xml:space="preserve">High embedded value:</w:t>
      </w:r>
      <w:r w:rsidDel="00000000" w:rsidR="00000000" w:rsidRPr="00000000">
        <w:rPr>
          <w:rFonts w:ascii="Gothic A1" w:cs="Gothic A1" w:eastAsia="Gothic A1" w:hAnsi="Gothic A1"/>
          <w:rtl w:val="0"/>
        </w:rPr>
        <w:t xml:space="preserve"> 83% of portfolio companies include structured equity or warrants; 97% have board observer rights; 100% include financial covenants</w:t>
        <w:br w:type="textWrapping"/>
      </w:r>
    </w:p>
    <w:p w:rsidR="00000000" w:rsidDel="00000000" w:rsidP="00000000" w:rsidRDefault="00000000" w:rsidRPr="00000000" w14:paraId="000000B8">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b w:val="1"/>
          <w:bCs w:val="1"/>
          <w:rtl w:val="0"/>
        </w:rPr>
        <w:t xml:space="preserve">Distributions remain modest</w:t>
      </w:r>
      <w:r w:rsidDel="00000000" w:rsidR="00000000" w:rsidRPr="00000000">
        <w:rPr>
          <w:rFonts w:ascii="Gothic A1" w:cs="Gothic A1" w:eastAsia="Gothic A1" w:hAnsi="Gothic A1"/>
          <w:rtl w:val="0"/>
        </w:rPr>
        <w:t xml:space="preserve">, with an 8% average cash distribution yield since inception but only 2.3% return of capital in Q3 2025 due to SBA regulatory constraints on distributions (READ-related)</w:t>
        <w:br w:type="textWrapping"/>
      </w:r>
    </w:p>
    <w:p w:rsidR="00000000" w:rsidDel="00000000" w:rsidP="00000000" w:rsidRDefault="00000000" w:rsidRPr="00000000" w14:paraId="000000B9">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b w:val="1"/>
          <w:bCs w:val="1"/>
          <w:rtl w:val="0"/>
        </w:rPr>
        <w:t xml:space="preserve">Recent realizations (e.g. Project Justice)</w:t>
      </w:r>
      <w:r w:rsidDel="00000000" w:rsidR="00000000" w:rsidRPr="00000000">
        <w:rPr>
          <w:rFonts w:ascii="Gothic A1" w:cs="Gothic A1" w:eastAsia="Gothic A1" w:hAnsi="Gothic A1"/>
          <w:rtl w:val="0"/>
        </w:rPr>
        <w:t xml:space="preserve"> delivered outsized returns (net IRR: 149.9% leveraged; 290.9% with equity exposure), highlighting upside potential in structured deals</w:t>
      </w:r>
    </w:p>
    <w:p w:rsidR="00000000" w:rsidDel="00000000" w:rsidP="00000000" w:rsidRDefault="00000000" w:rsidRPr="00000000" w14:paraId="000000BA">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BB">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0BC">
      <w:pPr>
        <w:numPr>
          <w:ilvl w:val="0"/>
          <w:numId w:val="17"/>
        </w:numPr>
        <w:spacing w:after="0" w:afterAutospacing="0" w:before="24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Project Justice Exit (Q3 2025):</w:t>
        <w:br w:type="textWrapping"/>
      </w:r>
      <w:commentRangeStart w:id="0"/>
      <w:r w:rsidDel="00000000" w:rsidR="00000000" w:rsidRPr="00000000">
        <w:rPr>
          <w:rFonts w:ascii="Gothic A1" w:cs="Gothic A1" w:eastAsia="Gothic A1" w:hAnsi="Gothic A1"/>
          <w:rtl w:val="0"/>
        </w:rPr>
        <w:t xml:space="preserve"> – Provider of adjudication services aligned with the No Surprises Act</w:t>
        <w:br w:type="textWrapping"/>
        <w:t xml:space="preserve"> – Realized through a refinancing; generated a 5.99x gross MOIC and 178.5% net unleveraged IRR, with further upside remaining via retained equity (valued at ~$121M)</w:t>
        <w:br w:type="textWrapping"/>
        <w:t xml:space="preserve"> – Notable growth from $10M to $150M EBITDA at exit; Star Mountain played an active board and strategic role in growth</w:t>
      </w:r>
      <w:commentRangeEnd w:id="0"/>
      <w:r w:rsidDel="00000000" w:rsidR="00000000" w:rsidRPr="00000000">
        <w:commentReference w:id="0"/>
      </w:r>
      <w:r w:rsidDel="00000000" w:rsidR="00000000" w:rsidRPr="00000000">
        <w:rPr>
          <w:rFonts w:ascii="Gothic A1" w:cs="Gothic A1" w:eastAsia="Gothic A1" w:hAnsi="Gothic A1"/>
          <w:rtl w:val="0"/>
        </w:rPr>
        <w:br w:type="textWrapping"/>
      </w:r>
    </w:p>
    <w:p w:rsidR="00000000" w:rsidDel="00000000" w:rsidP="00000000" w:rsidRDefault="00000000" w:rsidRPr="00000000" w14:paraId="000000BD">
      <w:pPr>
        <w:numPr>
          <w:ilvl w:val="0"/>
          <w:numId w:val="17"/>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Post-Q3 Exit: Project Payment (Nov 2025):</w:t>
        <w:br w:type="textWrapping"/>
        <w:t xml:space="preserve"> </w:t>
      </w:r>
      <w:commentRangeStart w:id="1"/>
      <w:r w:rsidDel="00000000" w:rsidR="00000000" w:rsidRPr="00000000">
        <w:rPr>
          <w:rFonts w:ascii="Gothic A1" w:cs="Gothic A1" w:eastAsia="Gothic A1" w:hAnsi="Gothic A1"/>
          <w:rtl w:val="0"/>
        </w:rPr>
        <w:t xml:space="preserve">– IT staffing and analytics platform; exited via debt refi</w:t>
        <w:br w:type="textWrapping"/>
        <w:t xml:space="preserve"> – 23.1% gross IRR, 16.5% net unleveraged IRR</w:t>
        <w:br w:type="textWrapping"/>
        <w:t xml:space="preserve"> – Exit followed strategic add-ons led by Star Mountain, including $34M of incremental funding</w:t>
        <w:br w:type="textWrapp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E">
      <w:pPr>
        <w:numPr>
          <w:ilvl w:val="0"/>
          <w:numId w:val="17"/>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Quarterly Valuation Movements:</w:t>
        <w:br w:type="textWrapping"/>
        <w:t xml:space="preserve"> </w:t>
      </w:r>
      <w:commentRangeStart w:id="2"/>
      <w:r w:rsidDel="00000000" w:rsidR="00000000" w:rsidRPr="00000000">
        <w:rPr>
          <w:rFonts w:ascii="Gothic A1" w:cs="Gothic A1" w:eastAsia="Gothic A1" w:hAnsi="Gothic A1"/>
          <w:rtl w:val="0"/>
        </w:rPr>
        <w:t xml:space="preserve">– Total fund FV flat QoQ; top write-up was Project Justice (+$5.9M)</w:t>
        <w:br w:type="textWrapping"/>
        <w:t xml:space="preserve"> – Largest write-down was Project Federal (-$3.8M) due to restructuring in government contracting sector</w:t>
        <w:br w:type="textWrapp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BF">
      <w:pPr>
        <w:numPr>
          <w:ilvl w:val="0"/>
          <w:numId w:val="17"/>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Portfolio Highlights:</w:t>
        <w:br w:type="textWrapping"/>
      </w:r>
      <w:commentRangeStart w:id="3"/>
      <w:r w:rsidDel="00000000" w:rsidR="00000000" w:rsidRPr="00000000">
        <w:rPr>
          <w:rFonts w:ascii="Gothic A1" w:cs="Gothic A1" w:eastAsia="Gothic A1" w:hAnsi="Gothic A1"/>
          <w:rtl w:val="0"/>
        </w:rPr>
        <w:t xml:space="preserve"> – Strong YoY growth in investments like Project Android (+145% EBITDA), Project Cardinal (+35% EBITDA), and Project Sleep (+28% EBITDA)</w:t>
        <w:br w:type="textWrapping"/>
        <w:t xml:space="preserve"> – Continued challenges in Project Quant (-49% EBITDA) and Project Federal (-74% EBITDA), although management changes and AI initiatives are underway</w:t>
        <w:br w:type="textWrapp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C0">
      <w:pPr>
        <w:numPr>
          <w:ilvl w:val="0"/>
          <w:numId w:val="17"/>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Risk Ratings:</w:t>
        <w:br w:type="textWrapping"/>
      </w:r>
      <w:commentRangeStart w:id="4"/>
      <w:r w:rsidDel="00000000" w:rsidR="00000000" w:rsidRPr="00000000">
        <w:rPr>
          <w:rFonts w:ascii="Gothic A1" w:cs="Gothic A1" w:eastAsia="Gothic A1" w:hAnsi="Gothic A1"/>
          <w:rtl w:val="0"/>
        </w:rPr>
        <w:t xml:space="preserve"> – Portfolio quality remains stable with 75% rated 1–3, implying no anticipated impairment</w:t>
        <w:br w:type="textWrapping"/>
        <w:t xml:space="preserve"> – Slight increase in average risk rating due to one downgrade (Project Metal) and the exit of a high-performing asset</w:t>
        <w:br w:type="textWrapp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C1">
      <w:pPr>
        <w:numPr>
          <w:ilvl w:val="0"/>
          <w:numId w:val="17"/>
        </w:numPr>
        <w:spacing w:after="24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Leverage Management:</w:t>
        <w:br w:type="textWrapping"/>
        <w:t xml:space="preserve"> </w:t>
      </w:r>
      <w:commentRangeStart w:id="5"/>
      <w:r w:rsidDel="00000000" w:rsidR="00000000" w:rsidRPr="00000000">
        <w:rPr>
          <w:rFonts w:ascii="Gothic A1" w:cs="Gothic A1" w:eastAsia="Gothic A1" w:hAnsi="Gothic A1"/>
          <w:rtl w:val="0"/>
        </w:rPr>
        <w:t xml:space="preserve">– SBA leverage usage is moderate and consistent (average 0.60x over fund life), with fixed rate borrowings at 4.5% average cost</w:t>
        <w:br w:type="textWrapp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spacing w:line="240" w:lineRule="auto"/>
        <w:rPr>
          <w:rFonts w:ascii="Gothic A1" w:cs="Gothic A1" w:eastAsia="Gothic A1" w:hAnsi="Gothic A1"/>
        </w:rPr>
      </w:pPr>
      <w:bookmarkStart w:colFirst="0" w:colLast="0" w:name="_tb4p3em9njgw" w:id="12"/>
      <w:bookmarkEnd w:id="12"/>
      <w:r w:rsidDel="00000000" w:rsidR="00000000" w:rsidRPr="00000000">
        <w:rPr>
          <w:rFonts w:ascii="Gothic A1" w:cs="Gothic A1" w:eastAsia="Gothic A1" w:hAnsi="Gothic A1"/>
          <w:u w:val="none"/>
          <w:rtl w:val="0"/>
        </w:rPr>
        <w:t xml:space="preserve">SpaceX Update [Outperforming]</w:t>
      </w:r>
      <w:r w:rsidDel="00000000" w:rsidR="00000000" w:rsidRPr="00000000">
        <w:rPr>
          <w:rtl w:val="0"/>
        </w:rPr>
      </w:r>
    </w:p>
    <w:p w:rsidR="00000000" w:rsidDel="00000000" w:rsidP="00000000" w:rsidRDefault="00000000" w:rsidRPr="00000000" w14:paraId="000000C5">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0C6">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0C7">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0C8">
      <w:pPr>
        <w:numPr>
          <w:ilvl w:val="0"/>
          <w:numId w:val="23"/>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0C9">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CA">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Company</w:t>
      </w:r>
      <w:r w:rsidDel="00000000" w:rsidR="00000000" w:rsidRPr="00000000">
        <w:rPr>
          <w:rFonts w:ascii="Gothic A1" w:cs="Gothic A1" w:eastAsia="Gothic A1" w:hAnsi="Gothic A1"/>
          <w:u w:val="single"/>
          <w:rtl w:val="0"/>
        </w:rPr>
        <w:t xml:space="preserve"> Performance</w:t>
      </w:r>
    </w:p>
    <w:p w:rsidR="00000000" w:rsidDel="00000000" w:rsidP="00000000" w:rsidRDefault="00000000" w:rsidRPr="00000000" w14:paraId="000000CB">
      <w:pPr>
        <w:numPr>
          <w:ilvl w:val="0"/>
          <w:numId w:val="16"/>
        </w:numPr>
        <w:spacing w:after="0" w:afterAutospacing="0" w:before="24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Capital Account Balance (Q3 2025):</w:t>
      </w:r>
      <w:r w:rsidDel="00000000" w:rsidR="00000000" w:rsidRPr="00000000">
        <w:rPr>
          <w:rFonts w:ascii="Gothic A1" w:cs="Gothic A1" w:eastAsia="Gothic A1" w:hAnsi="Gothic A1"/>
          <w:rtl w:val="0"/>
        </w:rPr>
        <w:t xml:space="preserve"> $367,878.47</w:t>
        <w:br w:type="textWrapping"/>
      </w:r>
    </w:p>
    <w:p w:rsidR="00000000" w:rsidDel="00000000" w:rsidP="00000000" w:rsidRDefault="00000000" w:rsidRPr="00000000" w14:paraId="000000CC">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Total Paid-in Capital:</w:t>
      </w:r>
      <w:r w:rsidDel="00000000" w:rsidR="00000000" w:rsidRPr="00000000">
        <w:rPr>
          <w:rFonts w:ascii="Gothic A1" w:cs="Gothic A1" w:eastAsia="Gothic A1" w:hAnsi="Gothic A1"/>
          <w:rtl w:val="0"/>
        </w:rPr>
        <w:t xml:space="preserve"> $142,884.00</w:t>
        <w:br w:type="textWrapping"/>
      </w:r>
    </w:p>
    <w:p w:rsidR="00000000" w:rsidDel="00000000" w:rsidP="00000000" w:rsidRDefault="00000000" w:rsidRPr="00000000" w14:paraId="000000CD">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Invested Capital:</w:t>
      </w:r>
      <w:r w:rsidDel="00000000" w:rsidR="00000000" w:rsidRPr="00000000">
        <w:rPr>
          <w:rFonts w:ascii="Gothic A1" w:cs="Gothic A1" w:eastAsia="Gothic A1" w:hAnsi="Gothic A1"/>
          <w:rtl w:val="0"/>
        </w:rPr>
        <w:t xml:space="preserve"> $142,884.00</w:t>
        <w:br w:type="textWrapping"/>
      </w:r>
    </w:p>
    <w:p w:rsidR="00000000" w:rsidDel="00000000" w:rsidP="00000000" w:rsidRDefault="00000000" w:rsidRPr="00000000" w14:paraId="000000CE">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Realized Proceeds:</w:t>
      </w:r>
      <w:r w:rsidDel="00000000" w:rsidR="00000000" w:rsidRPr="00000000">
        <w:rPr>
          <w:rFonts w:ascii="Gothic A1" w:cs="Gothic A1" w:eastAsia="Gothic A1" w:hAnsi="Gothic A1"/>
          <w:rtl w:val="0"/>
        </w:rPr>
        <w:t xml:space="preserve"> $0.00</w:t>
        <w:br w:type="textWrapping"/>
      </w:r>
    </w:p>
    <w:p w:rsidR="00000000" w:rsidDel="00000000" w:rsidP="00000000" w:rsidRDefault="00000000" w:rsidRPr="00000000" w14:paraId="000000CF">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 Gain (Trailing 12 Months):</w:t>
      </w:r>
      <w:r w:rsidDel="00000000" w:rsidR="00000000" w:rsidRPr="00000000">
        <w:rPr>
          <w:rFonts w:ascii="Gothic A1" w:cs="Gothic A1" w:eastAsia="Gothic A1" w:hAnsi="Gothic A1"/>
          <w:rtl w:val="0"/>
        </w:rPr>
        <w:t xml:space="preserve"> 121.42%</w:t>
        <w:br w:type="textWrapping"/>
      </w:r>
    </w:p>
    <w:p w:rsidR="00000000" w:rsidDel="00000000" w:rsidP="00000000" w:rsidRDefault="00000000" w:rsidRPr="00000000" w14:paraId="000000D0">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 Gain (All Time):</w:t>
      </w:r>
      <w:r w:rsidDel="00000000" w:rsidR="00000000" w:rsidRPr="00000000">
        <w:rPr>
          <w:rFonts w:ascii="Gothic A1" w:cs="Gothic A1" w:eastAsia="Gothic A1" w:hAnsi="Gothic A1"/>
          <w:rtl w:val="0"/>
        </w:rPr>
        <w:t xml:space="preserve"> 157.47%</w:t>
        <w:br w:type="textWrapping"/>
      </w:r>
    </w:p>
    <w:p w:rsidR="00000000" w:rsidDel="00000000" w:rsidP="00000000" w:rsidRDefault="00000000" w:rsidRPr="00000000" w14:paraId="000000D1">
      <w:pPr>
        <w:numPr>
          <w:ilvl w:val="0"/>
          <w:numId w:val="16"/>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Issue Date:</w:t>
      </w:r>
      <w:r w:rsidDel="00000000" w:rsidR="00000000" w:rsidRPr="00000000">
        <w:rPr>
          <w:rFonts w:ascii="Gothic A1" w:cs="Gothic A1" w:eastAsia="Gothic A1" w:hAnsi="Gothic A1"/>
          <w:rtl w:val="0"/>
        </w:rPr>
        <w:t xml:space="preserve"> October 19, 2023</w:t>
        <w:br w:type="textWrapping"/>
      </w:r>
    </w:p>
    <w:p w:rsidR="00000000" w:rsidDel="00000000" w:rsidP="00000000" w:rsidRDefault="00000000" w:rsidRPr="00000000" w14:paraId="000000D2">
      <w:pPr>
        <w:numPr>
          <w:ilvl w:val="0"/>
          <w:numId w:val="16"/>
        </w:numPr>
        <w:spacing w:after="24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b w:val="1"/>
          <w:bCs w:val="1"/>
          <w:rtl w:val="0"/>
        </w:rPr>
        <w:t xml:space="preserve">Valuation Change:</w:t>
      </w:r>
      <w:r w:rsidDel="00000000" w:rsidR="00000000" w:rsidRPr="00000000">
        <w:rPr>
          <w:rFonts w:ascii="Gothic A1" w:cs="Gothic A1" w:eastAsia="Gothic A1" w:hAnsi="Gothic A1"/>
          <w:rtl w:val="0"/>
        </w:rPr>
        <w:t xml:space="preserve"> Share price rose from $81.00 (Sep 2023) to $212.00 (Aug 2025), reflecting a post-money valuation increase from $150B to $400B</w:t>
        <w:br w:type="textWrapping"/>
      </w:r>
      <w:r w:rsidDel="00000000" w:rsidR="00000000" w:rsidRPr="00000000">
        <w:rPr>
          <w:rtl w:val="0"/>
        </w:rPr>
      </w:r>
    </w:p>
    <w:p w:rsidR="00000000" w:rsidDel="00000000" w:rsidP="00000000" w:rsidRDefault="00000000" w:rsidRPr="00000000" w14:paraId="000000D3">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D4">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0D5">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Capital account value more than doubled since investment initiation, driven by sustained growth in SpaceX’s valuation across multiple tender offers</w:t>
        <w:br w:type="textWrapping"/>
      </w:r>
    </w:p>
    <w:p w:rsidR="00000000" w:rsidDel="00000000" w:rsidP="00000000" w:rsidRDefault="00000000" w:rsidRPr="00000000" w14:paraId="000000D6">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Over the trailing 12 months, investor capital appreciated 121%, with 157% total gain since October 2023</w:t>
        <w:br w:type="textWrapping"/>
      </w:r>
    </w:p>
    <w:p w:rsidR="00000000" w:rsidDel="00000000" w:rsidP="00000000" w:rsidRDefault="00000000" w:rsidRPr="00000000" w14:paraId="000000D7">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Investment remains fully unrealized, with no liquidity events or cash distributions recorded yet</w:t>
        <w:br w:type="textWrapping"/>
      </w:r>
    </w:p>
    <w:p w:rsidR="00000000" w:rsidDel="00000000" w:rsidP="00000000" w:rsidRDefault="00000000" w:rsidRPr="00000000" w14:paraId="000000D8">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Latest secondary market tender priced SpaceX at $212/share, implying a $400B post-money valuation, the highest to date</w:t>
        <w:br w:type="textWrapping"/>
      </w:r>
    </w:p>
    <w:p w:rsidR="00000000" w:rsidDel="00000000" w:rsidP="00000000" w:rsidRDefault="00000000" w:rsidRPr="00000000" w14:paraId="000000D9">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Rapid appreciation reflects strong private market demand and increasing strategic value of SpaceX's core busines</w:t>
      </w:r>
      <w:r w:rsidDel="00000000" w:rsidR="00000000" w:rsidRPr="00000000">
        <w:rPr>
          <w:rFonts w:ascii="Gothic A1" w:cs="Gothic A1" w:eastAsia="Gothic A1" w:hAnsi="Gothic A1"/>
          <w:rtl w:val="0"/>
        </w:rPr>
        <w:t xml:space="preserve">ses (launch, Starlink, and direct-to-cell connectivity)</w:t>
      </w:r>
    </w:p>
    <w:p w:rsidR="00000000" w:rsidDel="00000000" w:rsidP="00000000" w:rsidRDefault="00000000" w:rsidRPr="00000000" w14:paraId="000000DA">
      <w:pPr>
        <w:numPr>
          <w:ilvl w:val="0"/>
          <w:numId w:val="12"/>
        </w:numPr>
        <w:spacing w:line="240" w:lineRule="auto"/>
        <w:ind w:left="720" w:hanging="360"/>
        <w:rPr>
          <w:rFonts w:ascii="Gothic A1" w:cs="Gothic A1" w:eastAsia="Gothic A1" w:hAnsi="Gothic A1"/>
          <w:u w:val="none"/>
        </w:rPr>
      </w:pPr>
      <w:r w:rsidDel="00000000" w:rsidR="00000000" w:rsidRPr="00000000">
        <w:rPr>
          <w:rtl w:val="0"/>
        </w:rPr>
      </w:r>
    </w:p>
    <w:p w:rsidR="00000000" w:rsidDel="00000000" w:rsidP="00000000" w:rsidRDefault="00000000" w:rsidRPr="00000000" w14:paraId="000000DB">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DC">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0DD">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Starship Milestone: On August 26, SpaceX completed its 10th Starship test flight, successfully deploying eight Starlink simulator payloads in orbit. This marked the first in-space payload deployment and achieved key progress in heat-shield and propulsive reentry validation</w:t>
        <w:br w:type="textWrapping"/>
      </w:r>
    </w:p>
    <w:p w:rsidR="00000000" w:rsidDel="00000000" w:rsidP="00000000" w:rsidRDefault="00000000" w:rsidRPr="00000000" w14:paraId="000000DE">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Starlink Expansion: Reported over 7 million users across 150 countries as of August 2025, reflecting strong global adoption of satellite internet</w:t>
        <w:br w:type="textWrapping"/>
      </w:r>
    </w:p>
    <w:p w:rsidR="00000000" w:rsidDel="00000000" w:rsidP="00000000" w:rsidRDefault="00000000" w:rsidRPr="00000000" w14:paraId="000000DF">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Direct-to-Cell Rollout: T-Mobile and SpaceX launched Starlink-powered text messaging service in July, signaling commercialization of direct-to-cell satellite connectivity</w:t>
        <w:br w:type="textWrapping"/>
      </w:r>
    </w:p>
    <w:p w:rsidR="00000000" w:rsidDel="00000000" w:rsidP="00000000" w:rsidRDefault="00000000" w:rsidRPr="00000000" w14:paraId="000000E0">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Strategic Spectrum Acquisition: SpaceX acquired $17B worth of wireless spectrum licenses from EchoStar, enabling it to operate independent cellular service without relying on third-party carrier spectrum</w:t>
        <w:br w:type="textWrapping"/>
      </w:r>
    </w:p>
    <w:p w:rsidR="00000000" w:rsidDel="00000000" w:rsidP="00000000" w:rsidRDefault="00000000" w:rsidRPr="00000000" w14:paraId="000000E1">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These updates indicate continued vertical integration and expansion of SpaceX’s capabilities across broadband, mobile, and space infrastructure sectors, with strong long-term value creation potential</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spacing w:line="240" w:lineRule="auto"/>
        <w:rPr>
          <w:rFonts w:ascii="Gothic A1" w:cs="Gothic A1" w:eastAsia="Gothic A1" w:hAnsi="Gothic A1"/>
        </w:rPr>
      </w:pPr>
      <w:bookmarkStart w:colFirst="0" w:colLast="0" w:name="_me555qeawj3l" w:id="13"/>
      <w:bookmarkEnd w:id="13"/>
      <w:r w:rsidDel="00000000" w:rsidR="00000000" w:rsidRPr="00000000">
        <w:rPr>
          <w:rFonts w:ascii="Gothic A1" w:cs="Gothic A1" w:eastAsia="Gothic A1" w:hAnsi="Gothic A1"/>
          <w:u w:val="none"/>
          <w:rtl w:val="0"/>
        </w:rPr>
        <w:t xml:space="preserve">Silver Lake VII Update [ As Expected]</w:t>
      </w:r>
      <w:r w:rsidDel="00000000" w:rsidR="00000000" w:rsidRPr="00000000">
        <w:rPr>
          <w:rtl w:val="0"/>
        </w:rPr>
      </w:r>
    </w:p>
    <w:p w:rsidR="00000000" w:rsidDel="00000000" w:rsidP="00000000" w:rsidRDefault="00000000" w:rsidRPr="00000000" w14:paraId="000000E6">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0E7">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0E8">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0E9">
      <w:pPr>
        <w:numPr>
          <w:ilvl w:val="0"/>
          <w:numId w:val="23"/>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0EA">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EB">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Fund </w:t>
      </w:r>
      <w:r w:rsidDel="00000000" w:rsidR="00000000" w:rsidRPr="00000000">
        <w:rPr>
          <w:rFonts w:ascii="Gothic A1" w:cs="Gothic A1" w:eastAsia="Gothic A1" w:hAnsi="Gothic A1"/>
          <w:u w:val="single"/>
          <w:rtl w:val="0"/>
        </w:rPr>
        <w:t xml:space="preserve">Performance</w:t>
      </w:r>
    </w:p>
    <w:p w:rsidR="00000000" w:rsidDel="00000000" w:rsidP="00000000" w:rsidRDefault="00000000" w:rsidRPr="00000000" w14:paraId="000000EC">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b w:val="1"/>
          <w:bCs w:val="1"/>
          <w:rtl w:val="0"/>
        </w:rPr>
        <w:t xml:space="preserve">Net IRR:</w:t>
      </w:r>
      <w:r w:rsidDel="00000000" w:rsidR="00000000" w:rsidRPr="00000000">
        <w:rPr>
          <w:rFonts w:ascii="Gothic A1" w:cs="Gothic A1" w:eastAsia="Gothic A1" w:hAnsi="Gothic A1"/>
          <w:rtl w:val="0"/>
        </w:rPr>
        <w:t xml:space="preserve"> 15.7% (Fund level), 13.9% (for a $500K advisory investor)</w:t>
        <w:br w:type="textWrapping"/>
      </w:r>
    </w:p>
    <w:p w:rsidR="00000000" w:rsidDel="00000000" w:rsidP="00000000" w:rsidRDefault="00000000" w:rsidRPr="00000000" w14:paraId="000000ED">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b w:val="1"/>
          <w:bCs w:val="1"/>
          <w:rtl w:val="0"/>
        </w:rPr>
        <w:t xml:space="preserve">Net MOIC:</w:t>
      </w:r>
      <w:r w:rsidDel="00000000" w:rsidR="00000000" w:rsidRPr="00000000">
        <w:rPr>
          <w:rFonts w:ascii="Gothic A1" w:cs="Gothic A1" w:eastAsia="Gothic A1" w:hAnsi="Gothic A1"/>
          <w:rtl w:val="0"/>
        </w:rPr>
        <w:t xml:space="preserve"> 1.21x (Fund level), 1.18x (for a $500K advisory investor)</w:t>
        <w:br w:type="textWrapping"/>
      </w:r>
    </w:p>
    <w:p w:rsidR="00000000" w:rsidDel="00000000" w:rsidP="00000000" w:rsidRDefault="00000000" w:rsidRPr="00000000" w14:paraId="000000EE">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b w:val="1"/>
          <w:bCs w:val="1"/>
          <w:rtl w:val="0"/>
        </w:rPr>
        <w:t xml:space="preserve">DPI (Distributions / Paid-in Capital):</w:t>
      </w:r>
      <w:r w:rsidDel="00000000" w:rsidR="00000000" w:rsidRPr="00000000">
        <w:rPr>
          <w:rFonts w:ascii="Gothic A1" w:cs="Gothic A1" w:eastAsia="Gothic A1" w:hAnsi="Gothic A1"/>
          <w:rtl w:val="0"/>
        </w:rPr>
        <w:t xml:space="preserve"> 0.1%</w:t>
        <w:br w:type="textWrapping"/>
      </w:r>
    </w:p>
    <w:p w:rsidR="00000000" w:rsidDel="00000000" w:rsidP="00000000" w:rsidRDefault="00000000" w:rsidRPr="00000000" w14:paraId="000000EF">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b w:val="1"/>
          <w:bCs w:val="1"/>
          <w:rtl w:val="0"/>
        </w:rPr>
        <w:t xml:space="preserve">NAV as of 9/30/25:</w:t>
      </w:r>
      <w:r w:rsidDel="00000000" w:rsidR="00000000" w:rsidRPr="00000000">
        <w:rPr>
          <w:rFonts w:ascii="Gothic A1" w:cs="Gothic A1" w:eastAsia="Gothic A1" w:hAnsi="Gothic A1"/>
          <w:rtl w:val="0"/>
        </w:rPr>
        <w:t xml:space="preserve"> $25.44M</w:t>
        <w:br w:type="textWrapping"/>
      </w:r>
    </w:p>
    <w:p w:rsidR="00000000" w:rsidDel="00000000" w:rsidP="00000000" w:rsidRDefault="00000000" w:rsidRPr="00000000" w14:paraId="000000F0">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b w:val="1"/>
          <w:bCs w:val="1"/>
          <w:rtl w:val="0"/>
        </w:rPr>
        <w:t xml:space="preserve">Total Commitments:</w:t>
      </w:r>
      <w:r w:rsidDel="00000000" w:rsidR="00000000" w:rsidRPr="00000000">
        <w:rPr>
          <w:rFonts w:ascii="Gothic A1" w:cs="Gothic A1" w:eastAsia="Gothic A1" w:hAnsi="Gothic A1"/>
          <w:rtl w:val="0"/>
        </w:rPr>
        <w:t xml:space="preserve"> $55.1M</w:t>
        <w:br w:type="textWrapping"/>
      </w:r>
    </w:p>
    <w:p w:rsidR="00000000" w:rsidDel="00000000" w:rsidP="00000000" w:rsidRDefault="00000000" w:rsidRPr="00000000" w14:paraId="000000F1">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b w:val="1"/>
          <w:bCs w:val="1"/>
          <w:rtl w:val="0"/>
        </w:rPr>
        <w:t xml:space="preserve">Funded Commitments (net of recallables):</w:t>
      </w:r>
      <w:r w:rsidDel="00000000" w:rsidR="00000000" w:rsidRPr="00000000">
        <w:rPr>
          <w:rFonts w:ascii="Gothic A1" w:cs="Gothic A1" w:eastAsia="Gothic A1" w:hAnsi="Gothic A1"/>
          <w:rtl w:val="0"/>
        </w:rPr>
        <w:t xml:space="preserve"> $21.1M (38.3%)</w:t>
        <w:br w:type="textWrapping"/>
      </w:r>
    </w:p>
    <w:p w:rsidR="00000000" w:rsidDel="00000000" w:rsidP="00000000" w:rsidRDefault="00000000" w:rsidRPr="00000000" w14:paraId="000000F2">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b w:val="1"/>
          <w:bCs w:val="1"/>
          <w:rtl w:val="0"/>
        </w:rPr>
        <w:t xml:space="preserve">Total Paid-in Capital:</w:t>
      </w:r>
      <w:r w:rsidDel="00000000" w:rsidR="00000000" w:rsidRPr="00000000">
        <w:rPr>
          <w:rFonts w:ascii="Gothic A1" w:cs="Gothic A1" w:eastAsia="Gothic A1" w:hAnsi="Gothic A1"/>
          <w:rtl w:val="0"/>
        </w:rPr>
        <w:t xml:space="preserve"> $21.1M</w:t>
        <w:br w:type="textWrapping"/>
      </w:r>
    </w:p>
    <w:p w:rsidR="00000000" w:rsidDel="00000000" w:rsidP="00000000" w:rsidRDefault="00000000" w:rsidRPr="00000000" w14:paraId="000000F3">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b w:val="1"/>
          <w:bCs w:val="1"/>
          <w:rtl w:val="0"/>
        </w:rPr>
        <w:t xml:space="preserve">Total Distributions:</w:t>
      </w:r>
      <w:r w:rsidDel="00000000" w:rsidR="00000000" w:rsidRPr="00000000">
        <w:rPr>
          <w:rFonts w:ascii="Gothic A1" w:cs="Gothic A1" w:eastAsia="Gothic A1" w:hAnsi="Gothic A1"/>
          <w:rtl w:val="0"/>
        </w:rPr>
        <w:t xml:space="preserve"> $19K (first distribution, effective 1/2/25)</w:t>
        <w:br w:type="textWrapping"/>
      </w:r>
    </w:p>
    <w:p w:rsidR="00000000" w:rsidDel="00000000" w:rsidP="00000000" w:rsidRDefault="00000000" w:rsidRPr="00000000" w14:paraId="000000F4">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b w:val="1"/>
          <w:bCs w:val="1"/>
          <w:rtl w:val="0"/>
        </w:rPr>
        <w:t xml:space="preserve">Average Age of Remaining Portfolio:</w:t>
      </w:r>
      <w:r w:rsidDel="00000000" w:rsidR="00000000" w:rsidRPr="00000000">
        <w:rPr>
          <w:rFonts w:ascii="Gothic A1" w:cs="Gothic A1" w:eastAsia="Gothic A1" w:hAnsi="Gothic A1"/>
          <w:rtl w:val="0"/>
        </w:rPr>
        <w:t xml:space="preserve"> 1.1 years</w:t>
        <w:br w:type="textWrapping"/>
      </w:r>
    </w:p>
    <w:p w:rsidR="00000000" w:rsidDel="00000000" w:rsidP="00000000" w:rsidRDefault="00000000" w:rsidRPr="00000000" w14:paraId="000000F5">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b w:val="1"/>
          <w:bCs w:val="1"/>
          <w:rtl w:val="0"/>
        </w:rPr>
        <w:t xml:space="preserve">Underlying Fund (SLP VII) Net MOIC:</w:t>
      </w:r>
      <w:r w:rsidDel="00000000" w:rsidR="00000000" w:rsidRPr="00000000">
        <w:rPr>
          <w:rFonts w:ascii="Gothic A1" w:cs="Gothic A1" w:eastAsia="Gothic A1" w:hAnsi="Gothic A1"/>
          <w:rtl w:val="0"/>
        </w:rPr>
        <w:t xml:space="preserve"> 1.31x; 34.5% funded</w:t>
        <w:br w:type="textWrapping"/>
      </w:r>
    </w:p>
    <w:p w:rsidR="00000000" w:rsidDel="00000000" w:rsidP="00000000" w:rsidRDefault="00000000" w:rsidRPr="00000000" w14:paraId="000000F6">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b w:val="1"/>
          <w:bCs w:val="1"/>
          <w:rtl w:val="0"/>
        </w:rPr>
        <w:t xml:space="preserve">Number of Investments:</w:t>
      </w:r>
      <w:r w:rsidDel="00000000" w:rsidR="00000000" w:rsidRPr="00000000">
        <w:rPr>
          <w:rFonts w:ascii="Gothic A1" w:cs="Gothic A1" w:eastAsia="Gothic A1" w:hAnsi="Gothic A1"/>
          <w:rtl w:val="0"/>
        </w:rPr>
        <w:t xml:space="preserve"> 8 (all unrealized)</w:t>
        <w:br w:type="textWrapping"/>
      </w:r>
    </w:p>
    <w:p w:rsidR="00000000" w:rsidDel="00000000" w:rsidP="00000000" w:rsidRDefault="00000000" w:rsidRPr="00000000" w14:paraId="000000F7">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b w:val="1"/>
          <w:bCs w:val="1"/>
          <w:rtl w:val="0"/>
        </w:rPr>
        <w:t xml:space="preserve">Public Investments:</w:t>
      </w:r>
      <w:r w:rsidDel="00000000" w:rsidR="00000000" w:rsidRPr="00000000">
        <w:rPr>
          <w:rFonts w:ascii="Gothic A1" w:cs="Gothic A1" w:eastAsia="Gothic A1" w:hAnsi="Gothic A1"/>
          <w:rtl w:val="0"/>
        </w:rPr>
        <w:t xml:space="preserve"> None</w:t>
      </w:r>
    </w:p>
    <w:p w:rsidR="00000000" w:rsidDel="00000000" w:rsidP="00000000" w:rsidRDefault="00000000" w:rsidRPr="00000000" w14:paraId="000000F8">
      <w:pPr>
        <w:numPr>
          <w:ilvl w:val="0"/>
          <w:numId w:val="16"/>
        </w:numPr>
        <w:spacing w:line="240" w:lineRule="auto"/>
        <w:ind w:left="720" w:hanging="360"/>
        <w:rPr>
          <w:rFonts w:ascii="Gothic A1" w:cs="Gothic A1" w:eastAsia="Gothic A1" w:hAnsi="Gothic A1"/>
          <w:u w:val="none"/>
        </w:rPr>
      </w:pPr>
      <w:r w:rsidDel="00000000" w:rsidR="00000000" w:rsidRPr="00000000">
        <w:rPr>
          <w:rtl w:val="0"/>
        </w:rPr>
      </w:r>
    </w:p>
    <w:p w:rsidR="00000000" w:rsidDel="00000000" w:rsidP="00000000" w:rsidRDefault="00000000" w:rsidRPr="00000000" w14:paraId="000000F9">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FA">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0FB">
      <w:pPr>
        <w:numPr>
          <w:ilvl w:val="0"/>
          <w:numId w:val="12"/>
        </w:numPr>
        <w:spacing w:after="0" w:afterAutospacing="0" w:before="24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The fund is in early deployment stages with only 38.3% of capital called to date and limited distributions (0.1% DPI), which is expected for a 2024 vintage</w:t>
        <w:br w:type="textWrapping"/>
      </w:r>
    </w:p>
    <w:p w:rsidR="00000000" w:rsidDel="00000000" w:rsidP="00000000" w:rsidRDefault="00000000" w:rsidRPr="00000000" w14:paraId="000000FC">
      <w:pPr>
        <w:numPr>
          <w:ilvl w:val="0"/>
          <w:numId w:val="12"/>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Fund performance shows solid early value creation, with a Net MOIC of 1.21x and Net IRR of 15.7%, outperforming typical benchmarks at this point in the fund lifecycle</w:t>
        <w:br w:type="textWrapping"/>
      </w:r>
    </w:p>
    <w:p w:rsidR="00000000" w:rsidDel="00000000" w:rsidP="00000000" w:rsidRDefault="00000000" w:rsidRPr="00000000" w14:paraId="000000FD">
      <w:pPr>
        <w:numPr>
          <w:ilvl w:val="0"/>
          <w:numId w:val="12"/>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Investment activity is diversified across a range of industries with a heavy concentration in technology (63%)</w:t>
        <w:br w:type="textWrapping"/>
      </w:r>
    </w:p>
    <w:p w:rsidR="00000000" w:rsidDel="00000000" w:rsidP="00000000" w:rsidRDefault="00000000" w:rsidRPr="00000000" w14:paraId="000000FE">
      <w:pPr>
        <w:numPr>
          <w:ilvl w:val="0"/>
          <w:numId w:val="12"/>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The portfolio is fully unrealized, and investors should expect continued capital deployment and value build-up over the next 12–24 months</w:t>
        <w:br w:type="textWrapping"/>
      </w:r>
    </w:p>
    <w:p w:rsidR="00000000" w:rsidDel="00000000" w:rsidP="00000000" w:rsidRDefault="00000000" w:rsidRPr="00000000" w14:paraId="000000FF">
      <w:pPr>
        <w:numPr>
          <w:ilvl w:val="0"/>
          <w:numId w:val="12"/>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Investments in high-growth tech and infrastructure platforms (e.g., Qualtrics, Vantage Data Centers, Altera) are showing promising early unrealized MOICs</w:t>
        <w:br w:type="textWrapping"/>
      </w:r>
    </w:p>
    <w:p w:rsidR="00000000" w:rsidDel="00000000" w:rsidP="00000000" w:rsidRDefault="00000000" w:rsidRPr="00000000" w14:paraId="00000100">
      <w:pPr>
        <w:numPr>
          <w:ilvl w:val="0"/>
          <w:numId w:val="12"/>
        </w:numPr>
        <w:spacing w:after="24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Top 8 investments represent 100% of current portfolio fair value, concentrated across U.S. and UAE assets</w:t>
        <w:br w:type="textWrapping"/>
      </w:r>
    </w:p>
    <w:p w:rsidR="00000000" w:rsidDel="00000000" w:rsidP="00000000" w:rsidRDefault="00000000" w:rsidRPr="00000000" w14:paraId="00000101">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102">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103">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Qualtrics (29% of portfolio fair value) agreed to acquire Press Ganey Forsta for $6.75B in a strategic deal using internal cash, debt, and equity. This strengthens its position in the AI-powered experience management market. As of 9/30/25, Qualtrics had a MOIC of 1.41x</w:t>
        <w:br w:type="textWrapping"/>
      </w:r>
    </w:p>
    <w:p w:rsidR="00000000" w:rsidDel="00000000" w:rsidP="00000000" w:rsidRDefault="00000000" w:rsidRPr="00000000" w14:paraId="00000104">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Mission Pet Health (19.2% of fair value) and Vantage Data Centers (17.2%) continue to be top holdings. Vantage has received new capital to support 2.3GW hyperscale data center leases; current MOIC stands at 1.51x</w:t>
        <w:br w:type="textWrapping"/>
      </w:r>
    </w:p>
    <w:p w:rsidR="00000000" w:rsidDel="00000000" w:rsidP="00000000" w:rsidRDefault="00000000" w:rsidRPr="00000000" w14:paraId="00000105">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Endeavor Group Holdings (12.1%) benefited from significant media rights renewals for UFC ($7.7B) and WWE ($1.6B), exceeding expectations and unlocking cost synergies post take-private. As of Q3, MOIC was 1.73x</w:t>
        <w:br w:type="textWrapping"/>
      </w:r>
    </w:p>
    <w:p w:rsidR="00000000" w:rsidDel="00000000" w:rsidP="00000000" w:rsidRDefault="00000000" w:rsidRPr="00000000" w14:paraId="00000106">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Altera (11.3%) was acquired in partnership with Intel (Silver Lake took a 51% stake). The deal closed in September 2025; early MOIC is 1.20x</w:t>
        <w:br w:type="textWrapping"/>
      </w:r>
    </w:p>
    <w:p w:rsidR="00000000" w:rsidDel="00000000" w:rsidP="00000000" w:rsidRDefault="00000000" w:rsidRPr="00000000" w14:paraId="00000107">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PowLan (newer, small position) is supporting proprietary powered land for data centers, co-sponsored with Commonwealth AM. MOIC at 1.10x</w:t>
        <w:br w:type="textWrapping"/>
      </w:r>
    </w:p>
    <w:p w:rsidR="00000000" w:rsidDel="00000000" w:rsidP="00000000" w:rsidRDefault="00000000" w:rsidRPr="00000000" w14:paraId="00000108">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The portfolio remains entirely U.S.-centric (95%) with a small UAE allocation (Khazna Data Centers)</w:t>
        <w:br w:type="textWrapping"/>
      </w:r>
    </w:p>
    <w:p w:rsidR="00000000" w:rsidDel="00000000" w:rsidP="00000000" w:rsidRDefault="00000000" w:rsidRPr="00000000" w14:paraId="00000109">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Silver Lake continues to focus on digital infrastructure, enterprise software, and vertical tech platforms, deploying capital methodically across growth opportunities with platform potential</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1"/>
        <w:spacing w:line="240" w:lineRule="auto"/>
        <w:rPr>
          <w:rFonts w:ascii="Gothic A1" w:cs="Gothic A1" w:eastAsia="Gothic A1" w:hAnsi="Gothic A1"/>
        </w:rPr>
      </w:pPr>
      <w:bookmarkStart w:colFirst="0" w:colLast="0" w:name="_2odhilunklef" w:id="14"/>
      <w:bookmarkEnd w:id="14"/>
      <w:r w:rsidDel="00000000" w:rsidR="00000000" w:rsidRPr="00000000">
        <w:rPr>
          <w:rFonts w:ascii="Gothic A1" w:cs="Gothic A1" w:eastAsia="Gothic A1" w:hAnsi="Gothic A1"/>
          <w:u w:val="none"/>
          <w:rtl w:val="0"/>
        </w:rPr>
        <w:t xml:space="preserve">Silver Lake VI Update [ As Expected]</w:t>
      </w:r>
      <w:r w:rsidDel="00000000" w:rsidR="00000000" w:rsidRPr="00000000">
        <w:rPr>
          <w:rtl w:val="0"/>
        </w:rPr>
      </w:r>
    </w:p>
    <w:p w:rsidR="00000000" w:rsidDel="00000000" w:rsidP="00000000" w:rsidRDefault="00000000" w:rsidRPr="00000000" w14:paraId="0000010D">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10E">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10F">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110">
      <w:pPr>
        <w:numPr>
          <w:ilvl w:val="0"/>
          <w:numId w:val="23"/>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111">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112">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Fund </w:t>
      </w:r>
      <w:r w:rsidDel="00000000" w:rsidR="00000000" w:rsidRPr="00000000">
        <w:rPr>
          <w:rFonts w:ascii="Gothic A1" w:cs="Gothic A1" w:eastAsia="Gothic A1" w:hAnsi="Gothic A1"/>
          <w:u w:val="single"/>
          <w:rtl w:val="0"/>
        </w:rPr>
        <w:t xml:space="preserve">Performance</w:t>
      </w:r>
    </w:p>
    <w:p w:rsidR="00000000" w:rsidDel="00000000" w:rsidP="00000000" w:rsidRDefault="00000000" w:rsidRPr="00000000" w14:paraId="00000113">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Fund-level performance as of 9/30/2025:</w:t>
        <w:br w:type="textWrapping"/>
        <w:t xml:space="preserve"> – Net IRR: 7.1%</w:t>
        <w:br w:type="textWrapping"/>
        <w:t xml:space="preserve"> – Net MOIC: 1.22x</w:t>
        <w:br w:type="textWrapping"/>
        <w:t xml:space="preserve"> – Net DPI: 13.1%</w:t>
        <w:br w:type="textWrapping"/>
      </w:r>
    </w:p>
    <w:p w:rsidR="00000000" w:rsidDel="00000000" w:rsidP="00000000" w:rsidRDefault="00000000" w:rsidRPr="00000000" w14:paraId="00000114">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Total commitments: $269.9M; Funded commitments (net of recallables): $236.8M (87.8%)</w:t>
        <w:br w:type="textWrapping"/>
      </w:r>
    </w:p>
    <w:p w:rsidR="00000000" w:rsidDel="00000000" w:rsidP="00000000" w:rsidRDefault="00000000" w:rsidRPr="00000000" w14:paraId="00000115">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NAV: $316.2M as of 9/30/2025</w:t>
        <w:br w:type="textWrapping"/>
      </w:r>
    </w:p>
    <w:p w:rsidR="00000000" w:rsidDel="00000000" w:rsidP="00000000" w:rsidRDefault="00000000" w:rsidRPr="00000000" w14:paraId="00000116">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Distributions to date: $37.8M</w:t>
        <w:br w:type="textWrapping"/>
      </w:r>
    </w:p>
    <w:p w:rsidR="00000000" w:rsidDel="00000000" w:rsidP="00000000" w:rsidRDefault="00000000" w:rsidRPr="00000000" w14:paraId="00000117">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Portfolio includes 57 investments, with 49 remaining, 8 of which are public</w:t>
        <w:br w:type="textWrapping"/>
      </w:r>
    </w:p>
    <w:p w:rsidR="00000000" w:rsidDel="00000000" w:rsidP="00000000" w:rsidRDefault="00000000" w:rsidRPr="00000000" w14:paraId="00000118">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Underlying fund MOIC: 1.29x (Silver Lake Partners VI and Silver Lake Alpine II combined)</w:t>
        <w:br w:type="textWrapping"/>
      </w:r>
    </w:p>
    <w:p w:rsidR="00000000" w:rsidDel="00000000" w:rsidP="00000000" w:rsidRDefault="00000000" w:rsidRPr="00000000" w14:paraId="00000119">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SLP VI individual MOIC: 1.29x (94.2% funded)</w:t>
        <w:br w:type="textWrapping"/>
      </w:r>
    </w:p>
    <w:p w:rsidR="00000000" w:rsidDel="00000000" w:rsidP="00000000" w:rsidRDefault="00000000" w:rsidRPr="00000000" w14:paraId="0000011A">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Average age of remaining portfolio: 3.8 years</w:t>
        <w:br w:type="textWrapping"/>
      </w:r>
    </w:p>
    <w:p w:rsidR="00000000" w:rsidDel="00000000" w:rsidP="00000000" w:rsidRDefault="00000000" w:rsidRPr="00000000" w14:paraId="0000011B">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Most recent capital call (22nd): $4.1M on 9/30/25 (1.5% of committed capital)</w:t>
        <w:br w:type="textWrapping"/>
      </w:r>
    </w:p>
    <w:p w:rsidR="00000000" w:rsidDel="00000000" w:rsidP="00000000" w:rsidRDefault="00000000" w:rsidRPr="00000000" w14:paraId="0000011C">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Most recent distribution (9th): $1.7M on 9/30/25 (0.6% of contributed capital)</w:t>
        <w:br w:type="textWrapping"/>
      </w:r>
    </w:p>
    <w:p w:rsidR="00000000" w:rsidDel="00000000" w:rsidP="00000000" w:rsidRDefault="00000000" w:rsidRPr="00000000" w14:paraId="0000011D">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Top 10 investments comprise 53.6% of total fair value</w:t>
        <w:br w:type="textWrapping"/>
      </w:r>
    </w:p>
    <w:p w:rsidR="00000000" w:rsidDel="00000000" w:rsidP="00000000" w:rsidRDefault="00000000" w:rsidRPr="00000000" w14:paraId="0000011E">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Geographic allocation (by remaining value): 55% U.S., 10% U.K., 7% Italy, 7% UAE, 6% France</w:t>
        <w:br w:type="textWrapping"/>
      </w:r>
    </w:p>
    <w:p w:rsidR="00000000" w:rsidDel="00000000" w:rsidP="00000000" w:rsidRDefault="00000000" w:rsidRPr="00000000" w14:paraId="0000011F">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Sector exposure (by remaining value): 66% Information Technology, 14% Consumer Discretionary, 7% Communications Services, 6% Healthcare, 4% Financials, 3% Industrials</w:t>
      </w:r>
    </w:p>
    <w:p w:rsidR="00000000" w:rsidDel="00000000" w:rsidP="00000000" w:rsidRDefault="00000000" w:rsidRPr="00000000" w14:paraId="00000120">
      <w:pPr>
        <w:spacing w:line="240" w:lineRule="auto"/>
        <w:ind w:left="0" w:firstLine="0"/>
        <w:rPr>
          <w:rFonts w:ascii="Gothic A1" w:cs="Gothic A1" w:eastAsia="Gothic A1" w:hAnsi="Gothic A1"/>
        </w:rPr>
      </w:pPr>
      <w:r w:rsidDel="00000000" w:rsidR="00000000" w:rsidRPr="00000000">
        <w:rPr>
          <w:rtl w:val="0"/>
        </w:rPr>
      </w:r>
    </w:p>
    <w:p w:rsidR="00000000" w:rsidDel="00000000" w:rsidP="00000000" w:rsidRDefault="00000000" w:rsidRPr="00000000" w14:paraId="00000121">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122">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123">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Fund continues to demonstrate moderate growth with a net IRR of 7.1% and net MOIC of 1.22x, consistent with prior quarters and in line with a maturing growth equity portfolio</w:t>
      </w:r>
    </w:p>
    <w:p w:rsidR="00000000" w:rsidDel="00000000" w:rsidP="00000000" w:rsidRDefault="00000000" w:rsidRPr="00000000" w14:paraId="00000124">
      <w:pPr>
        <w:numPr>
          <w:ilvl w:val="0"/>
          <w:numId w:val="12"/>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Distributions remain modest at 13.1% DPI, signaling the majority of returns are unrealized and the portfolio is still in value-building mode</w:t>
      </w:r>
    </w:p>
    <w:p w:rsidR="00000000" w:rsidDel="00000000" w:rsidP="00000000" w:rsidRDefault="00000000" w:rsidRPr="00000000" w14:paraId="00000125">
      <w:pPr>
        <w:numPr>
          <w:ilvl w:val="0"/>
          <w:numId w:val="12"/>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Strong unrealized performance in select positions: Clubessential (2.32x MOIC), Shadowbox/Powlan (1.62x), Vantage Data Centers (1.51x), and Qualtrics (1.24x), highlighting embedded value in portfolio.</w:t>
      </w:r>
    </w:p>
    <w:p w:rsidR="00000000" w:rsidDel="00000000" w:rsidP="00000000" w:rsidRDefault="00000000" w:rsidRPr="00000000" w14:paraId="00000126">
      <w:pPr>
        <w:numPr>
          <w:ilvl w:val="0"/>
          <w:numId w:val="12"/>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Portfolio composition remains heavily weighted to IT (66%), with a global footprint primarily centered in the U.S. but diversified across EMEA as well.</w:t>
      </w:r>
    </w:p>
    <w:p w:rsidR="00000000" w:rsidDel="00000000" w:rsidP="00000000" w:rsidRDefault="00000000" w:rsidRPr="00000000" w14:paraId="00000127">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128">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129">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Clari merger with Salesloft (Q4 2025 close) created a 50/50 combined entity; Silver Lake to receive ~$13M dividend from pre-merger Clari cash—Clari’s MOIC at 0.81x as of Q3</w:t>
        <w:br w:type="textWrapping"/>
      </w:r>
    </w:p>
    <w:p w:rsidR="00000000" w:rsidDel="00000000" w:rsidP="00000000" w:rsidRDefault="00000000" w:rsidRPr="00000000" w14:paraId="0000012A">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Klarna IPO (NYSE) – Silver Lake sold 15% of its position for $91M proceeds, slightly above cost basis ($38.30/share vs. $37.75/share); MOIC of 0.98x as of Q3</w:t>
        <w:br w:type="textWrapping"/>
      </w:r>
    </w:p>
    <w:p w:rsidR="00000000" w:rsidDel="00000000" w:rsidP="00000000" w:rsidRDefault="00000000" w:rsidRPr="00000000" w14:paraId="0000012B">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Qualtrics acquisition of Press Ganey Forsta ($6.75B TEV) with no new equity required—position well-positioned in the AI/experience analytics space; MOIC at 1.24x</w:t>
        <w:br w:type="textWrapping"/>
      </w:r>
    </w:p>
    <w:p w:rsidR="00000000" w:rsidDel="00000000" w:rsidP="00000000" w:rsidRDefault="00000000" w:rsidRPr="00000000" w14:paraId="0000012C">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Shadowbox Studios / Powlan – $12M incremental funding brings total to $21M; MOIC at 1.62x; plays in film infrastructure and hyperscale data support sectors</w:t>
        <w:br w:type="textWrapping"/>
      </w:r>
    </w:p>
    <w:p w:rsidR="00000000" w:rsidDel="00000000" w:rsidP="00000000" w:rsidRDefault="00000000" w:rsidRPr="00000000" w14:paraId="0000012D">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Vantage Data Centers – Additional $602M committed, with $364M funded as of Q3; MOIC of 1.51x; Silver Lake retains substantial upside via unfunded commitments</w:t>
        <w:br w:type="textWrapping"/>
      </w:r>
    </w:p>
    <w:p w:rsidR="00000000" w:rsidDel="00000000" w:rsidP="00000000" w:rsidRDefault="00000000" w:rsidRPr="00000000" w14:paraId="0000012E">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Clubessential pending sale to Xplor Technologies – Monetization of ~60% stake in cash, 40% roll into new entity; deal values company at $3.25B; MOIC at 2.32x</w:t>
        <w:br w:type="textWrapping"/>
      </w:r>
    </w:p>
    <w:p w:rsidR="00000000" w:rsidDel="00000000" w:rsidP="00000000" w:rsidRDefault="00000000" w:rsidRPr="00000000" w14:paraId="0000012F">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Overall activity reflects a gradual shift toward realization, with partial exits and M&amp;A providing signs of maturing investments and potential DPI acceleration in future quarters</w:t>
        <w:br w:type="textWrapping"/>
      </w:r>
    </w:p>
    <w:p w:rsidR="00000000" w:rsidDel="00000000" w:rsidP="00000000" w:rsidRDefault="00000000" w:rsidRPr="00000000" w14:paraId="00000130">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Fund remains aligned with strategy to back high-growth, tech-enabled platforms across vertical software, fintech, infrastructure, and healthcare tech</w:t>
      </w:r>
      <w:r w:rsidDel="00000000" w:rsidR="00000000" w:rsidRPr="00000000">
        <w:rPr>
          <w:rtl w:val="0"/>
        </w:rPr>
      </w:r>
    </w:p>
    <w:p w:rsidR="00000000" w:rsidDel="00000000" w:rsidP="00000000" w:rsidRDefault="00000000" w:rsidRPr="00000000" w14:paraId="00000131">
      <w:pPr>
        <w:pStyle w:val="Heading1"/>
        <w:spacing w:line="240" w:lineRule="auto"/>
        <w:rPr>
          <w:rFonts w:ascii="Gothic A1" w:cs="Gothic A1" w:eastAsia="Gothic A1" w:hAnsi="Gothic A1"/>
          <w:u w:val="none"/>
        </w:rPr>
      </w:pPr>
      <w:bookmarkStart w:colFirst="0" w:colLast="0" w:name="_fhgnc5xalot1" w:id="15"/>
      <w:bookmarkEnd w:id="15"/>
      <w:r w:rsidDel="00000000" w:rsidR="00000000" w:rsidRPr="00000000">
        <w:rPr>
          <w:rtl w:val="0"/>
        </w:rPr>
      </w:r>
    </w:p>
    <w:p w:rsidR="00000000" w:rsidDel="00000000" w:rsidP="00000000" w:rsidRDefault="00000000" w:rsidRPr="00000000" w14:paraId="00000132">
      <w:pPr>
        <w:pStyle w:val="Heading1"/>
        <w:spacing w:line="240" w:lineRule="auto"/>
        <w:rPr>
          <w:rFonts w:ascii="Gothic A1" w:cs="Gothic A1" w:eastAsia="Gothic A1" w:hAnsi="Gothic A1"/>
          <w:u w:val="none"/>
        </w:rPr>
      </w:pPr>
      <w:bookmarkStart w:colFirst="0" w:colLast="0" w:name="_d91bvet8punm" w:id="16"/>
      <w:bookmarkEnd w:id="16"/>
      <w:r w:rsidDel="00000000" w:rsidR="00000000" w:rsidRPr="00000000">
        <w:rPr>
          <w:rtl w:val="0"/>
        </w:rPr>
      </w:r>
    </w:p>
    <w:p w:rsidR="00000000" w:rsidDel="00000000" w:rsidP="00000000" w:rsidRDefault="00000000" w:rsidRPr="00000000" w14:paraId="00000133">
      <w:pPr>
        <w:pStyle w:val="Heading1"/>
        <w:spacing w:line="240" w:lineRule="auto"/>
        <w:rPr>
          <w:rFonts w:ascii="Gothic A1" w:cs="Gothic A1" w:eastAsia="Gothic A1" w:hAnsi="Gothic A1"/>
        </w:rPr>
      </w:pPr>
      <w:bookmarkStart w:colFirst="0" w:colLast="0" w:name="_fkljtllweghp" w:id="17"/>
      <w:bookmarkEnd w:id="17"/>
      <w:r w:rsidDel="00000000" w:rsidR="00000000" w:rsidRPr="00000000">
        <w:rPr>
          <w:rFonts w:ascii="Gothic A1" w:cs="Gothic A1" w:eastAsia="Gothic A1" w:hAnsi="Gothic A1"/>
          <w:u w:val="none"/>
          <w:rtl w:val="0"/>
        </w:rPr>
        <w:t xml:space="preserve">Savlan Exchange South Update [Underperforming]</w:t>
      </w:r>
      <w:r w:rsidDel="00000000" w:rsidR="00000000" w:rsidRPr="00000000">
        <w:rPr>
          <w:rtl w:val="0"/>
        </w:rPr>
      </w:r>
    </w:p>
    <w:p w:rsidR="00000000" w:rsidDel="00000000" w:rsidP="00000000" w:rsidRDefault="00000000" w:rsidRPr="00000000" w14:paraId="00000134">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135">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136">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137">
      <w:pPr>
        <w:numPr>
          <w:ilvl w:val="0"/>
          <w:numId w:val="23"/>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138">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139">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Company </w:t>
      </w:r>
      <w:r w:rsidDel="00000000" w:rsidR="00000000" w:rsidRPr="00000000">
        <w:rPr>
          <w:rFonts w:ascii="Gothic A1" w:cs="Gothic A1" w:eastAsia="Gothic A1" w:hAnsi="Gothic A1"/>
          <w:u w:val="single"/>
          <w:rtl w:val="0"/>
        </w:rPr>
        <w:t xml:space="preserve">Performance</w:t>
      </w:r>
    </w:p>
    <w:p w:rsidR="00000000" w:rsidDel="00000000" w:rsidP="00000000" w:rsidRDefault="00000000" w:rsidRPr="00000000" w14:paraId="0000013A">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As of November 30, 2025, Savlan Exchange South is 69.69% occupied, reflecting continued lease-up progress but still below stabilized levels.</w:t>
      </w:r>
    </w:p>
    <w:p w:rsidR="00000000" w:rsidDel="00000000" w:rsidP="00000000" w:rsidRDefault="00000000" w:rsidRPr="00000000" w14:paraId="0000013B">
      <w:pPr>
        <w:numPr>
          <w:ilvl w:val="0"/>
          <w:numId w:val="16"/>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November operating income totaled $213,270 on a cash basis, with operating expenses of $46,628, resulting in Net Operating Income (NOI) of $166,642 for the month.</w:t>
      </w:r>
    </w:p>
    <w:p w:rsidR="00000000" w:rsidDel="00000000" w:rsidP="00000000" w:rsidRDefault="00000000" w:rsidRPr="00000000" w14:paraId="0000013C">
      <w:pPr>
        <w:numPr>
          <w:ilvl w:val="0"/>
          <w:numId w:val="16"/>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Net income after debt service was $82,716, indicating solid debt coverage despite sub-70% occupancy.</w:t>
      </w:r>
      <w:r w:rsidDel="00000000" w:rsidR="00000000" w:rsidRPr="00000000">
        <w:rPr>
          <w:rtl w:val="0"/>
        </w:rPr>
      </w:r>
    </w:p>
    <w:p w:rsidR="00000000" w:rsidDel="00000000" w:rsidP="00000000" w:rsidRDefault="00000000" w:rsidRPr="00000000" w14:paraId="0000013D">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13E">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13F">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The property is generating meaningful NOI and positive cash flow after debt service even while under-occupied, highlighting the strength of the rent roll and expense control.</w:t>
      </w:r>
    </w:p>
    <w:p w:rsidR="00000000" w:rsidDel="00000000" w:rsidP="00000000" w:rsidRDefault="00000000" w:rsidRPr="00000000" w14:paraId="00000140">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Income performance is in line with expectations, with modest rent increases realized during the month from existing tenants.</w:t>
      </w:r>
    </w:p>
    <w:p w:rsidR="00000000" w:rsidDel="00000000" w:rsidP="00000000" w:rsidRDefault="00000000" w:rsidRPr="00000000" w14:paraId="00000141">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Cash management remains in place, limiting near-term distributions but preserving liquidity during the lease-up phase.</w:t>
      </w:r>
    </w:p>
    <w:p w:rsidR="00000000" w:rsidDel="00000000" w:rsidP="00000000" w:rsidRDefault="00000000" w:rsidRPr="00000000" w14:paraId="00000142">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Several one-time or timing-related expenses and misbooked items impacted reported expenses but are expected to normalize or be reimbursed in December.</w:t>
      </w:r>
    </w:p>
    <w:p w:rsidR="00000000" w:rsidDel="00000000" w:rsidP="00000000" w:rsidRDefault="00000000" w:rsidRPr="00000000" w14:paraId="00000143">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144">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145">
      <w:pPr>
        <w:numPr>
          <w:ilvl w:val="0"/>
          <w:numId w:val="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Nothing material</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1"/>
        <w:spacing w:line="240" w:lineRule="auto"/>
        <w:rPr>
          <w:rFonts w:ascii="Gothic A1" w:cs="Gothic A1" w:eastAsia="Gothic A1" w:hAnsi="Gothic A1"/>
        </w:rPr>
      </w:pPr>
      <w:bookmarkStart w:colFirst="0" w:colLast="0" w:name="_sc94iemonuh3" w:id="18"/>
      <w:bookmarkEnd w:id="18"/>
      <w:r w:rsidDel="00000000" w:rsidR="00000000" w:rsidRPr="00000000">
        <w:rPr>
          <w:rFonts w:ascii="Gothic A1" w:cs="Gothic A1" w:eastAsia="Gothic A1" w:hAnsi="Gothic A1"/>
          <w:u w:val="none"/>
          <w:rtl w:val="0"/>
        </w:rPr>
        <w:t xml:space="preserve">Satori Alpha Update [ As Expected]</w:t>
      </w:r>
      <w:r w:rsidDel="00000000" w:rsidR="00000000" w:rsidRPr="00000000">
        <w:rPr>
          <w:rtl w:val="0"/>
        </w:rPr>
      </w:r>
    </w:p>
    <w:p w:rsidR="00000000" w:rsidDel="00000000" w:rsidP="00000000" w:rsidRDefault="00000000" w:rsidRPr="00000000" w14:paraId="00000149">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14A">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14B">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14C">
      <w:pPr>
        <w:numPr>
          <w:ilvl w:val="0"/>
          <w:numId w:val="23"/>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14D">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14E">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Fund </w:t>
      </w:r>
      <w:r w:rsidDel="00000000" w:rsidR="00000000" w:rsidRPr="00000000">
        <w:rPr>
          <w:rFonts w:ascii="Gothic A1" w:cs="Gothic A1" w:eastAsia="Gothic A1" w:hAnsi="Gothic A1"/>
          <w:u w:val="single"/>
          <w:rtl w:val="0"/>
        </w:rPr>
        <w:t xml:space="preserve">Performance</w:t>
      </w:r>
    </w:p>
    <w:p w:rsidR="00000000" w:rsidDel="00000000" w:rsidP="00000000" w:rsidRDefault="00000000" w:rsidRPr="00000000" w14:paraId="0000014F">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 Fund-level Net IRR, Net MOIC, and Net DPI are not provided in the November 2025 update, as Satori Alpha II combines liquid and illiquid strategies and does not calculate an aggregate fund-level performance metric across both.</w:t>
      </w:r>
    </w:p>
    <w:p w:rsidR="00000000" w:rsidDel="00000000" w:rsidP="00000000" w:rsidRDefault="00000000" w:rsidRPr="00000000" w14:paraId="00000150">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Liquid investments within Satori Alpha portfolios showed generally strong performance through November 30, 2025, with several core managers delivering double-digit YTD and ITD annualized returns net of underlying fees and Satori Alpha’s hypothetical fund-level fees.</w:t>
      </w:r>
      <w:r w:rsidDel="00000000" w:rsidR="00000000" w:rsidRPr="00000000">
        <w:rPr>
          <w:rtl w:val="0"/>
        </w:rPr>
      </w:r>
    </w:p>
    <w:p w:rsidR="00000000" w:rsidDel="00000000" w:rsidP="00000000" w:rsidRDefault="00000000" w:rsidRPr="00000000" w14:paraId="00000151">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152">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153">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The portfolio continues to benefit from strong manager selection across liquid equity and credit strategies, with notable contributions from RA Capital, Pershing Square, Pavise, and Regan Credit platforms.</w:t>
      </w:r>
    </w:p>
    <w:p w:rsidR="00000000" w:rsidDel="00000000" w:rsidP="00000000" w:rsidRDefault="00000000" w:rsidRPr="00000000" w14:paraId="00000154">
      <w:pPr>
        <w:spacing w:line="240" w:lineRule="auto"/>
        <w:ind w:left="720" w:firstLine="0"/>
        <w:rPr>
          <w:rFonts w:ascii="Gothic A1" w:cs="Gothic A1" w:eastAsia="Gothic A1" w:hAnsi="Gothic A1"/>
        </w:rPr>
      </w:pPr>
      <w:r w:rsidDel="00000000" w:rsidR="00000000" w:rsidRPr="00000000">
        <w:rPr>
          <w:rtl w:val="0"/>
        </w:rPr>
      </w:r>
    </w:p>
    <w:p w:rsidR="00000000" w:rsidDel="00000000" w:rsidP="00000000" w:rsidRDefault="00000000" w:rsidRPr="00000000" w14:paraId="00000155">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156">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X-Energy, a core private holding, completed a significant up-round at a $5 billion pre-money valuation (up from $1.1 billion), advanced regulatory approvals, broke ground on the first advanced nuclear fuel facility in the U.S., and secured large-scale global partnerships alongside Amazon and international investors.</w:t>
      </w:r>
    </w:p>
    <w:p w:rsidR="00000000" w:rsidDel="00000000" w:rsidP="00000000" w:rsidRDefault="00000000" w:rsidRPr="00000000" w14:paraId="00000157">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Bounty Minerals continues to demonstrate strong operating momentum, reporting $30.2 million of Q3 revenue and $25.2 million of EBITDA, with year-to-date EBITDA up 97% year-over-year, supported by LNG exports and longer-term AI-driven power demand.</w:t>
      </w:r>
    </w:p>
    <w:p w:rsidR="00000000" w:rsidDel="00000000" w:rsidP="00000000" w:rsidRDefault="00000000" w:rsidRPr="00000000" w14:paraId="00000158">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Crescent / GPIF reported mixed hospitality performance with select assets marked down to zero, but remains optimistic about realizations over the next 12–18 months and sees potential demand tailwinds from the 2026 FIFA World Cup.</w:t>
      </w:r>
    </w:p>
    <w:p w:rsidR="00000000" w:rsidDel="00000000" w:rsidP="00000000" w:rsidRDefault="00000000" w:rsidRPr="00000000" w14:paraId="00000159">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Satori plans to expand the platform with new commitments, including Zelda Ventures II and Glade Brook Strategic Growth V, reinforcing continued access to high-quality venture and growth equity opportunities as AI reshapes global industries</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1"/>
        <w:spacing w:line="240" w:lineRule="auto"/>
        <w:rPr>
          <w:rFonts w:ascii="Gothic A1" w:cs="Gothic A1" w:eastAsia="Gothic A1" w:hAnsi="Gothic A1"/>
        </w:rPr>
      </w:pPr>
      <w:bookmarkStart w:colFirst="0" w:colLast="0" w:name="_3x99pw64rk1i" w:id="19"/>
      <w:bookmarkEnd w:id="19"/>
      <w:r w:rsidDel="00000000" w:rsidR="00000000" w:rsidRPr="00000000">
        <w:rPr>
          <w:rFonts w:ascii="Gothic A1" w:cs="Gothic A1" w:eastAsia="Gothic A1" w:hAnsi="Gothic A1"/>
          <w:u w:val="none"/>
          <w:rtl w:val="0"/>
        </w:rPr>
        <w:t xml:space="preserve">Neurable Update [As Expected]</w:t>
      </w:r>
      <w:r w:rsidDel="00000000" w:rsidR="00000000" w:rsidRPr="00000000">
        <w:rPr>
          <w:rtl w:val="0"/>
        </w:rPr>
      </w:r>
    </w:p>
    <w:p w:rsidR="00000000" w:rsidDel="00000000" w:rsidP="00000000" w:rsidRDefault="00000000" w:rsidRPr="00000000" w14:paraId="0000015D">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15E">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15F">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160">
      <w:pPr>
        <w:numPr>
          <w:ilvl w:val="0"/>
          <w:numId w:val="23"/>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161">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162">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Company</w:t>
      </w:r>
      <w:r w:rsidDel="00000000" w:rsidR="00000000" w:rsidRPr="00000000">
        <w:rPr>
          <w:rFonts w:ascii="Gothic A1" w:cs="Gothic A1" w:eastAsia="Gothic A1" w:hAnsi="Gothic A1"/>
          <w:u w:val="single"/>
          <w:rtl w:val="0"/>
        </w:rPr>
        <w:t xml:space="preserve"> Performance</w:t>
      </w:r>
    </w:p>
    <w:p w:rsidR="00000000" w:rsidDel="00000000" w:rsidP="00000000" w:rsidRDefault="00000000" w:rsidRPr="00000000" w14:paraId="00000163">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MW75 Neuro LT manufacturing delays will push customer shipments into 2026, creating near-term revenue timing impact but not cancellation-driven demand loss, as customer sentiment has remained largely positive.</w:t>
      </w:r>
    </w:p>
    <w:p w:rsidR="00000000" w:rsidDel="00000000" w:rsidP="00000000" w:rsidRDefault="00000000" w:rsidRPr="00000000" w14:paraId="00000164">
      <w:pPr>
        <w:numPr>
          <w:ilvl w:val="0"/>
          <w:numId w:val="16"/>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On the other hand, Neurable’s partnership with HP is thriving, and the launch of the HP/HyperX product at CES was met with an amazing response. </w:t>
      </w:r>
    </w:p>
    <w:p w:rsidR="00000000" w:rsidDel="00000000" w:rsidP="00000000" w:rsidRDefault="00000000" w:rsidRPr="00000000" w14:paraId="00000165">
      <w:pPr>
        <w:numPr>
          <w:ilvl w:val="0"/>
          <w:numId w:val="16"/>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On the pipeline growth front, final-stage negotiations with the largest longevity clinic in the U.S. represent a meaningful potential commercial partnership and reinforce Neurable’s strategic positioning at the intersection of neuroscience, wellness, and preventative health.</w:t>
      </w:r>
      <w:r w:rsidDel="00000000" w:rsidR="00000000" w:rsidRPr="00000000">
        <w:rPr>
          <w:rtl w:val="0"/>
        </w:rPr>
      </w:r>
    </w:p>
    <w:p w:rsidR="00000000" w:rsidDel="00000000" w:rsidP="00000000" w:rsidRDefault="00000000" w:rsidRPr="00000000" w14:paraId="00000166">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167">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168">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Manufacturing setbacks are being actively addressed through deeper operational intervention, including hiring Manny Camarena (ex-Beats) to resolve issues on the ground in China and evaluating bringing additional manufacturing oversight in-house to reduce execution risk.</w:t>
      </w:r>
    </w:p>
    <w:p w:rsidR="00000000" w:rsidDel="00000000" w:rsidP="00000000" w:rsidRDefault="00000000" w:rsidRPr="00000000" w14:paraId="00000169">
      <w:pPr>
        <w:numPr>
          <w:ilvl w:val="0"/>
          <w:numId w:val="12"/>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Demand signal remains strong despite delays, with customers expressing willingness to wait, suggesting product differentiation and brand credibility remain intact.</w:t>
      </w:r>
    </w:p>
    <w:p w:rsidR="00000000" w:rsidDel="00000000" w:rsidP="00000000" w:rsidRDefault="00000000" w:rsidRPr="00000000" w14:paraId="0000016A">
      <w:pPr>
        <w:numPr>
          <w:ilvl w:val="0"/>
          <w:numId w:val="12"/>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The recent CES 2026 HP/HyperX announcement represents a major validation of Neurable’s OEM strategy and significantly enhances credibility, distribution potential, and long-term scalability within mainstream gaming and audio markets.</w:t>
      </w:r>
    </w:p>
    <w:p w:rsidR="00000000" w:rsidDel="00000000" w:rsidP="00000000" w:rsidRDefault="00000000" w:rsidRPr="00000000" w14:paraId="0000016B">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16C">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16D">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Strategic focus is expanding beyond hardware into ecosystem building, with community initiatives (Brain Health Summit with IDEO and 1080 Ventures, and the newly launched Brain Health Webinar series) already generating tangible B2B and OEM pipeline activity.</w:t>
      </w:r>
    </w:p>
    <w:p w:rsidR="00000000" w:rsidDel="00000000" w:rsidP="00000000" w:rsidRDefault="00000000" w:rsidRPr="00000000" w14:paraId="0000016E">
      <w:pPr>
        <w:numPr>
          <w:ilvl w:val="0"/>
          <w:numId w:val="17"/>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Management views manufacturing challenges as temporary execution issues, while community engagement, strategic partnerships, and OEM momentum are foundational drivers of long-term growth and market adoption. </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1"/>
        <w:spacing w:line="240" w:lineRule="auto"/>
        <w:rPr>
          <w:rFonts w:ascii="Gothic A1" w:cs="Gothic A1" w:eastAsia="Gothic A1" w:hAnsi="Gothic A1"/>
        </w:rPr>
      </w:pPr>
      <w:bookmarkStart w:colFirst="0" w:colLast="0" w:name="_76irxl2rch5a" w:id="20"/>
      <w:bookmarkEnd w:id="20"/>
      <w:r w:rsidDel="00000000" w:rsidR="00000000" w:rsidRPr="00000000">
        <w:rPr>
          <w:rFonts w:ascii="Gothic A1" w:cs="Gothic A1" w:eastAsia="Gothic A1" w:hAnsi="Gothic A1"/>
          <w:u w:val="none"/>
          <w:rtl w:val="0"/>
        </w:rPr>
        <w:t xml:space="preserve">Revolving Games Update [Underperforming]</w:t>
      </w:r>
      <w:r w:rsidDel="00000000" w:rsidR="00000000" w:rsidRPr="00000000">
        <w:rPr>
          <w:rtl w:val="0"/>
        </w:rPr>
      </w:r>
    </w:p>
    <w:p w:rsidR="00000000" w:rsidDel="00000000" w:rsidP="00000000" w:rsidRDefault="00000000" w:rsidRPr="00000000" w14:paraId="00000173">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174">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175">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176">
      <w:pPr>
        <w:numPr>
          <w:ilvl w:val="0"/>
          <w:numId w:val="23"/>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177">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178">
      <w:pPr>
        <w:spacing w:line="240" w:lineRule="auto"/>
        <w:rPr>
          <w:rFonts w:ascii="Gothic A1" w:cs="Gothic A1" w:eastAsia="Gothic A1" w:hAnsi="Gothic A1"/>
          <w:u w:val="single"/>
        </w:rPr>
      </w:pPr>
      <w:commentRangeStart w:id="6"/>
      <w:r w:rsidDel="00000000" w:rsidR="00000000" w:rsidRPr="00000000">
        <w:rPr>
          <w:rFonts w:ascii="Gothic A1" w:cs="Gothic A1" w:eastAsia="Gothic A1" w:hAnsi="Gothic A1"/>
          <w:highlight w:val="yellow"/>
          <w:u w:val="single"/>
          <w:rtl w:val="0"/>
        </w:rPr>
        <w:t xml:space="preserve">Fund / Company</w:t>
      </w:r>
      <w:commentRangeEnd w:id="6"/>
      <w:r w:rsidDel="00000000" w:rsidR="00000000" w:rsidRPr="00000000">
        <w:commentReference w:id="6"/>
      </w:r>
      <w:r w:rsidDel="00000000" w:rsidR="00000000" w:rsidRPr="00000000">
        <w:rPr>
          <w:rFonts w:ascii="Gothic A1" w:cs="Gothic A1" w:eastAsia="Gothic A1" w:hAnsi="Gothic A1"/>
          <w:u w:val="single"/>
          <w:rtl w:val="0"/>
        </w:rPr>
        <w:t xml:space="preserve"> Performance</w:t>
      </w:r>
    </w:p>
    <w:p w:rsidR="00000000" w:rsidDel="00000000" w:rsidP="00000000" w:rsidRDefault="00000000" w:rsidRPr="00000000" w14:paraId="00000179">
      <w:p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Monthly revenue from Web2 operations (primarily </w:t>
      </w:r>
      <w:r w:rsidDel="00000000" w:rsidR="00000000" w:rsidRPr="00000000">
        <w:rPr>
          <w:rFonts w:ascii="Gothic A1" w:cs="Gothic A1" w:eastAsia="Gothic A1" w:hAnsi="Gothic A1"/>
          <w:rtl w:val="0"/>
        </w:rPr>
        <w:t xml:space="preserve">War of Nova</w:t>
      </w:r>
      <w:r w:rsidDel="00000000" w:rsidR="00000000" w:rsidRPr="00000000">
        <w:rPr>
          <w:rFonts w:ascii="Gothic A1" w:cs="Gothic A1" w:eastAsia="Gothic A1" w:hAnsi="Gothic A1"/>
          <w:rtl w:val="0"/>
        </w:rPr>
        <w:t xml:space="preserve">):</w:t>
        <w:br w:type="textWrapping"/>
      </w:r>
    </w:p>
    <w:p w:rsidR="00000000" w:rsidDel="00000000" w:rsidP="00000000" w:rsidRDefault="00000000" w:rsidRPr="00000000" w14:paraId="0000017A">
      <w:pPr>
        <w:numPr>
          <w:ilvl w:val="0"/>
          <w:numId w:val="15"/>
        </w:numPr>
        <w:spacing w:after="0" w:afterAutospacing="0" w:before="24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September: $29K</w:t>
      </w:r>
    </w:p>
    <w:p w:rsidR="00000000" w:rsidDel="00000000" w:rsidP="00000000" w:rsidRDefault="00000000" w:rsidRPr="00000000" w14:paraId="0000017B">
      <w:pPr>
        <w:numPr>
          <w:ilvl w:val="0"/>
          <w:numId w:val="15"/>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October: $98K</w:t>
      </w:r>
    </w:p>
    <w:p w:rsidR="00000000" w:rsidDel="00000000" w:rsidP="00000000" w:rsidRDefault="00000000" w:rsidRPr="00000000" w14:paraId="0000017C">
      <w:pPr>
        <w:numPr>
          <w:ilvl w:val="0"/>
          <w:numId w:val="15"/>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November: $120K</w:t>
      </w:r>
    </w:p>
    <w:p w:rsidR="00000000" w:rsidDel="00000000" w:rsidP="00000000" w:rsidRDefault="00000000" w:rsidRPr="00000000" w14:paraId="0000017D">
      <w:pPr>
        <w:numPr>
          <w:ilvl w:val="0"/>
          <w:numId w:val="15"/>
        </w:numPr>
        <w:spacing w:after="24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December (ongoing): $77K (with a holiday bump from live-ops offers)</w:t>
      </w:r>
    </w:p>
    <w:p w:rsidR="00000000" w:rsidDel="00000000" w:rsidP="00000000" w:rsidRDefault="00000000" w:rsidRPr="00000000" w14:paraId="0000017E">
      <w:pPr>
        <w:spacing w:line="240" w:lineRule="auto"/>
        <w:ind w:left="720" w:hanging="360"/>
        <w:rPr>
          <w:rFonts w:ascii="Gothic A1" w:cs="Gothic A1" w:eastAsia="Gothic A1" w:hAnsi="Gothic A1"/>
          <w:b w:val="1"/>
          <w:bCs w:val="1"/>
        </w:rPr>
      </w:pPr>
      <w:r w:rsidDel="00000000" w:rsidR="00000000" w:rsidRPr="00000000">
        <w:rPr>
          <w:rFonts w:ascii="Gothic A1" w:cs="Gothic A1" w:eastAsia="Gothic A1" w:hAnsi="Gothic A1"/>
          <w:b w:val="1"/>
          <w:bCs w:val="1"/>
          <w:rtl w:val="0"/>
        </w:rPr>
        <w:t xml:space="preserve">Cash burn:</w:t>
      </w:r>
    </w:p>
    <w:p w:rsidR="00000000" w:rsidDel="00000000" w:rsidP="00000000" w:rsidRDefault="00000000" w:rsidRPr="00000000" w14:paraId="0000017F">
      <w:pPr>
        <w:numPr>
          <w:ilvl w:val="0"/>
          <w:numId w:val="4"/>
        </w:numPr>
        <w:spacing w:after="0" w:afterAutospacing="0" w:before="24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Apparent burn: ~$100K/month</w:t>
      </w:r>
    </w:p>
    <w:p w:rsidR="00000000" w:rsidDel="00000000" w:rsidP="00000000" w:rsidRDefault="00000000" w:rsidRPr="00000000" w14:paraId="00000180">
      <w:pPr>
        <w:numPr>
          <w:ilvl w:val="0"/>
          <w:numId w:val="4"/>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True underlying burn (incl. deferred vendor payments + bridge payroll): ~$200K/month</w:t>
      </w:r>
    </w:p>
    <w:p w:rsidR="00000000" w:rsidDel="00000000" w:rsidP="00000000" w:rsidRDefault="00000000" w:rsidRPr="00000000" w14:paraId="00000181">
      <w:pPr>
        <w:numPr>
          <w:ilvl w:val="0"/>
          <w:numId w:val="4"/>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Pending obligations total ~$1M</w:t>
      </w:r>
    </w:p>
    <w:p w:rsidR="00000000" w:rsidDel="00000000" w:rsidP="00000000" w:rsidRDefault="00000000" w:rsidRPr="00000000" w14:paraId="00000182">
      <w:pPr>
        <w:numPr>
          <w:ilvl w:val="0"/>
          <w:numId w:val="4"/>
        </w:numPr>
        <w:spacing w:after="24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No new equity capital raised; company continues to operate leanly with a team of ~45 people, most based in Pakistan after downsizing.</w:t>
      </w:r>
      <w:r w:rsidDel="00000000" w:rsidR="00000000" w:rsidRPr="00000000">
        <w:rPr>
          <w:rtl w:val="0"/>
        </w:rPr>
      </w:r>
    </w:p>
    <w:p w:rsidR="00000000" w:rsidDel="00000000" w:rsidP="00000000" w:rsidRDefault="00000000" w:rsidRPr="00000000" w14:paraId="00000183">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rtl w:val="0"/>
        </w:rPr>
        <w:t xml:space="preserve">Revenue is trending up from September lows, aided by stronger monetization from </w:t>
      </w:r>
      <w:r w:rsidDel="00000000" w:rsidR="00000000" w:rsidRPr="00000000">
        <w:rPr>
          <w:rFonts w:ascii="Gothic A1" w:cs="Gothic A1" w:eastAsia="Gothic A1" w:hAnsi="Gothic A1"/>
          <w:rtl w:val="0"/>
        </w:rPr>
        <w:t xml:space="preserve">War of Nova</w:t>
      </w:r>
      <w:r w:rsidDel="00000000" w:rsidR="00000000" w:rsidRPr="00000000">
        <w:rPr>
          <w:rFonts w:ascii="Gothic A1" w:cs="Gothic A1" w:eastAsia="Gothic A1" w:hAnsi="Gothic A1"/>
          <w:rtl w:val="0"/>
        </w:rPr>
        <w:t xml:space="preserve"> and improvements in Web2 revenue strategy.</w:t>
      </w:r>
    </w:p>
    <w:p w:rsidR="00000000" w:rsidDel="00000000" w:rsidP="00000000" w:rsidRDefault="00000000" w:rsidRPr="00000000" w14:paraId="0000018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rtl w:val="0"/>
        </w:rPr>
        <w:t xml:space="preserve">The company is </w:t>
      </w:r>
      <w:r w:rsidDel="00000000" w:rsidR="00000000" w:rsidRPr="00000000">
        <w:rPr>
          <w:rFonts w:ascii="Gothic A1" w:cs="Gothic A1" w:eastAsia="Gothic A1" w:hAnsi="Gothic A1"/>
          <w:rtl w:val="0"/>
        </w:rPr>
        <w:t xml:space="preserve">entirely reliant on Web2 revenue</w:t>
      </w:r>
      <w:r w:rsidDel="00000000" w:rsidR="00000000" w:rsidRPr="00000000">
        <w:rPr>
          <w:rFonts w:ascii="Gothic A1" w:cs="Gothic A1" w:eastAsia="Gothic A1" w:hAnsi="Gothic A1"/>
          <w:rtl w:val="0"/>
        </w:rPr>
        <w:t xml:space="preserve"> at the moment; Web3 activities (including token plans and Skyborne launch) are on hold due to market conditions.</w:t>
      </w:r>
    </w:p>
    <w:p w:rsidR="00000000" w:rsidDel="00000000" w:rsidP="00000000" w:rsidRDefault="00000000" w:rsidRPr="00000000" w14:paraId="0000018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rtl w:val="0"/>
        </w:rPr>
        <w:t xml:space="preserve">Cash reserves are tight</w:t>
      </w:r>
      <w:r w:rsidDel="00000000" w:rsidR="00000000" w:rsidRPr="00000000">
        <w:rPr>
          <w:rFonts w:ascii="Gothic A1" w:cs="Gothic A1" w:eastAsia="Gothic A1" w:hAnsi="Gothic A1"/>
          <w:rtl w:val="0"/>
        </w:rPr>
        <w:t xml:space="preserve">, and retention is challenging:</w:t>
      </w:r>
    </w:p>
    <w:p w:rsidR="00000000" w:rsidDel="00000000" w:rsidP="00000000" w:rsidRDefault="00000000" w:rsidRPr="00000000" w14:paraId="0000018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rtl w:val="0"/>
        </w:rPr>
        <w:t xml:space="preserve">Salaries for Pakistani team cut by one-third</w:t>
      </w:r>
    </w:p>
    <w:p w:rsidR="00000000" w:rsidDel="00000000" w:rsidP="00000000" w:rsidRDefault="00000000" w:rsidRPr="00000000" w14:paraId="0000018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rtl w:val="0"/>
        </w:rPr>
        <w:t xml:space="preserve">Many team members have exited due to external offers</w:t>
      </w:r>
    </w:p>
    <w:p w:rsidR="00000000" w:rsidDel="00000000" w:rsidP="00000000" w:rsidRDefault="00000000" w:rsidRPr="00000000" w14:paraId="0000018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rtl w:val="0"/>
        </w:rPr>
        <w:t xml:space="preserve">Payroll increases needed by </w:t>
      </w:r>
      <w:r w:rsidDel="00000000" w:rsidR="00000000" w:rsidRPr="00000000">
        <w:rPr>
          <w:rFonts w:ascii="Gothic A1" w:cs="Gothic A1" w:eastAsia="Gothic A1" w:hAnsi="Gothic A1"/>
          <w:rtl w:val="0"/>
        </w:rPr>
        <w:t xml:space="preserve">February/March 2026</w:t>
      </w:r>
      <w:r w:rsidDel="00000000" w:rsidR="00000000" w:rsidRPr="00000000">
        <w:rPr>
          <w:rFonts w:ascii="Gothic A1" w:cs="Gothic A1" w:eastAsia="Gothic A1" w:hAnsi="Gothic A1"/>
          <w:rtl w:val="0"/>
        </w:rPr>
        <w:t xml:space="preserve"> to avoid losing remaining core staff</w:t>
      </w:r>
    </w:p>
    <w:p w:rsidR="00000000" w:rsidDel="00000000" w:rsidP="00000000" w:rsidRDefault="00000000" w:rsidRPr="00000000" w14:paraId="0000018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rtl w:val="0"/>
        </w:rPr>
        <w:t xml:space="preserve">Revenue lift in Q4 attributed to </w:t>
      </w:r>
      <w:r w:rsidDel="00000000" w:rsidR="00000000" w:rsidRPr="00000000">
        <w:rPr>
          <w:rFonts w:ascii="Gothic A1" w:cs="Gothic A1" w:eastAsia="Gothic A1" w:hAnsi="Gothic A1"/>
          <w:rtl w:val="0"/>
        </w:rPr>
        <w:t xml:space="preserve">limited-time offers</w:t>
      </w:r>
      <w:r w:rsidDel="00000000" w:rsidR="00000000" w:rsidRPr="00000000">
        <w:rPr>
          <w:rFonts w:ascii="Gothic A1" w:cs="Gothic A1" w:eastAsia="Gothic A1" w:hAnsi="Gothic A1"/>
          <w:rtl w:val="0"/>
        </w:rPr>
        <w:t xml:space="preserve"> and monetization tests that showed promise even amid seasonally weak December performance.</w:t>
      </w:r>
    </w:p>
    <w:p w:rsidR="00000000" w:rsidDel="00000000" w:rsidP="00000000" w:rsidRDefault="00000000" w:rsidRPr="00000000" w14:paraId="0000018B">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18C">
      <w:pPr>
        <w:numPr>
          <w:ilvl w:val="0"/>
          <w:numId w:val="12"/>
        </w:numPr>
        <w:spacing w:after="0" w:afterAutospacing="0"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Overall portfolio quality improving, with several companies nearing inflection points or </w:t>
      </w:r>
      <w:r w:rsidDel="00000000" w:rsidR="00000000" w:rsidRPr="00000000">
        <w:rPr>
          <w:rFonts w:ascii="Gothic A1" w:cs="Gothic A1" w:eastAsia="Gothic A1" w:hAnsi="Gothic A1"/>
          <w:rtl w:val="0"/>
        </w:rPr>
        <w:t xml:space="preserve">successfully executing pivots.</w:t>
      </w:r>
    </w:p>
    <w:p w:rsidR="00000000" w:rsidDel="00000000" w:rsidP="00000000" w:rsidRDefault="00000000" w:rsidRPr="00000000" w14:paraId="0000018D">
      <w:pPr>
        <w:numPr>
          <w:ilvl w:val="0"/>
          <w:numId w:val="12"/>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Skyborne, their next game, is “effectively ready” but paused for now as it is Web3-native and considered “value-destructive” to launch in the current environment.</w:t>
      </w:r>
    </w:p>
    <w:p w:rsidR="00000000" w:rsidDel="00000000" w:rsidP="00000000" w:rsidRDefault="00000000" w:rsidRPr="00000000" w14:paraId="0000018E">
      <w:pPr>
        <w:numPr>
          <w:ilvl w:val="0"/>
          <w:numId w:val="12"/>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The team is deferring launch to wait for more favorable Web3 market conditions, citing heavy user attrition and poor liquidity across major ecosystems like IMX, Ronin, and Axie.</w:t>
      </w:r>
    </w:p>
    <w:p w:rsidR="00000000" w:rsidDel="00000000" w:rsidP="00000000" w:rsidRDefault="00000000" w:rsidRPr="00000000" w14:paraId="0000018F">
      <w:pPr>
        <w:numPr>
          <w:ilvl w:val="0"/>
          <w:numId w:val="12"/>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Management remains focused on sustainability over growth, cost control, and cautious decision-making during this downturn.</w:t>
      </w:r>
    </w:p>
    <w:p w:rsidR="00000000" w:rsidDel="00000000" w:rsidP="00000000" w:rsidRDefault="00000000" w:rsidRPr="00000000" w14:paraId="00000190">
      <w:pPr>
        <w:numPr>
          <w:ilvl w:val="0"/>
          <w:numId w:val="12"/>
        </w:numPr>
        <w:spacing w:after="24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Web3 market commentary underscores the continued contraction in liquidity, reduced effectiveness of token-based user acquisition, and broader market headwinds.</w:t>
      </w:r>
      <w:r w:rsidDel="00000000" w:rsidR="00000000" w:rsidRPr="00000000">
        <w:rPr>
          <w:rtl w:val="0"/>
        </w:rPr>
      </w:r>
    </w:p>
    <w:p w:rsidR="00000000" w:rsidDel="00000000" w:rsidP="00000000" w:rsidRDefault="00000000" w:rsidRPr="00000000" w14:paraId="00000191">
      <w:pPr>
        <w:pStyle w:val="Heading1"/>
        <w:spacing w:line="240" w:lineRule="auto"/>
        <w:rPr>
          <w:rFonts w:ascii="Gothic A1" w:cs="Gothic A1" w:eastAsia="Gothic A1" w:hAnsi="Gothic A1"/>
        </w:rPr>
      </w:pPr>
      <w:bookmarkStart w:colFirst="0" w:colLast="0" w:name="_6wcr6npcxqql" w:id="21"/>
      <w:bookmarkEnd w:id="21"/>
      <w:r w:rsidDel="00000000" w:rsidR="00000000" w:rsidRPr="00000000">
        <w:rPr>
          <w:rFonts w:ascii="Gothic A1" w:cs="Gothic A1" w:eastAsia="Gothic A1" w:hAnsi="Gothic A1"/>
          <w:u w:val="none"/>
          <w:rtl w:val="0"/>
        </w:rPr>
        <w:t xml:space="preserve">Peregrine Select Fund II Update [As Expected]</w:t>
      </w:r>
      <w:r w:rsidDel="00000000" w:rsidR="00000000" w:rsidRPr="00000000">
        <w:rPr>
          <w:rtl w:val="0"/>
        </w:rPr>
      </w:r>
    </w:p>
    <w:p w:rsidR="00000000" w:rsidDel="00000000" w:rsidP="00000000" w:rsidRDefault="00000000" w:rsidRPr="00000000" w14:paraId="00000192">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193">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194">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195">
      <w:pPr>
        <w:numPr>
          <w:ilvl w:val="0"/>
          <w:numId w:val="23"/>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196">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197">
      <w:pPr>
        <w:spacing w:line="240" w:lineRule="auto"/>
        <w:rPr>
          <w:rFonts w:ascii="Gothic A1" w:cs="Gothic A1" w:eastAsia="Gothic A1" w:hAnsi="Gothic A1"/>
          <w:u w:val="single"/>
        </w:rPr>
      </w:pPr>
      <w:commentRangeStart w:id="7"/>
      <w:r w:rsidDel="00000000" w:rsidR="00000000" w:rsidRPr="00000000">
        <w:rPr>
          <w:rFonts w:ascii="Gothic A1" w:cs="Gothic A1" w:eastAsia="Gothic A1" w:hAnsi="Gothic A1"/>
          <w:highlight w:val="yellow"/>
          <w:u w:val="single"/>
          <w:rtl w:val="0"/>
        </w:rPr>
        <w:t xml:space="preserve">Fund / Company</w:t>
      </w:r>
      <w:commentRangeEnd w:id="7"/>
      <w:r w:rsidDel="00000000" w:rsidR="00000000" w:rsidRPr="00000000">
        <w:commentReference w:id="7"/>
      </w:r>
      <w:r w:rsidDel="00000000" w:rsidR="00000000" w:rsidRPr="00000000">
        <w:rPr>
          <w:rFonts w:ascii="Gothic A1" w:cs="Gothic A1" w:eastAsia="Gothic A1" w:hAnsi="Gothic A1"/>
          <w:u w:val="single"/>
          <w:rtl w:val="0"/>
        </w:rPr>
        <w:t xml:space="preserve"> Performance</w:t>
      </w:r>
    </w:p>
    <w:p w:rsidR="00000000" w:rsidDel="00000000" w:rsidP="00000000" w:rsidRDefault="00000000" w:rsidRPr="00000000" w14:paraId="0000019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Total Committed Capital:</w:t>
      </w:r>
      <w:r w:rsidDel="00000000" w:rsidR="00000000" w:rsidRPr="00000000">
        <w:rPr>
          <w:rFonts w:ascii="Gothic A1" w:cs="Gothic A1" w:eastAsia="Gothic A1" w:hAnsi="Gothic A1"/>
          <w:rtl w:val="0"/>
        </w:rPr>
        <w:t xml:space="preserve"> $43.02M</w:t>
      </w:r>
    </w:p>
    <w:p w:rsidR="00000000" w:rsidDel="00000000" w:rsidP="00000000" w:rsidRDefault="00000000" w:rsidRPr="00000000" w14:paraId="0000019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Capital Called:</w:t>
      </w:r>
      <w:r w:rsidDel="00000000" w:rsidR="00000000" w:rsidRPr="00000000">
        <w:rPr>
          <w:rFonts w:ascii="Gothic A1" w:cs="Gothic A1" w:eastAsia="Gothic A1" w:hAnsi="Gothic A1"/>
          <w:rtl w:val="0"/>
        </w:rPr>
        <w:t xml:space="preserve"> $43.02M</w:t>
      </w:r>
    </w:p>
    <w:p w:rsidR="00000000" w:rsidDel="00000000" w:rsidP="00000000" w:rsidRDefault="00000000" w:rsidRPr="00000000" w14:paraId="0000019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Distributions to Date:</w:t>
      </w:r>
      <w:r w:rsidDel="00000000" w:rsidR="00000000" w:rsidRPr="00000000">
        <w:rPr>
          <w:rFonts w:ascii="Gothic A1" w:cs="Gothic A1" w:eastAsia="Gothic A1" w:hAnsi="Gothic A1"/>
          <w:rtl w:val="0"/>
        </w:rPr>
        <w:t xml:space="preserve"> $0</w:t>
      </w:r>
    </w:p>
    <w:p w:rsidR="00000000" w:rsidDel="00000000" w:rsidP="00000000" w:rsidRDefault="00000000" w:rsidRPr="00000000" w14:paraId="0000019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Net TVPI:</w:t>
      </w:r>
      <w:r w:rsidDel="00000000" w:rsidR="00000000" w:rsidRPr="00000000">
        <w:rPr>
          <w:rFonts w:ascii="Gothic A1" w:cs="Gothic A1" w:eastAsia="Gothic A1" w:hAnsi="Gothic A1"/>
          <w:rtl w:val="0"/>
        </w:rPr>
        <w:t xml:space="preserve"> 1.32x</w:t>
      </w:r>
    </w:p>
    <w:p w:rsidR="00000000" w:rsidDel="00000000" w:rsidP="00000000" w:rsidRDefault="00000000" w:rsidRPr="00000000" w14:paraId="0000019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Net DPI:</w:t>
      </w:r>
      <w:r w:rsidDel="00000000" w:rsidR="00000000" w:rsidRPr="00000000">
        <w:rPr>
          <w:rFonts w:ascii="Gothic A1" w:cs="Gothic A1" w:eastAsia="Gothic A1" w:hAnsi="Gothic A1"/>
          <w:rtl w:val="0"/>
        </w:rPr>
        <w:t xml:space="preserve"> 0.00x</w:t>
      </w:r>
    </w:p>
    <w:p w:rsidR="00000000" w:rsidDel="00000000" w:rsidP="00000000" w:rsidRDefault="00000000" w:rsidRPr="00000000" w14:paraId="0000019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Accrued Carry Fees:</w:t>
      </w:r>
      <w:r w:rsidDel="00000000" w:rsidR="00000000" w:rsidRPr="00000000">
        <w:rPr>
          <w:rFonts w:ascii="Gothic A1" w:cs="Gothic A1" w:eastAsia="Gothic A1" w:hAnsi="Gothic A1"/>
          <w:rtl w:val="0"/>
        </w:rPr>
        <w:t xml:space="preserve"> $2.88M</w:t>
      </w:r>
    </w:p>
    <w:p w:rsidR="00000000" w:rsidDel="00000000" w:rsidP="00000000" w:rsidRDefault="00000000" w:rsidRPr="00000000" w14:paraId="0000019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Partners’ Residual Capital Balance:</w:t>
      </w:r>
      <w:r w:rsidDel="00000000" w:rsidR="00000000" w:rsidRPr="00000000">
        <w:rPr>
          <w:rFonts w:ascii="Gothic A1" w:cs="Gothic A1" w:eastAsia="Gothic A1" w:hAnsi="Gothic A1"/>
          <w:rtl w:val="0"/>
        </w:rPr>
        <w:t xml:space="preserve"> $57.2M</w:t>
      </w:r>
    </w:p>
    <w:p w:rsidR="00000000" w:rsidDel="00000000" w:rsidP="00000000" w:rsidRDefault="00000000" w:rsidRPr="00000000" w14:paraId="0000019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Net Q3 2025 Income:</w:t>
      </w:r>
      <w:r w:rsidDel="00000000" w:rsidR="00000000" w:rsidRPr="00000000">
        <w:rPr>
          <w:rFonts w:ascii="Gothic A1" w:cs="Gothic A1" w:eastAsia="Gothic A1" w:hAnsi="Gothic A1"/>
          <w:rtl w:val="0"/>
        </w:rPr>
        <w:t xml:space="preserve"> $4.58M, driven by unrealized gains of ~$4.8M</w:t>
      </w:r>
    </w:p>
    <w:p w:rsidR="00000000" w:rsidDel="00000000" w:rsidP="00000000" w:rsidRDefault="00000000" w:rsidRPr="00000000" w14:paraId="000001A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Highest performing position:</w:t>
      </w:r>
    </w:p>
    <w:p w:rsidR="00000000" w:rsidDel="00000000" w:rsidP="00000000" w:rsidRDefault="00000000" w:rsidRPr="00000000" w14:paraId="000001A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Precision Medication</w:t>
      </w:r>
      <w:r w:rsidDel="00000000" w:rsidR="00000000" w:rsidRPr="00000000">
        <w:rPr>
          <w:rFonts w:ascii="Gothic A1" w:cs="Gothic A1" w:eastAsia="Gothic A1" w:hAnsi="Gothic A1"/>
          <w:rtl w:val="0"/>
        </w:rPr>
        <w:t xml:space="preserve">: $1.45M cost → $16.31M value (11.25x MOIC)</w:t>
      </w:r>
    </w:p>
    <w:p w:rsidR="00000000" w:rsidDel="00000000" w:rsidP="00000000" w:rsidRDefault="00000000" w:rsidRPr="00000000" w14:paraId="000001A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Other notable positions:</w:t>
      </w:r>
    </w:p>
    <w:p w:rsidR="00000000" w:rsidDel="00000000" w:rsidP="00000000" w:rsidRDefault="00000000" w:rsidRPr="00000000" w14:paraId="000001A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Benefitbay</w:t>
      </w:r>
      <w:r w:rsidDel="00000000" w:rsidR="00000000" w:rsidRPr="00000000">
        <w:rPr>
          <w:rFonts w:ascii="Gothic A1" w:cs="Gothic A1" w:eastAsia="Gothic A1" w:hAnsi="Gothic A1"/>
          <w:rtl w:val="0"/>
        </w:rPr>
        <w:t xml:space="preserve">: $2.6M cost → $5.16M value (1.98x MOIC across tranches)</w:t>
      </w:r>
    </w:p>
    <w:p w:rsidR="00000000" w:rsidDel="00000000" w:rsidP="00000000" w:rsidRDefault="00000000" w:rsidRPr="00000000" w14:paraId="000001A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Elife</w:t>
      </w:r>
      <w:r w:rsidDel="00000000" w:rsidR="00000000" w:rsidRPr="00000000">
        <w:rPr>
          <w:rFonts w:ascii="Gothic A1" w:cs="Gothic A1" w:eastAsia="Gothic A1" w:hAnsi="Gothic A1"/>
          <w:rtl w:val="0"/>
        </w:rPr>
        <w:t xml:space="preserve">: $3.5M cost → $6.84M value (1.95x MOIC)</w:t>
      </w:r>
    </w:p>
    <w:p w:rsidR="00000000" w:rsidDel="00000000" w:rsidP="00000000" w:rsidRDefault="00000000" w:rsidRPr="00000000" w14:paraId="000001A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Revi</w:t>
      </w:r>
      <w:r w:rsidDel="00000000" w:rsidR="00000000" w:rsidRPr="00000000">
        <w:rPr>
          <w:rFonts w:ascii="Gothic A1" w:cs="Gothic A1" w:eastAsia="Gothic A1" w:hAnsi="Gothic A1"/>
          <w:rtl w:val="0"/>
        </w:rPr>
        <w:t xml:space="preserve">: $1.25M cost → $3.0M value (2.4x MOIC overall)</w:t>
      </w:r>
    </w:p>
    <w:p w:rsidR="00000000" w:rsidDel="00000000" w:rsidP="00000000" w:rsidRDefault="00000000" w:rsidRPr="00000000" w14:paraId="000001A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Total unrealized gain:</w:t>
      </w:r>
      <w:r w:rsidDel="00000000" w:rsidR="00000000" w:rsidRPr="00000000">
        <w:rPr>
          <w:rFonts w:ascii="Gothic A1" w:cs="Gothic A1" w:eastAsia="Gothic A1" w:hAnsi="Gothic A1"/>
          <w:rtl w:val="0"/>
        </w:rPr>
        <w:t xml:space="preserve"> $22.1M on a $37.2M cost basis across portfolio</w:t>
      </w:r>
    </w:p>
    <w:p w:rsidR="00000000" w:rsidDel="00000000" w:rsidP="00000000" w:rsidRDefault="00000000" w:rsidRPr="00000000" w14:paraId="000001A7">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1A8">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1A9">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Portfolio saw two material Q3 markups (Precision Medication, Revi) and four markdowns (including Benefitbay and Stage Meta), with overall net unrealized gain of ~$4.8M in Q3.</w:t>
      </w:r>
    </w:p>
    <w:p w:rsidR="00000000" w:rsidDel="00000000" w:rsidP="00000000" w:rsidRDefault="00000000" w:rsidRPr="00000000" w14:paraId="000001AA">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Benefitbay and HelloHero received follow-on investments in Q3.</w:t>
      </w:r>
    </w:p>
    <w:p w:rsidR="00000000" w:rsidDel="00000000" w:rsidP="00000000" w:rsidRDefault="00000000" w:rsidRPr="00000000" w14:paraId="000001AB">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No cash distributions yet, but the portfolio has significant upside potential, especially from positions like Precision Medication and Benefitbay.</w:t>
      </w:r>
    </w:p>
    <w:p w:rsidR="00000000" w:rsidDel="00000000" w:rsidP="00000000" w:rsidRDefault="00000000" w:rsidRPr="00000000" w14:paraId="000001AC">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Precision Medication rebounded sharply after halting GLP-1 compounding (formerly 70%+ of revenue). It is now EBITDA positive and has a clear runway to dominance in the D2C compounding space.</w:t>
      </w:r>
    </w:p>
    <w:p w:rsidR="00000000" w:rsidDel="00000000" w:rsidP="00000000" w:rsidRDefault="00000000" w:rsidRPr="00000000" w14:paraId="000001AD">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1AE">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1A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Overall portfolio quality improving</w:t>
      </w:r>
      <w:r w:rsidDel="00000000" w:rsidR="00000000" w:rsidRPr="00000000">
        <w:rPr>
          <w:rFonts w:ascii="Gothic A1" w:cs="Gothic A1" w:eastAsia="Gothic A1" w:hAnsi="Gothic A1"/>
          <w:rtl w:val="0"/>
        </w:rPr>
        <w:t xml:space="preserve">, with several companies nearing inflection points or successfully executing pivots.</w:t>
      </w:r>
    </w:p>
    <w:p w:rsidR="00000000" w:rsidDel="00000000" w:rsidP="00000000" w:rsidRDefault="00000000" w:rsidRPr="00000000" w14:paraId="000001B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Liquidity events</w:t>
      </w:r>
      <w:r w:rsidDel="00000000" w:rsidR="00000000" w:rsidRPr="00000000">
        <w:rPr>
          <w:rFonts w:ascii="Gothic A1" w:cs="Gothic A1" w:eastAsia="Gothic A1" w:hAnsi="Gothic A1"/>
          <w:rtl w:val="0"/>
        </w:rPr>
        <w:t xml:space="preserve">:</w:t>
      </w:r>
    </w:p>
    <w:p w:rsidR="00000000" w:rsidDel="00000000" w:rsidP="00000000" w:rsidRDefault="00000000" w:rsidRPr="00000000" w14:paraId="000001B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Upswot</w:t>
      </w:r>
      <w:r w:rsidDel="00000000" w:rsidR="00000000" w:rsidRPr="00000000">
        <w:rPr>
          <w:rFonts w:ascii="Gothic A1" w:cs="Gothic A1" w:eastAsia="Gothic A1" w:hAnsi="Gothic A1"/>
          <w:rtl w:val="0"/>
        </w:rPr>
        <w:t xml:space="preserve"> sold to Uptiq; conversion into equity with ~25% of proceeds in holdback.</w:t>
      </w:r>
    </w:p>
    <w:p w:rsidR="00000000" w:rsidDel="00000000" w:rsidP="00000000" w:rsidRDefault="00000000" w:rsidRPr="00000000" w14:paraId="000001B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Qeepsake</w:t>
      </w:r>
      <w:r w:rsidDel="00000000" w:rsidR="00000000" w:rsidRPr="00000000">
        <w:rPr>
          <w:rFonts w:ascii="Gothic A1" w:cs="Gothic A1" w:eastAsia="Gothic A1" w:hAnsi="Gothic A1"/>
          <w:rtl w:val="0"/>
        </w:rPr>
        <w:t xml:space="preserve"> executed an all-stock asset sale to Tinybeans; proceeds expected post 24-month lockup.</w:t>
      </w:r>
    </w:p>
    <w:p w:rsidR="00000000" w:rsidDel="00000000" w:rsidP="00000000" w:rsidRDefault="00000000" w:rsidRPr="00000000" w14:paraId="000001B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Macro environment</w:t>
      </w:r>
      <w:r w:rsidDel="00000000" w:rsidR="00000000" w:rsidRPr="00000000">
        <w:rPr>
          <w:rFonts w:ascii="Gothic A1" w:cs="Gothic A1" w:eastAsia="Gothic A1" w:hAnsi="Gothic A1"/>
          <w:rtl w:val="0"/>
        </w:rPr>
        <w:t xml:space="preserve"> still poses challenges, but many portfolio companies are adapting by shifting to cash-flow positive operations or raising insider-led rounds at reasonable valuations.</w:t>
      </w:r>
    </w:p>
    <w:p w:rsidR="00000000" w:rsidDel="00000000" w:rsidP="00000000" w:rsidRDefault="00000000" w:rsidRPr="00000000" w14:paraId="000001B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GPs remain actively involved, especially in distressed or pivoting companies, with hands-on support through capital raises, restructurings, and GTM strategie</w:t>
      </w:r>
      <w:r w:rsidDel="00000000" w:rsidR="00000000" w:rsidRPr="00000000">
        <w:rPr>
          <w:rtl w:val="0"/>
        </w:rPr>
        <w:t xml:space="preserve">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1"/>
        <w:spacing w:line="240" w:lineRule="auto"/>
        <w:rPr>
          <w:rFonts w:ascii="Gothic A1" w:cs="Gothic A1" w:eastAsia="Gothic A1" w:hAnsi="Gothic A1"/>
        </w:rPr>
      </w:pPr>
      <w:bookmarkStart w:colFirst="0" w:colLast="0" w:name="_lthwudkbz8ix" w:id="22"/>
      <w:bookmarkEnd w:id="22"/>
      <w:r w:rsidDel="00000000" w:rsidR="00000000" w:rsidRPr="00000000">
        <w:rPr>
          <w:rFonts w:ascii="Gothic A1" w:cs="Gothic A1" w:eastAsia="Gothic A1" w:hAnsi="Gothic A1"/>
          <w:u w:val="none"/>
          <w:rtl w:val="0"/>
        </w:rPr>
        <w:t xml:space="preserve">Octane Update [As Expected]</w:t>
      </w:r>
      <w:r w:rsidDel="00000000" w:rsidR="00000000" w:rsidRPr="00000000">
        <w:rPr>
          <w:rtl w:val="0"/>
        </w:rPr>
      </w:r>
    </w:p>
    <w:p w:rsidR="00000000" w:rsidDel="00000000" w:rsidP="00000000" w:rsidRDefault="00000000" w:rsidRPr="00000000" w14:paraId="000001B8">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1B9">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1BA">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1BB">
      <w:pPr>
        <w:numPr>
          <w:ilvl w:val="0"/>
          <w:numId w:val="23"/>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1BC">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1BD">
      <w:pPr>
        <w:spacing w:line="240" w:lineRule="auto"/>
        <w:rPr>
          <w:rFonts w:ascii="Gothic A1" w:cs="Gothic A1" w:eastAsia="Gothic A1" w:hAnsi="Gothic A1"/>
          <w:u w:val="single"/>
        </w:rPr>
      </w:pPr>
      <w:commentRangeStart w:id="8"/>
      <w:r w:rsidDel="00000000" w:rsidR="00000000" w:rsidRPr="00000000">
        <w:rPr>
          <w:rFonts w:ascii="Gothic A1" w:cs="Gothic A1" w:eastAsia="Gothic A1" w:hAnsi="Gothic A1"/>
          <w:highlight w:val="yellow"/>
          <w:u w:val="single"/>
          <w:rtl w:val="0"/>
        </w:rPr>
        <w:t xml:space="preserve">Fund / Company</w:t>
      </w:r>
      <w:commentRangeEnd w:id="8"/>
      <w:r w:rsidDel="00000000" w:rsidR="00000000" w:rsidRPr="00000000">
        <w:commentReference w:id="8"/>
      </w:r>
      <w:r w:rsidDel="00000000" w:rsidR="00000000" w:rsidRPr="00000000">
        <w:rPr>
          <w:rFonts w:ascii="Gothic A1" w:cs="Gothic A1" w:eastAsia="Gothic A1" w:hAnsi="Gothic A1"/>
          <w:u w:val="single"/>
          <w:rtl w:val="0"/>
        </w:rPr>
        <w:t xml:space="preserve"> Performance</w:t>
      </w:r>
    </w:p>
    <w:p w:rsidR="00000000" w:rsidDel="00000000" w:rsidP="00000000" w:rsidRDefault="00000000" w:rsidRPr="00000000" w14:paraId="000001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rtl w:val="0"/>
        </w:rPr>
        <w:t xml:space="preserve">Octane Lending closed a $100M Series F at a $1.3B post-money valuation, led by Valar, with participation from Upper90 and Huntington Bank.</w:t>
      </w:r>
    </w:p>
    <w:p w:rsidR="00000000" w:rsidDel="00000000" w:rsidP="00000000" w:rsidRDefault="00000000" w:rsidRPr="00000000" w14:paraId="000001B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rtl w:val="0"/>
        </w:rPr>
        <w:t xml:space="preserve">Octane is Upper90’s second-largest portfolio position after Crusoe.</w:t>
      </w:r>
    </w:p>
    <w:p w:rsidR="00000000" w:rsidDel="00000000" w:rsidP="00000000" w:rsidRDefault="00000000" w:rsidRPr="00000000" w14:paraId="000001C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rtl w:val="0"/>
        </w:rPr>
        <w:t xml:space="preserve">In 2025:</w:t>
      </w:r>
    </w:p>
    <w:p w:rsidR="00000000" w:rsidDel="00000000" w:rsidP="00000000" w:rsidRDefault="00000000" w:rsidRPr="00000000" w14:paraId="000001C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Gothic A1" w:cs="Gothic A1" w:eastAsia="Gothic A1" w:hAnsi="Gothic A1"/>
        </w:rPr>
      </w:pPr>
      <w:r w:rsidDel="00000000" w:rsidR="00000000" w:rsidRPr="00000000">
        <w:rPr>
          <w:rFonts w:ascii="Gothic A1" w:cs="Gothic A1" w:eastAsia="Gothic A1" w:hAnsi="Gothic A1"/>
          <w:rtl w:val="0"/>
        </w:rPr>
        <w:t xml:space="preserve">93% of loans were sold to financial institutions (vs. 29% in 2024), reflecting a shift to an asset-light, higher-margin model.</w:t>
      </w:r>
    </w:p>
    <w:p w:rsidR="00000000" w:rsidDel="00000000" w:rsidP="00000000" w:rsidRDefault="00000000" w:rsidRPr="00000000" w14:paraId="000001C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Gothic A1" w:cs="Gothic A1" w:eastAsia="Gothic A1" w:hAnsi="Gothic A1"/>
        </w:rPr>
      </w:pPr>
      <w:r w:rsidDel="00000000" w:rsidR="00000000" w:rsidRPr="00000000">
        <w:rPr>
          <w:rFonts w:ascii="Gothic A1" w:cs="Gothic A1" w:eastAsia="Gothic A1" w:hAnsi="Gothic A1"/>
          <w:rtl w:val="0"/>
        </w:rPr>
        <w:t xml:space="preserve">Adjusted EBITDA expected to be in the low $80Ms, slightly below $91M projection due to conservative origination and product mix.</w:t>
      </w:r>
    </w:p>
    <w:p w:rsidR="00000000" w:rsidDel="00000000" w:rsidP="00000000" w:rsidRDefault="00000000" w:rsidRPr="00000000" w14:paraId="000001C3">
      <w:pPr>
        <w:numPr>
          <w:ilvl w:val="1"/>
          <w:numId w:val="11"/>
        </w:numPr>
        <w:spacing w:after="240" w:before="0" w:beforeAutospacing="0" w:line="240" w:lineRule="auto"/>
        <w:ind w:left="1440" w:hanging="360"/>
        <w:rPr>
          <w:rFonts w:ascii="Gothic A1" w:cs="Gothic A1" w:eastAsia="Gothic A1" w:hAnsi="Gothic A1"/>
        </w:rPr>
      </w:pPr>
      <w:r w:rsidDel="00000000" w:rsidR="00000000" w:rsidRPr="00000000">
        <w:rPr>
          <w:rFonts w:ascii="Gothic A1" w:cs="Gothic A1" w:eastAsia="Gothic A1" w:hAnsi="Gothic A1"/>
          <w:rtl w:val="0"/>
        </w:rPr>
        <w:t xml:space="preserve">Net charge-offs improved, coming in just under 3% (vs. 3.14% in 2024).</w:t>
      </w:r>
      <w:r w:rsidDel="00000000" w:rsidR="00000000" w:rsidRPr="00000000">
        <w:rPr>
          <w:rtl w:val="0"/>
        </w:rPr>
      </w:r>
    </w:p>
    <w:p w:rsidR="00000000" w:rsidDel="00000000" w:rsidP="00000000" w:rsidRDefault="00000000" w:rsidRPr="00000000" w14:paraId="000001C4">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1C5">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1C6">
      <w:pPr>
        <w:spacing w:after="240" w:before="240" w:line="240" w:lineRule="auto"/>
        <w:rPr>
          <w:rFonts w:ascii="Gothic A1" w:cs="Gothic A1" w:eastAsia="Gothic A1" w:hAnsi="Gothic A1"/>
        </w:rPr>
      </w:pPr>
      <w:r w:rsidDel="00000000" w:rsidR="00000000" w:rsidRPr="00000000">
        <w:rPr>
          <w:rFonts w:ascii="Gothic A1" w:cs="Gothic A1" w:eastAsia="Gothic A1" w:hAnsi="Gothic A1"/>
          <w:rtl w:val="0"/>
        </w:rPr>
        <w:t xml:space="preserve">Octane continues to grow efficiently while transitioning to a balance-sheet-light model:</w:t>
      </w:r>
    </w:p>
    <w:p w:rsidR="00000000" w:rsidDel="00000000" w:rsidP="00000000" w:rsidRDefault="00000000" w:rsidRPr="00000000" w14:paraId="000001C7">
      <w:pPr>
        <w:numPr>
          <w:ilvl w:val="0"/>
          <w:numId w:val="20"/>
        </w:numPr>
        <w:spacing w:after="0" w:afterAutospacing="0" w:before="24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Originations grew 31% YoY in 2025 across 2,600+ merchants.</w:t>
      </w:r>
    </w:p>
    <w:p w:rsidR="00000000" w:rsidDel="00000000" w:rsidP="00000000" w:rsidRDefault="00000000" w:rsidRPr="00000000" w14:paraId="000001C8">
      <w:pPr>
        <w:numPr>
          <w:ilvl w:val="0"/>
          <w:numId w:val="20"/>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2026 EBITDA forecast: $114M–$123M (43–54% YoY growth).</w:t>
      </w:r>
    </w:p>
    <w:p w:rsidR="00000000" w:rsidDel="00000000" w:rsidP="00000000" w:rsidRDefault="00000000" w:rsidRPr="00000000" w14:paraId="000001C9">
      <w:pPr>
        <w:numPr>
          <w:ilvl w:val="0"/>
          <w:numId w:val="20"/>
        </w:numPr>
        <w:spacing w:after="24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Long-term guidance: ~36% CAGR in originations through 2033, with potential to reach $1B+ EBITDA.</w:t>
      </w:r>
    </w:p>
    <w:p w:rsidR="00000000" w:rsidDel="00000000" w:rsidP="00000000" w:rsidRDefault="00000000" w:rsidRPr="00000000" w14:paraId="000001CA">
      <w:pPr>
        <w:spacing w:after="240" w:before="240" w:line="240" w:lineRule="auto"/>
        <w:rPr>
          <w:rFonts w:ascii="Gothic A1" w:cs="Gothic A1" w:eastAsia="Gothic A1" w:hAnsi="Gothic A1"/>
        </w:rPr>
      </w:pPr>
      <w:r w:rsidDel="00000000" w:rsidR="00000000" w:rsidRPr="00000000">
        <w:rPr>
          <w:rFonts w:ascii="Gothic A1" w:cs="Gothic A1" w:eastAsia="Gothic A1" w:hAnsi="Gothic A1"/>
          <w:rtl w:val="0"/>
        </w:rPr>
        <w:t xml:space="preserve">Diversification gains:</w:t>
      </w:r>
    </w:p>
    <w:p w:rsidR="00000000" w:rsidDel="00000000" w:rsidP="00000000" w:rsidRDefault="00000000" w:rsidRPr="00000000" w14:paraId="000001CB">
      <w:pPr>
        <w:numPr>
          <w:ilvl w:val="0"/>
          <w:numId w:val="26"/>
        </w:numPr>
        <w:spacing w:after="0" w:afterAutospacing="0" w:before="24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Non-powersports verticals now 14% of originations (up from 8% in 2024).</w:t>
      </w:r>
    </w:p>
    <w:p w:rsidR="00000000" w:rsidDel="00000000" w:rsidP="00000000" w:rsidRDefault="00000000" w:rsidRPr="00000000" w14:paraId="000001CC">
      <w:pPr>
        <w:numPr>
          <w:ilvl w:val="0"/>
          <w:numId w:val="26"/>
        </w:numPr>
        <w:spacing w:after="24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RV loans alone made up 12% of 2025 originations, projected to reach 17% in 2026—fueled by CaaS partnership with Camping World (grew from $45M in 2024 to ~$200M in 2025, forecasted to hit $500M in 2026).</w:t>
      </w:r>
    </w:p>
    <w:p w:rsidR="00000000" w:rsidDel="00000000" w:rsidP="00000000" w:rsidRDefault="00000000" w:rsidRPr="00000000" w14:paraId="000001CD">
      <w:pPr>
        <w:spacing w:after="240" w:before="240" w:line="240" w:lineRule="auto"/>
        <w:rPr>
          <w:rFonts w:ascii="Gothic A1" w:cs="Gothic A1" w:eastAsia="Gothic A1" w:hAnsi="Gothic A1"/>
        </w:rPr>
      </w:pPr>
      <w:r w:rsidDel="00000000" w:rsidR="00000000" w:rsidRPr="00000000">
        <w:rPr>
          <w:rFonts w:ascii="Gothic A1" w:cs="Gothic A1" w:eastAsia="Gothic A1" w:hAnsi="Gothic A1"/>
          <w:rtl w:val="0"/>
        </w:rPr>
        <w:t xml:space="preserve">Captive-as-a-Service (CaaS) is scaling rapidly:</w:t>
      </w:r>
    </w:p>
    <w:p w:rsidR="00000000" w:rsidDel="00000000" w:rsidP="00000000" w:rsidRDefault="00000000" w:rsidRPr="00000000" w14:paraId="000001CE">
      <w:pPr>
        <w:numPr>
          <w:ilvl w:val="0"/>
          <w:numId w:val="21"/>
        </w:numPr>
        <w:spacing w:after="0" w:afterAutospacing="0" w:before="24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Grew from 1 to 7 captive partners in 2025.</w:t>
      </w:r>
    </w:p>
    <w:p w:rsidR="00000000" w:rsidDel="00000000" w:rsidP="00000000" w:rsidRDefault="00000000" w:rsidRPr="00000000" w14:paraId="000001CF">
      <w:pPr>
        <w:numPr>
          <w:ilvl w:val="0"/>
          <w:numId w:val="21"/>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Accounted for 10% of 2025 originations, up from 3% in 2024.</w:t>
      </w:r>
    </w:p>
    <w:p w:rsidR="00000000" w:rsidDel="00000000" w:rsidP="00000000" w:rsidRDefault="00000000" w:rsidRPr="00000000" w14:paraId="000001D0">
      <w:pPr>
        <w:numPr>
          <w:ilvl w:val="0"/>
          <w:numId w:val="21"/>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Projected to reach 30% of originations in 2026.</w:t>
      </w:r>
    </w:p>
    <w:p w:rsidR="00000000" w:rsidDel="00000000" w:rsidP="00000000" w:rsidRDefault="00000000" w:rsidRPr="00000000" w14:paraId="000001D1">
      <w:pPr>
        <w:numPr>
          <w:ilvl w:val="0"/>
          <w:numId w:val="21"/>
        </w:numPr>
        <w:spacing w:after="24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Another major CaaS partnership is in negotiation, with a target to scale to $1B+ originations within 3 years.</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Gothic A1" w:cs="Gothic A1" w:eastAsia="Gothic A1" w:hAnsi="Gothic A1"/>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1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rtl w:val="0"/>
        </w:rPr>
        <w:t xml:space="preserve">Octane is now the </w:t>
      </w:r>
      <w:r w:rsidDel="00000000" w:rsidR="00000000" w:rsidRPr="00000000">
        <w:rPr>
          <w:rFonts w:ascii="Gothic A1" w:cs="Gothic A1" w:eastAsia="Gothic A1" w:hAnsi="Gothic A1"/>
          <w:rtl w:val="0"/>
        </w:rPr>
        <w:t xml:space="preserve">#1 lender in the U.S. powersports vertical</w:t>
      </w:r>
      <w:r w:rsidDel="00000000" w:rsidR="00000000" w:rsidRPr="00000000">
        <w:rPr>
          <w:rFonts w:ascii="Gothic A1" w:cs="Gothic A1" w:eastAsia="Gothic A1" w:hAnsi="Gothic A1"/>
          <w:rtl w:val="0"/>
        </w:rPr>
        <w:t xml:space="preserve"> with significant white-space in RV, marine, and automotive.</w:t>
      </w:r>
    </w:p>
    <w:p w:rsidR="00000000" w:rsidDel="00000000" w:rsidP="00000000" w:rsidRDefault="00000000" w:rsidRPr="00000000" w14:paraId="000001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rtl w:val="0"/>
        </w:rPr>
        <w:t xml:space="preserve">$300B addressable market</w:t>
      </w:r>
      <w:r w:rsidDel="00000000" w:rsidR="00000000" w:rsidRPr="00000000">
        <w:rPr>
          <w:rFonts w:ascii="Gothic A1" w:cs="Gothic A1" w:eastAsia="Gothic A1" w:hAnsi="Gothic A1"/>
          <w:rtl w:val="0"/>
        </w:rPr>
        <w:t xml:space="preserve"> cited for automotive CaaS vs. $25B for powersports.</w:t>
      </w:r>
    </w:p>
    <w:p w:rsidR="00000000" w:rsidDel="00000000" w:rsidP="00000000" w:rsidRDefault="00000000" w:rsidRPr="00000000" w14:paraId="000001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rtl w:val="0"/>
        </w:rPr>
        <w:t xml:space="preserve">Octane is increasingly being compared to </w:t>
      </w:r>
      <w:r w:rsidDel="00000000" w:rsidR="00000000" w:rsidRPr="00000000">
        <w:rPr>
          <w:rFonts w:ascii="Gothic A1" w:cs="Gothic A1" w:eastAsia="Gothic A1" w:hAnsi="Gothic A1"/>
          <w:rtl w:val="0"/>
        </w:rPr>
        <w:t xml:space="preserve">SoFi and Affirm</w:t>
      </w:r>
      <w:r w:rsidDel="00000000" w:rsidR="00000000" w:rsidRPr="00000000">
        <w:rPr>
          <w:rFonts w:ascii="Gothic A1" w:cs="Gothic A1" w:eastAsia="Gothic A1" w:hAnsi="Gothic A1"/>
          <w:rtl w:val="0"/>
        </w:rPr>
        <w:t xml:space="preserve">, given its scale, profitability, and competitive moat.</w:t>
      </w:r>
    </w:p>
    <w:p w:rsidR="00000000" w:rsidDel="00000000" w:rsidP="00000000" w:rsidRDefault="00000000" w:rsidRPr="00000000" w14:paraId="000001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rtl w:val="0"/>
        </w:rPr>
        <w:t xml:space="preserve">Company’s ability to </w:t>
      </w:r>
      <w:r w:rsidDel="00000000" w:rsidR="00000000" w:rsidRPr="00000000">
        <w:rPr>
          <w:rFonts w:ascii="Gothic A1" w:cs="Gothic A1" w:eastAsia="Gothic A1" w:hAnsi="Gothic A1"/>
          <w:rtl w:val="0"/>
        </w:rPr>
        <w:t xml:space="preserve">flex origination based on consumer health</w:t>
      </w:r>
      <w:r w:rsidDel="00000000" w:rsidR="00000000" w:rsidRPr="00000000">
        <w:rPr>
          <w:rFonts w:ascii="Gothic A1" w:cs="Gothic A1" w:eastAsia="Gothic A1" w:hAnsi="Gothic A1"/>
          <w:rtl w:val="0"/>
        </w:rPr>
        <w:t xml:space="preserve"> gives it resilience in varied macro conditions.</w:t>
      </w:r>
      <w:r w:rsidDel="00000000" w:rsidR="00000000" w:rsidRPr="00000000">
        <w:rPr>
          <w:rtl w:val="0"/>
        </w:rPr>
      </w:r>
    </w:p>
    <w:p w:rsidR="00000000" w:rsidDel="00000000" w:rsidP="00000000" w:rsidRDefault="00000000" w:rsidRPr="00000000" w14:paraId="000001D8">
      <w:pPr>
        <w:spacing w:line="240" w:lineRule="auto"/>
        <w:rPr>
          <w:rFonts w:ascii="Gothic A1" w:cs="Gothic A1" w:eastAsia="Gothic A1" w:hAnsi="Gothic A1"/>
          <w:u w:val="single"/>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1"/>
        <w:spacing w:line="240" w:lineRule="auto"/>
        <w:rPr>
          <w:rFonts w:ascii="Gothic A1" w:cs="Gothic A1" w:eastAsia="Gothic A1" w:hAnsi="Gothic A1"/>
        </w:rPr>
      </w:pPr>
      <w:bookmarkStart w:colFirst="0" w:colLast="0" w:name="_an038fczcqmz" w:id="23"/>
      <w:bookmarkEnd w:id="23"/>
      <w:r w:rsidDel="00000000" w:rsidR="00000000" w:rsidRPr="00000000">
        <w:rPr>
          <w:rFonts w:ascii="Gothic A1" w:cs="Gothic A1" w:eastAsia="Gothic A1" w:hAnsi="Gothic A1"/>
          <w:u w:val="none"/>
          <w:rtl w:val="0"/>
        </w:rPr>
        <w:t xml:space="preserve">Newfront Update [Outperforming]</w:t>
      </w:r>
      <w:r w:rsidDel="00000000" w:rsidR="00000000" w:rsidRPr="00000000">
        <w:rPr>
          <w:rtl w:val="0"/>
        </w:rPr>
      </w:r>
    </w:p>
    <w:p w:rsidR="00000000" w:rsidDel="00000000" w:rsidP="00000000" w:rsidRDefault="00000000" w:rsidRPr="00000000" w14:paraId="000001DB">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1DC">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1DD">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1DE">
      <w:pPr>
        <w:numPr>
          <w:ilvl w:val="0"/>
          <w:numId w:val="23"/>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1DF">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1E0">
      <w:pPr>
        <w:spacing w:line="240" w:lineRule="auto"/>
        <w:rPr>
          <w:rFonts w:ascii="Gothic A1" w:cs="Gothic A1" w:eastAsia="Gothic A1" w:hAnsi="Gothic A1"/>
          <w:u w:val="single"/>
        </w:rPr>
      </w:pPr>
      <w:commentRangeStart w:id="9"/>
      <w:r w:rsidDel="00000000" w:rsidR="00000000" w:rsidRPr="00000000">
        <w:rPr>
          <w:rFonts w:ascii="Gothic A1" w:cs="Gothic A1" w:eastAsia="Gothic A1" w:hAnsi="Gothic A1"/>
          <w:highlight w:val="yellow"/>
          <w:u w:val="single"/>
          <w:rtl w:val="0"/>
        </w:rPr>
        <w:t xml:space="preserve">Fund / Company</w:t>
      </w:r>
      <w:commentRangeEnd w:id="9"/>
      <w:r w:rsidDel="00000000" w:rsidR="00000000" w:rsidRPr="00000000">
        <w:commentReference w:id="9"/>
      </w:r>
      <w:r w:rsidDel="00000000" w:rsidR="00000000" w:rsidRPr="00000000">
        <w:rPr>
          <w:rFonts w:ascii="Gothic A1" w:cs="Gothic A1" w:eastAsia="Gothic A1" w:hAnsi="Gothic A1"/>
          <w:u w:val="single"/>
          <w:rtl w:val="0"/>
        </w:rPr>
        <w:t xml:space="preserve"> Performance</w:t>
      </w:r>
    </w:p>
    <w:p w:rsidR="00000000" w:rsidDel="00000000" w:rsidP="00000000" w:rsidRDefault="00000000" w:rsidRPr="00000000" w14:paraId="000001E1">
      <w:p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Newfront is being acquired by Willis Towers Watson (Nasdaq: WTW)</w:t>
      </w:r>
      <w:r w:rsidDel="00000000" w:rsidR="00000000" w:rsidRPr="00000000">
        <w:rPr>
          <w:rFonts w:ascii="Gothic A1" w:cs="Gothic A1" w:eastAsia="Gothic A1" w:hAnsi="Gothic A1"/>
          <w:rtl w:val="0"/>
        </w:rPr>
        <w:t xml:space="preserve"> for up to </w:t>
      </w:r>
      <w:r w:rsidDel="00000000" w:rsidR="00000000" w:rsidRPr="00000000">
        <w:rPr>
          <w:rFonts w:ascii="Gothic A1" w:cs="Gothic A1" w:eastAsia="Gothic A1" w:hAnsi="Gothic A1"/>
          <w:rtl w:val="0"/>
        </w:rPr>
        <w:t xml:space="preserve">$1.3 billion</w:t>
      </w:r>
      <w:r w:rsidDel="00000000" w:rsidR="00000000" w:rsidRPr="00000000">
        <w:rPr>
          <w:rFonts w:ascii="Gothic A1" w:cs="Gothic A1" w:eastAsia="Gothic A1" w:hAnsi="Gothic A1"/>
          <w:rtl w:val="0"/>
        </w:rPr>
        <w:t xml:space="preserve">.</w:t>
      </w:r>
    </w:p>
    <w:p w:rsidR="00000000" w:rsidDel="00000000" w:rsidP="00000000" w:rsidRDefault="00000000" w:rsidRPr="00000000" w14:paraId="000001E2">
      <w:pPr>
        <w:numPr>
          <w:ilvl w:val="0"/>
          <w:numId w:val="3"/>
        </w:numPr>
        <w:spacing w:after="0" w:afterAutospacing="0" w:before="24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$1.05 billion upfront</w:t>
      </w:r>
      <w:r w:rsidDel="00000000" w:rsidR="00000000" w:rsidRPr="00000000">
        <w:rPr>
          <w:rFonts w:ascii="Gothic A1" w:cs="Gothic A1" w:eastAsia="Gothic A1" w:hAnsi="Gothic A1"/>
          <w:rtl w:val="0"/>
        </w:rPr>
        <w:t xml:space="preserve">, consisting of:</w:t>
      </w:r>
    </w:p>
    <w:p w:rsidR="00000000" w:rsidDel="00000000" w:rsidP="00000000" w:rsidRDefault="00000000" w:rsidRPr="00000000" w14:paraId="000001E3">
      <w:pPr>
        <w:numPr>
          <w:ilvl w:val="1"/>
          <w:numId w:val="3"/>
        </w:numPr>
        <w:spacing w:after="0" w:afterAutospacing="0" w:before="0" w:beforeAutospacing="0" w:line="240" w:lineRule="auto"/>
        <w:ind w:left="1440" w:hanging="360"/>
        <w:rPr>
          <w:rFonts w:ascii="Gothic A1" w:cs="Gothic A1" w:eastAsia="Gothic A1" w:hAnsi="Gothic A1"/>
        </w:rPr>
      </w:pPr>
      <w:r w:rsidDel="00000000" w:rsidR="00000000" w:rsidRPr="00000000">
        <w:rPr>
          <w:rFonts w:ascii="Gothic A1" w:cs="Gothic A1" w:eastAsia="Gothic A1" w:hAnsi="Gothic A1"/>
          <w:rtl w:val="0"/>
        </w:rPr>
        <w:t xml:space="preserve">~$900M in cash</w:t>
      </w:r>
    </w:p>
    <w:p w:rsidR="00000000" w:rsidDel="00000000" w:rsidP="00000000" w:rsidRDefault="00000000" w:rsidRPr="00000000" w14:paraId="000001E4">
      <w:pPr>
        <w:numPr>
          <w:ilvl w:val="1"/>
          <w:numId w:val="3"/>
        </w:numPr>
        <w:spacing w:after="0" w:afterAutospacing="0" w:before="0" w:beforeAutospacing="0" w:line="240" w:lineRule="auto"/>
        <w:ind w:left="1440" w:hanging="360"/>
        <w:rPr>
          <w:rFonts w:ascii="Gothic A1" w:cs="Gothic A1" w:eastAsia="Gothic A1" w:hAnsi="Gothic A1"/>
        </w:rPr>
      </w:pPr>
      <w:r w:rsidDel="00000000" w:rsidR="00000000" w:rsidRPr="00000000">
        <w:rPr>
          <w:rFonts w:ascii="Gothic A1" w:cs="Gothic A1" w:eastAsia="Gothic A1" w:hAnsi="Gothic A1"/>
          <w:rtl w:val="0"/>
        </w:rPr>
        <w:t xml:space="preserve">~$150M in equity</w:t>
      </w:r>
      <w:r w:rsidDel="00000000" w:rsidR="00000000" w:rsidRPr="00000000">
        <w:rPr>
          <w:rFonts w:ascii="Gothic A1" w:cs="Gothic A1" w:eastAsia="Gothic A1" w:hAnsi="Gothic A1"/>
          <w:rtl w:val="0"/>
        </w:rPr>
        <w:t xml:space="preserve"> for Newfront employee-shareholders</w:t>
      </w:r>
    </w:p>
    <w:p w:rsidR="00000000" w:rsidDel="00000000" w:rsidP="00000000" w:rsidRDefault="00000000" w:rsidRPr="00000000" w14:paraId="000001E5">
      <w:pPr>
        <w:numPr>
          <w:ilvl w:val="0"/>
          <w:numId w:val="3"/>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Up to $250M in contingent equity consideration</w:t>
      </w:r>
      <w:r w:rsidDel="00000000" w:rsidR="00000000" w:rsidRPr="00000000">
        <w:rPr>
          <w:rFonts w:ascii="Gothic A1" w:cs="Gothic A1" w:eastAsia="Gothic A1" w:hAnsi="Gothic A1"/>
          <w:rtl w:val="0"/>
        </w:rPr>
        <w:t xml:space="preserve"> based on performance targets</w:t>
      </w:r>
    </w:p>
    <w:p w:rsidR="00000000" w:rsidDel="00000000" w:rsidP="00000000" w:rsidRDefault="00000000" w:rsidRPr="00000000" w14:paraId="000001E6">
      <w:pPr>
        <w:numPr>
          <w:ilvl w:val="0"/>
          <w:numId w:val="3"/>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Additional $150M earnout</w:t>
      </w:r>
      <w:r w:rsidDel="00000000" w:rsidR="00000000" w:rsidRPr="00000000">
        <w:rPr>
          <w:rFonts w:ascii="Gothic A1" w:cs="Gothic A1" w:eastAsia="Gothic A1" w:hAnsi="Gothic A1"/>
          <w:rtl w:val="0"/>
        </w:rPr>
        <w:t xml:space="preserve"> (primarily equity) tied to above-target revenue growth.</w:t>
      </w:r>
    </w:p>
    <w:p w:rsidR="00000000" w:rsidDel="00000000" w:rsidP="00000000" w:rsidRDefault="00000000" w:rsidRPr="00000000" w14:paraId="000001E7">
      <w:pPr>
        <w:numPr>
          <w:ilvl w:val="0"/>
          <w:numId w:val="3"/>
        </w:numPr>
        <w:spacing w:after="24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Investors will receive a </w:t>
      </w:r>
      <w:r w:rsidDel="00000000" w:rsidR="00000000" w:rsidRPr="00000000">
        <w:rPr>
          <w:rFonts w:ascii="Gothic A1" w:cs="Gothic A1" w:eastAsia="Gothic A1" w:hAnsi="Gothic A1"/>
          <w:rtl w:val="0"/>
        </w:rPr>
        <w:t xml:space="preserve">return of principal</w:t>
      </w:r>
      <w:r w:rsidDel="00000000" w:rsidR="00000000" w:rsidRPr="00000000">
        <w:rPr>
          <w:rFonts w:ascii="Gothic A1" w:cs="Gothic A1" w:eastAsia="Gothic A1" w:hAnsi="Gothic A1"/>
          <w:rtl w:val="0"/>
        </w:rPr>
        <w:t xml:space="preserve">. Final cash flow waterfall is pending; full mechanics and timing of distributions will follow.</w:t>
      </w:r>
    </w:p>
    <w:p w:rsidR="00000000" w:rsidDel="00000000" w:rsidP="00000000" w:rsidRDefault="00000000" w:rsidRPr="00000000" w14:paraId="000001E8">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1E9">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The exit provides a full return of capital to investors ahead of expectations, despite the company not meeting earlier revenue growth hopes.</w:t>
      </w:r>
    </w:p>
    <w:p w:rsidR="00000000" w:rsidDel="00000000" w:rsidP="00000000" w:rsidRDefault="00000000" w:rsidRPr="00000000" w14:paraId="000001EA">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While the investment did not generate outsized returns, it did produce capital preservation and liquidity in a challenging private market environment.</w:t>
      </w:r>
    </w:p>
    <w:p w:rsidR="00000000" w:rsidDel="00000000" w:rsidP="00000000" w:rsidRDefault="00000000" w:rsidRPr="00000000" w14:paraId="000001EB">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This outcome reflects the strategic value of Newfront’s proprietary software, which drew interest from a large incumbent.</w:t>
      </w:r>
      <w:r w:rsidDel="00000000" w:rsidR="00000000" w:rsidRPr="00000000">
        <w:rPr>
          <w:rtl w:val="0"/>
        </w:rPr>
      </w:r>
    </w:p>
    <w:p w:rsidR="00000000" w:rsidDel="00000000" w:rsidP="00000000" w:rsidRDefault="00000000" w:rsidRPr="00000000" w14:paraId="000001EC">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1ED">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1E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The transaction validates Newfront’s </w:t>
      </w:r>
      <w:r w:rsidDel="00000000" w:rsidR="00000000" w:rsidRPr="00000000">
        <w:rPr>
          <w:rFonts w:ascii="Gothic A1" w:cs="Gothic A1" w:eastAsia="Gothic A1" w:hAnsi="Gothic A1"/>
          <w:rtl w:val="0"/>
        </w:rPr>
        <w:t xml:space="preserve">tech-enabled approach to insurance brokerage</w:t>
      </w:r>
      <w:r w:rsidDel="00000000" w:rsidR="00000000" w:rsidRPr="00000000">
        <w:rPr>
          <w:rFonts w:ascii="Gothic A1" w:cs="Gothic A1" w:eastAsia="Gothic A1" w:hAnsi="Gothic A1"/>
          <w:rtl w:val="0"/>
        </w:rPr>
        <w:t xml:space="preserve">, which had long been considered attractive to strategic buyers.</w:t>
      </w:r>
    </w:p>
    <w:p w:rsidR="00000000" w:rsidDel="00000000" w:rsidP="00000000" w:rsidRDefault="00000000" w:rsidRPr="00000000" w14:paraId="000001E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Transaction expected to close in Q1 2026</w:t>
      </w:r>
      <w:r w:rsidDel="00000000" w:rsidR="00000000" w:rsidRPr="00000000">
        <w:rPr>
          <w:rFonts w:ascii="Gothic A1" w:cs="Gothic A1" w:eastAsia="Gothic A1" w:hAnsi="Gothic A1"/>
          <w:rtl w:val="0"/>
        </w:rPr>
        <w:t xml:space="preserve">, subject to regulatory approvals and customary closing conditions.</w:t>
      </w:r>
    </w:p>
    <w:p w:rsidR="00000000" w:rsidDel="00000000" w:rsidP="00000000" w:rsidRDefault="00000000" w:rsidRPr="00000000" w14:paraId="000001F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Investors will be updated once the </w:t>
      </w:r>
      <w:r w:rsidDel="00000000" w:rsidR="00000000" w:rsidRPr="00000000">
        <w:rPr>
          <w:rFonts w:ascii="Gothic A1" w:cs="Gothic A1" w:eastAsia="Gothic A1" w:hAnsi="Gothic A1"/>
          <w:rtl w:val="0"/>
        </w:rPr>
        <w:t xml:space="preserve">final distribution details</w:t>
      </w:r>
      <w:r w:rsidDel="00000000" w:rsidR="00000000" w:rsidRPr="00000000">
        <w:rPr>
          <w:rFonts w:ascii="Gothic A1" w:cs="Gothic A1" w:eastAsia="Gothic A1" w:hAnsi="Gothic A1"/>
          <w:rtl w:val="0"/>
        </w:rPr>
        <w:t xml:space="preserve"> are provided by company counsel.</w:t>
      </w:r>
    </w:p>
    <w:p w:rsidR="00000000" w:rsidDel="00000000" w:rsidP="00000000" w:rsidRDefault="00000000" w:rsidRPr="00000000" w14:paraId="000001F1">
      <w:pPr>
        <w:spacing w:line="240" w:lineRule="auto"/>
        <w:rPr>
          <w:rFonts w:ascii="Gothic A1" w:cs="Gothic A1" w:eastAsia="Gothic A1" w:hAnsi="Gothic A1"/>
          <w:u w:val="single"/>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1"/>
        <w:spacing w:line="240" w:lineRule="auto"/>
        <w:rPr>
          <w:rFonts w:ascii="Gothic A1" w:cs="Gothic A1" w:eastAsia="Gothic A1" w:hAnsi="Gothic A1"/>
        </w:rPr>
      </w:pPr>
      <w:bookmarkStart w:colFirst="0" w:colLast="0" w:name="_3hbn9w3wfuez" w:id="24"/>
      <w:bookmarkEnd w:id="24"/>
      <w:r w:rsidDel="00000000" w:rsidR="00000000" w:rsidRPr="00000000">
        <w:rPr>
          <w:rFonts w:ascii="Gothic A1" w:cs="Gothic A1" w:eastAsia="Gothic A1" w:hAnsi="Gothic A1"/>
          <w:u w:val="none"/>
          <w:rtl w:val="0"/>
        </w:rPr>
        <w:t xml:space="preserve">Everside Capital Fund IV Update [As Expected]</w:t>
      </w:r>
      <w:r w:rsidDel="00000000" w:rsidR="00000000" w:rsidRPr="00000000">
        <w:rPr>
          <w:rtl w:val="0"/>
        </w:rPr>
      </w:r>
    </w:p>
    <w:p w:rsidR="00000000" w:rsidDel="00000000" w:rsidP="00000000" w:rsidRDefault="00000000" w:rsidRPr="00000000" w14:paraId="000001F4">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1F5">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1F6">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1F7">
      <w:pPr>
        <w:numPr>
          <w:ilvl w:val="0"/>
          <w:numId w:val="23"/>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1F8">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1F9">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Fund / Company</w:t>
      </w:r>
      <w:r w:rsidDel="00000000" w:rsidR="00000000" w:rsidRPr="00000000">
        <w:rPr>
          <w:rFonts w:ascii="Gothic A1" w:cs="Gothic A1" w:eastAsia="Gothic A1" w:hAnsi="Gothic A1"/>
          <w:u w:val="single"/>
          <w:rtl w:val="0"/>
        </w:rPr>
        <w:t xml:space="preserve"> Performance</w:t>
      </w:r>
    </w:p>
    <w:p w:rsidR="00000000" w:rsidDel="00000000" w:rsidP="00000000" w:rsidRDefault="00000000" w:rsidRPr="00000000" w14:paraId="000001FA">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Fund IV exited 8 direct investments and made 11 direct investments in 2025, contributing to a total of over $580M invested across 10 primary commitments, 16 secondary transactions, and 11 direct deals.</w:t>
      </w:r>
    </w:p>
    <w:p w:rsidR="00000000" w:rsidDel="00000000" w:rsidP="00000000" w:rsidRDefault="00000000" w:rsidRPr="00000000" w14:paraId="000001FB">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Several realizations are expected in Q1 and Q2 2026, which are anticipated to deliver attractive MOICs and IRRs and support early-year distributions to LPs in Fund IV.</w:t>
      </w:r>
    </w:p>
    <w:p w:rsidR="00000000" w:rsidDel="00000000" w:rsidP="00000000" w:rsidRDefault="00000000" w:rsidRPr="00000000" w14:paraId="000001FC">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The fund recently refinanced out of certain direct investments, reflecting strong valuation marks and liquidity in the current exit environment.</w:t>
      </w:r>
    </w:p>
    <w:p w:rsidR="00000000" w:rsidDel="00000000" w:rsidP="00000000" w:rsidRDefault="00000000" w:rsidRPr="00000000" w14:paraId="000001FD">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1FE">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Takeaways / Action Items</w:t>
      </w:r>
    </w:p>
    <w:p w:rsidR="00000000" w:rsidDel="00000000" w:rsidP="00000000" w:rsidRDefault="00000000" w:rsidRPr="00000000" w14:paraId="000001FF">
      <w:p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Fundraising Momentum:</w:t>
      </w:r>
    </w:p>
    <w:p w:rsidR="00000000" w:rsidDel="00000000" w:rsidP="00000000" w:rsidRDefault="00000000" w:rsidRPr="00000000" w14:paraId="00000200">
      <w:pPr>
        <w:numPr>
          <w:ilvl w:val="0"/>
          <w:numId w:val="6"/>
        </w:numPr>
        <w:spacing w:after="0" w:afterAutospacing="0" w:before="24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Fund V (target: $700M hard cap) and Everside Direct III (target: $150M + $175M SBA leverage) saw strong year-end momentum.</w:t>
      </w:r>
    </w:p>
    <w:p w:rsidR="00000000" w:rsidDel="00000000" w:rsidP="00000000" w:rsidRDefault="00000000" w:rsidRPr="00000000" w14:paraId="00000201">
      <w:pPr>
        <w:numPr>
          <w:ilvl w:val="0"/>
          <w:numId w:val="6"/>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~$400M closed for Fund V and $80M (+$175M leverage) for Direct III as of Q4.</w:t>
      </w:r>
    </w:p>
    <w:p w:rsidR="00000000" w:rsidDel="00000000" w:rsidP="00000000" w:rsidRDefault="00000000" w:rsidRPr="00000000" w14:paraId="00000202">
      <w:pPr>
        <w:numPr>
          <w:ilvl w:val="0"/>
          <w:numId w:val="6"/>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Direct III received the Greenlight Letter in record time in 2025; full license expected in Q1 2026.</w:t>
      </w:r>
    </w:p>
    <w:p w:rsidR="00000000" w:rsidDel="00000000" w:rsidP="00000000" w:rsidRDefault="00000000" w:rsidRPr="00000000" w14:paraId="00000203">
      <w:pPr>
        <w:numPr>
          <w:ilvl w:val="0"/>
          <w:numId w:val="6"/>
        </w:numPr>
        <w:spacing w:after="24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Investor base includes long-standing LPs and new institutions; 2026 expected to bring more capital inflow.</w:t>
      </w:r>
    </w:p>
    <w:p w:rsidR="00000000" w:rsidDel="00000000" w:rsidP="00000000" w:rsidRDefault="00000000" w:rsidRPr="00000000" w14:paraId="00000204">
      <w:p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Team &amp; Platform Growth:</w:t>
      </w:r>
    </w:p>
    <w:p w:rsidR="00000000" w:rsidDel="00000000" w:rsidP="00000000" w:rsidRDefault="00000000" w:rsidRPr="00000000" w14:paraId="00000205">
      <w:pPr>
        <w:numPr>
          <w:ilvl w:val="0"/>
          <w:numId w:val="14"/>
        </w:numPr>
        <w:spacing w:after="0" w:afterAutospacing="0" w:before="24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Six new professionals added across investing, operations, data/AI.</w:t>
      </w:r>
    </w:p>
    <w:p w:rsidR="00000000" w:rsidDel="00000000" w:rsidP="00000000" w:rsidRDefault="00000000" w:rsidRPr="00000000" w14:paraId="00000206">
      <w:pPr>
        <w:numPr>
          <w:ilvl w:val="0"/>
          <w:numId w:val="14"/>
        </w:numPr>
        <w:spacing w:after="24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Enhancements to underwriting, monitoring, and decision-support reflect institutionalization at scale.</w:t>
      </w:r>
    </w:p>
    <w:p w:rsidR="00000000" w:rsidDel="00000000" w:rsidP="00000000" w:rsidRDefault="00000000" w:rsidRPr="00000000" w14:paraId="00000207">
      <w:p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SBIC Program Tailwinds:</w:t>
      </w:r>
    </w:p>
    <w:p w:rsidR="00000000" w:rsidDel="00000000" w:rsidP="00000000" w:rsidRDefault="00000000" w:rsidRPr="00000000" w14:paraId="00000208">
      <w:pPr>
        <w:numPr>
          <w:ilvl w:val="0"/>
          <w:numId w:val="22"/>
        </w:numPr>
        <w:spacing w:after="0" w:afterAutospacing="0" w:before="24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2025 marked a record year for SBIC activity:</w:t>
      </w:r>
    </w:p>
    <w:p w:rsidR="00000000" w:rsidDel="00000000" w:rsidP="00000000" w:rsidRDefault="00000000" w:rsidRPr="00000000" w14:paraId="00000209">
      <w:pPr>
        <w:numPr>
          <w:ilvl w:val="1"/>
          <w:numId w:val="22"/>
        </w:numPr>
        <w:spacing w:after="0" w:afterAutospacing="0" w:before="0" w:beforeAutospacing="0" w:line="240" w:lineRule="auto"/>
        <w:ind w:left="1440" w:hanging="360"/>
        <w:rPr>
          <w:rFonts w:ascii="Gothic A1" w:cs="Gothic A1" w:eastAsia="Gothic A1" w:hAnsi="Gothic A1"/>
        </w:rPr>
      </w:pPr>
      <w:r w:rsidDel="00000000" w:rsidR="00000000" w:rsidRPr="00000000">
        <w:rPr>
          <w:rFonts w:ascii="Gothic A1" w:cs="Gothic A1" w:eastAsia="Gothic A1" w:hAnsi="Gothic A1"/>
          <w:rtl w:val="0"/>
        </w:rPr>
        <w:t xml:space="preserve">$53B in combined private + SBA leverage</w:t>
      </w:r>
    </w:p>
    <w:p w:rsidR="00000000" w:rsidDel="00000000" w:rsidP="00000000" w:rsidRDefault="00000000" w:rsidRPr="00000000" w14:paraId="0000020A">
      <w:pPr>
        <w:numPr>
          <w:ilvl w:val="1"/>
          <w:numId w:val="22"/>
        </w:numPr>
        <w:spacing w:after="0" w:afterAutospacing="0" w:before="0" w:beforeAutospacing="0" w:line="240" w:lineRule="auto"/>
        <w:ind w:left="1440" w:hanging="360"/>
        <w:rPr>
          <w:rFonts w:ascii="Gothic A1" w:cs="Gothic A1" w:eastAsia="Gothic A1" w:hAnsi="Gothic A1"/>
        </w:rPr>
      </w:pPr>
      <w:r w:rsidDel="00000000" w:rsidR="00000000" w:rsidRPr="00000000">
        <w:rPr>
          <w:rFonts w:ascii="Gothic A1" w:cs="Gothic A1" w:eastAsia="Gothic A1" w:hAnsi="Gothic A1"/>
          <w:rtl w:val="0"/>
        </w:rPr>
        <w:t xml:space="preserve">48 new SBIC licenses</w:t>
      </w:r>
    </w:p>
    <w:p w:rsidR="00000000" w:rsidDel="00000000" w:rsidP="00000000" w:rsidRDefault="00000000" w:rsidRPr="00000000" w14:paraId="0000020B">
      <w:pPr>
        <w:numPr>
          <w:ilvl w:val="1"/>
          <w:numId w:val="22"/>
        </w:numPr>
        <w:spacing w:after="0" w:afterAutospacing="0" w:before="0" w:beforeAutospacing="0" w:line="240" w:lineRule="auto"/>
        <w:ind w:left="1440" w:hanging="360"/>
        <w:rPr>
          <w:rFonts w:ascii="Gothic A1" w:cs="Gothic A1" w:eastAsia="Gothic A1" w:hAnsi="Gothic A1"/>
        </w:rPr>
      </w:pPr>
      <w:r w:rsidDel="00000000" w:rsidR="00000000" w:rsidRPr="00000000">
        <w:rPr>
          <w:rFonts w:ascii="Gothic A1" w:cs="Gothic A1" w:eastAsia="Gothic A1" w:hAnsi="Gothic A1"/>
          <w:rtl w:val="0"/>
        </w:rPr>
        <w:t xml:space="preserve">86 Green Light letters</w:t>
      </w:r>
    </w:p>
    <w:p w:rsidR="00000000" w:rsidDel="00000000" w:rsidP="00000000" w:rsidRDefault="00000000" w:rsidRPr="00000000" w14:paraId="0000020C">
      <w:pPr>
        <w:numPr>
          <w:ilvl w:val="1"/>
          <w:numId w:val="22"/>
        </w:numPr>
        <w:spacing w:after="0" w:afterAutospacing="0" w:before="0" w:beforeAutospacing="0" w:line="240" w:lineRule="auto"/>
        <w:ind w:left="1440" w:hanging="360"/>
        <w:rPr>
          <w:rFonts w:ascii="Gothic A1" w:cs="Gothic A1" w:eastAsia="Gothic A1" w:hAnsi="Gothic A1"/>
        </w:rPr>
      </w:pPr>
      <w:r w:rsidDel="00000000" w:rsidR="00000000" w:rsidRPr="00000000">
        <w:rPr>
          <w:rFonts w:ascii="Gothic A1" w:cs="Gothic A1" w:eastAsia="Gothic A1" w:hAnsi="Gothic A1"/>
          <w:rtl w:val="0"/>
        </w:rPr>
        <w:t xml:space="preserve">$34B in potential future capital</w:t>
      </w:r>
    </w:p>
    <w:p w:rsidR="00000000" w:rsidDel="00000000" w:rsidP="00000000" w:rsidRDefault="00000000" w:rsidRPr="00000000" w14:paraId="0000020D">
      <w:pPr>
        <w:numPr>
          <w:ilvl w:val="0"/>
          <w:numId w:val="22"/>
        </w:numPr>
        <w:spacing w:after="24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Everside sees opportunity as one of the most active SBIC investors, citing reduced uncertainty and program expansion as tailwinds heading into 2026.</w:t>
      </w:r>
      <w:r w:rsidDel="00000000" w:rsidR="00000000" w:rsidRPr="00000000">
        <w:rPr>
          <w:rtl w:val="0"/>
        </w:rPr>
      </w:r>
    </w:p>
    <w:p w:rsidR="00000000" w:rsidDel="00000000" w:rsidP="00000000" w:rsidRDefault="00000000" w:rsidRPr="00000000" w14:paraId="0000020E">
      <w:p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Q4 2025 activity included 21 transactions:</w:t>
      </w:r>
    </w:p>
    <w:p w:rsidR="00000000" w:rsidDel="00000000" w:rsidP="00000000" w:rsidRDefault="00000000" w:rsidRPr="00000000" w14:paraId="0000020F">
      <w:pPr>
        <w:numPr>
          <w:ilvl w:val="0"/>
          <w:numId w:val="24"/>
        </w:numPr>
        <w:spacing w:after="0" w:afterAutospacing="0" w:before="24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14 secondary investments</w:t>
      </w:r>
    </w:p>
    <w:p w:rsidR="00000000" w:rsidDel="00000000" w:rsidP="00000000" w:rsidRDefault="00000000" w:rsidRPr="00000000" w14:paraId="00000210">
      <w:pPr>
        <w:numPr>
          <w:ilvl w:val="0"/>
          <w:numId w:val="24"/>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4 new direct investments</w:t>
      </w:r>
    </w:p>
    <w:p w:rsidR="00000000" w:rsidDel="00000000" w:rsidP="00000000" w:rsidRDefault="00000000" w:rsidRPr="00000000" w14:paraId="00000211">
      <w:pPr>
        <w:numPr>
          <w:ilvl w:val="0"/>
          <w:numId w:val="24"/>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~60M in direct exits in process (some slipping into January 2026)</w:t>
      </w:r>
    </w:p>
    <w:p w:rsidR="00000000" w:rsidDel="00000000" w:rsidP="00000000" w:rsidRDefault="00000000" w:rsidRPr="00000000" w14:paraId="0000021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rtl w:val="0"/>
        </w:rPr>
        <w:t xml:space="preserve">A standout investment includes a $67M secondary stake in a Connecticut-based SBIC, acquired without intermediary involvement—highlighting Everside’s proprietary sourcing capabilities.</w:t>
      </w:r>
    </w:p>
    <w:p w:rsidR="00000000" w:rsidDel="00000000" w:rsidP="00000000" w:rsidRDefault="00000000" w:rsidRPr="00000000" w14:paraId="0000021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rtl w:val="0"/>
        </w:rPr>
        <w:t xml:space="preserve">A $29M secondary in 13 GPs gave exposure to 150+ underlying direct investments.</w:t>
      </w:r>
    </w:p>
    <w:p w:rsidR="00000000" w:rsidDel="00000000" w:rsidP="00000000" w:rsidRDefault="00000000" w:rsidRPr="00000000" w14:paraId="0000021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rtl w:val="0"/>
        </w:rPr>
        <w:t xml:space="preserve">Fund IV continues to emphasize disciplined buy-and-build strategies across niche verticals</w:t>
      </w:r>
    </w:p>
    <w:p w:rsidR="00000000" w:rsidDel="00000000" w:rsidP="00000000" w:rsidRDefault="00000000" w:rsidRPr="00000000" w14:paraId="00000215">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1"/>
        <w:spacing w:line="240" w:lineRule="auto"/>
        <w:rPr>
          <w:rFonts w:ascii="Gothic A1" w:cs="Gothic A1" w:eastAsia="Gothic A1" w:hAnsi="Gothic A1"/>
        </w:rPr>
      </w:pPr>
      <w:bookmarkStart w:colFirst="0" w:colLast="0" w:name="_xuft6gj704al" w:id="25"/>
      <w:bookmarkEnd w:id="25"/>
      <w:r w:rsidDel="00000000" w:rsidR="00000000" w:rsidRPr="00000000">
        <w:rPr>
          <w:rFonts w:ascii="Gothic A1" w:cs="Gothic A1" w:eastAsia="Gothic A1" w:hAnsi="Gothic A1"/>
          <w:u w:val="none"/>
          <w:rtl w:val="0"/>
        </w:rPr>
        <w:t xml:space="preserve">Interplay Ventures Fund IV Update [As Expected]</w:t>
      </w:r>
      <w:r w:rsidDel="00000000" w:rsidR="00000000" w:rsidRPr="00000000">
        <w:rPr>
          <w:rtl w:val="0"/>
        </w:rPr>
      </w:r>
    </w:p>
    <w:p w:rsidR="00000000" w:rsidDel="00000000" w:rsidP="00000000" w:rsidRDefault="00000000" w:rsidRPr="00000000" w14:paraId="00000218">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219">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21A">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21B">
      <w:pPr>
        <w:numPr>
          <w:ilvl w:val="0"/>
          <w:numId w:val="23"/>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21C">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21D">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Fund / Company</w:t>
      </w:r>
      <w:r w:rsidDel="00000000" w:rsidR="00000000" w:rsidRPr="00000000">
        <w:rPr>
          <w:rFonts w:ascii="Gothic A1" w:cs="Gothic A1" w:eastAsia="Gothic A1" w:hAnsi="Gothic A1"/>
          <w:u w:val="single"/>
          <w:rtl w:val="0"/>
        </w:rPr>
        <w:t xml:space="preserve"> Performance</w:t>
      </w:r>
    </w:p>
    <w:p w:rsidR="00000000" w:rsidDel="00000000" w:rsidP="00000000" w:rsidRDefault="00000000" w:rsidRPr="00000000" w14:paraId="0000021E">
      <w:pPr>
        <w:spacing w:after="240" w:before="240" w:line="240" w:lineRule="auto"/>
        <w:rPr>
          <w:rFonts w:ascii="Gothic A1" w:cs="Gothic A1" w:eastAsia="Gothic A1" w:hAnsi="Gothic A1"/>
        </w:rPr>
      </w:pPr>
      <w:r w:rsidDel="00000000" w:rsidR="00000000" w:rsidRPr="00000000">
        <w:rPr>
          <w:rFonts w:ascii="Gothic A1" w:cs="Gothic A1" w:eastAsia="Gothic A1" w:hAnsi="Gothic A1"/>
          <w:rtl w:val="0"/>
        </w:rPr>
        <w:t xml:space="preserve">Fund IV</w:t>
      </w:r>
    </w:p>
    <w:p w:rsidR="00000000" w:rsidDel="00000000" w:rsidP="00000000" w:rsidRDefault="00000000" w:rsidRPr="00000000" w14:paraId="0000021F">
      <w:pPr>
        <w:numPr>
          <w:ilvl w:val="0"/>
          <w:numId w:val="27"/>
        </w:numPr>
        <w:spacing w:after="0" w:afterAutospacing="0" w:before="24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New Investment: Meroka, a startup enabling physician-owned MSOs supported by AI operations.</w:t>
      </w:r>
    </w:p>
    <w:p w:rsidR="00000000" w:rsidDel="00000000" w:rsidP="00000000" w:rsidRDefault="00000000" w:rsidRPr="00000000" w14:paraId="00000220">
      <w:pPr>
        <w:numPr>
          <w:ilvl w:val="0"/>
          <w:numId w:val="27"/>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Interplay invested $1.5M for 3% ownership in Meroka’s $12M Series A (led by Slow Ventures and Better Tomorrow Ventures).</w:t>
      </w:r>
    </w:p>
    <w:p w:rsidR="00000000" w:rsidDel="00000000" w:rsidP="00000000" w:rsidRDefault="00000000" w:rsidRPr="00000000" w14:paraId="00000221">
      <w:pPr>
        <w:numPr>
          <w:ilvl w:val="0"/>
          <w:numId w:val="27"/>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Meroka has already transitioned 6 clinics and has 3 more under LOI, totaling $32M in revenue under management.</w:t>
      </w:r>
    </w:p>
    <w:p w:rsidR="00000000" w:rsidDel="00000000" w:rsidP="00000000" w:rsidRDefault="00000000" w:rsidRPr="00000000" w14:paraId="00000222">
      <w:pPr>
        <w:numPr>
          <w:ilvl w:val="0"/>
          <w:numId w:val="27"/>
        </w:numPr>
        <w:spacing w:after="24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The company’s full-stack platform integrates EMR, accounting, payroll, and document workflows to enable scalable, independent practice operations.</w:t>
      </w:r>
    </w:p>
    <w:p w:rsidR="00000000" w:rsidDel="00000000" w:rsidP="00000000" w:rsidRDefault="00000000" w:rsidRPr="00000000" w14:paraId="00000223">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224">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Continued alignment with Interplay’s core thesis: Application-layer AI, verticalized marketplaces, and automation of legacy service models.</w:t>
      </w:r>
    </w:p>
    <w:p w:rsidR="00000000" w:rsidDel="00000000" w:rsidP="00000000" w:rsidRDefault="00000000" w:rsidRPr="00000000" w14:paraId="00000225">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Fund II saw smart capital recycling and strategic secondary pricing through the Smalls investment.</w:t>
      </w:r>
    </w:p>
    <w:p w:rsidR="00000000" w:rsidDel="00000000" w:rsidP="00000000" w:rsidRDefault="00000000" w:rsidRPr="00000000" w14:paraId="00000226">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Fund IV is actively deploying capital; Meroka represents a strong early-stage bet on the transformation of healthcare practices through aligned incentives and operational AI.</w:t>
      </w:r>
    </w:p>
    <w:p w:rsidR="00000000" w:rsidDel="00000000" w:rsidP="00000000" w:rsidRDefault="00000000" w:rsidRPr="00000000" w14:paraId="00000227">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Despite broader market uncertainty, the firm notes ongoing founder activity and investor enthusiasm—especially around AI-enabled business models.</w:t>
      </w:r>
    </w:p>
    <w:p w:rsidR="00000000" w:rsidDel="00000000" w:rsidP="00000000" w:rsidRDefault="00000000" w:rsidRPr="00000000" w14:paraId="00000228">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229">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22A">
      <w:pPr>
        <w:numPr>
          <w:ilvl w:val="0"/>
          <w:numId w:val="27"/>
        </w:numPr>
        <w:spacing w:after="0" w:afterAutospacing="0" w:before="24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New Investment: Meroka, a startup enabling physician-owned MSOs supported by AI operations.</w:t>
      </w:r>
    </w:p>
    <w:p w:rsidR="00000000" w:rsidDel="00000000" w:rsidP="00000000" w:rsidRDefault="00000000" w:rsidRPr="00000000" w14:paraId="0000022B">
      <w:pPr>
        <w:numPr>
          <w:ilvl w:val="0"/>
          <w:numId w:val="27"/>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Q3 marked a robust return to dealmaking post-summer, with AI continuing to drive innovation and fundraising momentum.</w:t>
        <w:br w:type="textWrapping"/>
      </w:r>
    </w:p>
    <w:p w:rsidR="00000000" w:rsidDel="00000000" w:rsidP="00000000" w:rsidRDefault="00000000" w:rsidRPr="00000000" w14:paraId="0000022C">
      <w:pPr>
        <w:numPr>
          <w:ilvl w:val="0"/>
          <w:numId w:val="27"/>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Interplay’s cadence of updates remains quarterly, with Q1/Q3 offering high-level highlights and Q2/Q4 providing deeper performance and operational context.</w:t>
      </w:r>
    </w:p>
    <w:p w:rsidR="00000000" w:rsidDel="00000000" w:rsidP="00000000" w:rsidRDefault="00000000" w:rsidRPr="00000000" w14:paraId="0000022D">
      <w:pPr>
        <w:numPr>
          <w:ilvl w:val="0"/>
          <w:numId w:val="27"/>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Links to full portfolio pages for Funds II, III, and IV were provided for LP reference, signaling ongoing transparency and active portfolio engagement.</w:t>
      </w:r>
    </w:p>
    <w:p w:rsidR="00000000" w:rsidDel="00000000" w:rsidP="00000000" w:rsidRDefault="00000000" w:rsidRPr="00000000" w14:paraId="0000022E">
      <w:pPr>
        <w:numPr>
          <w:ilvl w:val="0"/>
          <w:numId w:val="27"/>
        </w:numPr>
        <w:spacing w:after="24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The investment in Meroka reinforces Interplay’s thesis around vertical AI and aligned incentive structures—a trend also being seen in other emerging healthcare infrastructure startups.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1"/>
        <w:spacing w:line="240" w:lineRule="auto"/>
        <w:rPr>
          <w:rFonts w:ascii="Gothic A1" w:cs="Gothic A1" w:eastAsia="Gothic A1" w:hAnsi="Gothic A1"/>
        </w:rPr>
      </w:pPr>
      <w:bookmarkStart w:colFirst="0" w:colLast="0" w:name="_nlm9nhrpphs2" w:id="26"/>
      <w:bookmarkEnd w:id="26"/>
      <w:r w:rsidDel="00000000" w:rsidR="00000000" w:rsidRPr="00000000">
        <w:rPr>
          <w:rFonts w:ascii="Gothic A1" w:cs="Gothic A1" w:eastAsia="Gothic A1" w:hAnsi="Gothic A1"/>
          <w:u w:val="none"/>
          <w:rtl w:val="0"/>
        </w:rPr>
        <w:t xml:space="preserve">Freedom Biosciences Update [As Expected]</w:t>
      </w:r>
      <w:r w:rsidDel="00000000" w:rsidR="00000000" w:rsidRPr="00000000">
        <w:rPr>
          <w:rtl w:val="0"/>
        </w:rPr>
      </w:r>
    </w:p>
    <w:p w:rsidR="00000000" w:rsidDel="00000000" w:rsidP="00000000" w:rsidRDefault="00000000" w:rsidRPr="00000000" w14:paraId="00000231">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232">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233">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234">
      <w:pPr>
        <w:numPr>
          <w:ilvl w:val="0"/>
          <w:numId w:val="23"/>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235">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236">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Fund / Company</w:t>
      </w:r>
      <w:r w:rsidDel="00000000" w:rsidR="00000000" w:rsidRPr="00000000">
        <w:rPr>
          <w:rFonts w:ascii="Gothic A1" w:cs="Gothic A1" w:eastAsia="Gothic A1" w:hAnsi="Gothic A1"/>
          <w:u w:val="single"/>
          <w:rtl w:val="0"/>
        </w:rPr>
        <w:t xml:space="preserve"> Performance</w:t>
      </w:r>
    </w:p>
    <w:p w:rsidR="00000000" w:rsidDel="00000000" w:rsidP="00000000" w:rsidRDefault="00000000" w:rsidRPr="00000000" w14:paraId="00000237">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No fund-level IRR, MOIC, or DPI metrics were disclosed in this update.</w:t>
      </w:r>
    </w:p>
    <w:p w:rsidR="00000000" w:rsidDel="00000000" w:rsidP="00000000" w:rsidRDefault="00000000" w:rsidRPr="00000000" w14:paraId="00000238">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Key programs progressing through preclinical and early clinical stages include Free001 (ketamine IV solution) and Free008 (psychedelic therapeutic for cardiovascular and psychiatric use).</w:t>
      </w:r>
    </w:p>
    <w:p w:rsidR="00000000" w:rsidDel="00000000" w:rsidP="00000000" w:rsidRDefault="00000000" w:rsidRPr="00000000" w14:paraId="00000239">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Series B fundraising is underway with a target raise of $30–50M. Lead investor due diligence is in late stages, with $30M to be unlocked upon planned Phase 2 topline data for Free001 and Phase 1a/b data for Free008.</w:t>
      </w:r>
    </w:p>
    <w:p w:rsidR="00000000" w:rsidDel="00000000" w:rsidP="00000000" w:rsidRDefault="00000000" w:rsidRPr="00000000" w14:paraId="0000023A">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Additional capital (up to $50M) may support CMC development and Phase 3 (Free001) and Phase 2 (Free008) trial acceleration.</w:t>
      </w:r>
    </w:p>
    <w:p w:rsidR="00000000" w:rsidDel="00000000" w:rsidP="00000000" w:rsidRDefault="00000000" w:rsidRPr="00000000" w14:paraId="0000023B">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23C">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23D">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The company has soft commitments for ~15–20% of the Series B round already from insiders and seeks broader early interest to support term sheet negotiations by December 17.</w:t>
      </w:r>
    </w:p>
    <w:p w:rsidR="00000000" w:rsidDel="00000000" w:rsidP="00000000" w:rsidRDefault="00000000" w:rsidRPr="00000000" w14:paraId="0000023E">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Free001 Phase 2: Prototyping is near completion for two IV bag options. Development batch testing is planned for early Q1 2026, with Phase 2 study targeted for Q2 2026, contingent on Series B close.</w:t>
      </w:r>
    </w:p>
    <w:p w:rsidR="00000000" w:rsidDel="00000000" w:rsidP="00000000" w:rsidRDefault="00000000" w:rsidRPr="00000000" w14:paraId="0000023F">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Free008 Phase 1: Experienced delays due to Chinese regulatory shifts. A new US-based CRO has been secured. Cardiovascular tox work begins next month, with UK Phase 1 trial planned for early 2027.</w:t>
      </w:r>
    </w:p>
    <w:p w:rsidR="00000000" w:rsidDel="00000000" w:rsidP="00000000" w:rsidRDefault="00000000" w:rsidRPr="00000000" w14:paraId="00000240">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Preparing for a Type D meeting with the FDA in early Q1 2026 to determine if Phase 1 trials for Free008 can proceed in the US to gain time efficiency.</w:t>
      </w:r>
    </w:p>
    <w:p w:rsidR="00000000" w:rsidDel="00000000" w:rsidP="00000000" w:rsidRDefault="00000000" w:rsidRPr="00000000" w14:paraId="00000241">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242">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2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Strong external validation is seen in industry M&amp;A and positive trial data, including:</w:t>
      </w:r>
    </w:p>
    <w:p w:rsidR="00000000" w:rsidDel="00000000" w:rsidP="00000000" w:rsidRDefault="00000000" w:rsidRPr="00000000" w14:paraId="0000024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AbbVie’s $1B+ investment in Gilgamesh’s psychedelic drug.</w:t>
      </w:r>
    </w:p>
    <w:p w:rsidR="00000000" w:rsidDel="00000000" w:rsidP="00000000" w:rsidRDefault="00000000" w:rsidRPr="00000000" w14:paraId="0000024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Atai/Beckley merger and Supernus’ $561M Sage acquisition.</w:t>
      </w:r>
    </w:p>
    <w:p w:rsidR="00000000" w:rsidDel="00000000" w:rsidP="00000000" w:rsidRDefault="00000000" w:rsidRPr="00000000" w14:paraId="0000024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Compass Pathways’ and Atai’s positive Phase 2b readouts.</w:t>
      </w:r>
    </w:p>
    <w:p w:rsidR="00000000" w:rsidDel="00000000" w:rsidP="00000000" w:rsidRDefault="00000000" w:rsidRPr="00000000" w14:paraId="000002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Freedom Bio was active across several high-profile industry events and conferences:</w:t>
      </w:r>
    </w:p>
    <w:p w:rsidR="00000000" w:rsidDel="00000000" w:rsidP="00000000" w:rsidRDefault="00000000" w:rsidRPr="00000000" w14:paraId="0000024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8th Neuropsychiatric Drug Development Conference (Boston).</w:t>
      </w:r>
    </w:p>
    <w:p w:rsidR="00000000" w:rsidDel="00000000" w:rsidP="00000000" w:rsidRDefault="00000000" w:rsidRPr="00000000" w14:paraId="0000024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One Mind Festival (Napa)</w:t>
      </w:r>
      <w:r w:rsidDel="00000000" w:rsidR="00000000" w:rsidRPr="00000000">
        <w:rPr>
          <w:rFonts w:ascii="Gothic A1" w:cs="Gothic A1" w:eastAsia="Gothic A1" w:hAnsi="Gothic A1"/>
          <w:rtl w:val="0"/>
        </w:rPr>
        <w:t xml:space="preserve"> – selected participant.</w:t>
      </w:r>
    </w:p>
    <w:p w:rsidR="00000000" w:rsidDel="00000000" w:rsidP="00000000" w:rsidRDefault="00000000" w:rsidRPr="00000000" w14:paraId="0000024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Wilson Sonsini Biopharma Summit</w:t>
      </w:r>
      <w:r w:rsidDel="00000000" w:rsidR="00000000" w:rsidRPr="00000000">
        <w:rPr>
          <w:rFonts w:ascii="Gothic A1" w:cs="Gothic A1" w:eastAsia="Gothic A1" w:hAnsi="Gothic A1"/>
          <w:rtl w:val="0"/>
        </w:rPr>
        <w:t xml:space="preserve"> and </w:t>
      </w:r>
      <w:r w:rsidDel="00000000" w:rsidR="00000000" w:rsidRPr="00000000">
        <w:rPr>
          <w:rFonts w:ascii="Gothic A1" w:cs="Gothic A1" w:eastAsia="Gothic A1" w:hAnsi="Gothic A1"/>
          <w:rtl w:val="0"/>
        </w:rPr>
        <w:t xml:space="preserve">Wells Fargo Private Track.</w:t>
      </w:r>
    </w:p>
    <w:p w:rsidR="00000000" w:rsidDel="00000000" w:rsidP="00000000" w:rsidRDefault="00000000" w:rsidRPr="00000000" w14:paraId="0000024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Panel participation at </w:t>
      </w:r>
      <w:r w:rsidDel="00000000" w:rsidR="00000000" w:rsidRPr="00000000">
        <w:rPr>
          <w:rFonts w:ascii="Gothic A1" w:cs="Gothic A1" w:eastAsia="Gothic A1" w:hAnsi="Gothic A1"/>
          <w:rtl w:val="0"/>
        </w:rPr>
        <w:t xml:space="preserve">Harvard Business School Healthcare Conference</w:t>
      </w:r>
      <w:r w:rsidDel="00000000" w:rsidR="00000000" w:rsidRPr="00000000">
        <w:rPr>
          <w:rFonts w:ascii="Gothic A1" w:cs="Gothic A1" w:eastAsia="Gothic A1" w:hAnsi="Gothic A1"/>
          <w:rtl w:val="0"/>
        </w:rPr>
        <w:t xml:space="preserve"> with Gilgamesh and others.</w:t>
      </w:r>
    </w:p>
    <w:p w:rsidR="00000000" w:rsidDel="00000000" w:rsidP="00000000" w:rsidRDefault="00000000" w:rsidRPr="00000000" w14:paraId="000002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Upcoming presentations at Evercore, Citi, Lucid, and JPM Healthcare Conferences signal continued engagement with top-tier investors and strategic partners.</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1"/>
        <w:spacing w:line="240" w:lineRule="auto"/>
        <w:rPr>
          <w:rFonts w:ascii="Gothic A1" w:cs="Gothic A1" w:eastAsia="Gothic A1" w:hAnsi="Gothic A1"/>
        </w:rPr>
      </w:pPr>
      <w:bookmarkStart w:colFirst="0" w:colLast="0" w:name="_u868my5r0i1f" w:id="27"/>
      <w:bookmarkEnd w:id="27"/>
      <w:r w:rsidDel="00000000" w:rsidR="00000000" w:rsidRPr="00000000">
        <w:rPr>
          <w:rFonts w:ascii="Gothic A1" w:cs="Gothic A1" w:eastAsia="Gothic A1" w:hAnsi="Gothic A1"/>
          <w:u w:val="none"/>
          <w:rtl w:val="0"/>
        </w:rPr>
        <w:t xml:space="preserve">Figure AI Update [As Expected]</w:t>
      </w:r>
      <w:r w:rsidDel="00000000" w:rsidR="00000000" w:rsidRPr="00000000">
        <w:rPr>
          <w:rtl w:val="0"/>
        </w:rPr>
      </w:r>
    </w:p>
    <w:p w:rsidR="00000000" w:rsidDel="00000000" w:rsidP="00000000" w:rsidRDefault="00000000" w:rsidRPr="00000000" w14:paraId="0000024F">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250">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251">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252">
      <w:pPr>
        <w:numPr>
          <w:ilvl w:val="0"/>
          <w:numId w:val="23"/>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253">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254">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Fund / Company</w:t>
      </w:r>
      <w:r w:rsidDel="00000000" w:rsidR="00000000" w:rsidRPr="00000000">
        <w:rPr>
          <w:rFonts w:ascii="Gothic A1" w:cs="Gothic A1" w:eastAsia="Gothic A1" w:hAnsi="Gothic A1"/>
          <w:u w:val="single"/>
          <w:rtl w:val="0"/>
        </w:rPr>
        <w:t xml:space="preserve"> Performance</w:t>
      </w:r>
    </w:p>
    <w:p w:rsidR="00000000" w:rsidDel="00000000" w:rsidP="00000000" w:rsidRDefault="00000000" w:rsidRPr="00000000" w14:paraId="00000255">
      <w:pPr>
        <w:spacing w:line="240" w:lineRule="auto"/>
        <w:ind w:left="720" w:hanging="360"/>
        <w:rPr>
          <w:rFonts w:ascii="Gothic A1" w:cs="Gothic A1" w:eastAsia="Gothic A1" w:hAnsi="Gothic A1"/>
          <w:b w:val="1"/>
          <w:bCs w:val="1"/>
        </w:rPr>
      </w:pPr>
      <w:r w:rsidDel="00000000" w:rsidR="00000000" w:rsidRPr="00000000">
        <w:rPr>
          <w:rFonts w:ascii="Gothic A1" w:cs="Gothic A1" w:eastAsia="Gothic A1" w:hAnsi="Gothic A1"/>
          <w:b w:val="1"/>
          <w:bCs w:val="1"/>
          <w:rtl w:val="0"/>
        </w:rPr>
        <w:t xml:space="preserve">Co-Investment 7 (Figure AI)</w:t>
      </w:r>
    </w:p>
    <w:p w:rsidR="00000000" w:rsidDel="00000000" w:rsidP="00000000" w:rsidRDefault="00000000" w:rsidRPr="00000000" w14:paraId="00000256">
      <w:pPr>
        <w:numPr>
          <w:ilvl w:val="0"/>
          <w:numId w:val="5"/>
        </w:numPr>
        <w:spacing w:after="0" w:afterAutospacing="0" w:before="24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Capital Invested: </w:t>
      </w:r>
      <w:r w:rsidDel="00000000" w:rsidR="00000000" w:rsidRPr="00000000">
        <w:rPr>
          <w:rFonts w:ascii="Gothic A1" w:cs="Gothic A1" w:eastAsia="Gothic A1" w:hAnsi="Gothic A1"/>
          <w:b w:val="1"/>
          <w:bCs w:val="1"/>
          <w:rtl w:val="0"/>
        </w:rPr>
        <w:t xml:space="preserve">$15.6M</w:t>
      </w:r>
    </w:p>
    <w:p w:rsidR="00000000" w:rsidDel="00000000" w:rsidP="00000000" w:rsidRDefault="00000000" w:rsidRPr="00000000" w14:paraId="00000257">
      <w:pPr>
        <w:numPr>
          <w:ilvl w:val="0"/>
          <w:numId w:val="5"/>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Current Value: </w:t>
      </w:r>
      <w:r w:rsidDel="00000000" w:rsidR="00000000" w:rsidRPr="00000000">
        <w:rPr>
          <w:rFonts w:ascii="Gothic A1" w:cs="Gothic A1" w:eastAsia="Gothic A1" w:hAnsi="Gothic A1"/>
          <w:b w:val="1"/>
          <w:bCs w:val="1"/>
          <w:rtl w:val="0"/>
        </w:rPr>
        <w:t xml:space="preserve">$803.0M</w:t>
      </w:r>
    </w:p>
    <w:p w:rsidR="00000000" w:rsidDel="00000000" w:rsidP="00000000" w:rsidRDefault="00000000" w:rsidRPr="00000000" w14:paraId="00000258">
      <w:pPr>
        <w:numPr>
          <w:ilvl w:val="0"/>
          <w:numId w:val="5"/>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TVPI: </w:t>
      </w:r>
      <w:r w:rsidDel="00000000" w:rsidR="00000000" w:rsidRPr="00000000">
        <w:rPr>
          <w:rFonts w:ascii="Gothic A1" w:cs="Gothic A1" w:eastAsia="Gothic A1" w:hAnsi="Gothic A1"/>
          <w:b w:val="1"/>
          <w:bCs w:val="1"/>
          <w:rtl w:val="0"/>
        </w:rPr>
        <w:t xml:space="preserve">51.4x</w:t>
      </w:r>
    </w:p>
    <w:p w:rsidR="00000000" w:rsidDel="00000000" w:rsidP="00000000" w:rsidRDefault="00000000" w:rsidRPr="00000000" w14:paraId="00000259">
      <w:pPr>
        <w:numPr>
          <w:ilvl w:val="0"/>
          <w:numId w:val="5"/>
        </w:numPr>
        <w:spacing w:after="24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DPI: 0%</w:t>
        <w:br w:type="textWrapping"/>
      </w:r>
    </w:p>
    <w:p w:rsidR="00000000" w:rsidDel="00000000" w:rsidP="00000000" w:rsidRDefault="00000000" w:rsidRPr="00000000" w14:paraId="0000025A">
      <w:pPr>
        <w:spacing w:line="240" w:lineRule="auto"/>
        <w:ind w:left="720" w:hanging="360"/>
        <w:rPr>
          <w:rFonts w:ascii="Gothic A1" w:cs="Gothic A1" w:eastAsia="Gothic A1" w:hAnsi="Gothic A1"/>
          <w:b w:val="1"/>
          <w:bCs w:val="1"/>
        </w:rPr>
      </w:pPr>
      <w:r w:rsidDel="00000000" w:rsidR="00000000" w:rsidRPr="00000000">
        <w:rPr>
          <w:rFonts w:ascii="Gothic A1" w:cs="Gothic A1" w:eastAsia="Gothic A1" w:hAnsi="Gothic A1"/>
          <w:b w:val="1"/>
          <w:bCs w:val="1"/>
          <w:rtl w:val="0"/>
        </w:rPr>
        <w:t xml:space="preserve">Co-Investment 9 (Figure Series B)</w:t>
      </w:r>
    </w:p>
    <w:p w:rsidR="00000000" w:rsidDel="00000000" w:rsidP="00000000" w:rsidRDefault="00000000" w:rsidRPr="00000000" w14:paraId="0000025B">
      <w:pPr>
        <w:numPr>
          <w:ilvl w:val="0"/>
          <w:numId w:val="9"/>
        </w:numPr>
        <w:spacing w:after="0" w:afterAutospacing="0" w:before="24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Capital Invested: </w:t>
      </w:r>
      <w:r w:rsidDel="00000000" w:rsidR="00000000" w:rsidRPr="00000000">
        <w:rPr>
          <w:rFonts w:ascii="Gothic A1" w:cs="Gothic A1" w:eastAsia="Gothic A1" w:hAnsi="Gothic A1"/>
          <w:b w:val="1"/>
          <w:bCs w:val="1"/>
          <w:rtl w:val="0"/>
        </w:rPr>
        <w:t xml:space="preserve">$108.7M</w:t>
      </w:r>
    </w:p>
    <w:p w:rsidR="00000000" w:rsidDel="00000000" w:rsidP="00000000" w:rsidRDefault="00000000" w:rsidRPr="00000000" w14:paraId="0000025C">
      <w:pPr>
        <w:numPr>
          <w:ilvl w:val="0"/>
          <w:numId w:val="9"/>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Current Value: </w:t>
      </w:r>
      <w:r w:rsidDel="00000000" w:rsidR="00000000" w:rsidRPr="00000000">
        <w:rPr>
          <w:rFonts w:ascii="Gothic A1" w:cs="Gothic A1" w:eastAsia="Gothic A1" w:hAnsi="Gothic A1"/>
          <w:b w:val="1"/>
          <w:bCs w:val="1"/>
          <w:rtl w:val="0"/>
        </w:rPr>
        <w:t xml:space="preserve">$1.37B</w:t>
      </w:r>
    </w:p>
    <w:p w:rsidR="00000000" w:rsidDel="00000000" w:rsidP="00000000" w:rsidRDefault="00000000" w:rsidRPr="00000000" w14:paraId="0000025D">
      <w:pPr>
        <w:numPr>
          <w:ilvl w:val="0"/>
          <w:numId w:val="9"/>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TVPI: </w:t>
      </w:r>
      <w:r w:rsidDel="00000000" w:rsidR="00000000" w:rsidRPr="00000000">
        <w:rPr>
          <w:rFonts w:ascii="Gothic A1" w:cs="Gothic A1" w:eastAsia="Gothic A1" w:hAnsi="Gothic A1"/>
          <w:b w:val="1"/>
          <w:bCs w:val="1"/>
          <w:rtl w:val="0"/>
        </w:rPr>
        <w:t xml:space="preserve">12.6x</w:t>
      </w:r>
    </w:p>
    <w:p w:rsidR="00000000" w:rsidDel="00000000" w:rsidP="00000000" w:rsidRDefault="00000000" w:rsidRPr="00000000" w14:paraId="0000025E">
      <w:pPr>
        <w:numPr>
          <w:ilvl w:val="0"/>
          <w:numId w:val="9"/>
        </w:numPr>
        <w:spacing w:after="24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DPI: 0%</w:t>
        <w:br w:type="textWrapping"/>
      </w:r>
    </w:p>
    <w:p w:rsidR="00000000" w:rsidDel="00000000" w:rsidP="00000000" w:rsidRDefault="00000000" w:rsidRPr="00000000" w14:paraId="0000025F">
      <w:pPr>
        <w:spacing w:line="240" w:lineRule="auto"/>
        <w:ind w:left="720" w:hanging="360"/>
        <w:rPr>
          <w:rFonts w:ascii="Gothic A1" w:cs="Gothic A1" w:eastAsia="Gothic A1" w:hAnsi="Gothic A1"/>
          <w:b w:val="1"/>
          <w:bCs w:val="1"/>
        </w:rPr>
      </w:pPr>
      <w:r w:rsidDel="00000000" w:rsidR="00000000" w:rsidRPr="00000000">
        <w:rPr>
          <w:rFonts w:ascii="Gothic A1" w:cs="Gothic A1" w:eastAsia="Gothic A1" w:hAnsi="Gothic A1"/>
          <w:b w:val="1"/>
          <w:bCs w:val="1"/>
          <w:rtl w:val="0"/>
        </w:rPr>
        <w:t xml:space="preserve">Co-Investment 12 (Figure Series C)</w:t>
      </w:r>
    </w:p>
    <w:p w:rsidR="00000000" w:rsidDel="00000000" w:rsidP="00000000" w:rsidRDefault="00000000" w:rsidRPr="00000000" w14:paraId="00000260">
      <w:pPr>
        <w:numPr>
          <w:ilvl w:val="0"/>
          <w:numId w:val="18"/>
        </w:numPr>
        <w:spacing w:after="0" w:afterAutospacing="0" w:before="24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Capital Invested: </w:t>
      </w:r>
      <w:r w:rsidDel="00000000" w:rsidR="00000000" w:rsidRPr="00000000">
        <w:rPr>
          <w:rFonts w:ascii="Gothic A1" w:cs="Gothic A1" w:eastAsia="Gothic A1" w:hAnsi="Gothic A1"/>
          <w:b w:val="1"/>
          <w:bCs w:val="1"/>
          <w:rtl w:val="0"/>
        </w:rPr>
        <w:t xml:space="preserve">$85.1M</w:t>
      </w:r>
    </w:p>
    <w:p w:rsidR="00000000" w:rsidDel="00000000" w:rsidP="00000000" w:rsidRDefault="00000000" w:rsidRPr="00000000" w14:paraId="00000261">
      <w:pPr>
        <w:numPr>
          <w:ilvl w:val="0"/>
          <w:numId w:val="18"/>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Current Value: </w:t>
      </w:r>
      <w:r w:rsidDel="00000000" w:rsidR="00000000" w:rsidRPr="00000000">
        <w:rPr>
          <w:rFonts w:ascii="Gothic A1" w:cs="Gothic A1" w:eastAsia="Gothic A1" w:hAnsi="Gothic A1"/>
          <w:b w:val="1"/>
          <w:bCs w:val="1"/>
          <w:rtl w:val="0"/>
        </w:rPr>
        <w:t xml:space="preserve">$84.5M</w:t>
      </w:r>
    </w:p>
    <w:p w:rsidR="00000000" w:rsidDel="00000000" w:rsidP="00000000" w:rsidRDefault="00000000" w:rsidRPr="00000000" w14:paraId="00000262">
      <w:pPr>
        <w:numPr>
          <w:ilvl w:val="0"/>
          <w:numId w:val="18"/>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TVPI: </w:t>
      </w:r>
      <w:r w:rsidDel="00000000" w:rsidR="00000000" w:rsidRPr="00000000">
        <w:rPr>
          <w:rFonts w:ascii="Gothic A1" w:cs="Gothic A1" w:eastAsia="Gothic A1" w:hAnsi="Gothic A1"/>
          <w:b w:val="1"/>
          <w:bCs w:val="1"/>
          <w:rtl w:val="0"/>
        </w:rPr>
        <w:t xml:space="preserve">0.99x</w:t>
      </w:r>
    </w:p>
    <w:p w:rsidR="00000000" w:rsidDel="00000000" w:rsidP="00000000" w:rsidRDefault="00000000" w:rsidRPr="00000000" w14:paraId="00000263">
      <w:pPr>
        <w:numPr>
          <w:ilvl w:val="0"/>
          <w:numId w:val="18"/>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DPI: 0%</w:t>
      </w:r>
    </w:p>
    <w:p w:rsidR="00000000" w:rsidDel="00000000" w:rsidP="00000000" w:rsidRDefault="00000000" w:rsidRPr="00000000" w14:paraId="00000264">
      <w:pPr>
        <w:numPr>
          <w:ilvl w:val="0"/>
          <w:numId w:val="18"/>
        </w:numPr>
        <w:spacing w:after="24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Total Parkway exposure to Figure AI across all rounds</w:t>
      </w:r>
      <w:r w:rsidDel="00000000" w:rsidR="00000000" w:rsidRPr="00000000">
        <w:rPr>
          <w:rFonts w:ascii="Gothic A1" w:cs="Gothic A1" w:eastAsia="Gothic A1" w:hAnsi="Gothic A1"/>
          <w:rtl w:val="0"/>
        </w:rPr>
        <w:t xml:space="preserve"> exceeds </w:t>
      </w:r>
      <w:r w:rsidDel="00000000" w:rsidR="00000000" w:rsidRPr="00000000">
        <w:rPr>
          <w:rFonts w:ascii="Gothic A1" w:cs="Gothic A1" w:eastAsia="Gothic A1" w:hAnsi="Gothic A1"/>
          <w:rtl w:val="0"/>
        </w:rPr>
        <w:t xml:space="preserve">$209M</w:t>
      </w:r>
      <w:r w:rsidDel="00000000" w:rsidR="00000000" w:rsidRPr="00000000">
        <w:rPr>
          <w:rFonts w:ascii="Gothic A1" w:cs="Gothic A1" w:eastAsia="Gothic A1" w:hAnsi="Gothic A1"/>
          <w:rtl w:val="0"/>
        </w:rPr>
        <w:t xml:space="preserve">, with combined current value over </w:t>
      </w:r>
      <w:r w:rsidDel="00000000" w:rsidR="00000000" w:rsidRPr="00000000">
        <w:rPr>
          <w:rFonts w:ascii="Gothic A1" w:cs="Gothic A1" w:eastAsia="Gothic A1" w:hAnsi="Gothic A1"/>
          <w:rtl w:val="0"/>
        </w:rPr>
        <w:t xml:space="preserve">$2.25B</w:t>
      </w:r>
      <w:r w:rsidDel="00000000" w:rsidR="00000000" w:rsidRPr="00000000">
        <w:rPr>
          <w:rFonts w:ascii="Gothic A1" w:cs="Gothic A1" w:eastAsia="Gothic A1" w:hAnsi="Gothic A1"/>
          <w:rtl w:val="0"/>
        </w:rPr>
        <w:t xml:space="preserve">, reflecting extremely strong marked appreciation, especially in Series A and B holdings.</w:t>
      </w:r>
    </w:p>
    <w:p w:rsidR="00000000" w:rsidDel="00000000" w:rsidP="00000000" w:rsidRDefault="00000000" w:rsidRPr="00000000" w14:paraId="00000265">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266">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267">
      <w:p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Q3 2025 was a breakout quarter</w:t>
      </w:r>
      <w:r w:rsidDel="00000000" w:rsidR="00000000" w:rsidRPr="00000000">
        <w:rPr>
          <w:rFonts w:ascii="Gothic A1" w:cs="Gothic A1" w:eastAsia="Gothic A1" w:hAnsi="Gothic A1"/>
          <w:rtl w:val="0"/>
        </w:rPr>
        <w:t xml:space="preserve"> for Figure AI, marked by:</w:t>
      </w:r>
    </w:p>
    <w:p w:rsidR="00000000" w:rsidDel="00000000" w:rsidP="00000000" w:rsidRDefault="00000000" w:rsidRPr="00000000" w14:paraId="00000268">
      <w:pPr>
        <w:numPr>
          <w:ilvl w:val="0"/>
          <w:numId w:val="13"/>
        </w:numPr>
        <w:spacing w:after="0" w:afterAutospacing="0" w:before="24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Public demonstrations of real-world humanoid dexterity, including folding laundry and loading a dishwasher—complex tasks requiring fine motor coordination and perceptual reasoning.</w:t>
      </w:r>
    </w:p>
    <w:p w:rsidR="00000000" w:rsidDel="00000000" w:rsidP="00000000" w:rsidRDefault="00000000" w:rsidRPr="00000000" w14:paraId="00000269">
      <w:pPr>
        <w:numPr>
          <w:ilvl w:val="0"/>
          <w:numId w:val="13"/>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Completion of a $1B+ Series C round, bringing Figure’s post-money valuation to $40+ billion. Parkway led the round, with strategic participation from NVIDIA, Intel Capital, Qualcomm Ventures, Salesforce, Brookfield, LG, T-Mobile Ventures, Microsoft, OpenAI, and Jeff Bezos.</w:t>
      </w:r>
    </w:p>
    <w:p w:rsidR="00000000" w:rsidDel="00000000" w:rsidP="00000000" w:rsidRDefault="00000000" w:rsidRPr="00000000" w14:paraId="0000026A">
      <w:pPr>
        <w:numPr>
          <w:ilvl w:val="0"/>
          <w:numId w:val="13"/>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Launch of Project Go-Big, a landmark initiative focused on large-scale humanoid pretraining using internet-scale multimodal data and human-to-robot skill transfer.</w:t>
      </w:r>
    </w:p>
    <w:p w:rsidR="00000000" w:rsidDel="00000000" w:rsidP="00000000" w:rsidRDefault="00000000" w:rsidRPr="00000000" w14:paraId="0000026B">
      <w:pPr>
        <w:numPr>
          <w:ilvl w:val="0"/>
          <w:numId w:val="13"/>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Reveal of Figure 03, the next-gen humanoid platform designed for mass production, with modular components, improved battery, and tighter AI integration.</w:t>
      </w:r>
    </w:p>
    <w:p w:rsidR="00000000" w:rsidDel="00000000" w:rsidP="00000000" w:rsidRDefault="00000000" w:rsidRPr="00000000" w14:paraId="0000026C">
      <w:pPr>
        <w:numPr>
          <w:ilvl w:val="0"/>
          <w:numId w:val="13"/>
        </w:numPr>
        <w:spacing w:after="24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Figure has gone from a $420M valuation at Series A (2023) to $40B+ in Series C (2025), making it one of the most capital-efficient and rapidly appreciated investments in Parkway’s portfolio.</w:t>
      </w:r>
    </w:p>
    <w:p w:rsidR="00000000" w:rsidDel="00000000" w:rsidP="00000000" w:rsidRDefault="00000000" w:rsidRPr="00000000" w14:paraId="0000026D">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26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Figure’s technology integrates proprietary </w:t>
      </w:r>
      <w:r w:rsidDel="00000000" w:rsidR="00000000" w:rsidRPr="00000000">
        <w:rPr>
          <w:rFonts w:ascii="Gothic A1" w:cs="Gothic A1" w:eastAsia="Gothic A1" w:hAnsi="Gothic A1"/>
          <w:rtl w:val="0"/>
        </w:rPr>
        <w:t xml:space="preserve">Helix AI</w:t>
      </w:r>
      <w:r w:rsidDel="00000000" w:rsidR="00000000" w:rsidRPr="00000000">
        <w:rPr>
          <w:rFonts w:ascii="Gothic A1" w:cs="Gothic A1" w:eastAsia="Gothic A1" w:hAnsi="Gothic A1"/>
          <w:rtl w:val="0"/>
        </w:rPr>
        <w:t xml:space="preserve">, enabling real-world general-purpose functionality in humanoid robots.</w:t>
      </w:r>
    </w:p>
    <w:p w:rsidR="00000000" w:rsidDel="00000000" w:rsidP="00000000" w:rsidRDefault="00000000" w:rsidRPr="00000000" w14:paraId="0000026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Strategic partnership with </w:t>
      </w:r>
      <w:r w:rsidDel="00000000" w:rsidR="00000000" w:rsidRPr="00000000">
        <w:rPr>
          <w:rFonts w:ascii="Gothic A1" w:cs="Gothic A1" w:eastAsia="Gothic A1" w:hAnsi="Gothic A1"/>
          <w:rtl w:val="0"/>
        </w:rPr>
        <w:t xml:space="preserve">Brookfield</w:t>
      </w:r>
      <w:r w:rsidDel="00000000" w:rsidR="00000000" w:rsidRPr="00000000">
        <w:rPr>
          <w:rFonts w:ascii="Gothic A1" w:cs="Gothic A1" w:eastAsia="Gothic A1" w:hAnsi="Gothic A1"/>
          <w:rtl w:val="0"/>
        </w:rPr>
        <w:t xml:space="preserve"> provides real-world industrial environments for training data and deployment—an edge in large-scale robotics learning.</w:t>
      </w:r>
    </w:p>
    <w:p w:rsidR="00000000" w:rsidDel="00000000" w:rsidP="00000000" w:rsidRDefault="00000000" w:rsidRPr="00000000" w14:paraId="0000027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Parkway remains a major backer and board-level partner, having led all funding rounds from Series A through C.</w:t>
      </w:r>
    </w:p>
    <w:p w:rsidR="00000000" w:rsidDel="00000000" w:rsidP="00000000" w:rsidRDefault="00000000" w:rsidRPr="00000000" w14:paraId="0000027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Figure is positioned at the frontier of embodied AI and is explicitly cited alongside OpenAI and xAI in Parkway's commentary on the </w:t>
      </w:r>
      <w:r w:rsidDel="00000000" w:rsidR="00000000" w:rsidRPr="00000000">
        <w:rPr>
          <w:rFonts w:ascii="Gothic A1" w:cs="Gothic A1" w:eastAsia="Gothic A1" w:hAnsi="Gothic A1"/>
          <w:rtl w:val="0"/>
        </w:rPr>
        <w:t xml:space="preserve">emerging race toward AGI</w:t>
      </w:r>
      <w:r w:rsidDel="00000000" w:rsidR="00000000" w:rsidRPr="00000000">
        <w:rPr>
          <w:rFonts w:ascii="Gothic A1" w:cs="Gothic A1" w:eastAsia="Gothic A1" w:hAnsi="Gothic A1"/>
          <w:rtl w:val="0"/>
        </w:rPr>
        <w:t xml:space="preserve">, with expected near-general cognitive functionality by 2027.</w:t>
      </w:r>
      <w:r w:rsidDel="00000000" w:rsidR="00000000" w:rsidRPr="00000000">
        <w:rPr>
          <w:rtl w:val="0"/>
        </w:rPr>
      </w:r>
    </w:p>
    <w:p w:rsidR="00000000" w:rsidDel="00000000" w:rsidP="00000000" w:rsidRDefault="00000000" w:rsidRPr="00000000" w14:paraId="00000272">
      <w:pPr>
        <w:spacing w:line="240" w:lineRule="auto"/>
        <w:rPr>
          <w:rFonts w:ascii="Gothic A1" w:cs="Gothic A1" w:eastAsia="Gothic A1" w:hAnsi="Gothic A1"/>
          <w:u w:val="single"/>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1"/>
        <w:spacing w:line="240" w:lineRule="auto"/>
        <w:rPr>
          <w:rFonts w:ascii="Gothic A1" w:cs="Gothic A1" w:eastAsia="Gothic A1" w:hAnsi="Gothic A1"/>
        </w:rPr>
      </w:pPr>
      <w:bookmarkStart w:colFirst="0" w:colLast="0" w:name="_1rkx9ul84yit" w:id="28"/>
      <w:bookmarkEnd w:id="28"/>
      <w:r w:rsidDel="00000000" w:rsidR="00000000" w:rsidRPr="00000000">
        <w:rPr>
          <w:rFonts w:ascii="Gothic A1" w:cs="Gothic A1" w:eastAsia="Gothic A1" w:hAnsi="Gothic A1"/>
          <w:u w:val="none"/>
          <w:rtl w:val="0"/>
        </w:rPr>
        <w:t xml:space="preserve">Coatue Asia Update [Outperforming]</w:t>
      </w:r>
      <w:r w:rsidDel="00000000" w:rsidR="00000000" w:rsidRPr="00000000">
        <w:rPr>
          <w:rtl w:val="0"/>
        </w:rPr>
      </w:r>
    </w:p>
    <w:p w:rsidR="00000000" w:rsidDel="00000000" w:rsidP="00000000" w:rsidRDefault="00000000" w:rsidRPr="00000000" w14:paraId="00000275">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276">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277">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278">
      <w:pPr>
        <w:numPr>
          <w:ilvl w:val="0"/>
          <w:numId w:val="23"/>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279">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27A">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Fund / Company</w:t>
      </w:r>
      <w:r w:rsidDel="00000000" w:rsidR="00000000" w:rsidRPr="00000000">
        <w:rPr>
          <w:rFonts w:ascii="Gothic A1" w:cs="Gothic A1" w:eastAsia="Gothic A1" w:hAnsi="Gothic A1"/>
          <w:u w:val="single"/>
          <w:rtl w:val="0"/>
        </w:rPr>
        <w:t xml:space="preserve"> Performance</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rtl w:val="0"/>
        </w:rPr>
        <w:t xml:space="preserve">Fund NAV (as of Nov 30, 2025): $552.0M</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rtl w:val="0"/>
        </w:rPr>
        <w:t xml:space="preserve">MTD Performance (Net): -4.1%</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rtl w:val="0"/>
        </w:rPr>
        <w:t xml:space="preserve">YTD Performance (Net): 54%</w:t>
      </w:r>
    </w:p>
    <w:p w:rsidR="00000000" w:rsidDel="00000000" w:rsidP="00000000" w:rsidRDefault="00000000" w:rsidRPr="00000000" w14:paraId="0000027E">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27F">
      <w:pPr>
        <w:numPr>
          <w:ilvl w:val="0"/>
          <w:numId w:val="12"/>
        </w:numPr>
        <w:spacing w:after="0" w:afterAutospacing="0" w:before="24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Strong year-to-date performance of ~54% net for both the main and feeder funds contrasts with a sharp MTD decline of -4.1%, primarily attributed to technology and China-related exposures.</w:t>
      </w:r>
    </w:p>
    <w:p w:rsidR="00000000" w:rsidDel="00000000" w:rsidP="00000000" w:rsidRDefault="00000000" w:rsidRPr="00000000" w14:paraId="00000280">
      <w:pPr>
        <w:numPr>
          <w:ilvl w:val="0"/>
          <w:numId w:val="12"/>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The fund significantly outperformed major indices YTD (e.g., MSCI China Index at 30.2%, Hang Seng Tech Index at 25.3%, NASDAQ Composite at 21.7%).</w:t>
      </w:r>
    </w:p>
    <w:p w:rsidR="00000000" w:rsidDel="00000000" w:rsidP="00000000" w:rsidRDefault="00000000" w:rsidRPr="00000000" w14:paraId="00000281">
      <w:pPr>
        <w:numPr>
          <w:ilvl w:val="0"/>
          <w:numId w:val="12"/>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The portfolio is heavily concentrated in large-cap and mega-cap names (&gt;$10B in market cap accounts for ~31% of NAV), while small and mid-cap exposures remain limited.</w:t>
      </w:r>
    </w:p>
    <w:p w:rsidR="00000000" w:rsidDel="00000000" w:rsidP="00000000" w:rsidRDefault="00000000" w:rsidRPr="00000000" w14:paraId="00000282">
      <w:pPr>
        <w:numPr>
          <w:ilvl w:val="0"/>
          <w:numId w:val="12"/>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Exposure by sector remains skewed toward Tech (26.8%), Private (8.4%), and Consumer/Retail (2.1%).</w:t>
      </w:r>
    </w:p>
    <w:p w:rsidR="00000000" w:rsidDel="00000000" w:rsidP="00000000" w:rsidRDefault="00000000" w:rsidRPr="00000000" w14:paraId="00000283">
      <w:pPr>
        <w:numPr>
          <w:ilvl w:val="0"/>
          <w:numId w:val="12"/>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Geographic concentration remains high with primary exposure to Japan (6.6%), South Korea (20.6%), and Taiwan (8.7%). Notably, China exposure was flat, suggesting hedging or limited active positions in the month.</w:t>
        <w:br w:type="textWrapping"/>
      </w:r>
    </w:p>
    <w:p w:rsidR="00000000" w:rsidDel="00000000" w:rsidP="00000000" w:rsidRDefault="00000000" w:rsidRPr="00000000" w14:paraId="00000284">
      <w:pPr>
        <w:numPr>
          <w:ilvl w:val="0"/>
          <w:numId w:val="12"/>
        </w:numPr>
        <w:spacing w:after="24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Despite the monthly drawdown, the cumulative return chart (</w:t>
      </w:r>
      <w:r w:rsidDel="00000000" w:rsidR="00000000" w:rsidRPr="00000000">
        <w:rPr>
          <w:rFonts w:ascii="Gothic A1" w:cs="Gothic A1" w:eastAsia="Gothic A1" w:hAnsi="Gothic A1"/>
          <w:i w:val="1"/>
          <w:iCs w:val="1"/>
          <w:rtl w:val="0"/>
        </w:rPr>
        <w:t xml:space="preserve">page 3</w:t>
      </w:r>
      <w:r w:rsidDel="00000000" w:rsidR="00000000" w:rsidRPr="00000000">
        <w:rPr>
          <w:rFonts w:ascii="Gothic A1" w:cs="Gothic A1" w:eastAsia="Gothic A1" w:hAnsi="Gothic A1"/>
          <w:rtl w:val="0"/>
        </w:rPr>
        <w:t xml:space="preserve">) shows positive long-term compounding since inception (Dec 2021), outperforming regional benchmarks.</w:t>
      </w:r>
      <w:r w:rsidDel="00000000" w:rsidR="00000000" w:rsidRPr="00000000">
        <w:rPr>
          <w:rtl w:val="0"/>
        </w:rPr>
      </w:r>
    </w:p>
    <w:p w:rsidR="00000000" w:rsidDel="00000000" w:rsidP="00000000" w:rsidRDefault="00000000" w:rsidRPr="00000000" w14:paraId="00000285">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286">
      <w:pPr>
        <w:numPr>
          <w:ilvl w:val="0"/>
          <w:numId w:val="12"/>
        </w:numPr>
        <w:spacing w:after="0" w:afterAutospacing="0" w:before="24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As of this report, the fund holds 15 issuers and maintains a high liquidity profile, with 98%–100% liquidity available within 1–5 days.</w:t>
      </w:r>
    </w:p>
    <w:p w:rsidR="00000000" w:rsidDel="00000000" w:rsidP="00000000" w:rsidRDefault="00000000" w:rsidRPr="00000000" w14:paraId="00000287">
      <w:pPr>
        <w:numPr>
          <w:ilvl w:val="0"/>
          <w:numId w:val="12"/>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Portfolio pricing integrity is supported by third-party confirmations, with 83.3% of NAV independently confirmed by MSFS and 16.7% from fund manager inputs, primarily for private investments.</w:t>
      </w:r>
    </w:p>
    <w:p w:rsidR="00000000" w:rsidDel="00000000" w:rsidP="00000000" w:rsidRDefault="00000000" w:rsidRPr="00000000" w14:paraId="00000288">
      <w:pPr>
        <w:numPr>
          <w:ilvl w:val="0"/>
          <w:numId w:val="12"/>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Only one private issuer is currently held in the portfolio; these private placement positions have limited liquidity.</w:t>
      </w:r>
    </w:p>
    <w:p w:rsidR="00000000" w:rsidDel="00000000" w:rsidP="00000000" w:rsidRDefault="00000000" w:rsidRPr="00000000" w14:paraId="00000289">
      <w:pPr>
        <w:numPr>
          <w:ilvl w:val="0"/>
          <w:numId w:val="12"/>
        </w:numPr>
        <w:spacing w:after="0" w:afterAutospacing="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Private investment NAV is classified as Level III under ASC 820 and comprises the largest single issuer exposure (8.42% of NAV), indicating a material position with limited public valuation transparency.</w:t>
      </w:r>
    </w:p>
    <w:p w:rsidR="00000000" w:rsidDel="00000000" w:rsidP="00000000" w:rsidRDefault="00000000" w:rsidRPr="00000000" w14:paraId="0000028A">
      <w:pPr>
        <w:numPr>
          <w:ilvl w:val="0"/>
          <w:numId w:val="12"/>
        </w:numPr>
        <w:spacing w:after="240" w:before="0" w:beforeAutospacing="0" w:line="240" w:lineRule="auto"/>
        <w:ind w:left="720" w:hanging="360"/>
        <w:rPr>
          <w:rFonts w:ascii="Arial" w:cs="Arial" w:eastAsia="Arial" w:hAnsi="Arial"/>
        </w:rPr>
      </w:pPr>
      <w:r w:rsidDel="00000000" w:rsidR="00000000" w:rsidRPr="00000000">
        <w:rPr>
          <w:rFonts w:ascii="Gothic A1" w:cs="Gothic A1" w:eastAsia="Gothic A1" w:hAnsi="Gothic A1"/>
          <w:rtl w:val="0"/>
        </w:rPr>
        <w:t xml:space="preserve">No leverage or short exposure is indicated in the report; performance is driven by long-only equity and option positions.</w:t>
      </w:r>
    </w:p>
    <w:p w:rsidR="00000000" w:rsidDel="00000000" w:rsidP="00000000" w:rsidRDefault="00000000" w:rsidRPr="00000000" w14:paraId="0000028B">
      <w:pPr>
        <w:spacing w:line="240" w:lineRule="auto"/>
        <w:rPr>
          <w:rFonts w:ascii="Gothic A1" w:cs="Gothic A1" w:eastAsia="Gothic A1" w:hAnsi="Gothic A1"/>
          <w:u w:val="single"/>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1"/>
        <w:spacing w:line="240" w:lineRule="auto"/>
        <w:rPr>
          <w:rFonts w:ascii="Gothic A1" w:cs="Gothic A1" w:eastAsia="Gothic A1" w:hAnsi="Gothic A1"/>
        </w:rPr>
      </w:pPr>
      <w:bookmarkStart w:colFirst="0" w:colLast="0" w:name="_sxk62z1uqf0c" w:id="29"/>
      <w:bookmarkEnd w:id="29"/>
      <w:r w:rsidDel="00000000" w:rsidR="00000000" w:rsidRPr="00000000">
        <w:rPr>
          <w:rFonts w:ascii="Gothic A1" w:cs="Gothic A1" w:eastAsia="Gothic A1" w:hAnsi="Gothic A1"/>
          <w:u w:val="none"/>
          <w:rtl w:val="0"/>
        </w:rPr>
        <w:t xml:space="preserve">CD&amp;R Update [As Expected]</w:t>
      </w:r>
      <w:r w:rsidDel="00000000" w:rsidR="00000000" w:rsidRPr="00000000">
        <w:rPr>
          <w:rtl w:val="0"/>
        </w:rPr>
      </w:r>
    </w:p>
    <w:p w:rsidR="00000000" w:rsidDel="00000000" w:rsidP="00000000" w:rsidRDefault="00000000" w:rsidRPr="00000000" w14:paraId="0000028E">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28F">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290">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291">
      <w:pPr>
        <w:numPr>
          <w:ilvl w:val="0"/>
          <w:numId w:val="23"/>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292">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293">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Fund / Company</w:t>
      </w:r>
      <w:r w:rsidDel="00000000" w:rsidR="00000000" w:rsidRPr="00000000">
        <w:rPr>
          <w:rFonts w:ascii="Gothic A1" w:cs="Gothic A1" w:eastAsia="Gothic A1" w:hAnsi="Gothic A1"/>
          <w:u w:val="single"/>
          <w:rtl w:val="0"/>
        </w:rPr>
        <w:t xml:space="preserve"> Performance</w:t>
      </w:r>
    </w:p>
    <w:p w:rsidR="00000000" w:rsidDel="00000000" w:rsidP="00000000" w:rsidRDefault="00000000" w:rsidRPr="00000000" w14:paraId="00000294">
      <w:pPr>
        <w:spacing w:line="240" w:lineRule="auto"/>
        <w:ind w:left="720" w:hanging="360"/>
        <w:rPr>
          <w:rFonts w:ascii="Gothic A1" w:cs="Gothic A1" w:eastAsia="Gothic A1" w:hAnsi="Gothic A1"/>
        </w:rPr>
      </w:pPr>
      <w:r w:rsidDel="00000000" w:rsidR="00000000" w:rsidRPr="00000000">
        <w:rPr>
          <w:rFonts w:ascii="Gothic A1" w:cs="Gothic A1" w:eastAsia="Gothic A1" w:hAnsi="Gothic A1"/>
          <w:b w:val="1"/>
          <w:bCs w:val="1"/>
          <w:rtl w:val="0"/>
        </w:rPr>
        <w:t xml:space="preserve">Fund XI</w:t>
      </w:r>
      <w:r w:rsidDel="00000000" w:rsidR="00000000" w:rsidRPr="00000000">
        <w:rPr>
          <w:rFonts w:ascii="Gothic A1" w:cs="Gothic A1" w:eastAsia="Gothic A1" w:hAnsi="Gothic A1"/>
          <w:rtl w:val="0"/>
        </w:rPr>
        <w:t xml:space="preserve"> (2021 Vintage):</w:t>
      </w:r>
    </w:p>
    <w:p w:rsidR="00000000" w:rsidDel="00000000" w:rsidP="00000000" w:rsidRDefault="00000000" w:rsidRPr="00000000" w14:paraId="00000295">
      <w:pPr>
        <w:numPr>
          <w:ilvl w:val="0"/>
          <w:numId w:val="8"/>
        </w:numPr>
        <w:spacing w:after="0" w:afterAutospacing="0" w:before="24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Net IRR: 15%</w:t>
      </w:r>
    </w:p>
    <w:p w:rsidR="00000000" w:rsidDel="00000000" w:rsidP="00000000" w:rsidRDefault="00000000" w:rsidRPr="00000000" w14:paraId="00000296">
      <w:pPr>
        <w:numPr>
          <w:ilvl w:val="0"/>
          <w:numId w:val="8"/>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Net MOIC: 1.2x</w:t>
      </w:r>
    </w:p>
    <w:p w:rsidR="00000000" w:rsidDel="00000000" w:rsidP="00000000" w:rsidRDefault="00000000" w:rsidRPr="00000000" w14:paraId="00000297">
      <w:pPr>
        <w:numPr>
          <w:ilvl w:val="0"/>
          <w:numId w:val="8"/>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Net DPI: 0.1x</w:t>
      </w:r>
    </w:p>
    <w:p w:rsidR="00000000" w:rsidDel="00000000" w:rsidP="00000000" w:rsidRDefault="00000000" w:rsidRPr="00000000" w14:paraId="00000298">
      <w:pPr>
        <w:numPr>
          <w:ilvl w:val="0"/>
          <w:numId w:val="8"/>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Total Value: $4.6B (includes $0.4B of distributions and $4.2B of NAV)</w:t>
      </w:r>
    </w:p>
    <w:p w:rsidR="00000000" w:rsidDel="00000000" w:rsidP="00000000" w:rsidRDefault="00000000" w:rsidRPr="00000000" w14:paraId="00000299">
      <w:pPr>
        <w:numPr>
          <w:ilvl w:val="0"/>
          <w:numId w:val="8"/>
        </w:numPr>
        <w:spacing w:after="24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12 investments completed, 66% of ca</w:t>
      </w:r>
      <w:r w:rsidDel="00000000" w:rsidR="00000000" w:rsidRPr="00000000">
        <w:rPr>
          <w:rFonts w:ascii="Gothic A1" w:cs="Gothic A1" w:eastAsia="Gothic A1" w:hAnsi="Gothic A1"/>
          <w:rtl w:val="0"/>
        </w:rPr>
        <w:t xml:space="preserve">pital committed</w:t>
      </w:r>
    </w:p>
    <w:p w:rsidR="00000000" w:rsidDel="00000000" w:rsidP="00000000" w:rsidRDefault="00000000" w:rsidRPr="00000000" w14:paraId="0000029A">
      <w:pPr>
        <w:spacing w:line="240" w:lineRule="auto"/>
        <w:ind w:left="720" w:hanging="360"/>
        <w:rPr>
          <w:rFonts w:ascii="Gothic A1" w:cs="Gothic A1" w:eastAsia="Gothic A1" w:hAnsi="Gothic A1"/>
        </w:rPr>
      </w:pPr>
      <w:r w:rsidDel="00000000" w:rsidR="00000000" w:rsidRPr="00000000">
        <w:rPr>
          <w:rFonts w:ascii="Gothic A1" w:cs="Gothic A1" w:eastAsia="Gothic A1" w:hAnsi="Gothic A1"/>
          <w:b w:val="1"/>
          <w:bCs w:val="1"/>
          <w:rtl w:val="0"/>
        </w:rPr>
        <w:t xml:space="preserve">Fund X</w:t>
      </w:r>
      <w:r w:rsidDel="00000000" w:rsidR="00000000" w:rsidRPr="00000000">
        <w:rPr>
          <w:rFonts w:ascii="Gothic A1" w:cs="Gothic A1" w:eastAsia="Gothic A1" w:hAnsi="Gothic A1"/>
          <w:rtl w:val="0"/>
        </w:rPr>
        <w:t xml:space="preserve"> (2017 Vintage):</w:t>
      </w:r>
    </w:p>
    <w:p w:rsidR="00000000" w:rsidDel="00000000" w:rsidP="00000000" w:rsidRDefault="00000000" w:rsidRPr="00000000" w14:paraId="0000029B">
      <w:pPr>
        <w:numPr>
          <w:ilvl w:val="0"/>
          <w:numId w:val="19"/>
        </w:numPr>
        <w:spacing w:after="0" w:afterAutospacing="0" w:before="24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Net IRR: 21%</w:t>
      </w:r>
    </w:p>
    <w:p w:rsidR="00000000" w:rsidDel="00000000" w:rsidP="00000000" w:rsidRDefault="00000000" w:rsidRPr="00000000" w14:paraId="0000029C">
      <w:pPr>
        <w:numPr>
          <w:ilvl w:val="0"/>
          <w:numId w:val="19"/>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Net MOIC: 2.0x</w:t>
      </w:r>
    </w:p>
    <w:p w:rsidR="00000000" w:rsidDel="00000000" w:rsidP="00000000" w:rsidRDefault="00000000" w:rsidRPr="00000000" w14:paraId="0000029D">
      <w:pPr>
        <w:numPr>
          <w:ilvl w:val="0"/>
          <w:numId w:val="19"/>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Net DPI: 0.7x</w:t>
      </w:r>
    </w:p>
    <w:p w:rsidR="00000000" w:rsidDel="00000000" w:rsidP="00000000" w:rsidRDefault="00000000" w:rsidRPr="00000000" w14:paraId="0000029E">
      <w:pPr>
        <w:numPr>
          <w:ilvl w:val="0"/>
          <w:numId w:val="19"/>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Total Value: $13.5B (includes $5.1B of distributions and $8.4B of NAV)</w:t>
      </w:r>
    </w:p>
    <w:p w:rsidR="00000000" w:rsidDel="00000000" w:rsidP="00000000" w:rsidRDefault="00000000" w:rsidRPr="00000000" w14:paraId="0000029F">
      <w:pPr>
        <w:numPr>
          <w:ilvl w:val="0"/>
          <w:numId w:val="19"/>
        </w:numPr>
        <w:spacing w:after="24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17 investments completed, 98% of capital committed</w:t>
      </w:r>
    </w:p>
    <w:p w:rsidR="00000000" w:rsidDel="00000000" w:rsidP="00000000" w:rsidRDefault="00000000" w:rsidRPr="00000000" w14:paraId="000002A0">
      <w:pPr>
        <w:spacing w:line="240" w:lineRule="auto"/>
        <w:ind w:left="720" w:hanging="360"/>
        <w:rPr>
          <w:rFonts w:ascii="Gothic A1" w:cs="Gothic A1" w:eastAsia="Gothic A1" w:hAnsi="Gothic A1"/>
        </w:rPr>
      </w:pPr>
      <w:r w:rsidDel="00000000" w:rsidR="00000000" w:rsidRPr="00000000">
        <w:rPr>
          <w:rFonts w:ascii="Gothic A1" w:cs="Gothic A1" w:eastAsia="Gothic A1" w:hAnsi="Gothic A1"/>
          <w:b w:val="1"/>
          <w:bCs w:val="1"/>
          <w:rtl w:val="0"/>
        </w:rPr>
        <w:t xml:space="preserve">Fund IX</w:t>
      </w:r>
      <w:r w:rsidDel="00000000" w:rsidR="00000000" w:rsidRPr="00000000">
        <w:rPr>
          <w:rFonts w:ascii="Gothic A1" w:cs="Gothic A1" w:eastAsia="Gothic A1" w:hAnsi="Gothic A1"/>
          <w:rtl w:val="0"/>
        </w:rPr>
        <w:t xml:space="preserve"> (2014 Vintage):</w:t>
      </w:r>
    </w:p>
    <w:p w:rsidR="00000000" w:rsidDel="00000000" w:rsidP="00000000" w:rsidRDefault="00000000" w:rsidRPr="00000000" w14:paraId="000002A1">
      <w:pPr>
        <w:numPr>
          <w:ilvl w:val="0"/>
          <w:numId w:val="2"/>
        </w:numPr>
        <w:spacing w:after="0" w:afterAutospacing="0" w:before="24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Net IRR: 28%</w:t>
      </w:r>
    </w:p>
    <w:p w:rsidR="00000000" w:rsidDel="00000000" w:rsidP="00000000" w:rsidRDefault="00000000" w:rsidRPr="00000000" w14:paraId="000002A2">
      <w:pPr>
        <w:numPr>
          <w:ilvl w:val="0"/>
          <w:numId w:val="2"/>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Net MOIC: 2.6x</w:t>
      </w:r>
    </w:p>
    <w:p w:rsidR="00000000" w:rsidDel="00000000" w:rsidP="00000000" w:rsidRDefault="00000000" w:rsidRPr="00000000" w14:paraId="000002A3">
      <w:pPr>
        <w:numPr>
          <w:ilvl w:val="0"/>
          <w:numId w:val="2"/>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Net DPI: 1.8x</w:t>
      </w:r>
    </w:p>
    <w:p w:rsidR="00000000" w:rsidDel="00000000" w:rsidP="00000000" w:rsidRDefault="00000000" w:rsidRPr="00000000" w14:paraId="000002A4">
      <w:pPr>
        <w:numPr>
          <w:ilvl w:val="0"/>
          <w:numId w:val="2"/>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Total Value: $8.4B (includes $5.8B of distributions and $2.6B of NAV)</w:t>
      </w:r>
    </w:p>
    <w:p w:rsidR="00000000" w:rsidDel="00000000" w:rsidP="00000000" w:rsidRDefault="00000000" w:rsidRPr="00000000" w14:paraId="000002A5">
      <w:pPr>
        <w:numPr>
          <w:ilvl w:val="0"/>
          <w:numId w:val="2"/>
        </w:numPr>
        <w:spacing w:after="24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All investments realized or partially exited</w:t>
      </w:r>
    </w:p>
    <w:p w:rsidR="00000000" w:rsidDel="00000000" w:rsidP="00000000" w:rsidRDefault="00000000" w:rsidRPr="00000000" w14:paraId="000002A6">
      <w:pPr>
        <w:spacing w:line="240" w:lineRule="auto"/>
        <w:ind w:left="720" w:hanging="360"/>
        <w:rPr>
          <w:rFonts w:ascii="Gothic A1" w:cs="Gothic A1" w:eastAsia="Gothic A1" w:hAnsi="Gothic A1"/>
        </w:rPr>
      </w:pPr>
      <w:r w:rsidDel="00000000" w:rsidR="00000000" w:rsidRPr="00000000">
        <w:rPr>
          <w:rFonts w:ascii="Gothic A1" w:cs="Gothic A1" w:eastAsia="Gothic A1" w:hAnsi="Gothic A1"/>
          <w:b w:val="1"/>
          <w:bCs w:val="1"/>
          <w:rtl w:val="0"/>
        </w:rPr>
        <w:t xml:space="preserve">Fund VIII</w:t>
      </w:r>
      <w:r w:rsidDel="00000000" w:rsidR="00000000" w:rsidRPr="00000000">
        <w:rPr>
          <w:rFonts w:ascii="Gothic A1" w:cs="Gothic A1" w:eastAsia="Gothic A1" w:hAnsi="Gothic A1"/>
          <w:rtl w:val="0"/>
        </w:rPr>
        <w:t xml:space="preserve"> (2009 Vintage):</w:t>
      </w:r>
    </w:p>
    <w:p w:rsidR="00000000" w:rsidDel="00000000" w:rsidP="00000000" w:rsidRDefault="00000000" w:rsidRPr="00000000" w14:paraId="000002A7">
      <w:pPr>
        <w:numPr>
          <w:ilvl w:val="0"/>
          <w:numId w:val="10"/>
        </w:numPr>
        <w:spacing w:after="0" w:afterAutospacing="0" w:before="24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Net IRR: 20%</w:t>
      </w:r>
    </w:p>
    <w:p w:rsidR="00000000" w:rsidDel="00000000" w:rsidP="00000000" w:rsidRDefault="00000000" w:rsidRPr="00000000" w14:paraId="000002A8">
      <w:pPr>
        <w:numPr>
          <w:ilvl w:val="0"/>
          <w:numId w:val="10"/>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Net MOIC: 2.3x</w:t>
      </w:r>
    </w:p>
    <w:p w:rsidR="00000000" w:rsidDel="00000000" w:rsidP="00000000" w:rsidRDefault="00000000" w:rsidRPr="00000000" w14:paraId="000002A9">
      <w:pPr>
        <w:numPr>
          <w:ilvl w:val="0"/>
          <w:numId w:val="10"/>
        </w:numPr>
        <w:spacing w:after="0" w:afterAutospacing="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Net DPI: 2.3x</w:t>
      </w:r>
    </w:p>
    <w:p w:rsidR="00000000" w:rsidDel="00000000" w:rsidP="00000000" w:rsidRDefault="00000000" w:rsidRPr="00000000" w14:paraId="000002AA">
      <w:pPr>
        <w:numPr>
          <w:ilvl w:val="0"/>
          <w:numId w:val="10"/>
        </w:numPr>
        <w:spacing w:after="240" w:before="0" w:beforeAutospacing="0"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Fully realized with $4.8B of total distributions</w:t>
      </w:r>
    </w:p>
    <w:p w:rsidR="00000000" w:rsidDel="00000000" w:rsidP="00000000" w:rsidRDefault="00000000" w:rsidRPr="00000000" w14:paraId="000002AB">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2AC">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Fund XI is still early in its deployment cycle, with just over two-thirds of capital committed and moderate early performance, suggesting a long runway for value creation ahead.</w:t>
      </w:r>
    </w:p>
    <w:p w:rsidR="00000000" w:rsidDel="00000000" w:rsidP="00000000" w:rsidRDefault="00000000" w:rsidRPr="00000000" w14:paraId="000002AD">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Fund X is progressing strongly, showing meaningful value creation across its portfolio with a solid balance of NAV and DPI.</w:t>
        <w:br w:type="textWrapping"/>
      </w:r>
    </w:p>
    <w:p w:rsidR="00000000" w:rsidDel="00000000" w:rsidP="00000000" w:rsidRDefault="00000000" w:rsidRPr="00000000" w14:paraId="000002AE">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Fund IX’s performance remains robust with strong realizations contributing to high DPI and MOIC figures; most of the value has already been returned to investors.</w:t>
      </w:r>
    </w:p>
    <w:p w:rsidR="00000000" w:rsidDel="00000000" w:rsidP="00000000" w:rsidRDefault="00000000" w:rsidRPr="00000000" w14:paraId="000002AF">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Fund VIII is fully exited and has returned all capital plus gains, rounding out its lifecycle with a 2.3x MOIC and solid returns through different market cycles.</w:t>
      </w:r>
    </w:p>
    <w:p w:rsidR="00000000" w:rsidDel="00000000" w:rsidP="00000000" w:rsidRDefault="00000000" w:rsidRPr="00000000" w14:paraId="000002B0">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Portfolio NAV for all active funds reflects a conservative valuation policy and performance supported by both operational improvements and strategic exits.</w:t>
      </w:r>
    </w:p>
    <w:p w:rsidR="00000000" w:rsidDel="00000000" w:rsidP="00000000" w:rsidRDefault="00000000" w:rsidRPr="00000000" w14:paraId="000002B1">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Continued emphasis on sector expertise (industrials, healthcare, consumer/retail, and services) supports performance stability amid macro uncertainty.</w:t>
      </w:r>
    </w:p>
    <w:p w:rsidR="00000000" w:rsidDel="00000000" w:rsidP="00000000" w:rsidRDefault="00000000" w:rsidRPr="00000000" w14:paraId="000002B2">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2B3">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2B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CD&amp;R notes a challenging macroeconomic backdrop including persistent inflation, interest rate volatility, and geopolitical instability, though deal flow has begun to recover from 2022–2023 lows.</w:t>
      </w:r>
    </w:p>
    <w:p w:rsidR="00000000" w:rsidDel="00000000" w:rsidP="00000000" w:rsidRDefault="00000000" w:rsidRPr="00000000" w14:paraId="000002B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The firm has maintained disciplined underwriting and a value orientation, citing advantages in operational improvement as a key differentiator in driving portfolio performance.</w:t>
      </w:r>
    </w:p>
    <w:p w:rsidR="00000000" w:rsidDel="00000000" w:rsidP="00000000" w:rsidRDefault="00000000" w:rsidRPr="00000000" w14:paraId="000002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Exit activity is expected to increase going into 2026 as several portfolio companies mature and market conditions stabilize, particularly for IPOs and strategic sales.</w:t>
      </w:r>
    </w:p>
    <w:p w:rsidR="00000000" w:rsidDel="00000000" w:rsidP="00000000" w:rsidRDefault="00000000" w:rsidRPr="00000000" w14:paraId="000002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There is cautious optimism around the market environment, with CD&amp;R citing early signs of a more constructive fundraising and exit landscape compared to recent quarters.</w:t>
      </w:r>
    </w:p>
    <w:p w:rsidR="00000000" w:rsidDel="00000000" w:rsidP="00000000" w:rsidRDefault="00000000" w:rsidRPr="00000000" w14:paraId="000002B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Fundraising for the next vintage is likely to begin in 2026, supported by strong performance in prior funds and a differentiated sourcing and value creation strategy.</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1"/>
        <w:spacing w:line="240" w:lineRule="auto"/>
        <w:rPr>
          <w:rFonts w:ascii="Gothic A1" w:cs="Gothic A1" w:eastAsia="Gothic A1" w:hAnsi="Gothic A1"/>
        </w:rPr>
      </w:pPr>
      <w:bookmarkStart w:colFirst="0" w:colLast="0" w:name="_bfo7whgus6r" w:id="30"/>
      <w:bookmarkEnd w:id="30"/>
      <w:r w:rsidDel="00000000" w:rsidR="00000000" w:rsidRPr="00000000">
        <w:rPr>
          <w:rFonts w:ascii="Gothic A1" w:cs="Gothic A1" w:eastAsia="Gothic A1" w:hAnsi="Gothic A1"/>
          <w:u w:val="none"/>
          <w:rtl w:val="0"/>
        </w:rPr>
        <w:t xml:space="preserve">Box Wilson Riverside Vargas Update [As Expected]</w:t>
      </w:r>
      <w:r w:rsidDel="00000000" w:rsidR="00000000" w:rsidRPr="00000000">
        <w:rPr>
          <w:rtl w:val="0"/>
        </w:rPr>
      </w:r>
    </w:p>
    <w:p w:rsidR="00000000" w:rsidDel="00000000" w:rsidP="00000000" w:rsidRDefault="00000000" w:rsidRPr="00000000" w14:paraId="000002BB">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2BC">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2BD">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2BE">
      <w:pPr>
        <w:numPr>
          <w:ilvl w:val="0"/>
          <w:numId w:val="23"/>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2BF">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2C0">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Fund / Company</w:t>
      </w:r>
      <w:r w:rsidDel="00000000" w:rsidR="00000000" w:rsidRPr="00000000">
        <w:rPr>
          <w:rFonts w:ascii="Gothic A1" w:cs="Gothic A1" w:eastAsia="Gothic A1" w:hAnsi="Gothic A1"/>
          <w:u w:val="single"/>
          <w:rtl w:val="0"/>
        </w:rPr>
        <w:t xml:space="preserve"> Performance</w:t>
      </w:r>
    </w:p>
    <w:p w:rsidR="00000000" w:rsidDel="00000000" w:rsidP="00000000" w:rsidRDefault="00000000" w:rsidRPr="00000000" w14:paraId="000002C1">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Riverside Vargas (BWE) is an early-stage development investment; as of Q3 2025 there are no fund-level Net IRR, Net MOIC, or Net DPI metrics available, as the project has not yet begun operations or generated cash flow.</w:t>
      </w:r>
    </w:p>
    <w:p w:rsidR="00000000" w:rsidDel="00000000" w:rsidP="00000000" w:rsidRDefault="00000000" w:rsidRPr="00000000" w14:paraId="000002C2">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Total equity at the GP QOF level is $2.63 million, fully funded by Class A investors, representing a 5.59% ownership interest in the underlying Riverside–Vargas QOZB Condo 1, LLC as of September 30, 2025.</w:t>
      </w:r>
    </w:p>
    <w:p w:rsidR="00000000" w:rsidDel="00000000" w:rsidP="00000000" w:rsidRDefault="00000000" w:rsidRPr="00000000" w14:paraId="000002C3">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The overall development budget totals $102.7 million, with $24.3 million (23.7%) spent to date and $78.3 million remaining, indicating the project is still in the early construction phase.</w:t>
      </w:r>
    </w:p>
    <w:p w:rsidR="00000000" w:rsidDel="00000000" w:rsidP="00000000" w:rsidRDefault="00000000" w:rsidRPr="00000000" w14:paraId="000002C4">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 $56.5 million construction loan has closed at 55% loan-to-cost, providing sufficient leverage to carry the project through development with contingencies fully intact.</w:t>
      </w:r>
    </w:p>
    <w:p w:rsidR="00000000" w:rsidDel="00000000" w:rsidP="00000000" w:rsidRDefault="00000000" w:rsidRPr="00000000" w14:paraId="000002C5">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2C6">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2C7">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The investment has successfully transitioned from pre-development to active construction, materially reducing entitlement and execution risk following permit approvals and loan closing.</w:t>
      </w:r>
    </w:p>
    <w:p w:rsidR="00000000" w:rsidDel="00000000" w:rsidP="00000000" w:rsidRDefault="00000000" w:rsidRPr="00000000" w14:paraId="000002C8">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With construction just underway and no income generation yet, performance should be evaluated primarily on milestone achievement and budget adherence, both of which are currently tracking as planned.</w:t>
      </w:r>
    </w:p>
    <w:p w:rsidR="00000000" w:rsidDel="00000000" w:rsidP="00000000" w:rsidRDefault="00000000" w:rsidRPr="00000000" w14:paraId="000002C9">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The GMP with Skybeck remains unchanged at $64.5 million, with no approved change orders to date, supporting cost certainty at this stage of development.</w:t>
      </w:r>
    </w:p>
    <w:p w:rsidR="00000000" w:rsidDel="00000000" w:rsidP="00000000" w:rsidRDefault="00000000" w:rsidRPr="00000000" w14:paraId="000002CA">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Significant remaining contingency ($5.7 million total) provides downside protection against construction cost inflation or unforeseen issues during the build phase.</w:t>
      </w:r>
    </w:p>
    <w:p w:rsidR="00000000" w:rsidDel="00000000" w:rsidP="00000000" w:rsidRDefault="00000000" w:rsidRPr="00000000" w14:paraId="000002CB">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2CC">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2C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Construction officially commenced on September 8, 2025, following issuance of the </w:t>
      </w:r>
      <w:r w:rsidDel="00000000" w:rsidR="00000000" w:rsidRPr="00000000">
        <w:rPr>
          <w:rFonts w:ascii="Gothic A1" w:cs="Gothic A1" w:eastAsia="Gothic A1" w:hAnsi="Gothic A1"/>
          <w:rtl w:val="0"/>
        </w:rPr>
        <w:t xml:space="preserve">Notice to Proceed</w:t>
      </w:r>
      <w:r w:rsidDel="00000000" w:rsidR="00000000" w:rsidRPr="00000000">
        <w:rPr>
          <w:rFonts w:ascii="Gothic A1" w:cs="Gothic A1" w:eastAsia="Gothic A1" w:hAnsi="Gothic A1"/>
          <w:rtl w:val="0"/>
        </w:rPr>
        <w:t xml:space="preserve"> to Skybeck, with site preparation and earthwork now underway at the Austin Riverside location.</w:t>
      </w:r>
    </w:p>
    <w:p w:rsidR="00000000" w:rsidDel="00000000" w:rsidP="00000000" w:rsidRDefault="00000000" w:rsidRPr="00000000" w14:paraId="000002C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All major </w:t>
      </w:r>
      <w:r w:rsidDel="00000000" w:rsidR="00000000" w:rsidRPr="00000000">
        <w:rPr>
          <w:rFonts w:ascii="Gothic A1" w:cs="Gothic A1" w:eastAsia="Gothic A1" w:hAnsi="Gothic A1"/>
          <w:rtl w:val="0"/>
        </w:rPr>
        <w:t xml:space="preserve">site development and building permits have been secured</w:t>
      </w:r>
      <w:r w:rsidDel="00000000" w:rsidR="00000000" w:rsidRPr="00000000">
        <w:rPr>
          <w:rFonts w:ascii="Gothic A1" w:cs="Gothic A1" w:eastAsia="Gothic A1" w:hAnsi="Gothic A1"/>
          <w:rtl w:val="0"/>
        </w:rPr>
        <w:t xml:space="preserve">, and nearly all easements and license agreements have been finalized, clearing key regulatory hurdles.</w:t>
      </w:r>
    </w:p>
    <w:p w:rsidR="00000000" w:rsidDel="00000000" w:rsidP="00000000" w:rsidRDefault="00000000" w:rsidRPr="00000000" w14:paraId="000002C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The project has been rebranded as </w:t>
      </w:r>
      <w:r w:rsidDel="00000000" w:rsidR="00000000" w:rsidRPr="00000000">
        <w:rPr>
          <w:rFonts w:ascii="Gothic A1" w:cs="Gothic A1" w:eastAsia="Gothic A1" w:hAnsi="Gothic A1"/>
          <w:rtl w:val="0"/>
        </w:rPr>
        <w:t xml:space="preserve">“The Grant”</w:t>
      </w:r>
      <w:r w:rsidDel="00000000" w:rsidR="00000000" w:rsidRPr="00000000">
        <w:rPr>
          <w:rFonts w:ascii="Gothic A1" w:cs="Gothic A1" w:eastAsia="Gothic A1" w:hAnsi="Gothic A1"/>
          <w:rtl w:val="0"/>
        </w:rPr>
        <w:t xml:space="preserve">, with updated branding and marketing materials to be shared in future investor updates, supporting future lease-up positioning.</w:t>
      </w:r>
    </w:p>
    <w:p w:rsidR="00000000" w:rsidDel="00000000" w:rsidP="00000000" w:rsidRDefault="00000000" w:rsidRPr="00000000" w14:paraId="000002D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thic A1 Light" w:cs="Gothic A1 Light" w:eastAsia="Gothic A1 Light" w:hAnsi="Gothic A1 Light"/>
        </w:rPr>
      </w:pPr>
      <w:r w:rsidDel="00000000" w:rsidR="00000000" w:rsidRPr="00000000">
        <w:rPr>
          <w:rFonts w:ascii="Gothic A1" w:cs="Gothic A1" w:eastAsia="Gothic A1" w:hAnsi="Gothic A1"/>
          <w:rtl w:val="0"/>
        </w:rPr>
        <w:t xml:space="preserve">The current construction schedule targets </w:t>
      </w:r>
      <w:r w:rsidDel="00000000" w:rsidR="00000000" w:rsidRPr="00000000">
        <w:rPr>
          <w:rFonts w:ascii="Gothic A1" w:cs="Gothic A1" w:eastAsia="Gothic A1" w:hAnsi="Gothic A1"/>
          <w:rtl w:val="0"/>
        </w:rPr>
        <w:t xml:space="preserve">first unit delivery in October 2027</w:t>
      </w:r>
      <w:r w:rsidDel="00000000" w:rsidR="00000000" w:rsidRPr="00000000">
        <w:rPr>
          <w:rFonts w:ascii="Gothic A1" w:cs="Gothic A1" w:eastAsia="Gothic A1" w:hAnsi="Gothic A1"/>
          <w:rtl w:val="0"/>
        </w:rPr>
        <w:t xml:space="preserve"> and </w:t>
      </w:r>
      <w:r w:rsidDel="00000000" w:rsidR="00000000" w:rsidRPr="00000000">
        <w:rPr>
          <w:rFonts w:ascii="Gothic A1" w:cs="Gothic A1" w:eastAsia="Gothic A1" w:hAnsi="Gothic A1"/>
          <w:rtl w:val="0"/>
        </w:rPr>
        <w:t xml:space="preserve">final close-out by February 2028</w:t>
      </w:r>
      <w:r w:rsidDel="00000000" w:rsidR="00000000" w:rsidRPr="00000000">
        <w:rPr>
          <w:rFonts w:ascii="Gothic A1" w:cs="Gothic A1" w:eastAsia="Gothic A1" w:hAnsi="Gothic A1"/>
          <w:rtl w:val="0"/>
        </w:rPr>
        <w:t xml:space="preserve">, setting expectations for a longer-duration, development-oriented investment profile.</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1"/>
        <w:spacing w:line="240" w:lineRule="auto"/>
        <w:rPr>
          <w:rFonts w:ascii="Gothic A1" w:cs="Gothic A1" w:eastAsia="Gothic A1" w:hAnsi="Gothic A1"/>
        </w:rPr>
      </w:pPr>
      <w:bookmarkStart w:colFirst="0" w:colLast="0" w:name="_95jroejzae7q" w:id="31"/>
      <w:bookmarkEnd w:id="31"/>
      <w:r w:rsidDel="00000000" w:rsidR="00000000" w:rsidRPr="00000000">
        <w:rPr>
          <w:rFonts w:ascii="Gothic A1" w:cs="Gothic A1" w:eastAsia="Gothic A1" w:hAnsi="Gothic A1"/>
          <w:u w:val="none"/>
          <w:rtl w:val="0"/>
        </w:rPr>
        <w:t xml:space="preserve">Zenyth Partners II Update [As Expected]</w:t>
      </w:r>
      <w:r w:rsidDel="00000000" w:rsidR="00000000" w:rsidRPr="00000000">
        <w:rPr>
          <w:rtl w:val="0"/>
        </w:rPr>
      </w:r>
    </w:p>
    <w:p w:rsidR="00000000" w:rsidDel="00000000" w:rsidP="00000000" w:rsidRDefault="00000000" w:rsidRPr="00000000" w14:paraId="000002D3">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2D4">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2D5">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2D6">
      <w:pPr>
        <w:numPr>
          <w:ilvl w:val="0"/>
          <w:numId w:val="23"/>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2D7">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2D8">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Fund </w:t>
      </w:r>
      <w:r w:rsidDel="00000000" w:rsidR="00000000" w:rsidRPr="00000000">
        <w:rPr>
          <w:rFonts w:ascii="Gothic A1" w:cs="Gothic A1" w:eastAsia="Gothic A1" w:hAnsi="Gothic A1"/>
          <w:u w:val="single"/>
          <w:rtl w:val="0"/>
        </w:rPr>
        <w:t xml:space="preserve">Performance</w:t>
      </w:r>
    </w:p>
    <w:p w:rsidR="00000000" w:rsidDel="00000000" w:rsidP="00000000" w:rsidRDefault="00000000" w:rsidRPr="00000000" w14:paraId="000002D9">
      <w:pPr>
        <w:numPr>
          <w:ilvl w:val="0"/>
          <w:numId w:val="16"/>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Fund II completed its final close in May 2025 and is well-paced from a deployment standpoint, with just under 25% of total commitments called to date, reflecting a measured approach to capital deployment early in the fund’s life.</w:t>
      </w:r>
    </w:p>
    <w:p w:rsidR="00000000" w:rsidDel="00000000" w:rsidP="00000000" w:rsidRDefault="00000000" w:rsidRPr="00000000" w14:paraId="000002DA">
      <w:pPr>
        <w:numPr>
          <w:ilvl w:val="0"/>
          <w:numId w:val="16"/>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LifeCare Home Health, the first platform investment (May 2024), has been marked at 3.6x gross invested capital, driven by nearly 3x EBITDA growth since entry, continued organic growth, accelerated M&amp;A activity, and a strategic repositioning toward hospice.</w:t>
      </w:r>
    </w:p>
    <w:p w:rsidR="00000000" w:rsidDel="00000000" w:rsidP="00000000" w:rsidRDefault="00000000" w:rsidRPr="00000000" w14:paraId="000002DB">
      <w:pPr>
        <w:numPr>
          <w:ilvl w:val="0"/>
          <w:numId w:val="16"/>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Evolve Orthopedic Partners, the second platform investment, has been marked at over 2.0x gross invested capital and scaled rapidly to over $26M of pro forma EBITDA in under one year following a transformational acquisition in the New York market. This has exceeded early expectations. </w:t>
      </w:r>
    </w:p>
    <w:p w:rsidR="00000000" w:rsidDel="00000000" w:rsidP="00000000" w:rsidRDefault="00000000" w:rsidRPr="00000000" w14:paraId="000002DC">
      <w:pPr>
        <w:numPr>
          <w:ilvl w:val="0"/>
          <w:numId w:val="16"/>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A third platform investment was launched with a new dental platform in the Southeast U.S., beginning operations in Jacksonville, FL, with management team buildout underway.</w:t>
      </w:r>
    </w:p>
    <w:p w:rsidR="00000000" w:rsidDel="00000000" w:rsidP="00000000" w:rsidRDefault="00000000" w:rsidRPr="00000000" w14:paraId="000002DD">
      <w:pPr>
        <w:numPr>
          <w:ilvl w:val="0"/>
          <w:numId w:val="16"/>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Platform count and pacing are in line with underwriting, with a target of ~6 platforms over the investment period. </w:t>
      </w:r>
      <w:r w:rsidDel="00000000" w:rsidR="00000000" w:rsidRPr="00000000">
        <w:rPr>
          <w:rtl w:val="0"/>
        </w:rPr>
      </w:r>
    </w:p>
    <w:p w:rsidR="00000000" w:rsidDel="00000000" w:rsidP="00000000" w:rsidRDefault="00000000" w:rsidRPr="00000000" w14:paraId="000002DE">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2DF">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2E0">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Early portfolio performance is ahead of underwriting on EBITDA growth and gross value marks, particularly given the short duration since initial investments.</w:t>
      </w:r>
    </w:p>
    <w:p w:rsidR="00000000" w:rsidDel="00000000" w:rsidP="00000000" w:rsidRDefault="00000000" w:rsidRPr="00000000" w14:paraId="000002E1">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Performance indicators across the first two platform investments suggest strong value creation, with meaningful EBITDA growth and multiple expansion achieved in a short holding period.</w:t>
      </w:r>
    </w:p>
    <w:p w:rsidR="00000000" w:rsidDel="00000000" w:rsidP="00000000" w:rsidRDefault="00000000" w:rsidRPr="00000000" w14:paraId="000002E2">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Portfolio construction reflects Zenyth’s physician-centric healthcare services focus, with diversification across home health/hospice, orthopedics, and dental services.</w:t>
      </w:r>
    </w:p>
    <w:p w:rsidR="00000000" w:rsidDel="00000000" w:rsidP="00000000" w:rsidRDefault="00000000" w:rsidRPr="00000000" w14:paraId="000002E3">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The fund is still in the early innings, with limited capital called. Capital deployment is slower than the original capital call forecast (which anticipated ~38% called by end of 2025). </w:t>
      </w:r>
    </w:p>
    <w:p w:rsidR="00000000" w:rsidDel="00000000" w:rsidP="00000000" w:rsidRDefault="00000000" w:rsidRPr="00000000" w14:paraId="000002E4">
      <w:pPr>
        <w:numPr>
          <w:ilvl w:val="0"/>
          <w:numId w:val="12"/>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Overall, fund execution to date is highly consistent with original underwriting assumptions, with early evidence suggesting faster-than-modeled operating momentum but still limited visibility into net realized outcomes.</w:t>
      </w:r>
    </w:p>
    <w:p w:rsidR="00000000" w:rsidDel="00000000" w:rsidP="00000000" w:rsidRDefault="00000000" w:rsidRPr="00000000" w14:paraId="000002E5">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2E6">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2E7">
      <w:pPr>
        <w:numPr>
          <w:ilvl w:val="0"/>
          <w:numId w:val="17"/>
        </w:numPr>
        <w:spacing w:line="240" w:lineRule="auto"/>
        <w:ind w:left="720" w:hanging="360"/>
        <w:rPr>
          <w:rFonts w:ascii="Gothic A1" w:cs="Gothic A1" w:eastAsia="Gothic A1" w:hAnsi="Gothic A1"/>
          <w:b w:val="0"/>
          <w:bCs w:val="0"/>
        </w:rPr>
      </w:pPr>
      <w:r w:rsidDel="00000000" w:rsidR="00000000" w:rsidRPr="00000000">
        <w:rPr>
          <w:rFonts w:ascii="Gothic A1" w:cs="Gothic A1" w:eastAsia="Gothic A1" w:hAnsi="Gothic A1"/>
          <w:rtl w:val="0"/>
        </w:rPr>
        <w:t xml:space="preserve">Team expansion and operational buildout have directly addressed underwriting-identified risks around bandwidth, with investment professionals and operating leadership added as planned. </w:t>
      </w:r>
    </w:p>
    <w:p w:rsidR="00000000" w:rsidDel="00000000" w:rsidP="00000000" w:rsidRDefault="00000000" w:rsidRPr="00000000" w14:paraId="000002E8">
      <w:pPr>
        <w:numPr>
          <w:ilvl w:val="0"/>
          <w:numId w:val="17"/>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Underwriting risks around unproven exits and integration complexity remain relevant.</w:t>
      </w:r>
      <w:r w:rsidDel="00000000" w:rsidR="00000000" w:rsidRPr="00000000">
        <w:rPr>
          <w:rtl w:val="0"/>
        </w:rPr>
      </w:r>
    </w:p>
    <w:p w:rsidR="00000000" w:rsidDel="00000000" w:rsidP="00000000" w:rsidRDefault="00000000" w:rsidRPr="00000000" w14:paraId="000002E9">
      <w:pPr>
        <w:pStyle w:val="Heading1"/>
        <w:spacing w:line="240" w:lineRule="auto"/>
        <w:rPr>
          <w:rFonts w:ascii="Gothic A1" w:cs="Gothic A1" w:eastAsia="Gothic A1" w:hAnsi="Gothic A1"/>
          <w:u w:val="none"/>
        </w:rPr>
      </w:pPr>
      <w:bookmarkStart w:colFirst="0" w:colLast="0" w:name="_16xe0wi4mu3k" w:id="32"/>
      <w:bookmarkEnd w:id="32"/>
      <w:r w:rsidDel="00000000" w:rsidR="00000000" w:rsidRPr="00000000">
        <w:rPr>
          <w:rtl w:val="0"/>
        </w:rPr>
      </w:r>
    </w:p>
    <w:p w:rsidR="00000000" w:rsidDel="00000000" w:rsidP="00000000" w:rsidRDefault="00000000" w:rsidRPr="00000000" w14:paraId="000002EA">
      <w:pPr>
        <w:pStyle w:val="Heading1"/>
        <w:spacing w:line="240" w:lineRule="auto"/>
        <w:rPr>
          <w:rFonts w:ascii="Gothic A1" w:cs="Gothic A1" w:eastAsia="Gothic A1" w:hAnsi="Gothic A1"/>
        </w:rPr>
      </w:pPr>
      <w:bookmarkStart w:colFirst="0" w:colLast="0" w:name="_3oanf46b2ndz" w:id="33"/>
      <w:bookmarkEnd w:id="33"/>
      <w:r w:rsidDel="00000000" w:rsidR="00000000" w:rsidRPr="00000000">
        <w:rPr>
          <w:rFonts w:ascii="Gothic A1" w:cs="Gothic A1" w:eastAsia="Gothic A1" w:hAnsi="Gothic A1"/>
          <w:u w:val="none"/>
          <w:rtl w:val="0"/>
        </w:rPr>
        <w:t xml:space="preserve">Tidal Vision Update [As Expected]</w:t>
      </w:r>
      <w:r w:rsidDel="00000000" w:rsidR="00000000" w:rsidRPr="00000000">
        <w:rPr>
          <w:rtl w:val="0"/>
        </w:rPr>
      </w:r>
    </w:p>
    <w:p w:rsidR="00000000" w:rsidDel="00000000" w:rsidP="00000000" w:rsidRDefault="00000000" w:rsidRPr="00000000" w14:paraId="000002EB">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2EC">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2ED">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2EE">
      <w:pPr>
        <w:numPr>
          <w:ilvl w:val="0"/>
          <w:numId w:val="23"/>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2EF">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2F0">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Company</w:t>
      </w:r>
      <w:r w:rsidDel="00000000" w:rsidR="00000000" w:rsidRPr="00000000">
        <w:rPr>
          <w:rFonts w:ascii="Gothic A1" w:cs="Gothic A1" w:eastAsia="Gothic A1" w:hAnsi="Gothic A1"/>
          <w:u w:val="single"/>
          <w:rtl w:val="0"/>
        </w:rPr>
        <w:t xml:space="preserve"> Performance</w:t>
      </w:r>
    </w:p>
    <w:p w:rsidR="00000000" w:rsidDel="00000000" w:rsidP="00000000" w:rsidRDefault="00000000" w:rsidRPr="00000000" w14:paraId="000002F1">
      <w:pPr>
        <w:numPr>
          <w:ilvl w:val="0"/>
          <w:numId w:val="16"/>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November YTD 2025 revenue of $69.2M, representing 205% of the same period in 2024 ($33.7M), reflecting strong execution across business units and accelerating commercial traction.</w:t>
      </w:r>
    </w:p>
    <w:p w:rsidR="00000000" w:rsidDel="00000000" w:rsidP="00000000" w:rsidRDefault="00000000" w:rsidRPr="00000000" w14:paraId="000002F2">
      <w:pPr>
        <w:numPr>
          <w:ilvl w:val="0"/>
          <w:numId w:val="16"/>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Full-year 2025 revenue projected at $80.6M versus $40.0M in 2024, implying 201% YoY growth and $40.6M absolute increase.</w:t>
      </w:r>
    </w:p>
    <w:p w:rsidR="00000000" w:rsidDel="00000000" w:rsidP="00000000" w:rsidRDefault="00000000" w:rsidRPr="00000000" w14:paraId="000002F3">
      <w:pPr>
        <w:numPr>
          <w:ilvl w:val="0"/>
          <w:numId w:val="16"/>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Underwriting assumed ~$47M of 2024 revenue and ~$75M of 2025 revenue, representing modest outperformance vs. the base underwriting case.</w:t>
      </w:r>
    </w:p>
    <w:p w:rsidR="00000000" w:rsidDel="00000000" w:rsidP="00000000" w:rsidRDefault="00000000" w:rsidRPr="00000000" w14:paraId="000002F4">
      <w:pPr>
        <w:numPr>
          <w:ilvl w:val="0"/>
          <w:numId w:val="16"/>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2026 base case budget revenue forecast of $117.3M (+45% YoY), with gross profit of $60.8M (+70% YoY) and gross margins expanding to ~52%.</w:t>
      </w:r>
    </w:p>
    <w:p w:rsidR="00000000" w:rsidDel="00000000" w:rsidP="00000000" w:rsidRDefault="00000000" w:rsidRPr="00000000" w14:paraId="000002F5">
      <w:pPr>
        <w:numPr>
          <w:ilvl w:val="0"/>
          <w:numId w:val="16"/>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Adjusted EBITDA projected at +$2.2M in 2026 despite stepped-up growth investments, signaling inflection toward profitability.</w:t>
      </w:r>
    </w:p>
    <w:p w:rsidR="00000000" w:rsidDel="00000000" w:rsidP="00000000" w:rsidRDefault="00000000" w:rsidRPr="00000000" w14:paraId="000002F6">
      <w:pPr>
        <w:numPr>
          <w:ilvl w:val="0"/>
          <w:numId w:val="16"/>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Segment mix has evolved favorably versus underwriting, with Tidal Clear scaling faster than expected and Tidal Grow accelerating more rapidly post-2025 than originally modeled.</w:t>
      </w:r>
    </w:p>
    <w:p w:rsidR="00000000" w:rsidDel="00000000" w:rsidP="00000000" w:rsidRDefault="00000000" w:rsidRPr="00000000" w14:paraId="000002F7">
      <w:pPr>
        <w:numPr>
          <w:ilvl w:val="0"/>
          <w:numId w:val="16"/>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Underwriting assumed gross margins expanding from ~52% in 2024 to low-60s by 2025–26; current results show 2026 gross margins tracking ~52%, below long-term underwriting but improving and impacted by deliberate mix shift and expansion investments.</w:t>
      </w:r>
    </w:p>
    <w:p w:rsidR="00000000" w:rsidDel="00000000" w:rsidP="00000000" w:rsidRDefault="00000000" w:rsidRPr="00000000" w14:paraId="000002F8">
      <w:pPr>
        <w:numPr>
          <w:ilvl w:val="0"/>
          <w:numId w:val="16"/>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Underwriting expected EBITDA breakeven in 2025 and ~$24M of adjusted EBITDA in 2026; current forecast shows adjusted EBITDA of +$2.2M in 2026, materially below underwriting due to accelerated Sales &amp; Marketing (12% → 40%) and increased R&amp;D spend.</w:t>
      </w:r>
      <w:r w:rsidDel="00000000" w:rsidR="00000000" w:rsidRPr="00000000">
        <w:rPr>
          <w:rtl w:val="0"/>
        </w:rPr>
      </w:r>
    </w:p>
    <w:p w:rsidR="00000000" w:rsidDel="00000000" w:rsidP="00000000" w:rsidRDefault="00000000" w:rsidRPr="00000000" w14:paraId="000002F9">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2FA">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2FB">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Ahead on revenue scale and commercial traction, particularly in core water and ag segments.</w:t>
      </w:r>
    </w:p>
    <w:p w:rsidR="00000000" w:rsidDel="00000000" w:rsidP="00000000" w:rsidRDefault="00000000" w:rsidRPr="00000000" w14:paraId="000002FC">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Behind underwriting on near-term EBITDA, but by choice rather than necessity.</w:t>
      </w:r>
    </w:p>
    <w:p w:rsidR="00000000" w:rsidDel="00000000" w:rsidP="00000000" w:rsidRDefault="00000000" w:rsidRPr="00000000" w14:paraId="000002FD">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Long-term value creation thesis remains intact, with a higher-confidence growth trajectory and slightly delayed margin realization.</w:t>
      </w:r>
    </w:p>
    <w:p w:rsidR="00000000" w:rsidDel="00000000" w:rsidP="00000000" w:rsidRDefault="00000000" w:rsidRPr="00000000" w14:paraId="000002FE">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Overall, performance reflects upside on market adoption and product demand, offset by deliberate reinvestment risk, rather than fundamental business underperformance.</w:t>
      </w:r>
    </w:p>
    <w:p w:rsidR="00000000" w:rsidDel="00000000" w:rsidP="00000000" w:rsidRDefault="00000000" w:rsidRPr="00000000" w14:paraId="000002FF">
      <w:pPr>
        <w:numPr>
          <w:ilvl w:val="0"/>
          <w:numId w:val="12"/>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Diversified growth engines across Tidal Clear, Tidal Grow, and Tidal Tec reduce single-market dependency. </w:t>
      </w:r>
    </w:p>
    <w:p w:rsidR="00000000" w:rsidDel="00000000" w:rsidP="00000000" w:rsidRDefault="00000000" w:rsidRPr="00000000" w14:paraId="00000300">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301">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302">
      <w:pPr>
        <w:numPr>
          <w:ilvl w:val="0"/>
          <w:numId w:val="17"/>
        </w:numPr>
        <w:spacing w:line="240" w:lineRule="auto"/>
        <w:ind w:left="720" w:hanging="360"/>
        <w:rPr>
          <w:rFonts w:ascii="Gothic A1" w:cs="Gothic A1" w:eastAsia="Gothic A1" w:hAnsi="Gothic A1"/>
          <w:b w:val="0"/>
          <w:bCs w:val="0"/>
        </w:rPr>
      </w:pPr>
      <w:r w:rsidDel="00000000" w:rsidR="00000000" w:rsidRPr="00000000">
        <w:rPr>
          <w:rFonts w:ascii="Gothic A1" w:cs="Gothic A1" w:eastAsia="Gothic A1" w:hAnsi="Gothic A1"/>
          <w:rtl w:val="0"/>
        </w:rPr>
        <w:t xml:space="preserve">Management is deliberately prioritizing long-term value creation over near-term profitability in anticipation of a targeted IPO window in 2028/29.</w:t>
      </w:r>
      <w:r w:rsidDel="00000000" w:rsidR="00000000" w:rsidRPr="00000000">
        <w:rPr>
          <w:rtl w:val="0"/>
        </w:rPr>
      </w:r>
    </w:p>
    <w:p w:rsidR="00000000" w:rsidDel="00000000" w:rsidP="00000000" w:rsidRDefault="00000000" w:rsidRPr="00000000" w14:paraId="00000303">
      <w:pPr>
        <w:pStyle w:val="Heading1"/>
        <w:spacing w:line="240" w:lineRule="auto"/>
        <w:rPr>
          <w:rFonts w:ascii="Gothic A1" w:cs="Gothic A1" w:eastAsia="Gothic A1" w:hAnsi="Gothic A1"/>
          <w:u w:val="none"/>
        </w:rPr>
      </w:pPr>
      <w:bookmarkStart w:colFirst="0" w:colLast="0" w:name="_jxyqshqvf63r" w:id="34"/>
      <w:bookmarkEnd w:id="34"/>
      <w:r w:rsidDel="00000000" w:rsidR="00000000" w:rsidRPr="00000000">
        <w:rPr>
          <w:rtl w:val="0"/>
        </w:rPr>
      </w:r>
    </w:p>
    <w:p w:rsidR="00000000" w:rsidDel="00000000" w:rsidP="00000000" w:rsidRDefault="00000000" w:rsidRPr="00000000" w14:paraId="00000304">
      <w:pPr>
        <w:pStyle w:val="Heading1"/>
        <w:spacing w:line="240" w:lineRule="auto"/>
        <w:rPr>
          <w:rFonts w:ascii="Gothic A1" w:cs="Gothic A1" w:eastAsia="Gothic A1" w:hAnsi="Gothic A1"/>
        </w:rPr>
      </w:pPr>
      <w:bookmarkStart w:colFirst="0" w:colLast="0" w:name="_vr8ten7irs79" w:id="35"/>
      <w:bookmarkEnd w:id="35"/>
      <w:r w:rsidDel="00000000" w:rsidR="00000000" w:rsidRPr="00000000">
        <w:rPr>
          <w:rFonts w:ascii="Gothic A1" w:cs="Gothic A1" w:eastAsia="Gothic A1" w:hAnsi="Gothic A1"/>
          <w:u w:val="none"/>
          <w:rtl w:val="0"/>
        </w:rPr>
        <w:t xml:space="preserve">Lifelike Capital Fund Update [As Expected]</w:t>
      </w:r>
      <w:r w:rsidDel="00000000" w:rsidR="00000000" w:rsidRPr="00000000">
        <w:rPr>
          <w:rtl w:val="0"/>
        </w:rPr>
      </w:r>
    </w:p>
    <w:p w:rsidR="00000000" w:rsidDel="00000000" w:rsidP="00000000" w:rsidRDefault="00000000" w:rsidRPr="00000000" w14:paraId="00000305">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306">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307">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308">
      <w:pPr>
        <w:numPr>
          <w:ilvl w:val="0"/>
          <w:numId w:val="23"/>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309">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30A">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Fund </w:t>
      </w:r>
      <w:r w:rsidDel="00000000" w:rsidR="00000000" w:rsidRPr="00000000">
        <w:rPr>
          <w:rFonts w:ascii="Gothic A1" w:cs="Gothic A1" w:eastAsia="Gothic A1" w:hAnsi="Gothic A1"/>
          <w:u w:val="single"/>
          <w:rtl w:val="0"/>
        </w:rPr>
        <w:t xml:space="preserve">Performance</w:t>
      </w:r>
    </w:p>
    <w:p w:rsidR="00000000" w:rsidDel="00000000" w:rsidP="00000000" w:rsidRDefault="00000000" w:rsidRPr="00000000" w14:paraId="0000030B">
      <w:pPr>
        <w:numPr>
          <w:ilvl w:val="0"/>
          <w:numId w:val="16"/>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Lifelike Capital Fund LP has a total fund size of $82.9M with $20.8M deployed across 18 investments (25% of fund), and a portfolio fair market value of $23.9M as of December 10, 2025.</w:t>
      </w:r>
    </w:p>
    <w:p w:rsidR="00000000" w:rsidDel="00000000" w:rsidP="00000000" w:rsidRDefault="00000000" w:rsidRPr="00000000" w14:paraId="0000030C">
      <w:pPr>
        <w:numPr>
          <w:ilvl w:val="0"/>
          <w:numId w:val="16"/>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Portfolio performance is reported on a gross basis with Gross MOIC of 1.15x and Gross IRR of ~17%. </w:t>
      </w:r>
    </w:p>
    <w:p w:rsidR="00000000" w:rsidDel="00000000" w:rsidP="00000000" w:rsidRDefault="00000000" w:rsidRPr="00000000" w14:paraId="0000030D">
      <w:pPr>
        <w:numPr>
          <w:ilvl w:val="0"/>
          <w:numId w:val="16"/>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Portfolio construction emphasizes early entry points, with 13 of 18 deals at single-digit pre-money valuations, 15 of 18 as first or seed capital, and 13 of 18 where Lifelike is a lead or co-lead investor.</w:t>
      </w:r>
    </w:p>
    <w:p w:rsidR="00000000" w:rsidDel="00000000" w:rsidP="00000000" w:rsidRDefault="00000000" w:rsidRPr="00000000" w14:paraId="0000030E">
      <w:pPr>
        <w:numPr>
          <w:ilvl w:val="0"/>
          <w:numId w:val="16"/>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Sector exposure is concentrated in Gaming, Social, and Frontier/Deep Tech, with geographic diversification across North America, Europe, and Asia.</w:t>
      </w:r>
    </w:p>
    <w:p w:rsidR="00000000" w:rsidDel="00000000" w:rsidP="00000000" w:rsidRDefault="00000000" w:rsidRPr="00000000" w14:paraId="0000030F">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310">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311">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Several gaming assets (Red Rover, Wolf Haus, Dead Astronauts, Ironwood) are approaching key launch or milestone windows from 2026–2028, positioning the portfolio for potential step-ups in valuation over the next 12–36 months.</w:t>
      </w:r>
    </w:p>
    <w:p w:rsidR="00000000" w:rsidDel="00000000" w:rsidP="00000000" w:rsidRDefault="00000000" w:rsidRPr="00000000" w14:paraId="00000312">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Frontier and enterprise-facing investments (Arine, SweGaN, Softmax) provide diversification away from pure content risk, with Arine in particular demonstrating strong revenue scale ($68M+ SaaS CARR, ~100% 5-year CAGR).</w:t>
      </w:r>
    </w:p>
    <w:p w:rsidR="00000000" w:rsidDel="00000000" w:rsidP="00000000" w:rsidRDefault="00000000" w:rsidRPr="00000000" w14:paraId="00000313">
      <w:pPr>
        <w:numPr>
          <w:ilvl w:val="0"/>
          <w:numId w:val="12"/>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We underwrote early entry, board-level involvement, and access-driven sourcing to produce a small number of meaningful winners rather than broad beta exposure. This is playing out: Metatheory marked at ~4.9x gross MOIC following a16z-led repricing. Red Rover, Softmax, and select Frontier assets showing early step-ups. Arine significantly exceeding underwriting-style growth expectations with $68M+ SaaS CARR and ~100% 5-year CAGR.</w:t>
      </w:r>
    </w:p>
    <w:p w:rsidR="00000000" w:rsidDel="00000000" w:rsidP="00000000" w:rsidRDefault="00000000" w:rsidRPr="00000000" w14:paraId="00000314">
      <w:pPr>
        <w:numPr>
          <w:ilvl w:val="0"/>
          <w:numId w:val="12"/>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Portfolio remains highly aligned with this thesis, but with greater-than-expected exposure to pre-revenue gaming studios and longer-duration outcomes (launch windows stretching into 2026–2028).</w:t>
      </w:r>
    </w:p>
    <w:p w:rsidR="00000000" w:rsidDel="00000000" w:rsidP="00000000" w:rsidRDefault="00000000" w:rsidRPr="00000000" w14:paraId="00000315">
      <w:pPr>
        <w:numPr>
          <w:ilvl w:val="0"/>
          <w:numId w:val="12"/>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The GPs are consistently taking board director or observer roles across core portfolio companies and are deeply engaged in operational decisions, not just governance. This hands-on involvement shows up in fundraising support, publishing and go-to-market strategy, partnership development, and exit positioning, particularly across gaming and frontier investments. Overall, actual GP engagement meets or exceeds what was underwritten.</w:t>
      </w:r>
    </w:p>
    <w:p w:rsidR="00000000" w:rsidDel="00000000" w:rsidP="00000000" w:rsidRDefault="00000000" w:rsidRPr="00000000" w14:paraId="00000316">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317">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318">
      <w:pPr>
        <w:numPr>
          <w:ilvl w:val="0"/>
          <w:numId w:val="17"/>
        </w:numPr>
        <w:spacing w:line="240" w:lineRule="auto"/>
        <w:ind w:left="720" w:hanging="360"/>
        <w:rPr>
          <w:rFonts w:ascii="Gothic A1" w:cs="Gothic A1" w:eastAsia="Gothic A1" w:hAnsi="Gothic A1"/>
          <w:b w:val="0"/>
          <w:bCs w:val="0"/>
        </w:rPr>
      </w:pPr>
      <w:r w:rsidDel="00000000" w:rsidR="00000000" w:rsidRPr="00000000">
        <w:rPr>
          <w:rFonts w:ascii="Gothic A1" w:cs="Gothic A1" w:eastAsia="Gothic A1" w:hAnsi="Gothic A1"/>
          <w:rtl w:val="0"/>
        </w:rPr>
        <w:t xml:space="preserve">The fund continues to leverage deep industry networks (Tencent, Twitch, AAA gaming, healthcare, semiconductors) for proprietary deal flow and active value creation, particularly in publishing strategy, go-to-market support, and follow-on fundraising.</w:t>
      </w:r>
      <w:r w:rsidDel="00000000" w:rsidR="00000000" w:rsidRPr="00000000">
        <w:rPr>
          <w:rtl w:val="0"/>
        </w:rPr>
      </w:r>
    </w:p>
    <w:p w:rsidR="00000000" w:rsidDel="00000000" w:rsidP="00000000" w:rsidRDefault="00000000" w:rsidRPr="00000000" w14:paraId="00000319">
      <w:pPr>
        <w:pStyle w:val="Heading1"/>
        <w:spacing w:line="240" w:lineRule="auto"/>
        <w:rPr>
          <w:rFonts w:ascii="Gothic A1" w:cs="Gothic A1" w:eastAsia="Gothic A1" w:hAnsi="Gothic A1"/>
          <w:u w:val="none"/>
        </w:rPr>
      </w:pPr>
      <w:bookmarkStart w:colFirst="0" w:colLast="0" w:name="_ckd2c1o16woj" w:id="36"/>
      <w:bookmarkEnd w:id="36"/>
      <w:r w:rsidDel="00000000" w:rsidR="00000000" w:rsidRPr="00000000">
        <w:rPr>
          <w:rtl w:val="0"/>
        </w:rPr>
      </w:r>
    </w:p>
    <w:p w:rsidR="00000000" w:rsidDel="00000000" w:rsidP="00000000" w:rsidRDefault="00000000" w:rsidRPr="00000000" w14:paraId="0000031A">
      <w:pPr>
        <w:pStyle w:val="Heading1"/>
        <w:spacing w:line="240" w:lineRule="auto"/>
        <w:rPr>
          <w:rFonts w:ascii="Gothic A1" w:cs="Gothic A1" w:eastAsia="Gothic A1" w:hAnsi="Gothic A1"/>
        </w:rPr>
      </w:pPr>
      <w:bookmarkStart w:colFirst="0" w:colLast="0" w:name="_s3d50nuq508g" w:id="37"/>
      <w:bookmarkEnd w:id="37"/>
      <w:r w:rsidDel="00000000" w:rsidR="00000000" w:rsidRPr="00000000">
        <w:rPr>
          <w:rFonts w:ascii="Gothic A1" w:cs="Gothic A1" w:eastAsia="Gothic A1" w:hAnsi="Gothic A1"/>
          <w:u w:val="none"/>
          <w:rtl w:val="0"/>
        </w:rPr>
        <w:t xml:space="preserve">Leonid Credit Income Fund Update [As Expected]</w:t>
      </w:r>
      <w:r w:rsidDel="00000000" w:rsidR="00000000" w:rsidRPr="00000000">
        <w:rPr>
          <w:rtl w:val="0"/>
        </w:rPr>
      </w:r>
    </w:p>
    <w:p w:rsidR="00000000" w:rsidDel="00000000" w:rsidP="00000000" w:rsidRDefault="00000000" w:rsidRPr="00000000" w14:paraId="0000031B">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31C">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31D">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31E">
      <w:pPr>
        <w:numPr>
          <w:ilvl w:val="0"/>
          <w:numId w:val="23"/>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31F">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320">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Fund </w:t>
      </w:r>
      <w:r w:rsidDel="00000000" w:rsidR="00000000" w:rsidRPr="00000000">
        <w:rPr>
          <w:rFonts w:ascii="Gothic A1" w:cs="Gothic A1" w:eastAsia="Gothic A1" w:hAnsi="Gothic A1"/>
          <w:u w:val="single"/>
          <w:rtl w:val="0"/>
        </w:rPr>
        <w:t xml:space="preserve">Performance</w:t>
      </w:r>
    </w:p>
    <w:p w:rsidR="00000000" w:rsidDel="00000000" w:rsidP="00000000" w:rsidRDefault="00000000" w:rsidRPr="00000000" w14:paraId="00000321">
      <w:pPr>
        <w:numPr>
          <w:ilvl w:val="0"/>
          <w:numId w:val="16"/>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4.0% net total return for Q3 2025, net of fees and expenses, driven by continued capital deployment and strong borrower demand, with 2.8% of the quarter’s return realized in net cash distributions and no reliance on fund-level leverage. </w:t>
      </w:r>
    </w:p>
    <w:p w:rsidR="00000000" w:rsidDel="00000000" w:rsidP="00000000" w:rsidRDefault="00000000" w:rsidRPr="00000000" w14:paraId="00000322">
      <w:pPr>
        <w:numPr>
          <w:ilvl w:val="0"/>
          <w:numId w:val="16"/>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The underwriting anticipated leverage via a warehouse line as a return enhancer; to date, returns have been achieved with zero fund-level leverage, implying embedded upside to underwriting once leverage ramps toward management’s stated 1:1 target.</w:t>
      </w:r>
    </w:p>
    <w:p w:rsidR="00000000" w:rsidDel="00000000" w:rsidP="00000000" w:rsidRDefault="00000000" w:rsidRPr="00000000" w14:paraId="00000323">
      <w:pPr>
        <w:numPr>
          <w:ilvl w:val="0"/>
          <w:numId w:val="16"/>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Underwriting targeted ~15% net yield after fees on an unlevered basis, driven by high contractual spreads and rapid capital recycling; Q3 results show a 14.5% TTM net return and 15.3% net TWR, indicating performance is tracking at or slightly above underwritten net return targets, even before the introduction of fund-level leverage.</w:t>
      </w:r>
    </w:p>
    <w:p w:rsidR="00000000" w:rsidDel="00000000" w:rsidP="00000000" w:rsidRDefault="00000000" w:rsidRPr="00000000" w14:paraId="00000324">
      <w:pPr>
        <w:numPr>
          <w:ilvl w:val="0"/>
          <w:numId w:val="16"/>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Total LP managed capital stood at $298.8 million, with $245.7 million deployed and $53.1 million of remaining dry powder, positioning the Fund for full deployment in early Q4.</w:t>
      </w:r>
    </w:p>
    <w:p w:rsidR="00000000" w:rsidDel="00000000" w:rsidP="00000000" w:rsidRDefault="00000000" w:rsidRPr="00000000" w14:paraId="00000325">
      <w:pPr>
        <w:numPr>
          <w:ilvl w:val="0"/>
          <w:numId w:val="16"/>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The portfolio consisted of 57 active credit positions, with 100% of borrowers performing and amortizing, 0.0% non-performing exposure, and a minimal 0.4% watch list allocation.</w:t>
      </w:r>
    </w:p>
    <w:p w:rsidR="00000000" w:rsidDel="00000000" w:rsidP="00000000" w:rsidRDefault="00000000" w:rsidRPr="00000000" w14:paraId="00000326">
      <w:pPr>
        <w:numPr>
          <w:ilvl w:val="0"/>
          <w:numId w:val="16"/>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Portfolio risk metrics remained conservative, including 11.0% loan-to-value against controlled government cash flows, 13.9-month average duration, no fund-level leverage, and maximum borrower concentration of 8.5%, underscoring capital preservation discipline.</w:t>
      </w:r>
      <w:r w:rsidDel="00000000" w:rsidR="00000000" w:rsidRPr="00000000">
        <w:rPr>
          <w:rtl w:val="0"/>
        </w:rPr>
      </w:r>
    </w:p>
    <w:p w:rsidR="00000000" w:rsidDel="00000000" w:rsidP="00000000" w:rsidRDefault="00000000" w:rsidRPr="00000000" w14:paraId="00000327">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328">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329">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Leonid continues to demonstrate consistent double-digit net returns with low duration and no leverage, validating the strength of its underwriting model and focus on mission-critical, government-backed cash flows.</w:t>
      </w:r>
    </w:p>
    <w:p w:rsidR="00000000" w:rsidDel="00000000" w:rsidP="00000000" w:rsidRDefault="00000000" w:rsidRPr="00000000" w14:paraId="0000032A">
      <w:pPr>
        <w:numPr>
          <w:ilvl w:val="0"/>
          <w:numId w:val="12"/>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Expense efficiency improved materially, with annualized expenses reduced to approximately 81 basis points, representing a more than 50% year-over-year decline.</w:t>
      </w:r>
    </w:p>
    <w:p w:rsidR="00000000" w:rsidDel="00000000" w:rsidP="00000000" w:rsidRDefault="00000000" w:rsidRPr="00000000" w14:paraId="0000032B">
      <w:pPr>
        <w:numPr>
          <w:ilvl w:val="0"/>
          <w:numId w:val="12"/>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The Fund is expected to reach full deployment in early Q4 2025, after which management plans to gradually introduce leverage toward a long-term 1:1 equity-to-debt target to sustain origination velocity and enhance returns.</w:t>
      </w:r>
    </w:p>
    <w:p w:rsidR="00000000" w:rsidDel="00000000" w:rsidP="00000000" w:rsidRDefault="00000000" w:rsidRPr="00000000" w14:paraId="0000032C">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32D">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32E">
      <w:pPr>
        <w:numPr>
          <w:ilvl w:val="0"/>
          <w:numId w:val="17"/>
        </w:numPr>
        <w:spacing w:line="240" w:lineRule="auto"/>
        <w:ind w:left="720" w:hanging="360"/>
        <w:rPr>
          <w:rFonts w:ascii="Gothic A1" w:cs="Gothic A1" w:eastAsia="Gothic A1" w:hAnsi="Gothic A1"/>
          <w:b w:val="0"/>
          <w:bCs w:val="0"/>
        </w:rPr>
      </w:pPr>
      <w:r w:rsidDel="00000000" w:rsidR="00000000" w:rsidRPr="00000000">
        <w:rPr>
          <w:rFonts w:ascii="Gothic A1" w:cs="Gothic A1" w:eastAsia="Gothic A1" w:hAnsi="Gothic A1"/>
          <w:rtl w:val="0"/>
        </w:rPr>
        <w:t xml:space="preserve">Leonid strengthened its institutional infrastructure with the appointment of a new CFO, formalization of the COO role, and expanded FP&amp;A capabilities, while accelerating reporting timelines toward a Q+30–45 day standard.</w:t>
      </w:r>
    </w:p>
    <w:p w:rsidR="00000000" w:rsidDel="00000000" w:rsidP="00000000" w:rsidRDefault="00000000" w:rsidRPr="00000000" w14:paraId="0000032F">
      <w:pPr>
        <w:numPr>
          <w:ilvl w:val="0"/>
          <w:numId w:val="17"/>
        </w:numPr>
        <w:spacing w:line="240" w:lineRule="auto"/>
        <w:ind w:left="720" w:hanging="360"/>
        <w:rPr>
          <w:rFonts w:ascii="Gothic A1" w:cs="Gothic A1" w:eastAsia="Gothic A1" w:hAnsi="Gothic A1"/>
          <w:b w:val="0"/>
          <w:bCs w:val="0"/>
        </w:rPr>
      </w:pPr>
      <w:r w:rsidDel="00000000" w:rsidR="00000000" w:rsidRPr="00000000">
        <w:rPr>
          <w:rFonts w:ascii="Gothic A1" w:cs="Gothic A1" w:eastAsia="Gothic A1" w:hAnsi="Gothic A1"/>
          <w:rtl w:val="0"/>
        </w:rPr>
        <w:t xml:space="preserve">Management emphasized that the recent U.S. federal government shutdown had no material adverse impact on portfolio performance, as Leonid exclusively finances awarded, escrowed, and mission-critical national-security contracts that continue operating under “excepted activities.”</w:t>
      </w:r>
      <w:r w:rsidDel="00000000" w:rsidR="00000000" w:rsidRPr="00000000">
        <w:rPr>
          <w:rtl w:val="0"/>
        </w:rPr>
      </w:r>
    </w:p>
    <w:p w:rsidR="00000000" w:rsidDel="00000000" w:rsidP="00000000" w:rsidRDefault="00000000" w:rsidRPr="00000000" w14:paraId="00000330">
      <w:pPr>
        <w:pStyle w:val="Heading1"/>
        <w:spacing w:line="240" w:lineRule="auto"/>
        <w:rPr>
          <w:rFonts w:ascii="Gothic A1" w:cs="Gothic A1" w:eastAsia="Gothic A1" w:hAnsi="Gothic A1"/>
          <w:u w:val="none"/>
        </w:rPr>
      </w:pPr>
      <w:bookmarkStart w:colFirst="0" w:colLast="0" w:name="_fu54hrjkdv2v" w:id="38"/>
      <w:bookmarkEnd w:id="38"/>
      <w:r w:rsidDel="00000000" w:rsidR="00000000" w:rsidRPr="00000000">
        <w:rPr>
          <w:rtl w:val="0"/>
        </w:rPr>
      </w:r>
    </w:p>
    <w:p w:rsidR="00000000" w:rsidDel="00000000" w:rsidP="00000000" w:rsidRDefault="00000000" w:rsidRPr="00000000" w14:paraId="00000331">
      <w:pPr>
        <w:pStyle w:val="Heading1"/>
        <w:spacing w:line="240" w:lineRule="auto"/>
        <w:rPr>
          <w:rFonts w:ascii="Gothic A1" w:cs="Gothic A1" w:eastAsia="Gothic A1" w:hAnsi="Gothic A1"/>
        </w:rPr>
      </w:pPr>
      <w:bookmarkStart w:colFirst="0" w:colLast="0" w:name="_oflowj5btb15" w:id="39"/>
      <w:bookmarkEnd w:id="39"/>
      <w:r w:rsidDel="00000000" w:rsidR="00000000" w:rsidRPr="00000000">
        <w:rPr>
          <w:rFonts w:ascii="Gothic A1" w:cs="Gothic A1" w:eastAsia="Gothic A1" w:hAnsi="Gothic A1"/>
          <w:u w:val="none"/>
          <w:rtl w:val="0"/>
        </w:rPr>
        <w:t xml:space="preserve">Kaia Residences Update [As Expected]</w:t>
      </w:r>
      <w:r w:rsidDel="00000000" w:rsidR="00000000" w:rsidRPr="00000000">
        <w:rPr>
          <w:rtl w:val="0"/>
        </w:rPr>
      </w:r>
    </w:p>
    <w:p w:rsidR="00000000" w:rsidDel="00000000" w:rsidP="00000000" w:rsidRDefault="00000000" w:rsidRPr="00000000" w14:paraId="00000332">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333">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334">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335">
      <w:pPr>
        <w:numPr>
          <w:ilvl w:val="0"/>
          <w:numId w:val="23"/>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336">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337">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Project</w:t>
      </w:r>
      <w:r w:rsidDel="00000000" w:rsidR="00000000" w:rsidRPr="00000000">
        <w:rPr>
          <w:rFonts w:ascii="Gothic A1" w:cs="Gothic A1" w:eastAsia="Gothic A1" w:hAnsi="Gothic A1"/>
          <w:u w:val="single"/>
          <w:rtl w:val="0"/>
        </w:rPr>
        <w:t xml:space="preserve"> Performance</w:t>
      </w:r>
    </w:p>
    <w:p w:rsidR="00000000" w:rsidDel="00000000" w:rsidP="00000000" w:rsidRDefault="00000000" w:rsidRPr="00000000" w14:paraId="00000338">
      <w:pPr>
        <w:numPr>
          <w:ilvl w:val="0"/>
          <w:numId w:val="16"/>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Construction commenced in April 2025 and substantial completion is now projected for mid-Q4 2027, reflecting a roughly two-month delay versus prior schedules due to utility-related issues.</w:t>
      </w:r>
    </w:p>
    <w:p w:rsidR="00000000" w:rsidDel="00000000" w:rsidP="00000000" w:rsidRDefault="00000000" w:rsidRPr="00000000" w14:paraId="00000339">
      <w:pPr>
        <w:numPr>
          <w:ilvl w:val="0"/>
          <w:numId w:val="16"/>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Total project budget remains $161.5 million, with approximately 16.8% drawn to date, driven primarily by full land acquisition and early soft cost funding, while hard costs are only 10.3% drawn given the early stage of vertical construction.</w:t>
      </w:r>
    </w:p>
    <w:p w:rsidR="00000000" w:rsidDel="00000000" w:rsidP="00000000" w:rsidRDefault="00000000" w:rsidRPr="00000000" w14:paraId="0000033A">
      <w:pPr>
        <w:numPr>
          <w:ilvl w:val="0"/>
          <w:numId w:val="16"/>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No outstanding construction loan balance as of September 30, 2025, despite a fully structured $111.45 million construction financing package with Bank OZK (senior) and Affinius Capital (mezzanine).</w:t>
      </w:r>
      <w:r w:rsidDel="00000000" w:rsidR="00000000" w:rsidRPr="00000000">
        <w:rPr>
          <w:rtl w:val="0"/>
        </w:rPr>
      </w:r>
    </w:p>
    <w:p w:rsidR="00000000" w:rsidDel="00000000" w:rsidP="00000000" w:rsidRDefault="00000000" w:rsidRPr="00000000" w14:paraId="0000033B">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33C">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33D">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The original underwriting assumed a 52-month hold with ~28 months of construction; current timelines now reflect a ~2-month schedule delay, pushing substantial completion to mid-Q4 2027, modestly behind plan but not yet threatening the targeted 2029 disposition window. Development economics remain intact despite schedule pressure, with the sponsor indicating tariff-related cost exposure of $800K–$1.2M, unchanged from Q2 and fully absorbed within existing contingency.</w:t>
      </w:r>
    </w:p>
    <w:p w:rsidR="00000000" w:rsidDel="00000000" w:rsidP="00000000" w:rsidRDefault="00000000" w:rsidRPr="00000000" w14:paraId="0000033E">
      <w:pPr>
        <w:numPr>
          <w:ilvl w:val="0"/>
          <w:numId w:val="12"/>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Total project budget remains consistent with underwriting, supported by a GMP contract, and there have been no budget overruns to date, aligning with the memo’s emphasis on construction cost certainty.</w:t>
      </w:r>
    </w:p>
    <w:p w:rsidR="00000000" w:rsidDel="00000000" w:rsidP="00000000" w:rsidRDefault="00000000" w:rsidRPr="00000000" w14:paraId="0000033F">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Approximately 29.7% of total equity commitments (~$10.1 million) represented the final unfunded tranche, with the last capital call due by November 30, 2025, completing the equity funding plan.</w:t>
      </w:r>
    </w:p>
    <w:p w:rsidR="00000000" w:rsidDel="00000000" w:rsidP="00000000" w:rsidRDefault="00000000" w:rsidRPr="00000000" w14:paraId="00000340">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Balance sheet growth is tracking construction progress, with work-in-progress assets increasing to ~$35.1M, up materially quarter-over-quarter, while cash balances remain strong at the property level.</w:t>
      </w:r>
    </w:p>
    <w:p w:rsidR="00000000" w:rsidDel="00000000" w:rsidP="00000000" w:rsidRDefault="00000000" w:rsidRPr="00000000" w14:paraId="00000341">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Near-term financials show expected operating losses and zero revenue, consistent with a pre-lease-up development phase and no indication of budget overruns or financing stress.</w:t>
      </w:r>
    </w:p>
    <w:p w:rsidR="00000000" w:rsidDel="00000000" w:rsidP="00000000" w:rsidRDefault="00000000" w:rsidRPr="00000000" w14:paraId="00000342">
      <w:pPr>
        <w:numPr>
          <w:ilvl w:val="0"/>
          <w:numId w:val="12"/>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Construction risk is tracking slightly worse than initial expectations due to a third-party utility delay (Xcel Energy), but this risk was explicitly contemplated in the underwriting and mitigated through contingency, GMP structure, and sponsor control over sequencing and labor.</w:t>
      </w:r>
    </w:p>
    <w:p w:rsidR="00000000" w:rsidDel="00000000" w:rsidP="00000000" w:rsidRDefault="00000000" w:rsidRPr="00000000" w14:paraId="00000343">
      <w:pPr>
        <w:numPr>
          <w:ilvl w:val="0"/>
          <w:numId w:val="12"/>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The investment memo underwrote strong rent growth (4.6% avg.) driven by supply constraints, whereas actual market data shows short-term rent declines (-4.4% YoY for luxury Denver), representing the largest negative deviation from original expectations. Below expectations in near-term market rents, but with improving absorption dynamics that support the medium-term lease-up thesis. The regulatory-tailwind thesis remains fully intact: Kaia’s exemption from Denver’s affordable housing ordinance continues to limit competitive supply, and no new contrary regulatory risks have emerged.</w:t>
      </w:r>
    </w:p>
    <w:p w:rsidR="00000000" w:rsidDel="00000000" w:rsidP="00000000" w:rsidRDefault="00000000" w:rsidRPr="00000000" w14:paraId="00000344">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345">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346">
      <w:pPr>
        <w:numPr>
          <w:ilvl w:val="0"/>
          <w:numId w:val="17"/>
        </w:numPr>
        <w:spacing w:line="240" w:lineRule="auto"/>
        <w:ind w:left="720" w:hanging="360"/>
        <w:rPr>
          <w:rFonts w:ascii="Gothic A1" w:cs="Gothic A1" w:eastAsia="Gothic A1" w:hAnsi="Gothic A1"/>
          <w:b w:val="0"/>
          <w:bCs w:val="0"/>
        </w:rPr>
      </w:pPr>
      <w:r w:rsidDel="00000000" w:rsidR="00000000" w:rsidRPr="00000000">
        <w:rPr>
          <w:rFonts w:ascii="Gothic A1" w:cs="Gothic A1" w:eastAsia="Gothic A1" w:hAnsi="Gothic A1"/>
          <w:rtl w:val="0"/>
        </w:rPr>
        <w:t xml:space="preserve">Denver high-end luxury apartment rents averaged $3,577 per unit ($3.35 PSF) in Q3 2025, reflecting a 3.2% quarter-over-quarter and 4.4% year-over-year decline, while the broader Denver metro experienced a 4.9% YoY rent decline, the steepest in over 20 years.</w:t>
      </w:r>
    </w:p>
    <w:p w:rsidR="00000000" w:rsidDel="00000000" w:rsidP="00000000" w:rsidRDefault="00000000" w:rsidRPr="00000000" w14:paraId="00000347">
      <w:pPr>
        <w:numPr>
          <w:ilvl w:val="0"/>
          <w:numId w:val="17"/>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Return sensitivity remains intact: while near-term market rents are below the memo’s pro forma assumptions, the project remains early enough that long-term IRR math is still driven more by stabilization timing and exit cap rates than by current spot rents.</w:t>
      </w:r>
      <w:r w:rsidDel="00000000" w:rsidR="00000000" w:rsidRPr="00000000">
        <w:rPr>
          <w:rtl w:val="0"/>
        </w:rPr>
      </w:r>
    </w:p>
    <w:p w:rsidR="00000000" w:rsidDel="00000000" w:rsidP="00000000" w:rsidRDefault="00000000" w:rsidRPr="00000000" w14:paraId="00000348">
      <w:pPr>
        <w:pStyle w:val="Heading1"/>
        <w:spacing w:line="240" w:lineRule="auto"/>
        <w:rPr>
          <w:rFonts w:ascii="Gothic A1" w:cs="Gothic A1" w:eastAsia="Gothic A1" w:hAnsi="Gothic A1"/>
          <w:u w:val="none"/>
        </w:rPr>
      </w:pPr>
      <w:bookmarkStart w:colFirst="0" w:colLast="0" w:name="_6u5qv12mdw2c" w:id="40"/>
      <w:bookmarkEnd w:id="40"/>
      <w:r w:rsidDel="00000000" w:rsidR="00000000" w:rsidRPr="00000000">
        <w:rPr>
          <w:rtl w:val="0"/>
        </w:rPr>
      </w:r>
    </w:p>
    <w:p w:rsidR="00000000" w:rsidDel="00000000" w:rsidP="00000000" w:rsidRDefault="00000000" w:rsidRPr="00000000" w14:paraId="00000349">
      <w:pPr>
        <w:pStyle w:val="Heading1"/>
        <w:spacing w:line="240" w:lineRule="auto"/>
        <w:rPr>
          <w:rFonts w:ascii="Gothic A1" w:cs="Gothic A1" w:eastAsia="Gothic A1" w:hAnsi="Gothic A1"/>
        </w:rPr>
      </w:pPr>
      <w:bookmarkStart w:colFirst="0" w:colLast="0" w:name="_belahygx5vo" w:id="41"/>
      <w:bookmarkEnd w:id="41"/>
      <w:r w:rsidDel="00000000" w:rsidR="00000000" w:rsidRPr="00000000">
        <w:rPr>
          <w:rFonts w:ascii="Gothic A1" w:cs="Gothic A1" w:eastAsia="Gothic A1" w:hAnsi="Gothic A1"/>
          <w:u w:val="none"/>
          <w:rtl w:val="0"/>
        </w:rPr>
        <w:t xml:space="preserve">Everside Fund IV Update [As Expected]</w:t>
      </w:r>
      <w:r w:rsidDel="00000000" w:rsidR="00000000" w:rsidRPr="00000000">
        <w:rPr>
          <w:rtl w:val="0"/>
        </w:rPr>
      </w:r>
    </w:p>
    <w:p w:rsidR="00000000" w:rsidDel="00000000" w:rsidP="00000000" w:rsidRDefault="00000000" w:rsidRPr="00000000" w14:paraId="0000034A">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34B">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34C">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34D">
      <w:pPr>
        <w:numPr>
          <w:ilvl w:val="0"/>
          <w:numId w:val="23"/>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34E">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34F">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Fund </w:t>
      </w:r>
      <w:r w:rsidDel="00000000" w:rsidR="00000000" w:rsidRPr="00000000">
        <w:rPr>
          <w:rFonts w:ascii="Gothic A1" w:cs="Gothic A1" w:eastAsia="Gothic A1" w:hAnsi="Gothic A1"/>
          <w:u w:val="single"/>
          <w:rtl w:val="0"/>
        </w:rPr>
        <w:t xml:space="preserve">Performance</w:t>
      </w:r>
    </w:p>
    <w:p w:rsidR="00000000" w:rsidDel="00000000" w:rsidP="00000000" w:rsidRDefault="00000000" w:rsidRPr="00000000" w14:paraId="00000350">
      <w:pPr>
        <w:numPr>
          <w:ilvl w:val="0"/>
          <w:numId w:val="16"/>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Fund IV generated an 11% Net IRR and 1.1–1.2x Net MOIC / TVPI from inception (June 2023) through September 30, 2025, with Net DPI of ~0.03x (3% of called capital) reflecting the early life of the fund and growing but still modest realizations.</w:t>
      </w:r>
    </w:p>
    <w:p w:rsidR="00000000" w:rsidDel="00000000" w:rsidP="00000000" w:rsidRDefault="00000000" w:rsidRPr="00000000" w14:paraId="00000351">
      <w:pPr>
        <w:numPr>
          <w:ilvl w:val="0"/>
          <w:numId w:val="16"/>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Performance this quarter was driven primarily by Secondary and Direct investments, which benefit from more seasoned credit profiles and current income, while Primary commitments remain early in their J-curves (~0.9x net MOIC).</w:t>
      </w:r>
    </w:p>
    <w:p w:rsidR="00000000" w:rsidDel="00000000" w:rsidP="00000000" w:rsidRDefault="00000000" w:rsidRPr="00000000" w14:paraId="00000352">
      <w:pPr>
        <w:numPr>
          <w:ilvl w:val="0"/>
          <w:numId w:val="16"/>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The Fund has called 48% of $601M total commitments and distributed $5.8M in Q3, with management targeting an additional ~2% distribution by year-end 2025.</w:t>
      </w:r>
    </w:p>
    <w:p w:rsidR="00000000" w:rsidDel="00000000" w:rsidP="00000000" w:rsidRDefault="00000000" w:rsidRPr="00000000" w14:paraId="00000353">
      <w:pPr>
        <w:numPr>
          <w:ilvl w:val="0"/>
          <w:numId w:val="16"/>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Direct portfolio metrics remain conservative, with ~12.7% weighted average coupon, all investments current on interest, and leverage at ~3.8–4.0x, below broader LMM benchmarks.</w:t>
      </w:r>
    </w:p>
    <w:p w:rsidR="00000000" w:rsidDel="00000000" w:rsidP="00000000" w:rsidRDefault="00000000" w:rsidRPr="00000000" w14:paraId="00000354">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Exit momentum is emerging earlier than expected, including a full refinance-driven exit in women’s health (1.2–1.3x net MOIC, ~17% net IRR) and a subsequent full exit in in-home healthcare at similar returns, validating the downside-protected credit-first strategy.</w:t>
      </w:r>
      <w:r w:rsidDel="00000000" w:rsidR="00000000" w:rsidRPr="00000000">
        <w:rPr>
          <w:rtl w:val="0"/>
        </w:rPr>
      </w:r>
    </w:p>
    <w:p w:rsidR="00000000" w:rsidDel="00000000" w:rsidP="00000000" w:rsidRDefault="00000000" w:rsidRPr="00000000" w14:paraId="00000355">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356">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357">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Underwriting emphasized Secondaries and Directs to reduce early J-curve drag; this is playing out, with Secondaries and Directs driving nearly all current performance and cash yield while Primaries remain early.</w:t>
      </w:r>
    </w:p>
    <w:p w:rsidR="00000000" w:rsidDel="00000000" w:rsidP="00000000" w:rsidRDefault="00000000" w:rsidRPr="00000000" w14:paraId="00000358">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Fund IV has outperformed a blended high-yield and leveraged loan benchmark (~10%) despite early-stage drag from Primary investments, underscoring the value of the diversified Primary / Secondary / Direct structure.</w:t>
      </w:r>
    </w:p>
    <w:p w:rsidR="00000000" w:rsidDel="00000000" w:rsidP="00000000" w:rsidRDefault="00000000" w:rsidRPr="00000000" w14:paraId="00000359">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Our underwriting highlighted that DPI would lag peers early due to SBIC structure; current DPI profile is fully consistent with this known risk and not indicative of underperformance. DPI focus is increasing, with management explicitly highlighting improved M&amp;A conditions, rising strategic buyer interest, and multiple portfolio companies entering sale processes, which should support faster distribution velocity in 2026.</w:t>
      </w:r>
    </w:p>
    <w:p w:rsidR="00000000" w:rsidDel="00000000" w:rsidP="00000000" w:rsidRDefault="00000000" w:rsidRPr="00000000" w14:paraId="0000035A">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Portfolio fundamentals remain strong, with LTM revenue up ~7.6% and EBITDA up ~5.6%, and no evidence of systemic credit stress across holdings.</w:t>
      </w:r>
    </w:p>
    <w:p w:rsidR="00000000" w:rsidDel="00000000" w:rsidP="00000000" w:rsidRDefault="00000000" w:rsidRPr="00000000" w14:paraId="0000035B">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35C">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35D">
      <w:pPr>
        <w:numPr>
          <w:ilvl w:val="0"/>
          <w:numId w:val="17"/>
        </w:numPr>
        <w:spacing w:line="240" w:lineRule="auto"/>
        <w:ind w:left="720" w:hanging="360"/>
        <w:rPr>
          <w:rFonts w:ascii="Gothic A1" w:cs="Gothic A1" w:eastAsia="Gothic A1" w:hAnsi="Gothic A1"/>
          <w:b w:val="0"/>
          <w:bCs w:val="0"/>
        </w:rPr>
      </w:pPr>
      <w:r w:rsidDel="00000000" w:rsidR="00000000" w:rsidRPr="00000000">
        <w:rPr>
          <w:rFonts w:ascii="Gothic A1" w:cs="Gothic A1" w:eastAsia="Gothic A1" w:hAnsi="Gothic A1"/>
          <w:rtl w:val="0"/>
        </w:rPr>
        <w:t xml:space="preserve">M&amp;A activity accelerated meaningfully starting September 2025, supported by pent-up demand following rate cuts and renewed engagement from both private equity and well-capitalized strategic buyers moving down-market.</w:t>
      </w:r>
      <w:r w:rsidDel="00000000" w:rsidR="00000000" w:rsidRPr="00000000">
        <w:rPr>
          <w:rtl w:val="0"/>
        </w:rPr>
      </w:r>
    </w:p>
    <w:p w:rsidR="00000000" w:rsidDel="00000000" w:rsidP="00000000" w:rsidRDefault="00000000" w:rsidRPr="00000000" w14:paraId="0000035E">
      <w:pPr>
        <w:pStyle w:val="Heading1"/>
        <w:spacing w:line="240" w:lineRule="auto"/>
        <w:rPr>
          <w:rFonts w:ascii="Gothic A1" w:cs="Gothic A1" w:eastAsia="Gothic A1" w:hAnsi="Gothic A1"/>
          <w:u w:val="none"/>
        </w:rPr>
      </w:pPr>
      <w:bookmarkStart w:colFirst="0" w:colLast="0" w:name="_n8i92ki22oc6" w:id="42"/>
      <w:bookmarkEnd w:id="42"/>
      <w:r w:rsidDel="00000000" w:rsidR="00000000" w:rsidRPr="00000000">
        <w:rPr>
          <w:rtl w:val="0"/>
        </w:rPr>
      </w:r>
    </w:p>
    <w:p w:rsidR="00000000" w:rsidDel="00000000" w:rsidP="00000000" w:rsidRDefault="00000000" w:rsidRPr="00000000" w14:paraId="0000035F">
      <w:pPr>
        <w:pStyle w:val="Heading1"/>
        <w:spacing w:line="240" w:lineRule="auto"/>
        <w:rPr>
          <w:rFonts w:ascii="Gothic A1" w:cs="Gothic A1" w:eastAsia="Gothic A1" w:hAnsi="Gothic A1"/>
        </w:rPr>
      </w:pPr>
      <w:bookmarkStart w:colFirst="0" w:colLast="0" w:name="_sebzag100ayg" w:id="43"/>
      <w:bookmarkEnd w:id="43"/>
      <w:r w:rsidDel="00000000" w:rsidR="00000000" w:rsidRPr="00000000">
        <w:rPr>
          <w:rFonts w:ascii="Gothic A1" w:cs="Gothic A1" w:eastAsia="Gothic A1" w:hAnsi="Gothic A1"/>
          <w:u w:val="none"/>
          <w:rtl w:val="0"/>
        </w:rPr>
        <w:t xml:space="preserve">Boram Care Update [Underperforming]</w:t>
      </w:r>
      <w:r w:rsidDel="00000000" w:rsidR="00000000" w:rsidRPr="00000000">
        <w:rPr>
          <w:rtl w:val="0"/>
        </w:rPr>
      </w:r>
    </w:p>
    <w:p w:rsidR="00000000" w:rsidDel="00000000" w:rsidP="00000000" w:rsidRDefault="00000000" w:rsidRPr="00000000" w14:paraId="00000360">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361">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362">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363">
      <w:pPr>
        <w:numPr>
          <w:ilvl w:val="0"/>
          <w:numId w:val="23"/>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364">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365">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Company</w:t>
      </w:r>
      <w:r w:rsidDel="00000000" w:rsidR="00000000" w:rsidRPr="00000000">
        <w:rPr>
          <w:rFonts w:ascii="Gothic A1" w:cs="Gothic A1" w:eastAsia="Gothic A1" w:hAnsi="Gothic A1"/>
          <w:u w:val="single"/>
          <w:rtl w:val="0"/>
        </w:rPr>
        <w:t xml:space="preserve"> Performance</w:t>
      </w:r>
    </w:p>
    <w:p w:rsidR="00000000" w:rsidDel="00000000" w:rsidP="00000000" w:rsidRDefault="00000000" w:rsidRPr="00000000" w14:paraId="00000366">
      <w:pPr>
        <w:numPr>
          <w:ilvl w:val="0"/>
          <w:numId w:val="16"/>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At underwriting in December 2023, Boram was projected to generate ~$2.5M of revenue in 2023 and scale to ~$9.9M in 2025, driven primarily by rapid expansion of Boram Retreats, meaningful contribution from Boram Anywhere (~26% of revenue), and improving gross margins to ~32% with net profitability by 2025. The company has completely pivoted business models, and it is a little too early to tell whether they will succeed; but we consider the company to be underperforming based on its revenue and margin profile. </w:t>
      </w:r>
    </w:p>
    <w:p w:rsidR="00000000" w:rsidDel="00000000" w:rsidP="00000000" w:rsidRDefault="00000000" w:rsidRPr="00000000" w14:paraId="00000367">
      <w:pPr>
        <w:numPr>
          <w:ilvl w:val="0"/>
          <w:numId w:val="16"/>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s of December 2025, Boram has generated ~$1.54M in cumulative gross booking sales year-to-date and ~$694K in completed (recognized) revenue, materially below original 2025 revenue expectations.</w:t>
      </w:r>
    </w:p>
    <w:p w:rsidR="00000000" w:rsidDel="00000000" w:rsidP="00000000" w:rsidRDefault="00000000" w:rsidRPr="00000000" w14:paraId="00000368">
      <w:pPr>
        <w:numPr>
          <w:ilvl w:val="0"/>
          <w:numId w:val="16"/>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While top-line scale has underperformed underwriting projections, actual unit-level performance remains strong, with ARPU of ~$8.4K and LTV of ~$1.67K+.</w:t>
      </w:r>
    </w:p>
    <w:p w:rsidR="00000000" w:rsidDel="00000000" w:rsidP="00000000" w:rsidRDefault="00000000" w:rsidRPr="00000000" w14:paraId="00000369">
      <w:pPr>
        <w:numPr>
          <w:ilvl w:val="0"/>
          <w:numId w:val="16"/>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The business remains cash flow negative at the operating level, with monthly net losses in the ~$65K–$110K range and an end-of-year cash balance of ~$342K, contrasting with underwriting expectations that envisioned net profitability in 2025.</w:t>
      </w:r>
      <w:r w:rsidDel="00000000" w:rsidR="00000000" w:rsidRPr="00000000">
        <w:rPr>
          <w:rtl w:val="0"/>
        </w:rPr>
      </w:r>
    </w:p>
    <w:p w:rsidR="00000000" w:rsidDel="00000000" w:rsidP="00000000" w:rsidRDefault="00000000" w:rsidRPr="00000000" w14:paraId="0000036A">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36B">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36C">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Revenue realization continues to lag bookings, but the growing pipeline and consistent processed revenue suggest improving conversion efficiency over time.</w:t>
      </w:r>
    </w:p>
    <w:p w:rsidR="00000000" w:rsidDel="00000000" w:rsidP="00000000" w:rsidRDefault="00000000" w:rsidRPr="00000000" w14:paraId="0000036D">
      <w:pPr>
        <w:numPr>
          <w:ilvl w:val="0"/>
          <w:numId w:val="12"/>
        </w:numPr>
        <w:spacing w:line="240" w:lineRule="auto"/>
        <w:ind w:left="720" w:hanging="360"/>
        <w:rPr>
          <w:rFonts w:ascii="Gothic A1" w:cs="Gothic A1" w:eastAsia="Gothic A1" w:hAnsi="Gothic A1"/>
          <w:u w:val="none"/>
        </w:rPr>
      </w:pPr>
      <w:r w:rsidDel="00000000" w:rsidR="00000000" w:rsidRPr="00000000">
        <w:rPr>
          <w:rFonts w:ascii="Gothic A1" w:cs="Gothic A1" w:eastAsia="Gothic A1" w:hAnsi="Gothic A1"/>
          <w:rtl w:val="0"/>
        </w:rPr>
        <w:t xml:space="preserve">Customer acquisition efficiency is compelling given favorable LTV-to-CAC dynamics, which positions the business well for scale once growth capital is secured.</w:t>
      </w:r>
    </w:p>
    <w:p w:rsidR="00000000" w:rsidDel="00000000" w:rsidP="00000000" w:rsidRDefault="00000000" w:rsidRPr="00000000" w14:paraId="0000036E">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Management indicated active fundraising efforts through mid-January, evaluating either a $3M priced round with a lead investor or a potential bridge round to extend runway.</w:t>
      </w:r>
    </w:p>
    <w:p w:rsidR="00000000" w:rsidDel="00000000" w:rsidP="00000000" w:rsidRDefault="00000000" w:rsidRPr="00000000" w14:paraId="0000036F">
      <w:pPr>
        <w:numPr>
          <w:ilvl w:val="0"/>
          <w:numId w:val="12"/>
        </w:numPr>
        <w:spacing w:line="240" w:lineRule="auto"/>
        <w:ind w:left="720" w:hanging="360"/>
        <w:rPr>
          <w:rFonts w:ascii="Gothic A1 Light" w:cs="Gothic A1 Light" w:eastAsia="Gothic A1 Light" w:hAnsi="Gothic A1 Light"/>
          <w:b w:val="0"/>
          <w:bCs w:val="0"/>
        </w:rPr>
      </w:pPr>
      <w:r w:rsidDel="00000000" w:rsidR="00000000" w:rsidRPr="00000000">
        <w:rPr>
          <w:rFonts w:ascii="Gothic A1" w:cs="Gothic A1" w:eastAsia="Gothic A1" w:hAnsi="Gothic A1"/>
          <w:rtl w:val="0"/>
        </w:rPr>
        <w:t xml:space="preserve">Cash runway is limited to February–March 2026, making near-term fundraising execution critical to avoid operational disruption.</w:t>
      </w:r>
    </w:p>
    <w:p w:rsidR="00000000" w:rsidDel="00000000" w:rsidP="00000000" w:rsidRDefault="00000000" w:rsidRPr="00000000" w14:paraId="00000370">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371">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372">
      <w:pPr>
        <w:numPr>
          <w:ilvl w:val="0"/>
          <w:numId w:val="17"/>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Boram plans to launch both client-facing and care professional–facing mobile applications by the end of Q1 2026, which could enhance user experience, engagement, and operational efficiency.</w:t>
      </w:r>
    </w:p>
    <w:p w:rsidR="00000000" w:rsidDel="00000000" w:rsidP="00000000" w:rsidRDefault="00000000" w:rsidRPr="00000000" w14:paraId="00000373">
      <w:pPr>
        <w:numPr>
          <w:ilvl w:val="0"/>
          <w:numId w:val="17"/>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The company completed its first celebrity booking, signaling growing brand awareness and potential for higher-profile partnerships or demand catalysts.</w:t>
      </w:r>
      <w:r w:rsidDel="00000000" w:rsidR="00000000" w:rsidRPr="00000000">
        <w:rPr>
          <w:rtl w:val="0"/>
        </w:rPr>
      </w:r>
    </w:p>
    <w:p w:rsidR="00000000" w:rsidDel="00000000" w:rsidP="00000000" w:rsidRDefault="00000000" w:rsidRPr="00000000" w14:paraId="00000374">
      <w:pPr>
        <w:pStyle w:val="Heading1"/>
        <w:spacing w:line="240" w:lineRule="auto"/>
        <w:rPr>
          <w:rFonts w:ascii="Gothic A1" w:cs="Gothic A1" w:eastAsia="Gothic A1" w:hAnsi="Gothic A1"/>
          <w:u w:val="none"/>
        </w:rPr>
      </w:pPr>
      <w:bookmarkStart w:colFirst="0" w:colLast="0" w:name="_ks6uv8dvzpqt" w:id="44"/>
      <w:bookmarkEnd w:id="44"/>
      <w:r w:rsidDel="00000000" w:rsidR="00000000" w:rsidRPr="00000000">
        <w:rPr>
          <w:rtl w:val="0"/>
        </w:rPr>
      </w:r>
    </w:p>
    <w:p w:rsidR="00000000" w:rsidDel="00000000" w:rsidP="00000000" w:rsidRDefault="00000000" w:rsidRPr="00000000" w14:paraId="00000375">
      <w:pPr>
        <w:pStyle w:val="Heading1"/>
        <w:spacing w:line="240" w:lineRule="auto"/>
        <w:rPr>
          <w:rFonts w:ascii="Gothic A1" w:cs="Gothic A1" w:eastAsia="Gothic A1" w:hAnsi="Gothic A1"/>
        </w:rPr>
      </w:pPr>
      <w:bookmarkStart w:colFirst="0" w:colLast="0" w:name="_i7a0e1j1wn4d" w:id="45"/>
      <w:bookmarkEnd w:id="45"/>
      <w:r w:rsidDel="00000000" w:rsidR="00000000" w:rsidRPr="00000000">
        <w:rPr>
          <w:rFonts w:ascii="Gothic A1" w:cs="Gothic A1" w:eastAsia="Gothic A1" w:hAnsi="Gothic A1"/>
          <w:u w:val="none"/>
          <w:rtl w:val="0"/>
        </w:rPr>
        <w:t xml:space="preserve">Blue Sage Strategic Credit Fund III Update [As Expected]</w:t>
      </w:r>
      <w:r w:rsidDel="00000000" w:rsidR="00000000" w:rsidRPr="00000000">
        <w:rPr>
          <w:rtl w:val="0"/>
        </w:rPr>
      </w:r>
    </w:p>
    <w:p w:rsidR="00000000" w:rsidDel="00000000" w:rsidP="00000000" w:rsidRDefault="00000000" w:rsidRPr="00000000" w14:paraId="00000376">
      <w:pPr>
        <w:spacing w:line="240" w:lineRule="auto"/>
        <w:rPr>
          <w:rFonts w:ascii="Gothic A1 Light" w:cs="Gothic A1 Light" w:eastAsia="Gothic A1 Light" w:hAnsi="Gothic A1 Light"/>
        </w:rPr>
      </w:pPr>
      <w:r w:rsidDel="00000000" w:rsidR="00000000" w:rsidRPr="00000000">
        <w:rPr>
          <w:rFonts w:ascii="Gothic A1 Light" w:cs="Gothic A1 Light" w:eastAsia="Gothic A1 Light" w:hAnsi="Gothic A1 Light"/>
          <w:rtl w:val="0"/>
        </w:rPr>
        <w:t xml:space="preserve">(Add relevant content as needed)</w:t>
      </w:r>
    </w:p>
    <w:p w:rsidR="00000000" w:rsidDel="00000000" w:rsidP="00000000" w:rsidRDefault="00000000" w:rsidRPr="00000000" w14:paraId="00000377">
      <w:pPr>
        <w:spacing w:line="240" w:lineRule="auto"/>
        <w:rPr>
          <w:rFonts w:ascii="Gothic A1 Light" w:cs="Gothic A1 Light" w:eastAsia="Gothic A1 Light" w:hAnsi="Gothic A1 Light"/>
        </w:rPr>
      </w:pPr>
      <w:r w:rsidDel="00000000" w:rsidR="00000000" w:rsidRPr="00000000">
        <w:rPr>
          <w:rtl w:val="0"/>
        </w:rPr>
      </w:r>
    </w:p>
    <w:p w:rsidR="00000000" w:rsidDel="00000000" w:rsidP="00000000" w:rsidRDefault="00000000" w:rsidRPr="00000000" w14:paraId="00000378">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Overview</w:t>
      </w:r>
    </w:p>
    <w:p w:rsidR="00000000" w:rsidDel="00000000" w:rsidP="00000000" w:rsidRDefault="00000000" w:rsidRPr="00000000" w14:paraId="00000379">
      <w:pPr>
        <w:numPr>
          <w:ilvl w:val="0"/>
          <w:numId w:val="23"/>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​​AB/JD, please put in the company description from a previous update.</w:t>
      </w:r>
    </w:p>
    <w:p w:rsidR="00000000" w:rsidDel="00000000" w:rsidP="00000000" w:rsidRDefault="00000000" w:rsidRPr="00000000" w14:paraId="0000037A">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37B">
      <w:pPr>
        <w:spacing w:line="240" w:lineRule="auto"/>
        <w:rPr>
          <w:rFonts w:ascii="Gothic A1" w:cs="Gothic A1" w:eastAsia="Gothic A1" w:hAnsi="Gothic A1"/>
          <w:u w:val="single"/>
        </w:rPr>
      </w:pPr>
      <w:r w:rsidDel="00000000" w:rsidR="00000000" w:rsidRPr="00000000">
        <w:rPr>
          <w:rFonts w:ascii="Gothic A1" w:cs="Gothic A1" w:eastAsia="Gothic A1" w:hAnsi="Gothic A1"/>
          <w:highlight w:val="yellow"/>
          <w:u w:val="single"/>
          <w:rtl w:val="0"/>
        </w:rPr>
        <w:t xml:space="preserve">Fund </w:t>
      </w:r>
      <w:r w:rsidDel="00000000" w:rsidR="00000000" w:rsidRPr="00000000">
        <w:rPr>
          <w:rFonts w:ascii="Gothic A1" w:cs="Gothic A1" w:eastAsia="Gothic A1" w:hAnsi="Gothic A1"/>
          <w:u w:val="single"/>
          <w:rtl w:val="0"/>
        </w:rPr>
        <w:t xml:space="preserve">Performance</w:t>
      </w:r>
    </w:p>
    <w:p w:rsidR="00000000" w:rsidDel="00000000" w:rsidP="00000000" w:rsidRDefault="00000000" w:rsidRPr="00000000" w14:paraId="0000037C">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The fund held a final close at approximately $287M, exceeding its hard cap following an accelerated fundraising process.</w:t>
      </w:r>
    </w:p>
    <w:p w:rsidR="00000000" w:rsidDel="00000000" w:rsidP="00000000" w:rsidRDefault="00000000" w:rsidRPr="00000000" w14:paraId="0000037D">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As of September 30, 2025, approximately $3M of capital had been called, representing ~1% of total fund capital, all from Private Limited Partners with no SBA capital drawn to date.</w:t>
      </w:r>
    </w:p>
    <w:p w:rsidR="00000000" w:rsidDel="00000000" w:rsidP="00000000" w:rsidRDefault="00000000" w:rsidRPr="00000000" w14:paraId="0000037E">
      <w:pPr>
        <w:numPr>
          <w:ilvl w:val="0"/>
          <w:numId w:val="16"/>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Net IRR, Net MOIC, and Net DPI are not yet available as the fund has not completed its first platform investment and remains in the early deployment phase.</w:t>
      </w:r>
      <w:r w:rsidDel="00000000" w:rsidR="00000000" w:rsidRPr="00000000">
        <w:rPr>
          <w:rtl w:val="0"/>
        </w:rPr>
      </w:r>
    </w:p>
    <w:p w:rsidR="00000000" w:rsidDel="00000000" w:rsidP="00000000" w:rsidRDefault="00000000" w:rsidRPr="00000000" w14:paraId="0000037F">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380">
      <w:pPr>
        <w:spacing w:line="240" w:lineRule="auto"/>
        <w:rPr>
          <w:rFonts w:ascii="Gothic A1" w:cs="Gothic A1" w:eastAsia="Gothic A1" w:hAnsi="Gothic A1"/>
        </w:rPr>
      </w:pPr>
      <w:r w:rsidDel="00000000" w:rsidR="00000000" w:rsidRPr="00000000">
        <w:rPr>
          <w:rFonts w:ascii="Gothic A1" w:cs="Gothic A1" w:eastAsia="Gothic A1" w:hAnsi="Gothic A1"/>
          <w:u w:val="single"/>
          <w:rtl w:val="0"/>
        </w:rPr>
        <w:t xml:space="preserve">Takeaways / Action Items</w:t>
      </w:r>
      <w:r w:rsidDel="00000000" w:rsidR="00000000" w:rsidRPr="00000000">
        <w:rPr>
          <w:rtl w:val="0"/>
        </w:rPr>
      </w:r>
    </w:p>
    <w:p w:rsidR="00000000" w:rsidDel="00000000" w:rsidP="00000000" w:rsidRDefault="00000000" w:rsidRPr="00000000" w14:paraId="00000381">
      <w:pPr>
        <w:numPr>
          <w:ilvl w:val="0"/>
          <w:numId w:val="12"/>
        </w:numPr>
        <w:spacing w:line="240" w:lineRule="auto"/>
        <w:ind w:left="720" w:hanging="360"/>
        <w:rPr>
          <w:rFonts w:ascii="Gothic A1 Light" w:cs="Gothic A1 Light" w:eastAsia="Gothic A1 Light" w:hAnsi="Gothic A1 Light"/>
        </w:rPr>
      </w:pPr>
      <w:r w:rsidDel="00000000" w:rsidR="00000000" w:rsidRPr="00000000">
        <w:rPr>
          <w:rFonts w:ascii="Gothic A1" w:cs="Gothic A1" w:eastAsia="Gothic A1" w:hAnsi="Gothic A1"/>
          <w:rtl w:val="0"/>
        </w:rPr>
        <w:t xml:space="preserve">Deployment discipline is emphasized, with a deliberate pace toward the first platform investment expected around year-end 2025 or Q1 2026.</w:t>
      </w:r>
    </w:p>
    <w:p w:rsidR="00000000" w:rsidDel="00000000" w:rsidP="00000000" w:rsidRDefault="00000000" w:rsidRPr="00000000" w14:paraId="00000382">
      <w:pPr>
        <w:spacing w:line="24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383">
      <w:pPr>
        <w:spacing w:line="240" w:lineRule="auto"/>
        <w:rPr>
          <w:rFonts w:ascii="Gothic A1" w:cs="Gothic A1" w:eastAsia="Gothic A1" w:hAnsi="Gothic A1"/>
          <w:u w:val="single"/>
        </w:rPr>
      </w:pPr>
      <w:r w:rsidDel="00000000" w:rsidR="00000000" w:rsidRPr="00000000">
        <w:rPr>
          <w:rFonts w:ascii="Gothic A1" w:cs="Gothic A1" w:eastAsia="Gothic A1" w:hAnsi="Gothic A1"/>
          <w:u w:val="single"/>
          <w:rtl w:val="0"/>
        </w:rPr>
        <w:t xml:space="preserve">Business Updates / Market Commentary</w:t>
      </w:r>
    </w:p>
    <w:p w:rsidR="00000000" w:rsidDel="00000000" w:rsidP="00000000" w:rsidRDefault="00000000" w:rsidRPr="00000000" w14:paraId="00000384">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The fund strategy focuses on providing debt and equity capital to small, private, lower middle market businesses, often serving as first institutional capital alongside founders and management teams.</w:t>
      </w:r>
    </w:p>
    <w:p w:rsidR="00000000" w:rsidDel="00000000" w:rsidP="00000000" w:rsidRDefault="00000000" w:rsidRPr="00000000" w14:paraId="00000385">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Sector focus includes manufacturing, services, environmental, and industrial markets, consistent with Blue Sage’s historical sourcing strengths.</w:t>
      </w:r>
    </w:p>
    <w:p w:rsidR="00000000" w:rsidDel="00000000" w:rsidP="00000000" w:rsidRDefault="00000000" w:rsidRPr="00000000" w14:paraId="00000386">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Deal activity was robust during the quarter, with 63 opportunities reviewed, eight discussed in depth at the Investment Committee level, and one Letter of Intent executed.</w:t>
      </w:r>
    </w:p>
    <w:p w:rsidR="00000000" w:rsidDel="00000000" w:rsidP="00000000" w:rsidRDefault="00000000" w:rsidRPr="00000000" w14:paraId="00000387">
      <w:pPr>
        <w:numPr>
          <w:ilvl w:val="0"/>
          <w:numId w:val="17"/>
        </w:numPr>
        <w:spacing w:line="240" w:lineRule="auto"/>
        <w:ind w:left="720" w:hanging="360"/>
        <w:rPr>
          <w:rFonts w:ascii="Gothic A1" w:cs="Gothic A1" w:eastAsia="Gothic A1" w:hAnsi="Gothic A1"/>
        </w:rPr>
      </w:pPr>
      <w:r w:rsidDel="00000000" w:rsidR="00000000" w:rsidRPr="00000000">
        <w:rPr>
          <w:rFonts w:ascii="Gothic A1" w:cs="Gothic A1" w:eastAsia="Gothic A1" w:hAnsi="Gothic A1"/>
          <w:rtl w:val="0"/>
        </w:rPr>
        <w:t xml:space="preserve">Team expansion continued with the addition of a Principal (Spencer Klein) and a Senior Associate (John Baizer), enhancing sourcing and underwriting capacity, with further hiring planned.</w: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y Demandante" w:id="3" w:date="2026-01-31T07:28:26Z">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use sub-bullet not "-"</w:t>
      </w:r>
    </w:p>
  </w:comment>
  <w:comment w:author="Jay Demandante" w:id="6" w:date="2026-01-31T07:26:15Z">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remove one (only fund or company)</w:t>
      </w:r>
    </w:p>
  </w:comment>
  <w:comment w:author="Jay Demandante" w:id="9" w:date="2026-01-31T07:25:32Z">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remove one (only fund or company)</w:t>
      </w:r>
    </w:p>
  </w:comment>
  <w:comment w:author="Jay Demandante" w:id="0" w:date="2026-01-31T07:28:04Z">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use sub-bullet not "-"</w:t>
      </w:r>
    </w:p>
  </w:comment>
  <w:comment w:author="Jay Demandante" w:id="8" w:date="2026-01-31T07:25:47Z">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remove one (only fund or company)</w:t>
      </w:r>
    </w:p>
  </w:comment>
  <w:comment w:author="Jay Demandante" w:id="4" w:date="2026-01-31T07:28:32Z">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use sub-bullet not "-"</w:t>
      </w:r>
    </w:p>
  </w:comment>
  <w:comment w:author="Jay Demandante" w:id="1" w:date="2026-01-31T07:28:12Z">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use sub-bullet not "-"</w:t>
      </w:r>
    </w:p>
  </w:comment>
  <w:comment w:author="Jay Demandante" w:id="5" w:date="2026-01-31T07:28:37Z">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use sub-bullet not "-"</w:t>
      </w:r>
    </w:p>
  </w:comment>
  <w:comment w:author="Jay Demandante" w:id="2" w:date="2026-01-31T07:28:20Z">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use sub-bullet not "-"</w:t>
      </w:r>
    </w:p>
  </w:comment>
  <w:comment w:author="Jay Demandante" w:id="7" w:date="2026-01-31T07:26:02Z">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remove one (only fund or company)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othic A1">
    <w:embedRegular w:fontKey="{00000000-0000-0000-0000-000000000000}" r:id="rId1" w:subsetted="0"/>
    <w:embedBold w:fontKey="{00000000-0000-0000-0000-000000000000}" r:id="rId2" w:subsetted="0"/>
  </w:font>
  <w:font w:name="Gothic A1 Light">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u w:val="singl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s6kcFG8euw2YZacVFioIulbctPI1ZeR2npdXDXBPhT8/edit?gid=1468156159#gid=1468156159" TargetMode="External"/><Relationship Id="rId8" Type="http://schemas.openxmlformats.org/officeDocument/2006/relationships/hyperlink" Target="https://chatgpt.com/share/e/68e82678-3b40-8000-8673-f2073ac22f8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thicA1-regular.ttf"/><Relationship Id="rId2" Type="http://schemas.openxmlformats.org/officeDocument/2006/relationships/font" Target="fonts/GothicA1-bold.ttf"/><Relationship Id="rId3" Type="http://schemas.openxmlformats.org/officeDocument/2006/relationships/font" Target="fonts/GothicA1Light-regular.ttf"/><Relationship Id="rId4" Type="http://schemas.openxmlformats.org/officeDocument/2006/relationships/font" Target="fonts/GothicA1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