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F6B" w:rsidRDefault="00EE6F6B" w:rsidP="00EE6F6B"/>
    <w:p w:rsidR="00EE6F6B" w:rsidRDefault="00EE6F6B" w:rsidP="00EE6F6B"/>
    <w:p w:rsidR="00EE6F6B" w:rsidRDefault="00EE6F6B" w:rsidP="00EE6F6B">
      <w:pPr>
        <w:jc w:val="center"/>
      </w:pPr>
      <w:r>
        <w:t>ACCT 2101 Financial Accounting</w:t>
      </w:r>
    </w:p>
    <w:p w:rsidR="00EE6F6B" w:rsidRDefault="00EE6F6B" w:rsidP="00EE6F6B"/>
    <w:p w:rsidR="00EE6F6B" w:rsidRDefault="003D41BF" w:rsidP="00EE6F6B">
      <w:pPr>
        <w:pStyle w:val="Heading1"/>
      </w:pPr>
      <w:r>
        <w:t>Sample Exam</w:t>
      </w:r>
    </w:p>
    <w:p w:rsidR="00EE6F6B" w:rsidRDefault="00EE6F6B" w:rsidP="00EE6F6B">
      <w:pPr>
        <w:jc w:val="center"/>
      </w:pPr>
    </w:p>
    <w:p w:rsidR="00EE6F6B" w:rsidRDefault="00EE6F6B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3D41BF" w:rsidRDefault="003D41BF" w:rsidP="00EE6F6B">
      <w:pPr>
        <w:rPr>
          <w:u w:val="single"/>
        </w:rPr>
      </w:pPr>
    </w:p>
    <w:p w:rsidR="00EE6F6B" w:rsidRDefault="00EE6F6B" w:rsidP="00EE6F6B">
      <w:pPr>
        <w:rPr>
          <w:u w:val="single"/>
        </w:rPr>
      </w:pPr>
    </w:p>
    <w:p w:rsidR="00EE6F6B" w:rsidRDefault="00EE6F6B" w:rsidP="00EE6F6B">
      <w:r>
        <w:t>Part I:  Multiple Choice Answers (</w:t>
      </w:r>
      <w:r>
        <w:rPr>
          <w:b/>
          <w:bCs/>
        </w:rPr>
        <w:t>Please write your multiple choice answers here!</w:t>
      </w:r>
      <w:r>
        <w:t>)</w:t>
      </w:r>
    </w:p>
    <w:p w:rsidR="00EE6F6B" w:rsidRDefault="00EE6F6B" w:rsidP="00EE6F6B"/>
    <w:p w:rsidR="00EE6F6B" w:rsidRDefault="00EE6F6B" w:rsidP="00EE6F6B">
      <w:pPr>
        <w:numPr>
          <w:ilvl w:val="0"/>
          <w:numId w:val="8"/>
        </w:numPr>
      </w:pPr>
      <w:r>
        <w:t>_____                  6. __</w:t>
      </w:r>
      <w:r w:rsidR="00A84B50">
        <w:t xml:space="preserve">___               </w:t>
      </w:r>
    </w:p>
    <w:p w:rsidR="00EE6F6B" w:rsidRDefault="00EE6F6B" w:rsidP="00EE6F6B">
      <w:pPr>
        <w:ind w:left="360"/>
      </w:pPr>
    </w:p>
    <w:p w:rsidR="00EE6F6B" w:rsidRDefault="00EE6F6B" w:rsidP="00EE6F6B">
      <w:pPr>
        <w:numPr>
          <w:ilvl w:val="0"/>
          <w:numId w:val="8"/>
        </w:numPr>
      </w:pPr>
      <w:r>
        <w:t xml:space="preserve">_____                  </w:t>
      </w:r>
      <w:r w:rsidR="00A84B50">
        <w:t xml:space="preserve">7. _____               </w:t>
      </w:r>
    </w:p>
    <w:p w:rsidR="00EE6F6B" w:rsidRDefault="00EE6F6B" w:rsidP="00EE6F6B"/>
    <w:p w:rsidR="00EE6F6B" w:rsidRDefault="00EE6F6B" w:rsidP="00EE6F6B">
      <w:pPr>
        <w:numPr>
          <w:ilvl w:val="0"/>
          <w:numId w:val="8"/>
        </w:numPr>
      </w:pPr>
      <w:r>
        <w:t>_____                  8. _____</w:t>
      </w:r>
    </w:p>
    <w:p w:rsidR="00EE6F6B" w:rsidRDefault="00EE6F6B" w:rsidP="00EE6F6B"/>
    <w:p w:rsidR="00EE6F6B" w:rsidRDefault="00EE6F6B" w:rsidP="00EE6F6B">
      <w:pPr>
        <w:numPr>
          <w:ilvl w:val="0"/>
          <w:numId w:val="8"/>
        </w:numPr>
      </w:pPr>
      <w:r>
        <w:t>_____                  9. _____</w:t>
      </w:r>
    </w:p>
    <w:p w:rsidR="00EE6F6B" w:rsidRDefault="00EE6F6B" w:rsidP="00EE6F6B"/>
    <w:p w:rsidR="00EE6F6B" w:rsidRDefault="00EE6F6B" w:rsidP="00EE6F6B">
      <w:pPr>
        <w:numPr>
          <w:ilvl w:val="0"/>
          <w:numId w:val="8"/>
        </w:numPr>
      </w:pPr>
      <w:r>
        <w:t>_____                  10. _____</w:t>
      </w:r>
    </w:p>
    <w:p w:rsidR="00EE6F6B" w:rsidRDefault="00EE6F6B" w:rsidP="00EE6F6B"/>
    <w:p w:rsidR="00EE6F6B" w:rsidRDefault="00EE6F6B" w:rsidP="00EE6F6B"/>
    <w:p w:rsidR="00D42DB9" w:rsidRPr="00CB7647" w:rsidRDefault="00EE6F6B" w:rsidP="00D42DB9">
      <w:pPr>
        <w:widowControl w:val="0"/>
        <w:rPr>
          <w:rFonts w:ascii="Arial" w:hAnsi="Arial" w:cs="Arial"/>
          <w:snapToGrid w:val="0"/>
        </w:rPr>
      </w:pPr>
      <w:r>
        <w:rPr>
          <w:rFonts w:ascii="Arial" w:hAnsi="Arial" w:cs="Arial"/>
        </w:rPr>
        <w:br w:type="page"/>
      </w:r>
      <w:r w:rsidR="00CB7647">
        <w:rPr>
          <w:rFonts w:ascii="Arial" w:hAnsi="Arial" w:cs="Arial"/>
        </w:rPr>
        <w:lastRenderedPageBreak/>
        <w:t>I</w:t>
      </w:r>
      <w:r w:rsidR="003D41BF">
        <w:rPr>
          <w:rFonts w:ascii="Arial" w:hAnsi="Arial" w:cs="Arial"/>
        </w:rPr>
        <w:t xml:space="preserve">. Multiple choices </w:t>
      </w:r>
      <w:r w:rsidR="00D42DB9" w:rsidRPr="00CB7647">
        <w:rPr>
          <w:rFonts w:ascii="Arial" w:hAnsi="Arial" w:cs="Arial"/>
          <w:snapToGrid w:val="0"/>
        </w:rPr>
        <w:t xml:space="preserve"> </w:t>
      </w:r>
    </w:p>
    <w:p w:rsidR="00D42DB9" w:rsidRPr="00D65F63" w:rsidRDefault="00D42DB9" w:rsidP="00D42DB9">
      <w:pPr>
        <w:widowControl w:val="0"/>
        <w:rPr>
          <w:rFonts w:ascii="Arial" w:hAnsi="Arial" w:cs="Arial"/>
          <w:b/>
          <w:snapToGrid w:val="0"/>
        </w:rPr>
      </w:pPr>
      <w:r w:rsidRPr="00CB7647">
        <w:rPr>
          <w:rFonts w:ascii="Arial" w:hAnsi="Arial" w:cs="Arial"/>
          <w:snapToGrid w:val="0"/>
        </w:rPr>
        <w:t xml:space="preserve">Choose the </w:t>
      </w:r>
      <w:r w:rsidRPr="00CB7647">
        <w:rPr>
          <w:rFonts w:ascii="Arial" w:hAnsi="Arial" w:cs="Arial"/>
          <w:b/>
          <w:snapToGrid w:val="0"/>
          <w:u w:val="single"/>
        </w:rPr>
        <w:t>one</w:t>
      </w:r>
      <w:r w:rsidRPr="00CB7647">
        <w:rPr>
          <w:rFonts w:ascii="Arial" w:hAnsi="Arial" w:cs="Arial"/>
          <w:snapToGrid w:val="0"/>
        </w:rPr>
        <w:t xml:space="preserve"> best answer for each of the following questions.  </w:t>
      </w:r>
      <w:r w:rsidRPr="00D65F63">
        <w:rPr>
          <w:rFonts w:ascii="Arial" w:hAnsi="Arial" w:cs="Arial"/>
          <w:b/>
          <w:snapToGrid w:val="0"/>
        </w:rPr>
        <w:t>Please write your answers in the space provided on the cover page.</w:t>
      </w:r>
    </w:p>
    <w:p w:rsidR="00D42DB9" w:rsidRDefault="00D42DB9" w:rsidP="00D42DB9">
      <w:pPr>
        <w:widowControl w:val="0"/>
      </w:pP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1.</w:t>
      </w:r>
      <w:r>
        <w:rPr>
          <w:rFonts w:ascii="Arial" w:hAnsi="Arial"/>
          <w:snapToGrid w:val="0"/>
          <w:sz w:val="22"/>
        </w:rPr>
        <w:tab/>
        <w:t xml:space="preserve"> Which of the following is a separate legal entity?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a.</w:t>
      </w:r>
      <w:r>
        <w:rPr>
          <w:rFonts w:ascii="Arial" w:hAnsi="Arial"/>
          <w:snapToGrid w:val="0"/>
          <w:sz w:val="22"/>
        </w:rPr>
        <w:tab/>
        <w:t>Proprietorship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b.</w:t>
      </w:r>
      <w:r>
        <w:rPr>
          <w:rFonts w:ascii="Arial" w:hAnsi="Arial"/>
          <w:snapToGrid w:val="0"/>
          <w:sz w:val="22"/>
        </w:rPr>
        <w:tab/>
        <w:t xml:space="preserve">Sole proprietorship 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c.</w:t>
      </w:r>
      <w:r>
        <w:rPr>
          <w:rFonts w:ascii="Arial" w:hAnsi="Arial"/>
          <w:snapToGrid w:val="0"/>
          <w:sz w:val="22"/>
        </w:rPr>
        <w:tab/>
        <w:t>Corporation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d.</w:t>
      </w:r>
      <w:r>
        <w:rPr>
          <w:rFonts w:ascii="Arial" w:hAnsi="Arial"/>
          <w:snapToGrid w:val="0"/>
          <w:sz w:val="22"/>
        </w:rPr>
        <w:tab/>
        <w:t>Partnership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18"/>
        </w:rPr>
      </w:pP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2. .A financial statement that reports accounting data at a specific date is the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a.</w:t>
      </w:r>
      <w:r>
        <w:rPr>
          <w:rFonts w:ascii="Arial" w:hAnsi="Arial"/>
          <w:snapToGrid w:val="0"/>
          <w:sz w:val="22"/>
        </w:rPr>
        <w:tab/>
        <w:t>balance sheet.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b.</w:t>
      </w:r>
      <w:r>
        <w:rPr>
          <w:rFonts w:ascii="Arial" w:hAnsi="Arial"/>
          <w:snapToGrid w:val="0"/>
          <w:sz w:val="22"/>
        </w:rPr>
        <w:tab/>
        <w:t>retained earnings statement.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c.</w:t>
      </w:r>
      <w:r>
        <w:rPr>
          <w:rFonts w:ascii="Arial" w:hAnsi="Arial"/>
          <w:snapToGrid w:val="0"/>
          <w:sz w:val="22"/>
        </w:rPr>
        <w:tab/>
        <w:t>income statement.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d.</w:t>
      </w:r>
      <w:r>
        <w:rPr>
          <w:rFonts w:ascii="Arial" w:hAnsi="Arial"/>
          <w:snapToGrid w:val="0"/>
          <w:sz w:val="22"/>
        </w:rPr>
        <w:tab/>
        <w:t>statement of cash flows.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jc w:val="both"/>
        <w:rPr>
          <w:rFonts w:ascii="Arial" w:hAnsi="Arial"/>
          <w:snapToGrid w:val="0"/>
          <w:sz w:val="22"/>
        </w:rPr>
      </w:pP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 xml:space="preserve">3. </w:t>
      </w:r>
      <w:r>
        <w:rPr>
          <w:rFonts w:ascii="Arial" w:hAnsi="Arial"/>
          <w:snapToGrid w:val="0"/>
          <w:sz w:val="22"/>
        </w:rPr>
        <w:tab/>
        <w:t>Which is an indicator of profitability?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a.</w:t>
      </w:r>
      <w:r>
        <w:rPr>
          <w:rFonts w:ascii="Arial" w:hAnsi="Arial"/>
          <w:snapToGrid w:val="0"/>
          <w:sz w:val="22"/>
        </w:rPr>
        <w:tab/>
        <w:t>Current ratio.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b.</w:t>
      </w:r>
      <w:r>
        <w:rPr>
          <w:rFonts w:ascii="Arial" w:hAnsi="Arial"/>
          <w:snapToGrid w:val="0"/>
          <w:sz w:val="22"/>
        </w:rPr>
        <w:tab/>
        <w:t>Earnings per share.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c.</w:t>
      </w:r>
      <w:r>
        <w:rPr>
          <w:rFonts w:ascii="Arial" w:hAnsi="Arial"/>
          <w:snapToGrid w:val="0"/>
          <w:sz w:val="22"/>
        </w:rPr>
        <w:tab/>
        <w:t>Free cash flow.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d.</w:t>
      </w:r>
      <w:r>
        <w:rPr>
          <w:rFonts w:ascii="Arial" w:hAnsi="Arial"/>
          <w:snapToGrid w:val="0"/>
          <w:sz w:val="22"/>
        </w:rPr>
        <w:tab/>
        <w:t>Working capital.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jc w:val="both"/>
        <w:rPr>
          <w:rFonts w:ascii="Arial" w:hAnsi="Arial"/>
          <w:snapToGrid w:val="0"/>
          <w:sz w:val="22"/>
        </w:rPr>
      </w:pP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 xml:space="preserve">4. </w:t>
      </w:r>
      <w:r>
        <w:rPr>
          <w:rFonts w:ascii="Arial" w:hAnsi="Arial"/>
          <w:snapToGrid w:val="0"/>
          <w:sz w:val="22"/>
        </w:rPr>
        <w:tab/>
        <w:t>If total liabilities decreased by $30,000 during a period of time and owners equity increased by $35,000 during the same period, the amount and direction (increase or decrease) of the period’s change in total assets is a: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a.</w:t>
      </w:r>
      <w:r>
        <w:rPr>
          <w:rFonts w:ascii="Arial" w:hAnsi="Arial"/>
          <w:snapToGrid w:val="0"/>
          <w:sz w:val="22"/>
        </w:rPr>
        <w:tab/>
        <w:t>$65,000 increase.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b.</w:t>
      </w:r>
      <w:r>
        <w:rPr>
          <w:rFonts w:ascii="Arial" w:hAnsi="Arial"/>
          <w:snapToGrid w:val="0"/>
          <w:sz w:val="22"/>
        </w:rPr>
        <w:tab/>
        <w:t>$5,000 increase.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c.</w:t>
      </w:r>
      <w:r>
        <w:rPr>
          <w:rFonts w:ascii="Arial" w:hAnsi="Arial"/>
          <w:snapToGrid w:val="0"/>
          <w:sz w:val="22"/>
        </w:rPr>
        <w:tab/>
        <w:t>$5,000 decrease.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d.</w:t>
      </w:r>
      <w:r>
        <w:rPr>
          <w:rFonts w:ascii="Arial" w:hAnsi="Arial"/>
          <w:snapToGrid w:val="0"/>
          <w:sz w:val="22"/>
        </w:rPr>
        <w:tab/>
        <w:t>$65,000 decrease.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jc w:val="both"/>
        <w:rPr>
          <w:rFonts w:ascii="Arial" w:hAnsi="Arial"/>
          <w:snapToGrid w:val="0"/>
          <w:sz w:val="22"/>
        </w:rPr>
      </w:pP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 xml:space="preserve">5. </w:t>
      </w:r>
      <w:r>
        <w:rPr>
          <w:rFonts w:ascii="Arial" w:hAnsi="Arial"/>
          <w:snapToGrid w:val="0"/>
          <w:sz w:val="22"/>
        </w:rPr>
        <w:tab/>
        <w:t>Financial statements combining the operations of Kohls and Target would violate the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a.</w:t>
      </w:r>
      <w:r>
        <w:rPr>
          <w:rFonts w:ascii="Arial" w:hAnsi="Arial"/>
          <w:snapToGrid w:val="0"/>
          <w:sz w:val="22"/>
        </w:rPr>
        <w:tab/>
        <w:t>monetary unit assumption.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b.</w:t>
      </w:r>
      <w:r>
        <w:rPr>
          <w:rFonts w:ascii="Arial" w:hAnsi="Arial"/>
          <w:snapToGrid w:val="0"/>
          <w:sz w:val="22"/>
        </w:rPr>
        <w:tab/>
        <w:t>economic entity assumption.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c.</w:t>
      </w:r>
      <w:r>
        <w:rPr>
          <w:rFonts w:ascii="Arial" w:hAnsi="Arial"/>
          <w:snapToGrid w:val="0"/>
          <w:sz w:val="22"/>
        </w:rPr>
        <w:tab/>
        <w:t>cost principle.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d.</w:t>
      </w:r>
      <w:r>
        <w:rPr>
          <w:rFonts w:ascii="Arial" w:hAnsi="Arial"/>
          <w:snapToGrid w:val="0"/>
          <w:sz w:val="22"/>
        </w:rPr>
        <w:tab/>
        <w:t>full disclosure principle.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 xml:space="preserve">6. </w:t>
      </w:r>
      <w:r>
        <w:rPr>
          <w:rFonts w:ascii="Arial" w:hAnsi="Arial"/>
          <w:snapToGrid w:val="0"/>
          <w:sz w:val="22"/>
        </w:rPr>
        <w:tab/>
        <w:t xml:space="preserve">Limited liability (no liability beyond investment) is </w:t>
      </w:r>
      <w:r>
        <w:rPr>
          <w:rFonts w:ascii="Arial" w:hAnsi="Arial"/>
          <w:b/>
          <w:bCs/>
          <w:snapToGrid w:val="0"/>
          <w:sz w:val="22"/>
        </w:rPr>
        <w:t>not</w:t>
      </w:r>
      <w:r>
        <w:rPr>
          <w:rFonts w:ascii="Arial" w:hAnsi="Arial"/>
          <w:snapToGrid w:val="0"/>
          <w:sz w:val="22"/>
        </w:rPr>
        <w:t xml:space="preserve"> enjoyed by the owner(s) of a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a.</w:t>
      </w:r>
      <w:r>
        <w:rPr>
          <w:rFonts w:ascii="Arial" w:hAnsi="Arial"/>
          <w:snapToGrid w:val="0"/>
          <w:sz w:val="22"/>
        </w:rPr>
        <w:tab/>
        <w:t>partnership and proprietorship.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b.</w:t>
      </w:r>
      <w:r>
        <w:rPr>
          <w:rFonts w:ascii="Arial" w:hAnsi="Arial"/>
          <w:snapToGrid w:val="0"/>
          <w:sz w:val="22"/>
        </w:rPr>
        <w:tab/>
        <w:t>partnership and corporation.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c.</w:t>
      </w:r>
      <w:r>
        <w:rPr>
          <w:rFonts w:ascii="Arial" w:hAnsi="Arial"/>
          <w:snapToGrid w:val="0"/>
          <w:sz w:val="22"/>
        </w:rPr>
        <w:tab/>
        <w:t>proprietorship and corporation.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d.</w:t>
      </w:r>
      <w:r>
        <w:rPr>
          <w:rFonts w:ascii="Arial" w:hAnsi="Arial"/>
          <w:snapToGrid w:val="0"/>
          <w:sz w:val="22"/>
        </w:rPr>
        <w:tab/>
        <w:t>corporation.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br w:type="page"/>
      </w:r>
      <w:r>
        <w:rPr>
          <w:rFonts w:ascii="Arial" w:hAnsi="Arial"/>
          <w:snapToGrid w:val="0"/>
          <w:sz w:val="22"/>
        </w:rPr>
        <w:lastRenderedPageBreak/>
        <w:t xml:space="preserve">7. </w:t>
      </w:r>
      <w:r>
        <w:rPr>
          <w:rFonts w:ascii="Arial" w:hAnsi="Arial"/>
          <w:snapToGrid w:val="0"/>
          <w:sz w:val="22"/>
        </w:rPr>
        <w:tab/>
        <w:t>The Retained Earnings account had a beginning balance of $60,000 and an ending balance of $70,000. If $20,000 of dividends were declared and paid during the period, net income must have been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a.</w:t>
      </w:r>
      <w:r>
        <w:rPr>
          <w:rFonts w:ascii="Arial" w:hAnsi="Arial"/>
          <w:snapToGrid w:val="0"/>
          <w:sz w:val="22"/>
        </w:rPr>
        <w:tab/>
        <w:t>$20,000.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b.</w:t>
      </w:r>
      <w:r>
        <w:rPr>
          <w:rFonts w:ascii="Arial" w:hAnsi="Arial"/>
          <w:snapToGrid w:val="0"/>
          <w:sz w:val="22"/>
        </w:rPr>
        <w:tab/>
        <w:t>$30,000.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c.</w:t>
      </w:r>
      <w:r>
        <w:rPr>
          <w:rFonts w:ascii="Arial" w:hAnsi="Arial"/>
          <w:snapToGrid w:val="0"/>
          <w:sz w:val="22"/>
        </w:rPr>
        <w:tab/>
        <w:t>$10,000.</w:t>
      </w:r>
    </w:p>
    <w:p w:rsidR="00483061" w:rsidRDefault="00483061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d.</w:t>
      </w:r>
      <w:r>
        <w:rPr>
          <w:rFonts w:ascii="Arial" w:hAnsi="Arial"/>
          <w:snapToGrid w:val="0"/>
          <w:sz w:val="22"/>
        </w:rPr>
        <w:tab/>
        <w:t>$50,000.</w:t>
      </w:r>
    </w:p>
    <w:p w:rsidR="00541699" w:rsidRDefault="00541699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</w:p>
    <w:p w:rsidR="00541699" w:rsidRPr="00541699" w:rsidRDefault="00541699" w:rsidP="00541699">
      <w:pPr>
        <w:pStyle w:val="BodyTextIndent3"/>
        <w:tabs>
          <w:tab w:val="left" w:pos="108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/>
          <w:snapToGrid w:val="0"/>
          <w:sz w:val="22"/>
        </w:rPr>
        <w:t xml:space="preserve">8. </w:t>
      </w:r>
      <w:r w:rsidRPr="00541699">
        <w:rPr>
          <w:rFonts w:ascii="Arial" w:hAnsi="Arial" w:cs="Arial"/>
          <w:sz w:val="22"/>
          <w:szCs w:val="22"/>
        </w:rPr>
        <w:t>Issuing shares of stock in exchange for cash is an example of a(n)</w:t>
      </w:r>
    </w:p>
    <w:p w:rsidR="00541699" w:rsidRDefault="00541699" w:rsidP="00541699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   a.   delivering activity.</w:t>
      </w:r>
    </w:p>
    <w:p w:rsidR="00541699" w:rsidRDefault="00541699" w:rsidP="00541699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   b.   investing activity.</w:t>
      </w:r>
    </w:p>
    <w:p w:rsidR="00541699" w:rsidRDefault="00541699" w:rsidP="00541699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   c.</w:t>
      </w:r>
      <w:r>
        <w:rPr>
          <w:rFonts w:ascii="Arial" w:hAnsi="Arial"/>
          <w:sz w:val="22"/>
        </w:rPr>
        <w:tab/>
        <w:t xml:space="preserve">   financing activity.</w:t>
      </w:r>
    </w:p>
    <w:p w:rsidR="00541699" w:rsidRDefault="00541699" w:rsidP="00541699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   d.   operating activity.</w:t>
      </w:r>
    </w:p>
    <w:p w:rsidR="00541699" w:rsidRDefault="00541699" w:rsidP="00541699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</w:p>
    <w:p w:rsidR="005E3E07" w:rsidRDefault="00541699" w:rsidP="005E3E07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9. </w:t>
      </w:r>
      <w:r w:rsidR="005E3E07">
        <w:rPr>
          <w:rFonts w:ascii="Arial" w:hAnsi="Arial"/>
          <w:sz w:val="22"/>
        </w:rPr>
        <w:t>In the annual report, where would a financial statement reader find out if the company’s financial statements give a fair depiction of its financial position and operating results?</w:t>
      </w:r>
    </w:p>
    <w:p w:rsidR="005E3E07" w:rsidRDefault="005E3E07" w:rsidP="005E3E07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   a.    Notes to the financial statements</w:t>
      </w:r>
    </w:p>
    <w:p w:rsidR="005E3E07" w:rsidRDefault="005E3E07" w:rsidP="005E3E07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   b.    Management discussion and analysis section</w:t>
      </w:r>
    </w:p>
    <w:p w:rsidR="005E3E07" w:rsidRDefault="005E3E07" w:rsidP="005E3E07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   c.</w:t>
      </w:r>
      <w:r>
        <w:rPr>
          <w:rFonts w:ascii="Arial" w:hAnsi="Arial"/>
          <w:sz w:val="22"/>
        </w:rPr>
        <w:tab/>
        <w:t xml:space="preserve">    Balance sheet</w:t>
      </w:r>
    </w:p>
    <w:p w:rsidR="005E3E07" w:rsidRDefault="005E3E07" w:rsidP="005E3E07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   d.    Auditor’s report</w:t>
      </w:r>
    </w:p>
    <w:p w:rsidR="005E3E07" w:rsidRDefault="005E3E07" w:rsidP="005E3E07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</w:p>
    <w:p w:rsidR="000B61EA" w:rsidRDefault="005E3E07" w:rsidP="000B61EA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10. </w:t>
      </w:r>
      <w:r w:rsidR="000B61EA">
        <w:rPr>
          <w:rFonts w:ascii="Arial" w:hAnsi="Arial"/>
          <w:sz w:val="22"/>
        </w:rPr>
        <w:t xml:space="preserve">The agency of the United States Government that oversees the </w:t>
      </w:r>
      <w:smartTag w:uri="urn:schemas-microsoft-com:office:smarttags" w:element="place">
        <w:smartTag w:uri="urn:schemas-microsoft-com:office:smarttags" w:element="country-region">
          <w:r w:rsidR="000B61EA">
            <w:rPr>
              <w:rFonts w:ascii="Arial" w:hAnsi="Arial"/>
              <w:sz w:val="22"/>
            </w:rPr>
            <w:t>U.S.</w:t>
          </w:r>
        </w:smartTag>
      </w:smartTag>
      <w:r w:rsidR="000B61EA">
        <w:rPr>
          <w:rFonts w:ascii="Arial" w:hAnsi="Arial"/>
          <w:sz w:val="22"/>
        </w:rPr>
        <w:t xml:space="preserve"> financial markets is the</w:t>
      </w:r>
    </w:p>
    <w:p w:rsidR="000B61EA" w:rsidRDefault="000B61EA" w:rsidP="000B61EA">
      <w:pPr>
        <w:spacing w:line="237" w:lineRule="atLeast"/>
        <w:ind w:left="1080" w:hanging="3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a.</w:t>
      </w:r>
      <w:r>
        <w:rPr>
          <w:rFonts w:ascii="Arial" w:hAnsi="Arial"/>
          <w:sz w:val="22"/>
        </w:rPr>
        <w:tab/>
        <w:t xml:space="preserve">   Department of the Treasury</w:t>
      </w:r>
    </w:p>
    <w:p w:rsidR="000B61EA" w:rsidRDefault="000B61EA" w:rsidP="000B61EA">
      <w:pPr>
        <w:spacing w:line="237" w:lineRule="atLeast"/>
        <w:ind w:left="1080" w:hanging="3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b.</w:t>
      </w:r>
      <w:r>
        <w:rPr>
          <w:rFonts w:ascii="Arial" w:hAnsi="Arial"/>
          <w:sz w:val="22"/>
        </w:rPr>
        <w:tab/>
        <w:t xml:space="preserve">   Securities and Exchange Commission</w:t>
      </w:r>
    </w:p>
    <w:p w:rsidR="000B61EA" w:rsidRDefault="000B61EA" w:rsidP="000B61EA">
      <w:pPr>
        <w:spacing w:line="237" w:lineRule="atLeast"/>
        <w:ind w:left="1080" w:hanging="3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c.</w:t>
      </w:r>
      <w:r>
        <w:rPr>
          <w:rFonts w:ascii="Arial" w:hAnsi="Arial"/>
          <w:sz w:val="22"/>
        </w:rPr>
        <w:tab/>
        <w:t xml:space="preserve">   Finan</w:t>
      </w:r>
      <w:r w:rsidR="0073541A">
        <w:rPr>
          <w:rFonts w:ascii="Arial" w:hAnsi="Arial"/>
          <w:sz w:val="22"/>
        </w:rPr>
        <w:t>cial Accounting Standards Board</w:t>
      </w:r>
    </w:p>
    <w:p w:rsidR="000B61EA" w:rsidRDefault="0073541A" w:rsidP="000B61EA">
      <w:pPr>
        <w:tabs>
          <w:tab w:val="left" w:pos="1080"/>
        </w:tabs>
        <w:ind w:left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d.</w:t>
      </w:r>
      <w:r>
        <w:rPr>
          <w:rFonts w:ascii="Arial" w:hAnsi="Arial"/>
          <w:sz w:val="22"/>
        </w:rPr>
        <w:tab/>
        <w:t xml:space="preserve">   Federal Reserve Bank</w:t>
      </w:r>
    </w:p>
    <w:p w:rsidR="005E3E07" w:rsidRDefault="005E3E07" w:rsidP="005E3E07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</w:p>
    <w:p w:rsidR="00541699" w:rsidRDefault="00541699" w:rsidP="00541699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</w:p>
    <w:p w:rsidR="00541699" w:rsidRDefault="00541699" w:rsidP="00483061">
      <w:pPr>
        <w:widowControl w:val="0"/>
        <w:tabs>
          <w:tab w:val="decimal" w:pos="720"/>
          <w:tab w:val="left" w:pos="900"/>
          <w:tab w:val="left" w:pos="1260"/>
        </w:tabs>
        <w:ind w:left="907" w:hanging="907"/>
        <w:jc w:val="both"/>
        <w:rPr>
          <w:rFonts w:ascii="Arial" w:hAnsi="Arial"/>
          <w:snapToGrid w:val="0"/>
          <w:sz w:val="22"/>
        </w:rPr>
      </w:pPr>
    </w:p>
    <w:p w:rsidR="007E3BC7" w:rsidRDefault="00CB7647" w:rsidP="00CB7647">
      <w:pPr>
        <w:tabs>
          <w:tab w:val="decimal" w:pos="360"/>
          <w:tab w:val="left" w:pos="630"/>
          <w:tab w:val="left" w:pos="1800"/>
          <w:tab w:val="left" w:pos="6480"/>
          <w:tab w:val="left" w:pos="6840"/>
        </w:tabs>
      </w:pPr>
      <w:r>
        <w:br w:type="page"/>
      </w:r>
      <w:r>
        <w:lastRenderedPageBreak/>
        <w:t xml:space="preserve">II. </w:t>
      </w:r>
      <w:r w:rsidR="007E3BC7" w:rsidRPr="007E3BC7">
        <w:rPr>
          <w:rFonts w:ascii="Arial" w:hAnsi="Arial" w:cs="Arial"/>
        </w:rPr>
        <w:t>Matching</w:t>
      </w:r>
      <w:r w:rsidR="00670E36">
        <w:rPr>
          <w:rFonts w:ascii="Arial" w:hAnsi="Arial" w:cs="Arial"/>
        </w:rPr>
        <w:t xml:space="preserve"> </w:t>
      </w:r>
    </w:p>
    <w:p w:rsidR="007E3BC7" w:rsidRDefault="007E3BC7" w:rsidP="00CB7647">
      <w:pPr>
        <w:tabs>
          <w:tab w:val="decimal" w:pos="360"/>
          <w:tab w:val="left" w:pos="630"/>
          <w:tab w:val="left" w:pos="1800"/>
          <w:tab w:val="left" w:pos="6480"/>
          <w:tab w:val="left" w:pos="6840"/>
        </w:tabs>
      </w:pPr>
    </w:p>
    <w:p w:rsidR="00C6471C" w:rsidRDefault="00C6471C" w:rsidP="00C6471C">
      <w:pPr>
        <w:jc w:val="both"/>
        <w:rPr>
          <w:rFonts w:ascii="Arial" w:hAnsi="Arial"/>
          <w:sz w:val="22"/>
        </w:rPr>
      </w:pPr>
      <w:r>
        <w:rPr>
          <w:rFonts w:ascii="Arial" w:hAnsi="Arial"/>
          <w:snapToGrid w:val="0"/>
          <w:sz w:val="22"/>
        </w:rPr>
        <w:t>1</w:t>
      </w:r>
      <w:r w:rsidR="00541699">
        <w:rPr>
          <w:rFonts w:ascii="Arial" w:hAnsi="Arial"/>
          <w:snapToGrid w:val="0"/>
          <w:sz w:val="22"/>
        </w:rPr>
        <w:t>)</w:t>
      </w:r>
      <w:r>
        <w:rPr>
          <w:rFonts w:ascii="Arial" w:hAnsi="Arial"/>
          <w:snapToGrid w:val="0"/>
          <w:sz w:val="22"/>
        </w:rPr>
        <w:t xml:space="preserve">. </w:t>
      </w:r>
      <w:r>
        <w:rPr>
          <w:rFonts w:ascii="Arial" w:hAnsi="Arial"/>
          <w:sz w:val="22"/>
        </w:rPr>
        <w:t xml:space="preserve">For each of the independent situations described below, </w:t>
      </w:r>
      <w:r w:rsidR="000030F5">
        <w:rPr>
          <w:rFonts w:ascii="Arial" w:hAnsi="Arial"/>
          <w:sz w:val="22"/>
        </w:rPr>
        <w:t xml:space="preserve">list the qualitative characteristic that has been </w:t>
      </w:r>
      <w:r w:rsidR="000030F5" w:rsidRPr="000030F5">
        <w:rPr>
          <w:rFonts w:ascii="Arial" w:hAnsi="Arial"/>
          <w:b/>
          <w:sz w:val="22"/>
        </w:rPr>
        <w:t>violated, if any</w:t>
      </w:r>
      <w:r>
        <w:rPr>
          <w:rFonts w:ascii="Arial" w:hAnsi="Arial"/>
          <w:sz w:val="22"/>
        </w:rPr>
        <w:t>.</w:t>
      </w:r>
      <w:r w:rsidR="003D41BF">
        <w:rPr>
          <w:rFonts w:ascii="Arial" w:hAnsi="Arial"/>
          <w:sz w:val="22"/>
        </w:rPr>
        <w:t xml:space="preserve"> </w:t>
      </w:r>
    </w:p>
    <w:p w:rsidR="00C6471C" w:rsidRDefault="00C6471C" w:rsidP="00C6471C">
      <w:pPr>
        <w:jc w:val="both"/>
        <w:rPr>
          <w:rFonts w:ascii="Arial" w:hAnsi="Arial"/>
          <w:sz w:val="22"/>
        </w:rPr>
      </w:pPr>
    </w:p>
    <w:p w:rsidR="00C6471C" w:rsidRDefault="000030F5" w:rsidP="000030F5">
      <w:pPr>
        <w:numPr>
          <w:ilvl w:val="0"/>
          <w:numId w:val="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Reliability</w:t>
      </w:r>
      <w:r w:rsidR="007E57B2">
        <w:rPr>
          <w:rFonts w:ascii="Arial" w:hAnsi="Arial"/>
          <w:sz w:val="22"/>
        </w:rPr>
        <w:t xml:space="preserve"> (i.e., faithful representation)</w:t>
      </w:r>
    </w:p>
    <w:p w:rsidR="000030F5" w:rsidRDefault="000030F5" w:rsidP="000030F5">
      <w:pPr>
        <w:numPr>
          <w:ilvl w:val="0"/>
          <w:numId w:val="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Relevance</w:t>
      </w:r>
    </w:p>
    <w:p w:rsidR="000030F5" w:rsidRDefault="000030F5" w:rsidP="000030F5">
      <w:pPr>
        <w:numPr>
          <w:ilvl w:val="0"/>
          <w:numId w:val="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Comparability</w:t>
      </w:r>
    </w:p>
    <w:p w:rsidR="000030F5" w:rsidRDefault="000030F5" w:rsidP="000030F5">
      <w:pPr>
        <w:numPr>
          <w:ilvl w:val="0"/>
          <w:numId w:val="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Consistency</w:t>
      </w:r>
    </w:p>
    <w:p w:rsidR="000030F5" w:rsidRDefault="000030F5" w:rsidP="000030F5">
      <w:pPr>
        <w:numPr>
          <w:ilvl w:val="0"/>
          <w:numId w:val="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No violation</w:t>
      </w:r>
    </w:p>
    <w:p w:rsidR="000030F5" w:rsidRDefault="000030F5" w:rsidP="000030F5">
      <w:pPr>
        <w:ind w:left="360"/>
        <w:jc w:val="both"/>
        <w:rPr>
          <w:rFonts w:ascii="Arial" w:hAnsi="Arial"/>
          <w:sz w:val="22"/>
        </w:rPr>
      </w:pPr>
    </w:p>
    <w:p w:rsidR="00C6471C" w:rsidRDefault="00C6471C" w:rsidP="00C6471C">
      <w:pPr>
        <w:spacing w:before="100"/>
        <w:ind w:left="360" w:hanging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</w:t>
      </w:r>
      <w:r w:rsidR="000030F5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1. Facklam Company is in its third year of operation and has yet to issue financial statements.</w:t>
      </w:r>
    </w:p>
    <w:p w:rsidR="00C6471C" w:rsidRDefault="000030F5" w:rsidP="00C6471C">
      <w:pPr>
        <w:spacing w:before="100"/>
        <w:ind w:left="360" w:hanging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_____ </w:t>
      </w:r>
      <w:r w:rsidR="00C6471C">
        <w:rPr>
          <w:rFonts w:ascii="Arial" w:hAnsi="Arial"/>
          <w:sz w:val="22"/>
        </w:rPr>
        <w:t xml:space="preserve">2. Rodman Corporation has selected the FIFO inventory costing method during the current year.  Last year it used the LIFO method and next year it plans to </w:t>
      </w:r>
      <w:r>
        <w:rPr>
          <w:rFonts w:ascii="Arial" w:hAnsi="Arial"/>
          <w:sz w:val="22"/>
        </w:rPr>
        <w:t>use</w:t>
      </w:r>
      <w:r w:rsidR="00C6471C">
        <w:rPr>
          <w:rFonts w:ascii="Arial" w:hAnsi="Arial"/>
          <w:sz w:val="22"/>
        </w:rPr>
        <w:t xml:space="preserve"> the average cost method</w:t>
      </w:r>
      <w:r w:rsidR="00592C67">
        <w:rPr>
          <w:rFonts w:ascii="Arial" w:hAnsi="Arial"/>
          <w:sz w:val="22"/>
        </w:rPr>
        <w:t xml:space="preserve"> in order to boost reported earnings</w:t>
      </w:r>
      <w:r w:rsidR="00C6471C">
        <w:rPr>
          <w:rFonts w:ascii="Arial" w:hAnsi="Arial"/>
          <w:sz w:val="22"/>
        </w:rPr>
        <w:t>.</w:t>
      </w:r>
    </w:p>
    <w:p w:rsidR="00C6471C" w:rsidRDefault="00C6471C" w:rsidP="00C6471C">
      <w:pPr>
        <w:spacing w:before="100"/>
        <w:ind w:left="360" w:hanging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_____ </w:t>
      </w:r>
      <w:r w:rsidR="000030F5"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>. Strong Company expenses some office equipment that is inexpensive even though it has a useful life that exceeds 1 year.</w:t>
      </w:r>
    </w:p>
    <w:p w:rsidR="00C6471C" w:rsidRDefault="00C6471C" w:rsidP="00483061">
      <w:pPr>
        <w:widowControl w:val="0"/>
        <w:ind w:right="-540"/>
        <w:jc w:val="both"/>
        <w:rPr>
          <w:rFonts w:ascii="Arial" w:hAnsi="Arial"/>
          <w:snapToGrid w:val="0"/>
          <w:sz w:val="22"/>
        </w:rPr>
      </w:pPr>
    </w:p>
    <w:p w:rsidR="00C6471C" w:rsidRDefault="00C6471C" w:rsidP="00483061">
      <w:pPr>
        <w:widowControl w:val="0"/>
        <w:ind w:right="-540"/>
        <w:jc w:val="both"/>
        <w:rPr>
          <w:rFonts w:ascii="Arial" w:hAnsi="Arial"/>
          <w:snapToGrid w:val="0"/>
          <w:sz w:val="22"/>
        </w:rPr>
      </w:pPr>
    </w:p>
    <w:p w:rsidR="00483061" w:rsidRDefault="00C6471C" w:rsidP="00483061">
      <w:pPr>
        <w:widowControl w:val="0"/>
        <w:ind w:right="-540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2</w:t>
      </w:r>
      <w:r w:rsidR="00541699">
        <w:rPr>
          <w:rFonts w:ascii="Arial" w:hAnsi="Arial"/>
          <w:snapToGrid w:val="0"/>
          <w:sz w:val="22"/>
        </w:rPr>
        <w:t>)</w:t>
      </w:r>
      <w:r>
        <w:rPr>
          <w:rFonts w:ascii="Arial" w:hAnsi="Arial"/>
          <w:snapToGrid w:val="0"/>
          <w:sz w:val="22"/>
        </w:rPr>
        <w:t xml:space="preserve">. </w:t>
      </w:r>
      <w:r w:rsidR="00483061">
        <w:rPr>
          <w:rFonts w:ascii="Arial" w:hAnsi="Arial"/>
          <w:snapToGrid w:val="0"/>
          <w:sz w:val="22"/>
        </w:rPr>
        <w:t xml:space="preserve">Match the account titles given below with the appropriate Balance Sheet classification. An individual classification may be used more than once, or </w:t>
      </w:r>
      <w:r w:rsidR="00483061">
        <w:rPr>
          <w:rFonts w:ascii="Arial" w:hAnsi="Arial"/>
          <w:b/>
          <w:snapToGrid w:val="0"/>
          <w:sz w:val="22"/>
        </w:rPr>
        <w:t>not</w:t>
      </w:r>
      <w:r w:rsidR="00483061">
        <w:rPr>
          <w:rFonts w:ascii="Arial" w:hAnsi="Arial"/>
          <w:snapToGrid w:val="0"/>
          <w:sz w:val="22"/>
        </w:rPr>
        <w:t xml:space="preserve"> at all. </w:t>
      </w:r>
      <w:r w:rsidR="00541699">
        <w:rPr>
          <w:rFonts w:ascii="Arial" w:hAnsi="Arial"/>
          <w:snapToGrid w:val="0"/>
          <w:sz w:val="22"/>
        </w:rPr>
        <w:t xml:space="preserve"> </w:t>
      </w:r>
      <w:r w:rsidR="00483061">
        <w:rPr>
          <w:rFonts w:ascii="Arial" w:hAnsi="Arial"/>
          <w:snapToGrid w:val="0"/>
          <w:sz w:val="22"/>
        </w:rPr>
        <w:t xml:space="preserve">An account may also </w:t>
      </w:r>
      <w:r w:rsidR="00483061">
        <w:rPr>
          <w:rFonts w:ascii="Arial" w:hAnsi="Arial"/>
          <w:b/>
          <w:snapToGrid w:val="0"/>
          <w:sz w:val="22"/>
        </w:rPr>
        <w:t>not</w:t>
      </w:r>
      <w:r w:rsidR="00483061">
        <w:rPr>
          <w:rFonts w:ascii="Arial" w:hAnsi="Arial"/>
          <w:snapToGrid w:val="0"/>
          <w:sz w:val="22"/>
        </w:rPr>
        <w:t xml:space="preserve"> appear in the balance sheet.</w:t>
      </w:r>
      <w:r w:rsidR="003D41BF">
        <w:rPr>
          <w:rFonts w:ascii="Arial" w:hAnsi="Arial"/>
          <w:snapToGrid w:val="0"/>
          <w:sz w:val="22"/>
        </w:rPr>
        <w:t xml:space="preserve"> </w:t>
      </w:r>
    </w:p>
    <w:p w:rsidR="00483061" w:rsidRDefault="00483061" w:rsidP="00C6471C">
      <w:pPr>
        <w:widowControl w:val="0"/>
        <w:spacing w:line="300" w:lineRule="atLeast"/>
        <w:jc w:val="center"/>
        <w:rPr>
          <w:rFonts w:ascii="Arial" w:hAnsi="Arial"/>
          <w:snapToGrid w:val="0"/>
          <w:sz w:val="22"/>
          <w:u w:val="single"/>
        </w:rPr>
      </w:pPr>
      <w:r>
        <w:rPr>
          <w:rFonts w:ascii="Arial" w:hAnsi="Arial"/>
          <w:snapToGrid w:val="0"/>
          <w:sz w:val="22"/>
          <w:u w:val="single"/>
        </w:rPr>
        <w:t>Classifications</w:t>
      </w:r>
    </w:p>
    <w:p w:rsidR="00483061" w:rsidRDefault="00483061" w:rsidP="00483061">
      <w:pPr>
        <w:widowControl w:val="0"/>
        <w:tabs>
          <w:tab w:val="left" w:pos="360"/>
          <w:tab w:val="left" w:pos="4140"/>
          <w:tab w:val="left" w:pos="4500"/>
        </w:tabs>
        <w:spacing w:line="300" w:lineRule="atLeast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A.</w:t>
      </w:r>
      <w:r>
        <w:rPr>
          <w:rFonts w:ascii="Arial" w:hAnsi="Arial"/>
          <w:snapToGrid w:val="0"/>
          <w:sz w:val="22"/>
        </w:rPr>
        <w:tab/>
        <w:t>Current Assets</w:t>
      </w:r>
      <w:r>
        <w:rPr>
          <w:rFonts w:ascii="Arial" w:hAnsi="Arial"/>
          <w:snapToGrid w:val="0"/>
          <w:sz w:val="22"/>
        </w:rPr>
        <w:tab/>
        <w:t>E.</w:t>
      </w:r>
      <w:r>
        <w:rPr>
          <w:rFonts w:ascii="Arial" w:hAnsi="Arial"/>
          <w:snapToGrid w:val="0"/>
          <w:sz w:val="22"/>
        </w:rPr>
        <w:tab/>
        <w:t>Current Liabilities</w:t>
      </w:r>
    </w:p>
    <w:p w:rsidR="00483061" w:rsidRDefault="00483061" w:rsidP="00483061">
      <w:pPr>
        <w:widowControl w:val="0"/>
        <w:tabs>
          <w:tab w:val="left" w:pos="360"/>
          <w:tab w:val="left" w:pos="4140"/>
          <w:tab w:val="left" w:pos="4500"/>
        </w:tabs>
        <w:spacing w:line="300" w:lineRule="atLeast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B.</w:t>
      </w:r>
      <w:r>
        <w:rPr>
          <w:rFonts w:ascii="Arial" w:hAnsi="Arial"/>
          <w:snapToGrid w:val="0"/>
          <w:sz w:val="22"/>
        </w:rPr>
        <w:tab/>
        <w:t>Long-term Investments</w:t>
      </w:r>
      <w:r>
        <w:rPr>
          <w:rFonts w:ascii="Arial" w:hAnsi="Arial"/>
          <w:snapToGrid w:val="0"/>
          <w:sz w:val="22"/>
        </w:rPr>
        <w:tab/>
        <w:t>F.</w:t>
      </w:r>
      <w:r>
        <w:rPr>
          <w:rFonts w:ascii="Arial" w:hAnsi="Arial"/>
          <w:snapToGrid w:val="0"/>
          <w:sz w:val="22"/>
        </w:rPr>
        <w:tab/>
        <w:t>Long-term Liabilities</w:t>
      </w:r>
    </w:p>
    <w:p w:rsidR="00483061" w:rsidRDefault="00483061" w:rsidP="00483061">
      <w:pPr>
        <w:widowControl w:val="0"/>
        <w:tabs>
          <w:tab w:val="left" w:pos="360"/>
          <w:tab w:val="left" w:pos="4140"/>
          <w:tab w:val="left" w:pos="4500"/>
        </w:tabs>
        <w:spacing w:line="300" w:lineRule="atLeast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C.</w:t>
      </w:r>
      <w:r>
        <w:rPr>
          <w:rFonts w:ascii="Arial" w:hAnsi="Arial"/>
          <w:snapToGrid w:val="0"/>
          <w:sz w:val="22"/>
        </w:rPr>
        <w:tab/>
        <w:t>Property, Plant and Equipment</w:t>
      </w:r>
      <w:r>
        <w:rPr>
          <w:rFonts w:ascii="Arial" w:hAnsi="Arial"/>
          <w:snapToGrid w:val="0"/>
          <w:sz w:val="22"/>
        </w:rPr>
        <w:tab/>
        <w:t>G.</w:t>
      </w:r>
      <w:r>
        <w:rPr>
          <w:rFonts w:ascii="Arial" w:hAnsi="Arial"/>
          <w:snapToGrid w:val="0"/>
          <w:sz w:val="22"/>
        </w:rPr>
        <w:tab/>
        <w:t>Stockholders’ Equity</w:t>
      </w:r>
    </w:p>
    <w:p w:rsidR="00483061" w:rsidRDefault="00483061" w:rsidP="00483061">
      <w:pPr>
        <w:widowControl w:val="0"/>
        <w:tabs>
          <w:tab w:val="left" w:pos="360"/>
          <w:tab w:val="left" w:pos="4140"/>
          <w:tab w:val="left" w:pos="4500"/>
        </w:tabs>
        <w:spacing w:line="300" w:lineRule="atLeast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D.</w:t>
      </w:r>
      <w:r>
        <w:rPr>
          <w:rFonts w:ascii="Arial" w:hAnsi="Arial"/>
          <w:snapToGrid w:val="0"/>
          <w:sz w:val="22"/>
        </w:rPr>
        <w:tab/>
        <w:t>Intangible Assets</w:t>
      </w:r>
      <w:r>
        <w:rPr>
          <w:rFonts w:ascii="Arial" w:hAnsi="Arial"/>
          <w:snapToGrid w:val="0"/>
          <w:sz w:val="22"/>
        </w:rPr>
        <w:tab/>
        <w:t>H.</w:t>
      </w:r>
      <w:r>
        <w:rPr>
          <w:rFonts w:ascii="Arial" w:hAnsi="Arial"/>
          <w:snapToGrid w:val="0"/>
          <w:sz w:val="22"/>
        </w:rPr>
        <w:tab/>
        <w:t>Not separately presented on the Balance Sheet</w:t>
      </w:r>
    </w:p>
    <w:p w:rsidR="00483061" w:rsidRDefault="00483061" w:rsidP="00483061">
      <w:pPr>
        <w:widowControl w:val="0"/>
        <w:rPr>
          <w:rFonts w:ascii="Arial" w:hAnsi="Arial"/>
          <w:snapToGrid w:val="0"/>
          <w:sz w:val="22"/>
        </w:rPr>
      </w:pPr>
    </w:p>
    <w:p w:rsidR="00483061" w:rsidRDefault="00483061" w:rsidP="00483061">
      <w:pPr>
        <w:widowControl w:val="0"/>
        <w:tabs>
          <w:tab w:val="left" w:pos="3600"/>
        </w:tabs>
        <w:rPr>
          <w:rFonts w:ascii="Arial" w:hAnsi="Arial"/>
          <w:snapToGrid w:val="0"/>
          <w:sz w:val="22"/>
          <w:u w:val="single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  <w:u w:val="single"/>
        </w:rPr>
        <w:t>Account Titles</w:t>
      </w:r>
    </w:p>
    <w:p w:rsidR="00483061" w:rsidRDefault="00483061" w:rsidP="00483061">
      <w:pPr>
        <w:widowControl w:val="0"/>
        <w:jc w:val="center"/>
        <w:rPr>
          <w:rFonts w:ascii="Arial" w:hAnsi="Arial"/>
          <w:snapToGrid w:val="0"/>
          <w:sz w:val="22"/>
        </w:rPr>
      </w:pPr>
    </w:p>
    <w:p w:rsidR="00483061" w:rsidRDefault="00483061" w:rsidP="00483061">
      <w:pPr>
        <w:widowControl w:val="0"/>
        <w:tabs>
          <w:tab w:val="left" w:leader="underscore" w:pos="540"/>
          <w:tab w:val="decimal" w:pos="810"/>
          <w:tab w:val="left" w:pos="990"/>
          <w:tab w:val="left" w:pos="4320"/>
          <w:tab w:val="left" w:leader="underscore" w:pos="4860"/>
          <w:tab w:val="decimal" w:pos="5130"/>
          <w:tab w:val="left" w:pos="540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1.</w:t>
      </w:r>
      <w:r>
        <w:rPr>
          <w:rFonts w:ascii="Arial" w:hAnsi="Arial"/>
          <w:snapToGrid w:val="0"/>
          <w:sz w:val="22"/>
        </w:rPr>
        <w:tab/>
        <w:t>Common Stock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10.</w:t>
      </w:r>
      <w:r>
        <w:rPr>
          <w:rFonts w:ascii="Arial" w:hAnsi="Arial"/>
          <w:snapToGrid w:val="0"/>
          <w:sz w:val="22"/>
        </w:rPr>
        <w:tab/>
        <w:t>Prepaid Insurance</w:t>
      </w:r>
    </w:p>
    <w:p w:rsidR="00483061" w:rsidRDefault="00483061" w:rsidP="00483061">
      <w:pPr>
        <w:widowControl w:val="0"/>
        <w:tabs>
          <w:tab w:val="left" w:leader="underscore" w:pos="540"/>
          <w:tab w:val="decimal" w:pos="810"/>
          <w:tab w:val="left" w:pos="990"/>
          <w:tab w:val="left" w:pos="4320"/>
          <w:tab w:val="left" w:leader="underscore" w:pos="4860"/>
          <w:tab w:val="decimal" w:pos="5130"/>
          <w:tab w:val="left" w:pos="5400"/>
        </w:tabs>
        <w:rPr>
          <w:rFonts w:ascii="Arial" w:hAnsi="Arial"/>
          <w:snapToGrid w:val="0"/>
          <w:sz w:val="22"/>
        </w:rPr>
      </w:pPr>
    </w:p>
    <w:p w:rsidR="00483061" w:rsidRDefault="005D7FFA" w:rsidP="00483061">
      <w:pPr>
        <w:widowControl w:val="0"/>
        <w:tabs>
          <w:tab w:val="left" w:leader="underscore" w:pos="540"/>
          <w:tab w:val="decimal" w:pos="810"/>
          <w:tab w:val="left" w:pos="990"/>
          <w:tab w:val="left" w:pos="4320"/>
          <w:tab w:val="left" w:leader="underscore" w:pos="4860"/>
          <w:tab w:val="decimal" w:pos="5130"/>
          <w:tab w:val="left" w:pos="540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2.</w:t>
      </w:r>
      <w:r>
        <w:rPr>
          <w:rFonts w:ascii="Arial" w:hAnsi="Arial"/>
          <w:snapToGrid w:val="0"/>
          <w:sz w:val="22"/>
        </w:rPr>
        <w:tab/>
        <w:t>Office furniture</w:t>
      </w:r>
      <w:r w:rsidR="00483061">
        <w:rPr>
          <w:rFonts w:ascii="Arial" w:hAnsi="Arial"/>
          <w:snapToGrid w:val="0"/>
          <w:sz w:val="22"/>
        </w:rPr>
        <w:tab/>
      </w:r>
      <w:r w:rsidR="00483061">
        <w:rPr>
          <w:rFonts w:ascii="Arial" w:hAnsi="Arial"/>
          <w:snapToGrid w:val="0"/>
          <w:sz w:val="22"/>
        </w:rPr>
        <w:tab/>
      </w:r>
      <w:r w:rsidR="00483061">
        <w:rPr>
          <w:rFonts w:ascii="Arial" w:hAnsi="Arial"/>
          <w:snapToGrid w:val="0"/>
          <w:sz w:val="22"/>
        </w:rPr>
        <w:tab/>
        <w:t>11.</w:t>
      </w:r>
      <w:r w:rsidR="00483061">
        <w:rPr>
          <w:rFonts w:ascii="Arial" w:hAnsi="Arial"/>
          <w:snapToGrid w:val="0"/>
          <w:sz w:val="22"/>
        </w:rPr>
        <w:tab/>
        <w:t>Bonds Payable</w:t>
      </w:r>
    </w:p>
    <w:p w:rsidR="00483061" w:rsidRDefault="00483061" w:rsidP="00483061">
      <w:pPr>
        <w:widowControl w:val="0"/>
        <w:tabs>
          <w:tab w:val="left" w:leader="underscore" w:pos="540"/>
          <w:tab w:val="decimal" w:pos="810"/>
          <w:tab w:val="left" w:pos="990"/>
          <w:tab w:val="left" w:pos="4320"/>
          <w:tab w:val="left" w:leader="underscore" w:pos="4860"/>
          <w:tab w:val="decimal" w:pos="5130"/>
          <w:tab w:val="left" w:pos="5400"/>
        </w:tabs>
        <w:rPr>
          <w:rFonts w:ascii="Arial" w:hAnsi="Arial"/>
          <w:snapToGrid w:val="0"/>
          <w:sz w:val="22"/>
        </w:rPr>
      </w:pPr>
    </w:p>
    <w:p w:rsidR="00483061" w:rsidRDefault="00483061" w:rsidP="00483061">
      <w:pPr>
        <w:widowControl w:val="0"/>
        <w:tabs>
          <w:tab w:val="left" w:leader="underscore" w:pos="540"/>
          <w:tab w:val="decimal" w:pos="810"/>
          <w:tab w:val="left" w:pos="990"/>
          <w:tab w:val="left" w:pos="4320"/>
          <w:tab w:val="left" w:leader="underscore" w:pos="4860"/>
          <w:tab w:val="decimal" w:pos="5130"/>
          <w:tab w:val="left" w:pos="540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3.</w:t>
      </w:r>
      <w:r>
        <w:rPr>
          <w:rFonts w:ascii="Arial" w:hAnsi="Arial"/>
          <w:snapToGrid w:val="0"/>
          <w:sz w:val="22"/>
        </w:rPr>
        <w:tab/>
        <w:t>Supplies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12.</w:t>
      </w:r>
      <w:r>
        <w:rPr>
          <w:rFonts w:ascii="Arial" w:hAnsi="Arial"/>
          <w:snapToGrid w:val="0"/>
          <w:sz w:val="22"/>
        </w:rPr>
        <w:tab/>
      </w:r>
      <w:r w:rsidR="007E57B2">
        <w:rPr>
          <w:rFonts w:ascii="Arial" w:hAnsi="Arial"/>
          <w:snapToGrid w:val="0"/>
          <w:sz w:val="22"/>
        </w:rPr>
        <w:t xml:space="preserve">Income </w:t>
      </w:r>
      <w:r>
        <w:rPr>
          <w:rFonts w:ascii="Arial" w:hAnsi="Arial"/>
          <w:snapToGrid w:val="0"/>
          <w:sz w:val="22"/>
        </w:rPr>
        <w:t>Taxes Payable</w:t>
      </w:r>
    </w:p>
    <w:p w:rsidR="00483061" w:rsidRDefault="00483061" w:rsidP="00483061">
      <w:pPr>
        <w:widowControl w:val="0"/>
        <w:tabs>
          <w:tab w:val="left" w:leader="underscore" w:pos="540"/>
          <w:tab w:val="decimal" w:pos="810"/>
          <w:tab w:val="left" w:pos="990"/>
          <w:tab w:val="left" w:pos="4320"/>
          <w:tab w:val="left" w:leader="underscore" w:pos="4860"/>
          <w:tab w:val="decimal" w:pos="5130"/>
          <w:tab w:val="left" w:pos="5400"/>
        </w:tabs>
        <w:rPr>
          <w:rFonts w:ascii="Arial" w:hAnsi="Arial"/>
          <w:snapToGrid w:val="0"/>
          <w:sz w:val="22"/>
        </w:rPr>
      </w:pPr>
    </w:p>
    <w:p w:rsidR="00483061" w:rsidRDefault="00483061" w:rsidP="00483061">
      <w:pPr>
        <w:widowControl w:val="0"/>
        <w:tabs>
          <w:tab w:val="left" w:leader="underscore" w:pos="540"/>
          <w:tab w:val="decimal" w:pos="810"/>
          <w:tab w:val="left" w:pos="990"/>
          <w:tab w:val="left" w:pos="4320"/>
          <w:tab w:val="left" w:leader="underscore" w:pos="4860"/>
          <w:tab w:val="decimal" w:pos="5130"/>
          <w:tab w:val="left" w:pos="540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4.</w:t>
      </w:r>
      <w:r>
        <w:rPr>
          <w:rFonts w:ascii="Arial" w:hAnsi="Arial"/>
          <w:snapToGrid w:val="0"/>
          <w:sz w:val="22"/>
        </w:rPr>
        <w:tab/>
        <w:t>Accounts Payable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13.</w:t>
      </w:r>
      <w:r>
        <w:rPr>
          <w:rFonts w:ascii="Arial" w:hAnsi="Arial"/>
          <w:snapToGrid w:val="0"/>
          <w:sz w:val="22"/>
        </w:rPr>
        <w:tab/>
        <w:t>Copyrights</w:t>
      </w:r>
    </w:p>
    <w:p w:rsidR="00483061" w:rsidRDefault="00483061" w:rsidP="00483061">
      <w:pPr>
        <w:widowControl w:val="0"/>
        <w:tabs>
          <w:tab w:val="left" w:leader="underscore" w:pos="540"/>
          <w:tab w:val="decimal" w:pos="810"/>
          <w:tab w:val="left" w:pos="990"/>
          <w:tab w:val="left" w:pos="4320"/>
          <w:tab w:val="left" w:leader="underscore" w:pos="4860"/>
          <w:tab w:val="decimal" w:pos="5130"/>
          <w:tab w:val="left" w:pos="5400"/>
        </w:tabs>
        <w:rPr>
          <w:rFonts w:ascii="Arial" w:hAnsi="Arial"/>
          <w:snapToGrid w:val="0"/>
          <w:sz w:val="22"/>
        </w:rPr>
      </w:pPr>
    </w:p>
    <w:p w:rsidR="00483061" w:rsidRDefault="00483061" w:rsidP="00483061">
      <w:pPr>
        <w:widowControl w:val="0"/>
        <w:tabs>
          <w:tab w:val="left" w:leader="underscore" w:pos="540"/>
          <w:tab w:val="decimal" w:pos="810"/>
          <w:tab w:val="left" w:pos="990"/>
          <w:tab w:val="left" w:pos="4320"/>
          <w:tab w:val="left" w:leader="underscore" w:pos="4860"/>
          <w:tab w:val="decimal" w:pos="5130"/>
          <w:tab w:val="left" w:pos="540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5.</w:t>
      </w:r>
      <w:r>
        <w:rPr>
          <w:rFonts w:ascii="Arial" w:hAnsi="Arial"/>
          <w:snapToGrid w:val="0"/>
          <w:sz w:val="22"/>
        </w:rPr>
        <w:tab/>
        <w:t>Patents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14.</w:t>
      </w:r>
      <w:r>
        <w:rPr>
          <w:rFonts w:ascii="Arial" w:hAnsi="Arial"/>
          <w:snapToGrid w:val="0"/>
          <w:sz w:val="22"/>
        </w:rPr>
        <w:tab/>
        <w:t>Accounts Receivable</w:t>
      </w:r>
    </w:p>
    <w:p w:rsidR="00483061" w:rsidRDefault="00483061" w:rsidP="00483061">
      <w:pPr>
        <w:widowControl w:val="0"/>
        <w:tabs>
          <w:tab w:val="left" w:leader="underscore" w:pos="540"/>
          <w:tab w:val="decimal" w:pos="810"/>
          <w:tab w:val="left" w:pos="990"/>
          <w:tab w:val="left" w:pos="4320"/>
          <w:tab w:val="left" w:leader="underscore" w:pos="4860"/>
          <w:tab w:val="decimal" w:pos="5130"/>
          <w:tab w:val="left" w:pos="5400"/>
        </w:tabs>
        <w:rPr>
          <w:rFonts w:ascii="Arial" w:hAnsi="Arial"/>
          <w:snapToGrid w:val="0"/>
          <w:sz w:val="22"/>
        </w:rPr>
      </w:pPr>
    </w:p>
    <w:p w:rsidR="00483061" w:rsidRDefault="00483061" w:rsidP="00483061">
      <w:pPr>
        <w:widowControl w:val="0"/>
        <w:tabs>
          <w:tab w:val="left" w:leader="underscore" w:pos="540"/>
          <w:tab w:val="decimal" w:pos="810"/>
          <w:tab w:val="left" w:pos="990"/>
          <w:tab w:val="left" w:pos="4320"/>
          <w:tab w:val="left" w:leader="underscore" w:pos="4860"/>
          <w:tab w:val="decimal" w:pos="5130"/>
          <w:tab w:val="left" w:pos="540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6.</w:t>
      </w:r>
      <w:r>
        <w:rPr>
          <w:rFonts w:ascii="Arial" w:hAnsi="Arial"/>
          <w:snapToGrid w:val="0"/>
          <w:sz w:val="22"/>
        </w:rPr>
        <w:tab/>
        <w:t>Salaries Payable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15.</w:t>
      </w:r>
      <w:r>
        <w:rPr>
          <w:rFonts w:ascii="Arial" w:hAnsi="Arial"/>
          <w:snapToGrid w:val="0"/>
          <w:sz w:val="22"/>
        </w:rPr>
        <w:tab/>
        <w:t>Mortgage Payable</w:t>
      </w:r>
    </w:p>
    <w:p w:rsidR="00483061" w:rsidRDefault="00483061" w:rsidP="00483061">
      <w:pPr>
        <w:widowControl w:val="0"/>
        <w:tabs>
          <w:tab w:val="left" w:leader="underscore" w:pos="540"/>
          <w:tab w:val="decimal" w:pos="810"/>
          <w:tab w:val="left" w:pos="990"/>
          <w:tab w:val="left" w:pos="4320"/>
          <w:tab w:val="left" w:leader="underscore" w:pos="4860"/>
          <w:tab w:val="decimal" w:pos="5130"/>
          <w:tab w:val="left" w:pos="5400"/>
        </w:tabs>
        <w:rPr>
          <w:rFonts w:ascii="Arial" w:hAnsi="Arial"/>
          <w:snapToGrid w:val="0"/>
          <w:sz w:val="22"/>
        </w:rPr>
      </w:pPr>
    </w:p>
    <w:p w:rsidR="00483061" w:rsidRDefault="00483061" w:rsidP="00483061">
      <w:pPr>
        <w:widowControl w:val="0"/>
        <w:tabs>
          <w:tab w:val="left" w:leader="underscore" w:pos="540"/>
          <w:tab w:val="decimal" w:pos="810"/>
          <w:tab w:val="left" w:pos="990"/>
          <w:tab w:val="left" w:pos="4320"/>
          <w:tab w:val="left" w:leader="underscore" w:pos="4860"/>
          <w:tab w:val="decimal" w:pos="5130"/>
          <w:tab w:val="left" w:pos="540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7.</w:t>
      </w:r>
      <w:r>
        <w:rPr>
          <w:rFonts w:ascii="Arial" w:hAnsi="Arial"/>
          <w:snapToGrid w:val="0"/>
          <w:sz w:val="22"/>
        </w:rPr>
        <w:tab/>
        <w:t>Equipment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16.</w:t>
      </w:r>
      <w:r>
        <w:rPr>
          <w:rFonts w:ascii="Arial" w:hAnsi="Arial"/>
          <w:snapToGrid w:val="0"/>
          <w:sz w:val="22"/>
        </w:rPr>
        <w:tab/>
        <w:t>Dividends</w:t>
      </w:r>
    </w:p>
    <w:p w:rsidR="00483061" w:rsidRDefault="00483061" w:rsidP="00483061">
      <w:pPr>
        <w:widowControl w:val="0"/>
        <w:tabs>
          <w:tab w:val="left" w:leader="underscore" w:pos="540"/>
          <w:tab w:val="decimal" w:pos="810"/>
          <w:tab w:val="left" w:pos="990"/>
          <w:tab w:val="left" w:pos="4320"/>
          <w:tab w:val="left" w:leader="underscore" w:pos="4860"/>
          <w:tab w:val="decimal" w:pos="5130"/>
          <w:tab w:val="left" w:pos="5400"/>
        </w:tabs>
        <w:rPr>
          <w:rFonts w:ascii="Arial" w:hAnsi="Arial"/>
          <w:snapToGrid w:val="0"/>
          <w:sz w:val="22"/>
        </w:rPr>
      </w:pPr>
    </w:p>
    <w:p w:rsidR="00483061" w:rsidRDefault="00483061" w:rsidP="00483061">
      <w:pPr>
        <w:widowControl w:val="0"/>
        <w:tabs>
          <w:tab w:val="left" w:leader="underscore" w:pos="540"/>
          <w:tab w:val="decimal" w:pos="810"/>
          <w:tab w:val="left" w:pos="990"/>
          <w:tab w:val="left" w:pos="4320"/>
          <w:tab w:val="left" w:leader="underscore" w:pos="4860"/>
          <w:tab w:val="decimal" w:pos="5130"/>
          <w:tab w:val="left" w:pos="540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8.</w:t>
      </w:r>
      <w:r>
        <w:rPr>
          <w:rFonts w:ascii="Arial" w:hAnsi="Arial"/>
          <w:snapToGrid w:val="0"/>
          <w:sz w:val="22"/>
        </w:rPr>
        <w:tab/>
        <w:t>Service Revenue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17.</w:t>
      </w:r>
      <w:r>
        <w:rPr>
          <w:rFonts w:ascii="Arial" w:hAnsi="Arial"/>
          <w:snapToGrid w:val="0"/>
          <w:sz w:val="22"/>
        </w:rPr>
        <w:tab/>
        <w:t xml:space="preserve">Accumulated Depreciation – </w:t>
      </w:r>
      <w:r w:rsidRPr="00483061">
        <w:rPr>
          <w:rFonts w:ascii="Arial" w:hAnsi="Arial"/>
          <w:snapToGrid w:val="0"/>
          <w:sz w:val="20"/>
          <w:szCs w:val="20"/>
        </w:rPr>
        <w:t>Equipment</w:t>
      </w:r>
    </w:p>
    <w:p w:rsidR="00483061" w:rsidRDefault="00483061" w:rsidP="00483061">
      <w:pPr>
        <w:widowControl w:val="0"/>
        <w:tabs>
          <w:tab w:val="left" w:pos="540"/>
          <w:tab w:val="decimal" w:pos="810"/>
          <w:tab w:val="left" w:pos="990"/>
          <w:tab w:val="left" w:pos="4320"/>
          <w:tab w:val="left" w:leader="underscore" w:pos="4860"/>
          <w:tab w:val="decimal" w:pos="5130"/>
          <w:tab w:val="left" w:pos="5400"/>
          <w:tab w:val="left" w:pos="630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</w:p>
    <w:p w:rsidR="00483061" w:rsidRDefault="00483061" w:rsidP="00483061">
      <w:pPr>
        <w:widowControl w:val="0"/>
        <w:tabs>
          <w:tab w:val="left" w:leader="underscore" w:pos="540"/>
          <w:tab w:val="decimal" w:pos="810"/>
          <w:tab w:val="left" w:pos="990"/>
          <w:tab w:val="left" w:pos="4320"/>
          <w:tab w:val="left" w:leader="underscore" w:pos="4860"/>
          <w:tab w:val="decimal" w:pos="5130"/>
          <w:tab w:val="left" w:pos="5400"/>
          <w:tab w:val="left" w:pos="621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9.</w:t>
      </w:r>
      <w:r>
        <w:rPr>
          <w:rFonts w:ascii="Arial" w:hAnsi="Arial"/>
          <w:snapToGrid w:val="0"/>
          <w:sz w:val="22"/>
        </w:rPr>
        <w:tab/>
        <w:t>Rent Expense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18.</w:t>
      </w:r>
      <w:r>
        <w:rPr>
          <w:rFonts w:ascii="Arial" w:hAnsi="Arial"/>
          <w:snapToGrid w:val="0"/>
          <w:sz w:val="22"/>
        </w:rPr>
        <w:tab/>
        <w:t>Retained Earnings</w:t>
      </w:r>
    </w:p>
    <w:p w:rsidR="00CB7647" w:rsidRPr="00483061" w:rsidRDefault="00CB7647" w:rsidP="00483061">
      <w:pPr>
        <w:widowControl w:val="0"/>
        <w:spacing w:before="120"/>
        <w:jc w:val="both"/>
        <w:rPr>
          <w:rFonts w:ascii="Arial" w:hAnsi="Arial" w:cs="Arial"/>
        </w:rPr>
      </w:pPr>
      <w:r>
        <w:br w:type="page"/>
      </w:r>
      <w:r>
        <w:lastRenderedPageBreak/>
        <w:t xml:space="preserve">III. </w:t>
      </w:r>
      <w:r w:rsidR="00483061" w:rsidRPr="00483061">
        <w:rPr>
          <w:rFonts w:ascii="Arial" w:hAnsi="Arial" w:cs="Arial"/>
        </w:rPr>
        <w:t>Ratios</w:t>
      </w:r>
      <w:r w:rsidR="00CE4C4D">
        <w:rPr>
          <w:rFonts w:ascii="Arial" w:hAnsi="Arial" w:cs="Arial"/>
        </w:rPr>
        <w:t xml:space="preserve"> and </w:t>
      </w:r>
      <w:r w:rsidR="00A84B50">
        <w:rPr>
          <w:rFonts w:ascii="Arial" w:hAnsi="Arial" w:cs="Arial"/>
        </w:rPr>
        <w:t>analyses</w:t>
      </w:r>
      <w:r w:rsidR="003D41BF">
        <w:rPr>
          <w:rFonts w:ascii="Arial" w:hAnsi="Arial" w:cs="Arial"/>
        </w:rPr>
        <w:t xml:space="preserve"> </w:t>
      </w:r>
    </w:p>
    <w:p w:rsidR="00483061" w:rsidRDefault="00483061" w:rsidP="00483061">
      <w:pPr>
        <w:widowControl w:val="0"/>
        <w:spacing w:before="120"/>
        <w:jc w:val="both"/>
      </w:pPr>
    </w:p>
    <w:p w:rsidR="00483061" w:rsidRDefault="000A3413" w:rsidP="00483061">
      <w:pPr>
        <w:jc w:val="both"/>
        <w:rPr>
          <w:rFonts w:ascii="Arial" w:hAnsi="Arial"/>
          <w:snapToGrid w:val="0"/>
          <w:sz w:val="22"/>
        </w:rPr>
      </w:pPr>
      <w:r w:rsidRPr="000A3413">
        <w:rPr>
          <w:rFonts w:ascii="Arial" w:hAnsi="Arial"/>
          <w:b/>
          <w:snapToGrid w:val="0"/>
          <w:sz w:val="22"/>
        </w:rPr>
        <w:t>1)</w:t>
      </w:r>
      <w:r>
        <w:rPr>
          <w:rFonts w:ascii="Arial" w:hAnsi="Arial"/>
          <w:snapToGrid w:val="0"/>
          <w:sz w:val="22"/>
        </w:rPr>
        <w:t xml:space="preserve"> </w:t>
      </w:r>
      <w:r w:rsidR="00483061">
        <w:rPr>
          <w:rFonts w:ascii="Arial" w:hAnsi="Arial"/>
          <w:snapToGrid w:val="0"/>
          <w:sz w:val="22"/>
        </w:rPr>
        <w:t xml:space="preserve">Selected information from the financial statements of Stiller Company for </w:t>
      </w:r>
      <w:r w:rsidR="00F72361">
        <w:rPr>
          <w:rFonts w:ascii="Arial" w:hAnsi="Arial"/>
          <w:snapToGrid w:val="0"/>
          <w:sz w:val="22"/>
        </w:rPr>
        <w:t>the year ended December 31, 2014</w:t>
      </w:r>
      <w:r w:rsidR="00483061">
        <w:rPr>
          <w:rFonts w:ascii="Arial" w:hAnsi="Arial"/>
          <w:snapToGrid w:val="0"/>
          <w:sz w:val="22"/>
        </w:rPr>
        <w:t>, appears below:</w:t>
      </w:r>
    </w:p>
    <w:p w:rsidR="00483061" w:rsidRPr="004366F1" w:rsidRDefault="00483061" w:rsidP="00483061">
      <w:pPr>
        <w:tabs>
          <w:tab w:val="left" w:pos="4680"/>
          <w:tab w:val="left" w:pos="5760"/>
          <w:tab w:val="left" w:pos="6480"/>
          <w:tab w:val="left" w:pos="7560"/>
        </w:tabs>
        <w:rPr>
          <w:rFonts w:ascii="Arial" w:hAnsi="Arial"/>
          <w:snapToGrid w:val="0"/>
          <w:sz w:val="22"/>
          <w:lang w:val="fr-FR"/>
        </w:rPr>
      </w:pPr>
      <w:r>
        <w:rPr>
          <w:rFonts w:ascii="Arial" w:hAnsi="Arial"/>
          <w:snapToGrid w:val="0"/>
          <w:sz w:val="22"/>
        </w:rPr>
        <w:tab/>
      </w:r>
      <w:r w:rsidRPr="004366F1">
        <w:rPr>
          <w:rFonts w:ascii="Arial" w:hAnsi="Arial"/>
          <w:snapToGrid w:val="0"/>
          <w:sz w:val="22"/>
          <w:lang w:val="fr-FR"/>
        </w:rPr>
        <w:t xml:space="preserve"> </w:t>
      </w:r>
      <w:r w:rsidRPr="004366F1">
        <w:rPr>
          <w:rFonts w:ascii="Arial" w:hAnsi="Arial"/>
          <w:snapToGrid w:val="0"/>
          <w:sz w:val="22"/>
          <w:u w:val="single"/>
          <w:lang w:val="fr-FR"/>
        </w:rPr>
        <w:t xml:space="preserve">    2007</w:t>
      </w:r>
      <w:r w:rsidRPr="004366F1">
        <w:rPr>
          <w:rFonts w:ascii="Arial" w:hAnsi="Arial"/>
          <w:snapToGrid w:val="0"/>
          <w:sz w:val="22"/>
          <w:u w:val="single"/>
          <w:lang w:val="fr-FR"/>
        </w:rPr>
        <w:tab/>
      </w:r>
      <w:r w:rsidRPr="004366F1">
        <w:rPr>
          <w:rFonts w:ascii="Arial" w:hAnsi="Arial"/>
          <w:snapToGrid w:val="0"/>
          <w:sz w:val="22"/>
          <w:lang w:val="fr-FR"/>
        </w:rPr>
        <w:tab/>
        <w:t xml:space="preserve"> </w:t>
      </w:r>
    </w:p>
    <w:p w:rsidR="00483061" w:rsidRPr="004366F1" w:rsidRDefault="00483061" w:rsidP="00483061">
      <w:pPr>
        <w:tabs>
          <w:tab w:val="right" w:pos="5760"/>
          <w:tab w:val="right" w:pos="7560"/>
        </w:tabs>
        <w:rPr>
          <w:rFonts w:ascii="Arial" w:hAnsi="Arial"/>
          <w:snapToGrid w:val="0"/>
          <w:sz w:val="22"/>
          <w:lang w:val="fr-FR"/>
        </w:rPr>
      </w:pPr>
      <w:r w:rsidRPr="004366F1">
        <w:rPr>
          <w:rFonts w:ascii="Arial" w:hAnsi="Arial"/>
          <w:snapToGrid w:val="0"/>
          <w:sz w:val="22"/>
          <w:lang w:val="fr-FR"/>
        </w:rPr>
        <w:t>Current assets</w:t>
      </w:r>
      <w:r w:rsidRPr="004366F1">
        <w:rPr>
          <w:rFonts w:ascii="Arial" w:hAnsi="Arial"/>
          <w:snapToGrid w:val="0"/>
          <w:sz w:val="22"/>
          <w:lang w:val="fr-FR"/>
        </w:rPr>
        <w:tab/>
        <w:t xml:space="preserve">$   </w:t>
      </w:r>
      <w:r>
        <w:rPr>
          <w:rFonts w:ascii="Arial" w:hAnsi="Arial"/>
          <w:snapToGrid w:val="0"/>
          <w:sz w:val="22"/>
          <w:lang w:val="fr-FR"/>
        </w:rPr>
        <w:t>525</w:t>
      </w:r>
      <w:r w:rsidRPr="004366F1">
        <w:rPr>
          <w:rFonts w:ascii="Arial" w:hAnsi="Arial"/>
          <w:snapToGrid w:val="0"/>
          <w:sz w:val="22"/>
          <w:lang w:val="fr-FR"/>
        </w:rPr>
        <w:t xml:space="preserve">,000    </w:t>
      </w:r>
    </w:p>
    <w:p w:rsidR="00483061" w:rsidRPr="004366F1" w:rsidRDefault="00483061" w:rsidP="00483061">
      <w:pPr>
        <w:tabs>
          <w:tab w:val="right" w:pos="5760"/>
          <w:tab w:val="right" w:pos="7560"/>
        </w:tabs>
        <w:rPr>
          <w:rFonts w:ascii="Arial" w:hAnsi="Arial"/>
          <w:snapToGrid w:val="0"/>
          <w:sz w:val="22"/>
          <w:lang w:val="fr-FR"/>
        </w:rPr>
      </w:pPr>
      <w:r w:rsidRPr="004366F1">
        <w:rPr>
          <w:rFonts w:ascii="Arial" w:hAnsi="Arial"/>
          <w:snapToGrid w:val="0"/>
          <w:sz w:val="22"/>
          <w:lang w:val="fr-FR"/>
        </w:rPr>
        <w:t>Total assets</w:t>
      </w:r>
      <w:r w:rsidRPr="004366F1">
        <w:rPr>
          <w:rFonts w:ascii="Arial" w:hAnsi="Arial"/>
          <w:snapToGrid w:val="0"/>
          <w:sz w:val="22"/>
          <w:lang w:val="fr-FR"/>
        </w:rPr>
        <w:tab/>
        <w:t>1,</w:t>
      </w:r>
      <w:r>
        <w:rPr>
          <w:rFonts w:ascii="Arial" w:hAnsi="Arial"/>
          <w:snapToGrid w:val="0"/>
          <w:sz w:val="22"/>
          <w:lang w:val="fr-FR"/>
        </w:rPr>
        <w:t>375</w:t>
      </w:r>
      <w:r w:rsidRPr="004366F1">
        <w:rPr>
          <w:rFonts w:ascii="Arial" w:hAnsi="Arial"/>
          <w:snapToGrid w:val="0"/>
          <w:sz w:val="22"/>
          <w:lang w:val="fr-FR"/>
        </w:rPr>
        <w:t>,000</w:t>
      </w:r>
      <w:r w:rsidRPr="004366F1">
        <w:rPr>
          <w:rFonts w:ascii="Arial" w:hAnsi="Arial"/>
          <w:snapToGrid w:val="0"/>
          <w:sz w:val="22"/>
          <w:lang w:val="fr-FR"/>
        </w:rPr>
        <w:tab/>
      </w:r>
    </w:p>
    <w:p w:rsidR="00483061" w:rsidRPr="004366F1" w:rsidRDefault="00483061" w:rsidP="00483061">
      <w:pPr>
        <w:tabs>
          <w:tab w:val="right" w:pos="5760"/>
          <w:tab w:val="right" w:pos="7560"/>
        </w:tabs>
        <w:rPr>
          <w:rFonts w:ascii="Arial" w:hAnsi="Arial"/>
          <w:snapToGrid w:val="0"/>
          <w:sz w:val="22"/>
          <w:lang w:val="fr-FR"/>
        </w:rPr>
      </w:pPr>
      <w:r w:rsidRPr="004366F1">
        <w:rPr>
          <w:rFonts w:ascii="Arial" w:hAnsi="Arial"/>
          <w:snapToGrid w:val="0"/>
          <w:sz w:val="22"/>
          <w:lang w:val="fr-FR"/>
        </w:rPr>
        <w:t>Current liabilities</w:t>
      </w:r>
      <w:r w:rsidRPr="004366F1">
        <w:rPr>
          <w:rFonts w:ascii="Arial" w:hAnsi="Arial"/>
          <w:snapToGrid w:val="0"/>
          <w:sz w:val="22"/>
          <w:lang w:val="fr-FR"/>
        </w:rPr>
        <w:tab/>
      </w:r>
      <w:r>
        <w:rPr>
          <w:rFonts w:ascii="Arial" w:hAnsi="Arial"/>
          <w:snapToGrid w:val="0"/>
          <w:sz w:val="22"/>
          <w:lang w:val="fr-FR"/>
        </w:rPr>
        <w:t>15</w:t>
      </w:r>
      <w:r w:rsidRPr="004366F1">
        <w:rPr>
          <w:rFonts w:ascii="Arial" w:hAnsi="Arial"/>
          <w:snapToGrid w:val="0"/>
          <w:sz w:val="22"/>
          <w:lang w:val="fr-FR"/>
        </w:rPr>
        <w:t>0,000</w:t>
      </w:r>
      <w:r w:rsidRPr="004366F1">
        <w:rPr>
          <w:rFonts w:ascii="Arial" w:hAnsi="Arial"/>
          <w:snapToGrid w:val="0"/>
          <w:sz w:val="22"/>
          <w:lang w:val="fr-FR"/>
        </w:rPr>
        <w:tab/>
      </w:r>
    </w:p>
    <w:p w:rsidR="00483061" w:rsidRDefault="00483061" w:rsidP="00483061">
      <w:pPr>
        <w:tabs>
          <w:tab w:val="right" w:pos="5760"/>
          <w:tab w:val="right" w:pos="756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Long-term liabilities</w:t>
      </w:r>
      <w:r>
        <w:rPr>
          <w:rFonts w:ascii="Arial" w:hAnsi="Arial"/>
          <w:snapToGrid w:val="0"/>
          <w:sz w:val="22"/>
        </w:rPr>
        <w:tab/>
        <w:t>400,000</w:t>
      </w:r>
      <w:r>
        <w:rPr>
          <w:rFonts w:ascii="Arial" w:hAnsi="Arial"/>
          <w:snapToGrid w:val="0"/>
          <w:sz w:val="22"/>
        </w:rPr>
        <w:tab/>
      </w:r>
    </w:p>
    <w:p w:rsidR="00483061" w:rsidRDefault="007E57B2" w:rsidP="00483061">
      <w:pPr>
        <w:tabs>
          <w:tab w:val="right" w:pos="5760"/>
          <w:tab w:val="right" w:pos="756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S</w:t>
      </w:r>
      <w:r w:rsidR="00483061">
        <w:rPr>
          <w:rFonts w:ascii="Arial" w:hAnsi="Arial"/>
          <w:snapToGrid w:val="0"/>
          <w:sz w:val="22"/>
        </w:rPr>
        <w:t>ales</w:t>
      </w:r>
      <w:r w:rsidR="00483061">
        <w:rPr>
          <w:rFonts w:ascii="Arial" w:hAnsi="Arial"/>
          <w:snapToGrid w:val="0"/>
          <w:sz w:val="22"/>
        </w:rPr>
        <w:tab/>
        <w:t>1,500,000</w:t>
      </w:r>
      <w:r w:rsidR="00483061">
        <w:rPr>
          <w:rFonts w:ascii="Arial" w:hAnsi="Arial"/>
          <w:snapToGrid w:val="0"/>
          <w:sz w:val="22"/>
        </w:rPr>
        <w:tab/>
      </w:r>
      <w:r w:rsidR="00483061">
        <w:rPr>
          <w:rFonts w:ascii="Arial" w:hAnsi="Arial"/>
          <w:snapToGrid w:val="0"/>
          <w:sz w:val="22"/>
        </w:rPr>
        <w:tab/>
      </w:r>
    </w:p>
    <w:p w:rsidR="00483061" w:rsidRDefault="00483061" w:rsidP="00483061">
      <w:pPr>
        <w:tabs>
          <w:tab w:val="right" w:pos="5760"/>
          <w:tab w:val="right" w:pos="756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Net income</w:t>
      </w:r>
      <w:r>
        <w:rPr>
          <w:rFonts w:ascii="Arial" w:hAnsi="Arial"/>
          <w:snapToGrid w:val="0"/>
          <w:sz w:val="22"/>
        </w:rPr>
        <w:tab/>
        <w:t>150,000</w:t>
      </w:r>
      <w:r>
        <w:rPr>
          <w:rFonts w:ascii="Arial" w:hAnsi="Arial"/>
          <w:snapToGrid w:val="0"/>
          <w:sz w:val="22"/>
        </w:rPr>
        <w:tab/>
      </w:r>
    </w:p>
    <w:p w:rsidR="00483061" w:rsidRDefault="00483061" w:rsidP="00483061">
      <w:pPr>
        <w:spacing w:line="180" w:lineRule="atLeast"/>
        <w:rPr>
          <w:rFonts w:ascii="Arial" w:hAnsi="Arial"/>
          <w:snapToGrid w:val="0"/>
          <w:sz w:val="22"/>
        </w:rPr>
      </w:pPr>
    </w:p>
    <w:p w:rsidR="00483061" w:rsidRPr="000A3413" w:rsidRDefault="00483061" w:rsidP="00483061">
      <w:pPr>
        <w:rPr>
          <w:rFonts w:ascii="Arial" w:hAnsi="Arial"/>
          <w:b/>
          <w:snapToGrid w:val="0"/>
          <w:sz w:val="22"/>
        </w:rPr>
      </w:pPr>
      <w:r>
        <w:rPr>
          <w:rFonts w:ascii="Arial" w:hAnsi="Arial"/>
          <w:b/>
          <w:snapToGrid w:val="0"/>
          <w:sz w:val="22"/>
        </w:rPr>
        <w:t>Required:</w:t>
      </w:r>
    </w:p>
    <w:p w:rsidR="00483061" w:rsidRDefault="00483061" w:rsidP="00483061">
      <w:pPr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 xml:space="preserve">Answer the following questions relating to </w:t>
      </w:r>
      <w:r w:rsidR="00F72361">
        <w:rPr>
          <w:rFonts w:ascii="Arial" w:hAnsi="Arial"/>
          <w:snapToGrid w:val="0"/>
          <w:sz w:val="22"/>
        </w:rPr>
        <w:t>the year ended December 31, 2014</w:t>
      </w:r>
      <w:r>
        <w:rPr>
          <w:rFonts w:ascii="Arial" w:hAnsi="Arial"/>
          <w:snapToGrid w:val="0"/>
          <w:sz w:val="22"/>
        </w:rPr>
        <w:t xml:space="preserve">. </w:t>
      </w:r>
      <w:r w:rsidR="000A3413">
        <w:rPr>
          <w:rFonts w:ascii="Arial" w:hAnsi="Arial"/>
          <w:snapToGrid w:val="0"/>
          <w:sz w:val="22"/>
        </w:rPr>
        <w:t xml:space="preserve"> </w:t>
      </w:r>
      <w:r>
        <w:rPr>
          <w:rFonts w:ascii="Arial" w:hAnsi="Arial"/>
          <w:snapToGrid w:val="0"/>
          <w:sz w:val="22"/>
        </w:rPr>
        <w:t>The</w:t>
      </w:r>
      <w:r w:rsidR="006D3D51">
        <w:rPr>
          <w:rFonts w:ascii="Arial" w:hAnsi="Arial"/>
          <w:snapToGrid w:val="0"/>
          <w:sz w:val="22"/>
        </w:rPr>
        <w:t xml:space="preserve"> average</w:t>
      </w:r>
      <w:r>
        <w:rPr>
          <w:rFonts w:ascii="Arial" w:hAnsi="Arial"/>
          <w:snapToGrid w:val="0"/>
          <w:sz w:val="22"/>
        </w:rPr>
        <w:t xml:space="preserve"> number of shares ou</w:t>
      </w:r>
      <w:r w:rsidR="00F72361">
        <w:rPr>
          <w:rFonts w:ascii="Arial" w:hAnsi="Arial"/>
          <w:snapToGrid w:val="0"/>
          <w:sz w:val="22"/>
        </w:rPr>
        <w:t>tstanding in 2014</w:t>
      </w:r>
      <w:r>
        <w:rPr>
          <w:rFonts w:ascii="Arial" w:hAnsi="Arial"/>
          <w:snapToGrid w:val="0"/>
          <w:sz w:val="22"/>
        </w:rPr>
        <w:t xml:space="preserve"> was 10,000</w:t>
      </w:r>
      <w:r w:rsidR="00C6471C">
        <w:rPr>
          <w:rFonts w:ascii="Arial" w:hAnsi="Arial"/>
          <w:snapToGrid w:val="0"/>
          <w:sz w:val="22"/>
        </w:rPr>
        <w:t xml:space="preserve">. </w:t>
      </w:r>
    </w:p>
    <w:p w:rsidR="00C6471C" w:rsidRDefault="00C6471C" w:rsidP="00483061">
      <w:pPr>
        <w:jc w:val="both"/>
        <w:rPr>
          <w:rFonts w:ascii="Arial" w:hAnsi="Arial"/>
          <w:snapToGrid w:val="0"/>
          <w:sz w:val="22"/>
        </w:rPr>
      </w:pPr>
    </w:p>
    <w:p w:rsidR="00483061" w:rsidRDefault="00F72361" w:rsidP="000A3413">
      <w:pPr>
        <w:tabs>
          <w:tab w:val="left" w:pos="360"/>
        </w:tabs>
        <w:spacing w:line="360" w:lineRule="auto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1.</w:t>
      </w:r>
      <w:r>
        <w:rPr>
          <w:rFonts w:ascii="Arial" w:hAnsi="Arial"/>
          <w:snapToGrid w:val="0"/>
          <w:sz w:val="22"/>
        </w:rPr>
        <w:tab/>
        <w:t>The current ratio for 2014</w:t>
      </w:r>
      <w:r w:rsidR="00483061">
        <w:rPr>
          <w:rFonts w:ascii="Arial" w:hAnsi="Arial"/>
          <w:snapToGrid w:val="0"/>
          <w:sz w:val="22"/>
        </w:rPr>
        <w:t xml:space="preserve"> is __________.</w:t>
      </w:r>
    </w:p>
    <w:p w:rsidR="00C6471C" w:rsidRDefault="00C6471C" w:rsidP="000A3413">
      <w:pPr>
        <w:tabs>
          <w:tab w:val="left" w:pos="360"/>
        </w:tabs>
        <w:spacing w:line="360" w:lineRule="auto"/>
        <w:rPr>
          <w:rFonts w:ascii="Arial" w:hAnsi="Arial"/>
          <w:snapToGrid w:val="0"/>
          <w:sz w:val="22"/>
        </w:rPr>
      </w:pPr>
    </w:p>
    <w:p w:rsidR="00483061" w:rsidRDefault="00483061" w:rsidP="000A3413">
      <w:pPr>
        <w:tabs>
          <w:tab w:val="left" w:pos="360"/>
        </w:tabs>
        <w:spacing w:line="360" w:lineRule="auto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2.</w:t>
      </w:r>
      <w:r>
        <w:rPr>
          <w:rFonts w:ascii="Arial" w:hAnsi="Arial"/>
          <w:snapToGrid w:val="0"/>
          <w:sz w:val="22"/>
        </w:rPr>
        <w:tab/>
        <w:t>The deb</w:t>
      </w:r>
      <w:r w:rsidR="00F72361">
        <w:rPr>
          <w:rFonts w:ascii="Arial" w:hAnsi="Arial"/>
          <w:snapToGrid w:val="0"/>
          <w:sz w:val="22"/>
        </w:rPr>
        <w:t>t to total assets ratio for 2014</w:t>
      </w:r>
      <w:r>
        <w:rPr>
          <w:rFonts w:ascii="Arial" w:hAnsi="Arial"/>
          <w:snapToGrid w:val="0"/>
          <w:sz w:val="22"/>
        </w:rPr>
        <w:t xml:space="preserve"> is __________.</w:t>
      </w:r>
    </w:p>
    <w:p w:rsidR="00C6471C" w:rsidRDefault="00C6471C" w:rsidP="000A3413">
      <w:pPr>
        <w:tabs>
          <w:tab w:val="left" w:pos="360"/>
        </w:tabs>
        <w:spacing w:line="360" w:lineRule="auto"/>
        <w:rPr>
          <w:rFonts w:ascii="Arial" w:hAnsi="Arial"/>
          <w:snapToGrid w:val="0"/>
          <w:sz w:val="22"/>
        </w:rPr>
      </w:pPr>
    </w:p>
    <w:p w:rsidR="00483061" w:rsidRDefault="00F72361" w:rsidP="000A3413">
      <w:pPr>
        <w:tabs>
          <w:tab w:val="left" w:pos="360"/>
        </w:tabs>
        <w:spacing w:line="360" w:lineRule="auto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3.</w:t>
      </w:r>
      <w:r>
        <w:rPr>
          <w:rFonts w:ascii="Arial" w:hAnsi="Arial"/>
          <w:snapToGrid w:val="0"/>
          <w:sz w:val="22"/>
        </w:rPr>
        <w:tab/>
        <w:t>The working capital for 2014</w:t>
      </w:r>
      <w:r w:rsidR="00483061">
        <w:rPr>
          <w:rFonts w:ascii="Arial" w:hAnsi="Arial"/>
          <w:snapToGrid w:val="0"/>
          <w:sz w:val="22"/>
        </w:rPr>
        <w:t xml:space="preserve"> is __________.</w:t>
      </w:r>
    </w:p>
    <w:p w:rsidR="00C6471C" w:rsidRDefault="00C6471C" w:rsidP="000A3413">
      <w:pPr>
        <w:tabs>
          <w:tab w:val="left" w:pos="360"/>
        </w:tabs>
        <w:spacing w:line="360" w:lineRule="auto"/>
        <w:rPr>
          <w:rFonts w:ascii="Arial" w:hAnsi="Arial"/>
          <w:snapToGrid w:val="0"/>
          <w:sz w:val="22"/>
        </w:rPr>
      </w:pPr>
    </w:p>
    <w:p w:rsidR="00483061" w:rsidRDefault="00483061" w:rsidP="000A3413">
      <w:pPr>
        <w:tabs>
          <w:tab w:val="left" w:pos="360"/>
        </w:tabs>
        <w:spacing w:line="360" w:lineRule="auto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4.</w:t>
      </w:r>
      <w:r w:rsidR="00F72361">
        <w:rPr>
          <w:rFonts w:ascii="Arial" w:hAnsi="Arial"/>
          <w:snapToGrid w:val="0"/>
          <w:sz w:val="22"/>
        </w:rPr>
        <w:tab/>
        <w:t>The earnings per share for 2014</w:t>
      </w:r>
      <w:r>
        <w:rPr>
          <w:rFonts w:ascii="Arial" w:hAnsi="Arial"/>
          <w:snapToGrid w:val="0"/>
          <w:sz w:val="22"/>
        </w:rPr>
        <w:t xml:space="preserve"> is __________.</w:t>
      </w:r>
    </w:p>
    <w:p w:rsidR="000A3413" w:rsidRDefault="000A3413" w:rsidP="00483061">
      <w:pPr>
        <w:widowControl w:val="0"/>
        <w:spacing w:before="120"/>
        <w:jc w:val="both"/>
        <w:rPr>
          <w:rFonts w:ascii="Arial" w:hAnsi="Arial"/>
          <w:sz w:val="22"/>
        </w:rPr>
      </w:pPr>
    </w:p>
    <w:p w:rsidR="000A3413" w:rsidRDefault="000A3413" w:rsidP="000A3413">
      <w:pPr>
        <w:rPr>
          <w:rFonts w:ascii="Arial" w:hAnsi="Arial"/>
          <w:sz w:val="22"/>
        </w:rPr>
      </w:pPr>
      <w:r w:rsidRPr="000A3413">
        <w:rPr>
          <w:rFonts w:ascii="Arial" w:hAnsi="Arial"/>
          <w:b/>
          <w:sz w:val="22"/>
        </w:rPr>
        <w:t>2)</w:t>
      </w:r>
      <w:r>
        <w:rPr>
          <w:rFonts w:ascii="Arial" w:hAnsi="Arial"/>
          <w:sz w:val="22"/>
        </w:rPr>
        <w:t xml:space="preserve"> Use the following information to calculate for </w:t>
      </w:r>
      <w:r w:rsidR="00F72361">
        <w:rPr>
          <w:rFonts w:ascii="Arial" w:hAnsi="Arial"/>
          <w:sz w:val="22"/>
        </w:rPr>
        <w:t>the year ended December 31, 2013</w:t>
      </w:r>
      <w:r>
        <w:rPr>
          <w:rFonts w:ascii="Arial" w:hAnsi="Arial"/>
          <w:sz w:val="22"/>
        </w:rPr>
        <w:t xml:space="preserve"> (a) net income (net loss), (b) ending retained earnings, and (c) total assets.</w:t>
      </w:r>
      <w:r w:rsidR="003D41BF">
        <w:rPr>
          <w:rFonts w:ascii="Arial" w:hAnsi="Arial"/>
          <w:sz w:val="22"/>
        </w:rPr>
        <w:t xml:space="preserve"> </w:t>
      </w:r>
    </w:p>
    <w:p w:rsidR="000A3413" w:rsidRDefault="000A3413" w:rsidP="000A3413">
      <w:pPr>
        <w:rPr>
          <w:rFonts w:ascii="Arial" w:hAnsi="Arial"/>
          <w:sz w:val="22"/>
        </w:rPr>
      </w:pPr>
    </w:p>
    <w:p w:rsidR="00A84B50" w:rsidRDefault="00A84B50" w:rsidP="00A84B50">
      <w:pPr>
        <w:tabs>
          <w:tab w:val="right" w:pos="3870"/>
          <w:tab w:val="left" w:pos="5040"/>
          <w:tab w:val="right" w:pos="873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Supplies</w:t>
      </w:r>
      <w:r>
        <w:rPr>
          <w:rFonts w:ascii="Arial" w:hAnsi="Arial"/>
          <w:sz w:val="22"/>
        </w:rPr>
        <w:tab/>
        <w:t>$    500</w:t>
      </w:r>
      <w:r>
        <w:rPr>
          <w:rFonts w:ascii="Arial" w:hAnsi="Arial"/>
          <w:sz w:val="22"/>
        </w:rPr>
        <w:tab/>
        <w:t>Revenues</w:t>
      </w:r>
      <w:r>
        <w:rPr>
          <w:rFonts w:ascii="Arial" w:hAnsi="Arial"/>
          <w:sz w:val="22"/>
        </w:rPr>
        <w:tab/>
        <w:t>$16,000</w:t>
      </w:r>
    </w:p>
    <w:p w:rsidR="00A84B50" w:rsidRDefault="00A84B50" w:rsidP="00A84B50">
      <w:pPr>
        <w:tabs>
          <w:tab w:val="right" w:pos="3870"/>
          <w:tab w:val="left" w:pos="5040"/>
          <w:tab w:val="right" w:pos="873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Operating expenses</w:t>
      </w:r>
      <w:r>
        <w:rPr>
          <w:rFonts w:ascii="Arial" w:hAnsi="Arial"/>
          <w:sz w:val="22"/>
        </w:rPr>
        <w:tab/>
        <w:t>10,000</w:t>
      </w:r>
      <w:r>
        <w:rPr>
          <w:rFonts w:ascii="Arial" w:hAnsi="Arial"/>
          <w:sz w:val="22"/>
        </w:rPr>
        <w:tab/>
        <w:t>Cash</w:t>
      </w:r>
      <w:r>
        <w:rPr>
          <w:rFonts w:ascii="Arial" w:hAnsi="Arial"/>
          <w:sz w:val="22"/>
        </w:rPr>
        <w:tab/>
        <w:t>15,000</w:t>
      </w:r>
    </w:p>
    <w:p w:rsidR="00A84B50" w:rsidRDefault="00A84B50" w:rsidP="00A84B50">
      <w:pPr>
        <w:tabs>
          <w:tab w:val="right" w:pos="3870"/>
          <w:tab w:val="left" w:pos="5040"/>
          <w:tab w:val="right" w:pos="873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Accounts payable</w:t>
      </w:r>
      <w:r>
        <w:rPr>
          <w:rFonts w:ascii="Arial" w:hAnsi="Arial"/>
          <w:sz w:val="22"/>
        </w:rPr>
        <w:tab/>
        <w:t xml:space="preserve"> 11,000</w:t>
      </w:r>
      <w:r>
        <w:rPr>
          <w:rFonts w:ascii="Arial" w:hAnsi="Arial"/>
          <w:sz w:val="22"/>
        </w:rPr>
        <w:tab/>
        <w:t>Dividends</w:t>
      </w:r>
      <w:r>
        <w:rPr>
          <w:rFonts w:ascii="Arial" w:hAnsi="Arial"/>
          <w:sz w:val="22"/>
        </w:rPr>
        <w:tab/>
        <w:t>6,000</w:t>
      </w:r>
    </w:p>
    <w:p w:rsidR="00A84B50" w:rsidRDefault="00A84B50" w:rsidP="00A84B50">
      <w:pPr>
        <w:tabs>
          <w:tab w:val="right" w:pos="3870"/>
          <w:tab w:val="left" w:pos="5040"/>
          <w:tab w:val="right" w:pos="873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Accounts receivable                      4,000                   Notes payable                             1,000</w:t>
      </w:r>
    </w:p>
    <w:p w:rsidR="00A84B50" w:rsidRDefault="00A84B50" w:rsidP="00A84B50">
      <w:pPr>
        <w:tabs>
          <w:tab w:val="right" w:pos="3870"/>
          <w:tab w:val="left" w:pos="5040"/>
          <w:tab w:val="right" w:pos="873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Common stock                      </w:t>
      </w:r>
      <w:r w:rsidR="007B12F3">
        <w:rPr>
          <w:rFonts w:ascii="Arial" w:hAnsi="Arial"/>
          <w:sz w:val="22"/>
        </w:rPr>
        <w:t xml:space="preserve">       10,000   </w:t>
      </w:r>
      <w:r w:rsidR="007E57B2">
        <w:rPr>
          <w:rFonts w:ascii="Arial" w:hAnsi="Arial"/>
          <w:sz w:val="22"/>
        </w:rPr>
        <w:t xml:space="preserve">               </w:t>
      </w:r>
      <w:r>
        <w:rPr>
          <w:rFonts w:ascii="Arial" w:hAnsi="Arial"/>
          <w:sz w:val="22"/>
        </w:rPr>
        <w:t>Equipment                                  7,500</w:t>
      </w:r>
    </w:p>
    <w:p w:rsidR="00A84B50" w:rsidRDefault="00A84B50" w:rsidP="00A84B50">
      <w:pPr>
        <w:tabs>
          <w:tab w:val="right" w:pos="3870"/>
          <w:tab w:val="left" w:pos="5040"/>
          <w:tab w:val="right" w:pos="873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Retained earnings (beginning)       5,000</w:t>
      </w:r>
    </w:p>
    <w:p w:rsidR="00A84B50" w:rsidRDefault="00A84B50" w:rsidP="00A84B50">
      <w:pPr>
        <w:pStyle w:val="BodyText"/>
        <w:tabs>
          <w:tab w:val="right" w:pos="3870"/>
          <w:tab w:val="left" w:pos="5040"/>
          <w:tab w:val="right" w:pos="8730"/>
        </w:tabs>
        <w:rPr>
          <w:rFonts w:ascii="Arial" w:hAnsi="Arial" w:cs="Arial"/>
          <w:sz w:val="22"/>
          <w:szCs w:val="22"/>
        </w:rPr>
      </w:pPr>
    </w:p>
    <w:p w:rsidR="00A84B50" w:rsidRDefault="00A84B50" w:rsidP="00A84B50">
      <w:pPr>
        <w:pStyle w:val="BodyText"/>
        <w:numPr>
          <w:ilvl w:val="0"/>
          <w:numId w:val="10"/>
        </w:numPr>
        <w:tabs>
          <w:tab w:val="right" w:pos="3870"/>
          <w:tab w:val="left" w:pos="5040"/>
          <w:tab w:val="right" w:pos="87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Net income (net loss)</w:t>
      </w:r>
    </w:p>
    <w:p w:rsidR="00A84B50" w:rsidRDefault="00A84B50" w:rsidP="00A84B50">
      <w:pPr>
        <w:pStyle w:val="BodyText"/>
        <w:tabs>
          <w:tab w:val="right" w:pos="3870"/>
          <w:tab w:val="left" w:pos="5040"/>
          <w:tab w:val="right" w:pos="8730"/>
        </w:tabs>
        <w:rPr>
          <w:rFonts w:ascii="Arial" w:hAnsi="Arial" w:cs="Arial"/>
          <w:sz w:val="22"/>
          <w:szCs w:val="22"/>
        </w:rPr>
      </w:pPr>
    </w:p>
    <w:p w:rsidR="00A84B50" w:rsidRDefault="00A84B50" w:rsidP="00A84B50">
      <w:pPr>
        <w:pStyle w:val="BodyText"/>
        <w:tabs>
          <w:tab w:val="right" w:pos="3870"/>
          <w:tab w:val="left" w:pos="5040"/>
          <w:tab w:val="right" w:pos="8730"/>
        </w:tabs>
        <w:rPr>
          <w:rFonts w:ascii="Arial" w:hAnsi="Arial" w:cs="Arial"/>
          <w:sz w:val="22"/>
          <w:szCs w:val="22"/>
        </w:rPr>
      </w:pPr>
    </w:p>
    <w:p w:rsidR="00A84B50" w:rsidRDefault="00A84B50" w:rsidP="00A84B50">
      <w:pPr>
        <w:pStyle w:val="BodyText"/>
        <w:numPr>
          <w:ilvl w:val="0"/>
          <w:numId w:val="10"/>
        </w:numPr>
        <w:tabs>
          <w:tab w:val="right" w:pos="3870"/>
          <w:tab w:val="left" w:pos="5040"/>
          <w:tab w:val="right" w:pos="87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Ending retained earnings</w:t>
      </w:r>
    </w:p>
    <w:p w:rsidR="00A84B50" w:rsidRDefault="00A84B50" w:rsidP="00A84B50">
      <w:pPr>
        <w:pStyle w:val="BodyText"/>
        <w:tabs>
          <w:tab w:val="right" w:pos="3870"/>
          <w:tab w:val="left" w:pos="5040"/>
          <w:tab w:val="right" w:pos="8730"/>
        </w:tabs>
        <w:rPr>
          <w:rFonts w:ascii="Arial" w:hAnsi="Arial" w:cs="Arial"/>
          <w:sz w:val="22"/>
          <w:szCs w:val="22"/>
        </w:rPr>
      </w:pPr>
    </w:p>
    <w:p w:rsidR="00A84B50" w:rsidRDefault="00A84B50" w:rsidP="00A84B50">
      <w:pPr>
        <w:pStyle w:val="BodyText"/>
        <w:tabs>
          <w:tab w:val="right" w:pos="3870"/>
          <w:tab w:val="left" w:pos="5040"/>
          <w:tab w:val="right" w:pos="8730"/>
        </w:tabs>
        <w:rPr>
          <w:rFonts w:ascii="Arial" w:hAnsi="Arial" w:cs="Arial"/>
          <w:sz w:val="22"/>
          <w:szCs w:val="22"/>
        </w:rPr>
      </w:pPr>
    </w:p>
    <w:p w:rsidR="00A84B50" w:rsidRDefault="00A84B50" w:rsidP="00A84B50">
      <w:pPr>
        <w:pStyle w:val="BodyText"/>
        <w:numPr>
          <w:ilvl w:val="0"/>
          <w:numId w:val="10"/>
        </w:numPr>
        <w:tabs>
          <w:tab w:val="right" w:pos="3870"/>
          <w:tab w:val="left" w:pos="5040"/>
          <w:tab w:val="right" w:pos="87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 assets</w:t>
      </w:r>
    </w:p>
    <w:p w:rsidR="00483061" w:rsidRDefault="00C6471C" w:rsidP="000A3413">
      <w:pPr>
        <w:widowControl w:val="0"/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  <w:r w:rsidR="003D41BF">
        <w:rPr>
          <w:rFonts w:ascii="Arial" w:hAnsi="Arial"/>
          <w:sz w:val="22"/>
        </w:rPr>
        <w:lastRenderedPageBreak/>
        <w:t xml:space="preserve">IV. Financial Statements </w:t>
      </w:r>
    </w:p>
    <w:p w:rsidR="00C6471C" w:rsidRDefault="00C6471C" w:rsidP="00483061">
      <w:pPr>
        <w:widowControl w:val="0"/>
        <w:spacing w:before="120"/>
        <w:jc w:val="both"/>
        <w:rPr>
          <w:rFonts w:ascii="Arial" w:hAnsi="Arial"/>
          <w:sz w:val="22"/>
        </w:rPr>
      </w:pPr>
    </w:p>
    <w:p w:rsidR="00C6471C" w:rsidRDefault="00C6471C" w:rsidP="00C6471C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Caltor Company gathered the following condensed data for </w:t>
      </w:r>
      <w:r w:rsidR="002F764F">
        <w:rPr>
          <w:rFonts w:ascii="Arial" w:hAnsi="Arial"/>
          <w:sz w:val="22"/>
        </w:rPr>
        <w:t>the year ended December 31, 2014</w:t>
      </w:r>
      <w:r>
        <w:rPr>
          <w:rFonts w:ascii="Arial" w:hAnsi="Arial"/>
          <w:sz w:val="22"/>
        </w:rPr>
        <w:t>:</w:t>
      </w:r>
    </w:p>
    <w:p w:rsidR="00C6471C" w:rsidRDefault="006D3D51" w:rsidP="00C6471C">
      <w:pPr>
        <w:tabs>
          <w:tab w:val="left" w:pos="1080"/>
          <w:tab w:val="right" w:pos="68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Cost of sales</w:t>
      </w:r>
      <w:r w:rsidR="00C6471C">
        <w:rPr>
          <w:rFonts w:ascii="Arial" w:hAnsi="Arial"/>
          <w:sz w:val="22"/>
        </w:rPr>
        <w:tab/>
        <w:t>$   710,000</w:t>
      </w:r>
    </w:p>
    <w:p w:rsidR="00C6471C" w:rsidRDefault="007E57B2" w:rsidP="00C6471C">
      <w:pPr>
        <w:tabs>
          <w:tab w:val="left" w:pos="1080"/>
          <w:tab w:val="right" w:pos="68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S</w:t>
      </w:r>
      <w:r w:rsidR="00C6471C">
        <w:rPr>
          <w:rFonts w:ascii="Arial" w:hAnsi="Arial"/>
          <w:sz w:val="22"/>
        </w:rPr>
        <w:t>ales</w:t>
      </w:r>
      <w:r w:rsidR="00C6471C">
        <w:rPr>
          <w:rFonts w:ascii="Arial" w:hAnsi="Arial"/>
          <w:sz w:val="22"/>
        </w:rPr>
        <w:tab/>
        <w:t>1,279,000</w:t>
      </w:r>
    </w:p>
    <w:p w:rsidR="00C6471C" w:rsidRDefault="00C6471C" w:rsidP="00C6471C">
      <w:pPr>
        <w:tabs>
          <w:tab w:val="left" w:pos="1080"/>
          <w:tab w:val="right" w:pos="68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Administrative expenses</w:t>
      </w:r>
      <w:r>
        <w:rPr>
          <w:rFonts w:ascii="Arial" w:hAnsi="Arial"/>
          <w:sz w:val="22"/>
        </w:rPr>
        <w:tab/>
        <w:t>239,000</w:t>
      </w:r>
    </w:p>
    <w:p w:rsidR="00C6471C" w:rsidRDefault="00C6471C" w:rsidP="00C6471C">
      <w:pPr>
        <w:tabs>
          <w:tab w:val="left" w:pos="1080"/>
          <w:tab w:val="right" w:pos="68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Interest expense</w:t>
      </w:r>
      <w:r w:rsidR="005D7FFA"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ab/>
        <w:t>68,000</w:t>
      </w:r>
    </w:p>
    <w:p w:rsidR="00C6471C" w:rsidRDefault="00C6471C" w:rsidP="00C6471C">
      <w:pPr>
        <w:tabs>
          <w:tab w:val="left" w:pos="1080"/>
          <w:tab w:val="right" w:pos="68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Dividends paid</w:t>
      </w:r>
      <w:r>
        <w:rPr>
          <w:rFonts w:ascii="Arial" w:hAnsi="Arial"/>
          <w:sz w:val="22"/>
        </w:rPr>
        <w:tab/>
        <w:t>38,000</w:t>
      </w:r>
    </w:p>
    <w:p w:rsidR="00C6471C" w:rsidRDefault="00C6471C" w:rsidP="00C6471C">
      <w:pPr>
        <w:tabs>
          <w:tab w:val="left" w:pos="1080"/>
          <w:tab w:val="right" w:pos="68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Selling expenses</w:t>
      </w:r>
      <w:r>
        <w:rPr>
          <w:rFonts w:ascii="Arial" w:hAnsi="Arial"/>
          <w:sz w:val="22"/>
        </w:rPr>
        <w:tab/>
        <w:t>45,000</w:t>
      </w:r>
    </w:p>
    <w:p w:rsidR="00C6471C" w:rsidRDefault="00C6471C" w:rsidP="00C6471C">
      <w:pPr>
        <w:tabs>
          <w:tab w:val="left" w:pos="1080"/>
          <w:tab w:val="right" w:pos="6840"/>
        </w:tabs>
        <w:rPr>
          <w:rFonts w:ascii="Arial" w:hAnsi="Arial"/>
          <w:sz w:val="22"/>
        </w:rPr>
      </w:pPr>
    </w:p>
    <w:p w:rsidR="00C6471C" w:rsidRPr="00C6471C" w:rsidRDefault="00C6471C" w:rsidP="00C6471C">
      <w:pPr>
        <w:pStyle w:val="Heading4"/>
        <w:spacing w:before="120"/>
        <w:rPr>
          <w:rFonts w:ascii="Arial" w:hAnsi="Arial" w:cs="Arial"/>
          <w:sz w:val="24"/>
          <w:szCs w:val="24"/>
        </w:rPr>
      </w:pPr>
      <w:r w:rsidRPr="00C6471C">
        <w:rPr>
          <w:rFonts w:ascii="Arial" w:hAnsi="Arial" w:cs="Arial"/>
          <w:sz w:val="24"/>
          <w:szCs w:val="24"/>
        </w:rPr>
        <w:t>Required:</w:t>
      </w:r>
    </w:p>
    <w:p w:rsidR="00C6471C" w:rsidRDefault="00C6471C" w:rsidP="00C6471C">
      <w:pPr>
        <w:tabs>
          <w:tab w:val="left" w:pos="360"/>
        </w:tabs>
        <w:spacing w:line="300" w:lineRule="atLeast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Prepare an income statement for </w:t>
      </w:r>
      <w:r w:rsidR="002F764F">
        <w:rPr>
          <w:rFonts w:ascii="Arial" w:hAnsi="Arial"/>
          <w:sz w:val="22"/>
        </w:rPr>
        <w:t>the year ended December 31, 2014</w:t>
      </w:r>
      <w:r>
        <w:rPr>
          <w:rFonts w:ascii="Arial" w:hAnsi="Arial"/>
          <w:sz w:val="22"/>
        </w:rPr>
        <w:t>.</w:t>
      </w:r>
    </w:p>
    <w:p w:rsidR="00C6471C" w:rsidRDefault="00C6471C" w:rsidP="00483061">
      <w:pPr>
        <w:widowControl w:val="0"/>
        <w:spacing w:before="120"/>
        <w:jc w:val="both"/>
        <w:rPr>
          <w:rFonts w:ascii="Arial" w:hAnsi="Arial"/>
          <w:sz w:val="22"/>
        </w:rPr>
      </w:pPr>
    </w:p>
    <w:p w:rsidR="001955AD" w:rsidRDefault="001955AD" w:rsidP="001955AD">
      <w:pPr>
        <w:jc w:val="center"/>
      </w:pPr>
      <w:r>
        <w:br w:type="page"/>
      </w:r>
      <w:r>
        <w:lastRenderedPageBreak/>
        <w:t>ACCT 2101</w:t>
      </w:r>
    </w:p>
    <w:p w:rsidR="001955AD" w:rsidRDefault="001955AD" w:rsidP="001955AD">
      <w:pPr>
        <w:jc w:val="center"/>
      </w:pPr>
      <w:r>
        <w:t>Key to sample exam</w:t>
      </w:r>
    </w:p>
    <w:p w:rsidR="001955AD" w:rsidRDefault="001955AD" w:rsidP="001955AD"/>
    <w:p w:rsidR="001955AD" w:rsidRDefault="001955AD" w:rsidP="001955AD">
      <w:pPr>
        <w:numPr>
          <w:ilvl w:val="0"/>
          <w:numId w:val="11"/>
        </w:numPr>
      </w:pPr>
      <w:r>
        <w:t>Multiple choice</w:t>
      </w:r>
    </w:p>
    <w:p w:rsidR="001955AD" w:rsidRDefault="001955AD" w:rsidP="001955AD"/>
    <w:p w:rsidR="001955AD" w:rsidRDefault="001955AD" w:rsidP="001955AD">
      <w:r>
        <w:t>1 C 2 A 3 B 4 B 5 B 6 A 7 B 8 C 9 D 10 B</w:t>
      </w:r>
    </w:p>
    <w:p w:rsidR="001955AD" w:rsidRDefault="001955AD" w:rsidP="001955AD"/>
    <w:p w:rsidR="001955AD" w:rsidRDefault="001955AD" w:rsidP="001955AD">
      <w:pPr>
        <w:numPr>
          <w:ilvl w:val="0"/>
          <w:numId w:val="11"/>
        </w:numPr>
      </w:pPr>
      <w:r>
        <w:t>Matching</w:t>
      </w:r>
    </w:p>
    <w:p w:rsidR="001955AD" w:rsidRDefault="001955AD" w:rsidP="001955AD"/>
    <w:p w:rsidR="001955AD" w:rsidRDefault="001955AD" w:rsidP="001955AD">
      <w:r>
        <w:t>1) 1 B 2 D 3 E</w:t>
      </w:r>
    </w:p>
    <w:p w:rsidR="001955AD" w:rsidRDefault="001955AD" w:rsidP="001955AD">
      <w:r>
        <w:t>2) 1 G 2 C 3 A 4 E 5 D 6 E 7 C 8 H 9 H 10 A 11 F 12 E 13 D 14 A 15 F 16 H 17 C 18 G</w:t>
      </w:r>
    </w:p>
    <w:p w:rsidR="001955AD" w:rsidRDefault="001955AD" w:rsidP="001955AD"/>
    <w:p w:rsidR="001955AD" w:rsidRDefault="001955AD" w:rsidP="001955AD">
      <w:pPr>
        <w:numPr>
          <w:ilvl w:val="0"/>
          <w:numId w:val="11"/>
        </w:numPr>
      </w:pPr>
      <w:r>
        <w:t>Ratio analysis</w:t>
      </w:r>
    </w:p>
    <w:p w:rsidR="001955AD" w:rsidRDefault="001955AD" w:rsidP="001955AD"/>
    <w:p w:rsidR="001955AD" w:rsidRDefault="001955AD" w:rsidP="001955AD">
      <w:r>
        <w:t xml:space="preserve">1) </w:t>
      </w:r>
    </w:p>
    <w:p w:rsidR="001955AD" w:rsidRDefault="001955AD" w:rsidP="001955AD">
      <w:r>
        <w:t>1. 525000 / 150000 = 3.5</w:t>
      </w:r>
    </w:p>
    <w:p w:rsidR="001955AD" w:rsidRDefault="001955AD" w:rsidP="001955AD">
      <w:r>
        <w:t>2. (150000+400000)/1375000 = 0.4</w:t>
      </w:r>
    </w:p>
    <w:p w:rsidR="001955AD" w:rsidRDefault="001955AD" w:rsidP="001955AD">
      <w:r>
        <w:t>3. 525000 – 150000 = 375000</w:t>
      </w:r>
    </w:p>
    <w:p w:rsidR="001955AD" w:rsidRDefault="001955AD" w:rsidP="001955AD">
      <w:r>
        <w:t>4. 150000/10000 = 15</w:t>
      </w:r>
    </w:p>
    <w:p w:rsidR="001955AD" w:rsidRDefault="001955AD" w:rsidP="001955AD"/>
    <w:p w:rsidR="001955AD" w:rsidRDefault="001955AD" w:rsidP="001955AD">
      <w:r>
        <w:t>2)</w:t>
      </w:r>
    </w:p>
    <w:p w:rsidR="001955AD" w:rsidRDefault="001955AD" w:rsidP="001955AD">
      <w:r>
        <w:t>a. 16000 – 10000 = 6000</w:t>
      </w:r>
    </w:p>
    <w:p w:rsidR="001955AD" w:rsidRDefault="001955AD" w:rsidP="001955AD">
      <w:r>
        <w:t>b. 5000 + 6000 – 6000 = 5000</w:t>
      </w:r>
    </w:p>
    <w:p w:rsidR="001955AD" w:rsidRDefault="001955AD" w:rsidP="001955AD">
      <w:r>
        <w:t>c. 500 + 4000 + 15000 + 7500 = 27000</w:t>
      </w:r>
    </w:p>
    <w:p w:rsidR="001955AD" w:rsidRDefault="001955AD" w:rsidP="001955AD"/>
    <w:p w:rsidR="001955AD" w:rsidRDefault="001955AD" w:rsidP="001955AD">
      <w:pPr>
        <w:numPr>
          <w:ilvl w:val="0"/>
          <w:numId w:val="11"/>
        </w:numPr>
      </w:pPr>
      <w:r>
        <w:t>Financial statements</w:t>
      </w:r>
    </w:p>
    <w:p w:rsidR="001955AD" w:rsidRDefault="001955AD" w:rsidP="001955AD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1955AD" w:rsidTr="006552B3">
        <w:tc>
          <w:tcPr>
            <w:tcW w:w="8856" w:type="dxa"/>
            <w:gridSpan w:val="3"/>
            <w:shd w:val="clear" w:color="auto" w:fill="auto"/>
          </w:tcPr>
          <w:p w:rsidR="001955AD" w:rsidRPr="008A52B8" w:rsidRDefault="001955AD" w:rsidP="006552B3">
            <w:pPr>
              <w:jc w:val="center"/>
              <w:rPr>
                <w:b/>
              </w:rPr>
            </w:pPr>
            <w:r w:rsidRPr="008A52B8">
              <w:rPr>
                <w:b/>
              </w:rPr>
              <w:t>Caltor Company</w:t>
            </w:r>
          </w:p>
          <w:p w:rsidR="001955AD" w:rsidRPr="008A52B8" w:rsidRDefault="001955AD" w:rsidP="006552B3">
            <w:pPr>
              <w:jc w:val="center"/>
              <w:rPr>
                <w:b/>
              </w:rPr>
            </w:pPr>
            <w:r w:rsidRPr="008A52B8">
              <w:rPr>
                <w:b/>
              </w:rPr>
              <w:t>Income Statement</w:t>
            </w:r>
          </w:p>
          <w:p w:rsidR="001955AD" w:rsidRPr="008A52B8" w:rsidRDefault="001955AD" w:rsidP="006552B3">
            <w:pPr>
              <w:jc w:val="center"/>
              <w:rPr>
                <w:b/>
              </w:rPr>
            </w:pPr>
            <w:r>
              <w:rPr>
                <w:b/>
              </w:rPr>
              <w:t>For the year ended Dec. 31, 2014</w:t>
            </w:r>
          </w:p>
          <w:p w:rsidR="001955AD" w:rsidRDefault="001955AD" w:rsidP="006552B3">
            <w:pPr>
              <w:jc w:val="center"/>
            </w:pPr>
          </w:p>
        </w:tc>
      </w:tr>
      <w:tr w:rsidR="001955AD" w:rsidTr="006552B3">
        <w:tc>
          <w:tcPr>
            <w:tcW w:w="2952" w:type="dxa"/>
            <w:shd w:val="clear" w:color="auto" w:fill="auto"/>
          </w:tcPr>
          <w:p w:rsidR="001955AD" w:rsidRPr="008A52B8" w:rsidRDefault="001955AD" w:rsidP="006552B3">
            <w:pPr>
              <w:rPr>
                <w:b/>
                <w:u w:val="single"/>
              </w:rPr>
            </w:pPr>
            <w:r w:rsidRPr="008A52B8">
              <w:rPr>
                <w:b/>
                <w:u w:val="single"/>
              </w:rPr>
              <w:t xml:space="preserve">Revenues </w:t>
            </w:r>
          </w:p>
          <w:p w:rsidR="001955AD" w:rsidRDefault="001955AD" w:rsidP="006552B3">
            <w:r>
              <w:t>Sales</w:t>
            </w:r>
          </w:p>
        </w:tc>
        <w:tc>
          <w:tcPr>
            <w:tcW w:w="2952" w:type="dxa"/>
            <w:shd w:val="clear" w:color="auto" w:fill="auto"/>
          </w:tcPr>
          <w:p w:rsidR="001955AD" w:rsidRDefault="001955AD" w:rsidP="006552B3">
            <w:pPr>
              <w:jc w:val="center"/>
            </w:pPr>
          </w:p>
        </w:tc>
        <w:tc>
          <w:tcPr>
            <w:tcW w:w="2952" w:type="dxa"/>
            <w:shd w:val="clear" w:color="auto" w:fill="auto"/>
          </w:tcPr>
          <w:p w:rsidR="001955AD" w:rsidRDefault="001955AD" w:rsidP="006552B3">
            <w:pPr>
              <w:jc w:val="center"/>
            </w:pPr>
          </w:p>
          <w:p w:rsidR="001955AD" w:rsidRDefault="001955AD" w:rsidP="006552B3">
            <w:pPr>
              <w:jc w:val="center"/>
            </w:pPr>
            <w:r>
              <w:t>$ 1279000</w:t>
            </w:r>
          </w:p>
        </w:tc>
      </w:tr>
      <w:tr w:rsidR="001955AD" w:rsidTr="006552B3">
        <w:tc>
          <w:tcPr>
            <w:tcW w:w="2952" w:type="dxa"/>
            <w:shd w:val="clear" w:color="auto" w:fill="auto"/>
          </w:tcPr>
          <w:p w:rsidR="001955AD" w:rsidRDefault="001955AD" w:rsidP="006552B3"/>
        </w:tc>
        <w:tc>
          <w:tcPr>
            <w:tcW w:w="2952" w:type="dxa"/>
            <w:shd w:val="clear" w:color="auto" w:fill="auto"/>
          </w:tcPr>
          <w:p w:rsidR="001955AD" w:rsidRDefault="001955AD" w:rsidP="006552B3">
            <w:pPr>
              <w:jc w:val="center"/>
            </w:pPr>
          </w:p>
        </w:tc>
        <w:tc>
          <w:tcPr>
            <w:tcW w:w="2952" w:type="dxa"/>
            <w:shd w:val="clear" w:color="auto" w:fill="auto"/>
          </w:tcPr>
          <w:p w:rsidR="001955AD" w:rsidRDefault="001955AD" w:rsidP="006552B3">
            <w:pPr>
              <w:jc w:val="center"/>
            </w:pPr>
          </w:p>
        </w:tc>
      </w:tr>
      <w:tr w:rsidR="001955AD" w:rsidTr="006552B3">
        <w:tc>
          <w:tcPr>
            <w:tcW w:w="2952" w:type="dxa"/>
            <w:shd w:val="clear" w:color="auto" w:fill="auto"/>
          </w:tcPr>
          <w:p w:rsidR="001955AD" w:rsidRPr="008A52B8" w:rsidRDefault="001955AD" w:rsidP="006552B3">
            <w:pPr>
              <w:rPr>
                <w:b/>
                <w:u w:val="single"/>
              </w:rPr>
            </w:pPr>
            <w:r w:rsidRPr="008A52B8">
              <w:rPr>
                <w:b/>
                <w:u w:val="single"/>
              </w:rPr>
              <w:t xml:space="preserve">Expenses </w:t>
            </w:r>
          </w:p>
        </w:tc>
        <w:tc>
          <w:tcPr>
            <w:tcW w:w="2952" w:type="dxa"/>
            <w:shd w:val="clear" w:color="auto" w:fill="auto"/>
          </w:tcPr>
          <w:p w:rsidR="001955AD" w:rsidRDefault="001955AD" w:rsidP="006552B3">
            <w:pPr>
              <w:jc w:val="center"/>
            </w:pPr>
          </w:p>
        </w:tc>
        <w:tc>
          <w:tcPr>
            <w:tcW w:w="2952" w:type="dxa"/>
            <w:shd w:val="clear" w:color="auto" w:fill="auto"/>
          </w:tcPr>
          <w:p w:rsidR="001955AD" w:rsidRDefault="001955AD" w:rsidP="006552B3">
            <w:pPr>
              <w:jc w:val="center"/>
            </w:pPr>
          </w:p>
        </w:tc>
      </w:tr>
      <w:tr w:rsidR="001955AD" w:rsidTr="006552B3">
        <w:tc>
          <w:tcPr>
            <w:tcW w:w="2952" w:type="dxa"/>
            <w:shd w:val="clear" w:color="auto" w:fill="auto"/>
          </w:tcPr>
          <w:p w:rsidR="001955AD" w:rsidRDefault="001955AD" w:rsidP="006552B3">
            <w:r>
              <w:t>Cost of sales</w:t>
            </w:r>
          </w:p>
        </w:tc>
        <w:tc>
          <w:tcPr>
            <w:tcW w:w="2952" w:type="dxa"/>
            <w:shd w:val="clear" w:color="auto" w:fill="auto"/>
          </w:tcPr>
          <w:p w:rsidR="001955AD" w:rsidRDefault="001955AD" w:rsidP="006552B3">
            <w:pPr>
              <w:jc w:val="center"/>
            </w:pPr>
            <w:r>
              <w:t>$ 710000</w:t>
            </w:r>
          </w:p>
        </w:tc>
        <w:tc>
          <w:tcPr>
            <w:tcW w:w="2952" w:type="dxa"/>
            <w:shd w:val="clear" w:color="auto" w:fill="auto"/>
          </w:tcPr>
          <w:p w:rsidR="001955AD" w:rsidRDefault="001955AD" w:rsidP="006552B3">
            <w:pPr>
              <w:jc w:val="center"/>
            </w:pPr>
          </w:p>
        </w:tc>
      </w:tr>
      <w:tr w:rsidR="001955AD" w:rsidTr="006552B3">
        <w:tc>
          <w:tcPr>
            <w:tcW w:w="2952" w:type="dxa"/>
            <w:shd w:val="clear" w:color="auto" w:fill="auto"/>
          </w:tcPr>
          <w:p w:rsidR="001955AD" w:rsidRDefault="001955AD" w:rsidP="006552B3">
            <w:r>
              <w:t>Administrative expenses</w:t>
            </w:r>
          </w:p>
        </w:tc>
        <w:tc>
          <w:tcPr>
            <w:tcW w:w="2952" w:type="dxa"/>
            <w:shd w:val="clear" w:color="auto" w:fill="auto"/>
          </w:tcPr>
          <w:p w:rsidR="001955AD" w:rsidRDefault="001955AD" w:rsidP="006552B3">
            <w:pPr>
              <w:jc w:val="center"/>
            </w:pPr>
            <w:r>
              <w:t>239000</w:t>
            </w:r>
          </w:p>
        </w:tc>
        <w:tc>
          <w:tcPr>
            <w:tcW w:w="2952" w:type="dxa"/>
            <w:shd w:val="clear" w:color="auto" w:fill="auto"/>
          </w:tcPr>
          <w:p w:rsidR="001955AD" w:rsidRDefault="001955AD" w:rsidP="006552B3">
            <w:pPr>
              <w:jc w:val="center"/>
            </w:pPr>
          </w:p>
        </w:tc>
      </w:tr>
      <w:tr w:rsidR="001955AD" w:rsidTr="006552B3">
        <w:tc>
          <w:tcPr>
            <w:tcW w:w="2952" w:type="dxa"/>
            <w:shd w:val="clear" w:color="auto" w:fill="auto"/>
          </w:tcPr>
          <w:p w:rsidR="001955AD" w:rsidRDefault="001955AD" w:rsidP="006552B3">
            <w:r>
              <w:t>Interest expenses</w:t>
            </w:r>
          </w:p>
        </w:tc>
        <w:tc>
          <w:tcPr>
            <w:tcW w:w="2952" w:type="dxa"/>
            <w:shd w:val="clear" w:color="auto" w:fill="auto"/>
          </w:tcPr>
          <w:p w:rsidR="001955AD" w:rsidRDefault="001955AD" w:rsidP="006552B3">
            <w:pPr>
              <w:jc w:val="center"/>
            </w:pPr>
            <w:r>
              <w:t>68000</w:t>
            </w:r>
          </w:p>
        </w:tc>
        <w:tc>
          <w:tcPr>
            <w:tcW w:w="2952" w:type="dxa"/>
            <w:shd w:val="clear" w:color="auto" w:fill="auto"/>
          </w:tcPr>
          <w:p w:rsidR="001955AD" w:rsidRDefault="001955AD" w:rsidP="006552B3">
            <w:pPr>
              <w:jc w:val="center"/>
            </w:pPr>
          </w:p>
        </w:tc>
      </w:tr>
      <w:tr w:rsidR="001955AD" w:rsidTr="006552B3">
        <w:tc>
          <w:tcPr>
            <w:tcW w:w="2952" w:type="dxa"/>
            <w:shd w:val="clear" w:color="auto" w:fill="auto"/>
          </w:tcPr>
          <w:p w:rsidR="001955AD" w:rsidRDefault="001955AD" w:rsidP="006552B3">
            <w:r>
              <w:t>Selling expenses</w:t>
            </w:r>
          </w:p>
        </w:tc>
        <w:tc>
          <w:tcPr>
            <w:tcW w:w="2952" w:type="dxa"/>
            <w:shd w:val="clear" w:color="auto" w:fill="auto"/>
          </w:tcPr>
          <w:p w:rsidR="001955AD" w:rsidRPr="008A52B8" w:rsidRDefault="001955AD" w:rsidP="006552B3">
            <w:pPr>
              <w:jc w:val="center"/>
              <w:rPr>
                <w:u w:val="single"/>
              </w:rPr>
            </w:pPr>
            <w:r w:rsidRPr="008A52B8">
              <w:rPr>
                <w:u w:val="single"/>
              </w:rPr>
              <w:t>45000</w:t>
            </w:r>
          </w:p>
        </w:tc>
        <w:tc>
          <w:tcPr>
            <w:tcW w:w="2952" w:type="dxa"/>
            <w:shd w:val="clear" w:color="auto" w:fill="auto"/>
          </w:tcPr>
          <w:p w:rsidR="001955AD" w:rsidRPr="008A52B8" w:rsidRDefault="001955AD" w:rsidP="006552B3">
            <w:pPr>
              <w:jc w:val="center"/>
              <w:rPr>
                <w:u w:val="single"/>
              </w:rPr>
            </w:pPr>
            <w:r w:rsidRPr="008A52B8">
              <w:rPr>
                <w:u w:val="single"/>
              </w:rPr>
              <w:t>1062000</w:t>
            </w:r>
          </w:p>
        </w:tc>
      </w:tr>
      <w:tr w:rsidR="001955AD" w:rsidTr="006552B3">
        <w:tc>
          <w:tcPr>
            <w:tcW w:w="2952" w:type="dxa"/>
            <w:shd w:val="clear" w:color="auto" w:fill="auto"/>
          </w:tcPr>
          <w:p w:rsidR="001955AD" w:rsidRDefault="001955AD" w:rsidP="006552B3"/>
        </w:tc>
        <w:tc>
          <w:tcPr>
            <w:tcW w:w="2952" w:type="dxa"/>
            <w:shd w:val="clear" w:color="auto" w:fill="auto"/>
          </w:tcPr>
          <w:p w:rsidR="001955AD" w:rsidRDefault="001955AD" w:rsidP="006552B3">
            <w:pPr>
              <w:jc w:val="center"/>
            </w:pPr>
          </w:p>
        </w:tc>
        <w:tc>
          <w:tcPr>
            <w:tcW w:w="2952" w:type="dxa"/>
            <w:shd w:val="clear" w:color="auto" w:fill="auto"/>
          </w:tcPr>
          <w:p w:rsidR="001955AD" w:rsidRDefault="001955AD" w:rsidP="006552B3">
            <w:pPr>
              <w:jc w:val="center"/>
            </w:pPr>
          </w:p>
        </w:tc>
      </w:tr>
      <w:tr w:rsidR="001955AD" w:rsidTr="006552B3">
        <w:tc>
          <w:tcPr>
            <w:tcW w:w="2952" w:type="dxa"/>
            <w:shd w:val="clear" w:color="auto" w:fill="auto"/>
          </w:tcPr>
          <w:p w:rsidR="001955AD" w:rsidRPr="008A52B8" w:rsidRDefault="001955AD" w:rsidP="006552B3">
            <w:pPr>
              <w:rPr>
                <w:b/>
              </w:rPr>
            </w:pPr>
            <w:r w:rsidRPr="008A52B8">
              <w:rPr>
                <w:b/>
              </w:rPr>
              <w:t>Net income</w:t>
            </w:r>
          </w:p>
        </w:tc>
        <w:tc>
          <w:tcPr>
            <w:tcW w:w="2952" w:type="dxa"/>
            <w:shd w:val="clear" w:color="auto" w:fill="auto"/>
          </w:tcPr>
          <w:p w:rsidR="001955AD" w:rsidRDefault="001955AD" w:rsidP="006552B3">
            <w:pPr>
              <w:jc w:val="center"/>
            </w:pPr>
          </w:p>
        </w:tc>
        <w:tc>
          <w:tcPr>
            <w:tcW w:w="2952" w:type="dxa"/>
            <w:shd w:val="clear" w:color="auto" w:fill="auto"/>
          </w:tcPr>
          <w:p w:rsidR="001955AD" w:rsidRPr="008A52B8" w:rsidRDefault="001955AD" w:rsidP="006552B3">
            <w:pPr>
              <w:jc w:val="center"/>
              <w:rPr>
                <w:u w:val="double"/>
              </w:rPr>
            </w:pPr>
            <w:r w:rsidRPr="008A52B8">
              <w:rPr>
                <w:u w:val="double"/>
              </w:rPr>
              <w:t>217000</w:t>
            </w:r>
          </w:p>
        </w:tc>
      </w:tr>
    </w:tbl>
    <w:p w:rsidR="001955AD" w:rsidRDefault="001955AD" w:rsidP="001955AD">
      <w:pPr>
        <w:jc w:val="center"/>
      </w:pPr>
    </w:p>
    <w:p w:rsidR="00E956DE" w:rsidRDefault="00E956DE">
      <w:bookmarkStart w:id="0" w:name="_GoBack"/>
      <w:bookmarkEnd w:id="0"/>
    </w:p>
    <w:sectPr w:rsidR="00E956DE" w:rsidSect="00483061">
      <w:footerReference w:type="even" r:id="rId7"/>
      <w:footerReference w:type="default" r:id="rId8"/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FA3" w:rsidRDefault="007C0FA3">
      <w:r>
        <w:separator/>
      </w:r>
    </w:p>
  </w:endnote>
  <w:endnote w:type="continuationSeparator" w:id="0">
    <w:p w:rsidR="007C0FA3" w:rsidRDefault="007C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E36" w:rsidRDefault="00670E36" w:rsidP="007A33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0E36" w:rsidRDefault="00670E36" w:rsidP="00EE6F6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E36" w:rsidRDefault="00670E36" w:rsidP="007A33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55AD">
      <w:rPr>
        <w:rStyle w:val="PageNumber"/>
        <w:noProof/>
      </w:rPr>
      <w:t>1</w:t>
    </w:r>
    <w:r>
      <w:rPr>
        <w:rStyle w:val="PageNumber"/>
      </w:rPr>
      <w:fldChar w:fldCharType="end"/>
    </w:r>
  </w:p>
  <w:p w:rsidR="00670E36" w:rsidRDefault="00670E36" w:rsidP="00EE6F6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FA3" w:rsidRDefault="007C0FA3">
      <w:r>
        <w:separator/>
      </w:r>
    </w:p>
  </w:footnote>
  <w:footnote w:type="continuationSeparator" w:id="0">
    <w:p w:rsidR="007C0FA3" w:rsidRDefault="007C0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019E"/>
    <w:multiLevelType w:val="singleLevel"/>
    <w:tmpl w:val="53AAF556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1" w15:restartNumberingAfterBreak="0">
    <w:nsid w:val="19517813"/>
    <w:multiLevelType w:val="singleLevel"/>
    <w:tmpl w:val="57F4C25C"/>
    <w:lvl w:ilvl="0">
      <w:start w:val="4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2" w15:restartNumberingAfterBreak="0">
    <w:nsid w:val="29BF32D4"/>
    <w:multiLevelType w:val="hybridMultilevel"/>
    <w:tmpl w:val="8190DB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E35333"/>
    <w:multiLevelType w:val="singleLevel"/>
    <w:tmpl w:val="53AAF556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4" w15:restartNumberingAfterBreak="0">
    <w:nsid w:val="412149F8"/>
    <w:multiLevelType w:val="singleLevel"/>
    <w:tmpl w:val="CABAC2A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176662A"/>
    <w:multiLevelType w:val="singleLevel"/>
    <w:tmpl w:val="3C6EC618"/>
    <w:lvl w:ilvl="0">
      <w:start w:val="4"/>
      <w:numFmt w:val="lowerLetter"/>
      <w:lvlText w:val="(%1)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6" w15:restartNumberingAfterBreak="0">
    <w:nsid w:val="6D2439EC"/>
    <w:multiLevelType w:val="hybridMultilevel"/>
    <w:tmpl w:val="2CCE2E0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D7B64A5"/>
    <w:multiLevelType w:val="hybridMultilevel"/>
    <w:tmpl w:val="3ACE72D4"/>
    <w:lvl w:ilvl="0" w:tplc="83A0EF4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144BB9"/>
    <w:multiLevelType w:val="singleLevel"/>
    <w:tmpl w:val="57F4C25C"/>
    <w:lvl w:ilvl="0">
      <w:start w:val="4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9" w15:restartNumberingAfterBreak="0">
    <w:nsid w:val="77277567"/>
    <w:multiLevelType w:val="singleLevel"/>
    <w:tmpl w:val="83BADAF0"/>
    <w:lvl w:ilvl="0">
      <w:start w:val="3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8797D27"/>
    <w:multiLevelType w:val="hybridMultilevel"/>
    <w:tmpl w:val="2FCABECC"/>
    <w:lvl w:ilvl="0" w:tplc="0B6460B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B9"/>
    <w:rsid w:val="000030F5"/>
    <w:rsid w:val="0007454F"/>
    <w:rsid w:val="000A3413"/>
    <w:rsid w:val="000B61EA"/>
    <w:rsid w:val="001955AD"/>
    <w:rsid w:val="001D163E"/>
    <w:rsid w:val="00204AD0"/>
    <w:rsid w:val="002328B9"/>
    <w:rsid w:val="002F764F"/>
    <w:rsid w:val="003B725B"/>
    <w:rsid w:val="003D41BF"/>
    <w:rsid w:val="00457B63"/>
    <w:rsid w:val="00483061"/>
    <w:rsid w:val="004B242B"/>
    <w:rsid w:val="0050338B"/>
    <w:rsid w:val="00541699"/>
    <w:rsid w:val="00583948"/>
    <w:rsid w:val="00592C67"/>
    <w:rsid w:val="005976FA"/>
    <w:rsid w:val="005D7FFA"/>
    <w:rsid w:val="005E3B14"/>
    <w:rsid w:val="005E3E07"/>
    <w:rsid w:val="00635739"/>
    <w:rsid w:val="00665920"/>
    <w:rsid w:val="00670E36"/>
    <w:rsid w:val="006D3D51"/>
    <w:rsid w:val="006E574C"/>
    <w:rsid w:val="0073541A"/>
    <w:rsid w:val="00737202"/>
    <w:rsid w:val="0076114B"/>
    <w:rsid w:val="0078295F"/>
    <w:rsid w:val="007A33A6"/>
    <w:rsid w:val="007B12F3"/>
    <w:rsid w:val="007C0FA3"/>
    <w:rsid w:val="007E3BC7"/>
    <w:rsid w:val="007E57B2"/>
    <w:rsid w:val="008134CC"/>
    <w:rsid w:val="008642F5"/>
    <w:rsid w:val="00951AC8"/>
    <w:rsid w:val="009F7836"/>
    <w:rsid w:val="00A1512C"/>
    <w:rsid w:val="00A84B50"/>
    <w:rsid w:val="00AE0EB7"/>
    <w:rsid w:val="00B27531"/>
    <w:rsid w:val="00BD75C8"/>
    <w:rsid w:val="00C0090E"/>
    <w:rsid w:val="00C6471C"/>
    <w:rsid w:val="00CB7647"/>
    <w:rsid w:val="00CE4C4D"/>
    <w:rsid w:val="00D42DB9"/>
    <w:rsid w:val="00D65F63"/>
    <w:rsid w:val="00D832D5"/>
    <w:rsid w:val="00E313DB"/>
    <w:rsid w:val="00E367B2"/>
    <w:rsid w:val="00E956DE"/>
    <w:rsid w:val="00ED4207"/>
    <w:rsid w:val="00EE6F6B"/>
    <w:rsid w:val="00F451DC"/>
    <w:rsid w:val="00F72361"/>
    <w:rsid w:val="00FC7B08"/>
    <w:rsid w:val="00FD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F4735-B3A2-4517-9396-67F31C05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E6F6B"/>
    <w:pPr>
      <w:keepNext/>
      <w:jc w:val="center"/>
      <w:outlineLvl w:val="0"/>
    </w:pPr>
    <w:rPr>
      <w:b/>
      <w:bCs/>
    </w:rPr>
  </w:style>
  <w:style w:type="paragraph" w:styleId="Heading4">
    <w:name w:val="heading 4"/>
    <w:basedOn w:val="Normal"/>
    <w:next w:val="Normal"/>
    <w:qFormat/>
    <w:rsid w:val="00C6471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rsid w:val="00737202"/>
    <w:pPr>
      <w:widowControl w:val="0"/>
      <w:tabs>
        <w:tab w:val="decimal" w:pos="360"/>
        <w:tab w:val="left" w:pos="720"/>
        <w:tab w:val="decimal" w:pos="2340"/>
        <w:tab w:val="left" w:pos="2790"/>
        <w:tab w:val="decimal" w:pos="4320"/>
        <w:tab w:val="left" w:pos="4770"/>
        <w:tab w:val="left" w:pos="7200"/>
      </w:tabs>
      <w:jc w:val="both"/>
    </w:pPr>
    <w:rPr>
      <w:rFonts w:ascii="Arial" w:hAnsi="Arial"/>
      <w:sz w:val="22"/>
      <w:szCs w:val="20"/>
    </w:rPr>
  </w:style>
  <w:style w:type="paragraph" w:styleId="Footer">
    <w:name w:val="footer"/>
    <w:basedOn w:val="Normal"/>
    <w:rsid w:val="00EE6F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6F6B"/>
  </w:style>
  <w:style w:type="paragraph" w:styleId="BodyTextIndent">
    <w:name w:val="Body Text Indent"/>
    <w:basedOn w:val="Normal"/>
    <w:rsid w:val="00483061"/>
    <w:pPr>
      <w:spacing w:after="120"/>
      <w:ind w:left="360"/>
    </w:pPr>
  </w:style>
  <w:style w:type="paragraph" w:styleId="BodyTextIndent3">
    <w:name w:val="Body Text Indent 3"/>
    <w:basedOn w:val="Normal"/>
    <w:rsid w:val="00541699"/>
    <w:pPr>
      <w:spacing w:after="120"/>
      <w:ind w:left="360"/>
    </w:pPr>
    <w:rPr>
      <w:sz w:val="16"/>
      <w:szCs w:val="16"/>
    </w:rPr>
  </w:style>
  <w:style w:type="paragraph" w:styleId="BodyText">
    <w:name w:val="Body Text"/>
    <w:basedOn w:val="Normal"/>
    <w:rsid w:val="000A3413"/>
    <w:pPr>
      <w:spacing w:after="120"/>
    </w:pPr>
  </w:style>
  <w:style w:type="paragraph" w:styleId="BalloonText">
    <w:name w:val="Balloon Text"/>
    <w:basedOn w:val="Normal"/>
    <w:link w:val="BalloonTextChar"/>
    <w:rsid w:val="006357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35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6630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akad</dc:creator>
  <cp:keywords/>
  <dc:description/>
  <cp:lastModifiedBy>koutrec@gmail.com</cp:lastModifiedBy>
  <cp:revision>2</cp:revision>
  <cp:lastPrinted>2015-01-16T21:04:00Z</cp:lastPrinted>
  <dcterms:created xsi:type="dcterms:W3CDTF">2016-02-16T18:57:00Z</dcterms:created>
  <dcterms:modified xsi:type="dcterms:W3CDTF">2016-02-16T18:57:00Z</dcterms:modified>
</cp:coreProperties>
</file>