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创金合信聚利债券型证券投资基金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2759"/>
      <w:r>
        <w:rPr>
          <w:rFonts w:hint="eastAsia" w:hAnsi="Calibri"/>
          <w:b/>
          <w:color w:val="000000"/>
        </w:rPr>
        <w:t>§1  重要提示及目录</w:t>
      </w:r>
      <w:bookmarkEnd w:id="0"/>
      <w:r>
        <w:rPr>
          <w:rFonts w:hint="eastAsia"/>
        </w:rPr>
        <w:t xml:space="preserve"> </w:t>
      </w:r>
    </w:p>
    <w:p>
      <w:pPr>
        <w:pStyle w:val="14"/>
        <w:rPr>
          <w:rFonts w:hint="eastAsia"/>
        </w:rPr>
      </w:pPr>
      <w:bookmarkStart w:id="1" w:name="_Toc417276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2761"/>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"_Toc4172759"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_Toc4172759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_Toc4172760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_Toc4172761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"_Toc4172762"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_Toc4172762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_Toc4172763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_Toc4172764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_Toc4172765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_Toc4172766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_Toc4172767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"_Toc4172768"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_Toc4172768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"_Toc4172769"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_Toc4172769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_Toc4172770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_Toc4172771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"_Toc4172772"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_Toc4172772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_Toc4172773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"_Toc4172774"</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_Toc4172774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"_Toc4172775"</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_Toc4172775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"_Toc4172776"</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_Toc4172776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"_Toc4172777"</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_Toc4172777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"_Toc4172778"</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_Toc4172778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"_Toc4172779"</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_Toc4172779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_Toc4172780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_Toc4172781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"_Toc4172782"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_Toc4172782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_Toc4172783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_Toc4172784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_Toc4172785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"_Toc4172786"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_Toc4172786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_Toc4172787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"_Toc4172788"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_Toc4172788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"_Toc4172789"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_Toc4172789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_Toc4172790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_Toc4172791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_Toc4172792 \h </w:instrText>
      </w:r>
      <w:r>
        <w:rPr>
          <w:lang/>
        </w:rPr>
        <w:fldChar w:fldCharType="separate"/>
      </w:r>
      <w:r>
        <w:rPr>
          <w:lang/>
        </w:rPr>
        <w:t>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_Toc4172793 \h </w:instrText>
      </w:r>
      <w:r>
        <w:rPr>
          <w:lang/>
        </w:rPr>
        <w:fldChar w:fldCharType="separate"/>
      </w:r>
      <w:r>
        <w:rPr>
          <w:lang/>
        </w:rPr>
        <w:t>26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"_Toc4172794"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_Toc4172794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_Toc4172795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_Toc4172796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_Toc4172797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_Toc4172798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"_Toc4172799"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_Toc4172799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_Toc4172800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_Toc4172801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_Toc4172802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_Toc4172803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_Toc4172804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_Toc4172805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_Toc4172806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"_Toc4172807"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_Toc4172807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_Toc4172808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"_Toc4172809"</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_Toc4172809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"_Toc4172810"</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_Toc4172810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"_Toc4172811"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_Toc4172811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"_Toc4172812"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_Toc4172812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_Toc4172813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_Toc4172814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_Toc4172815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_Toc4172816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_Toc4172817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_Toc4172818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"_Toc4172819"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_Toc4172819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_Toc4172820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"_Toc4172821"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_Toc4172821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_Toc4172822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_Toc4172823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"_Toc4172824"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_Toc4172824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_Toc4172825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_Toc4172826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"_Toc4172827"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_Toc4172827 \h </w:instrText>
      </w:r>
      <w:r>
        <w:rPr>
          <w:lang/>
        </w:rPr>
        <w:fldChar w:fldCharType="separate"/>
      </w:r>
      <w:r>
        <w:rPr>
          <w:lang/>
        </w:rPr>
        <w:t>68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276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276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聚利债券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001199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2015年05月15日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31,983,126.16份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001200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22,584,687.97份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9,398,438.19份</w:t>
            </w:r>
          </w:p>
        </w:tc>
      </w:tr>
    </w:tbl>
    <w:p>
      <w:pPr>
        <w:widowControl/>
        <w:jc w:val="left"/>
        <w:rPr>
          <w:rFonts w:hint="eastAsia" w:ascii="宋体" w:hAnsi="宋体" w:cs="宋体"/>
          <w:kern w:val="0"/>
          <w:sz w:val="24"/>
          <w:szCs w:val="24"/>
        </w:rPr>
      </w:pPr>
    </w:p>
    <w:p>
      <w:pPr>
        <w:pStyle w:val="14"/>
        <w:rPr>
          <w:rFonts w:hint="eastAsia"/>
        </w:rPr>
      </w:pPr>
      <w:bookmarkStart w:id="5" w:name="_Toc417276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本基金在追求本金安全、保持资产流动性以及有效控制风险的基础上，通过积极主动的投资管理，力争为持有人提供较高的当期收益以及长期稳定的投资回报。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普通债券的投资中主要基于对国家财政政策、货币政策的深入分析以及对宏观经济的动态跟踪，采用久期控制下的主动性投资策略，主要包括：久期控制、期限结构配置、信用风险控制、跨市场套利和相对价值判断等管理手段，对债券市场、债券收益率曲线以及各种债券价格的变化进行预测，相机而动、积极调整。</w:t>
            </w:r>
          </w:p>
          <w:p>
            <w:pPr>
              <w:pStyle w:val="20"/>
              <w:wordWrap w:val="0"/>
              <w:spacing w:before="0"/>
              <w:ind w:left="0" w:firstLine="480"/>
              <w:rPr>
                <w:rFonts w:hint="eastAsia"/>
              </w:rPr>
            </w:pPr>
            <w:r>
              <w:rPr>
                <w:rFonts w:hint="eastAsia"/>
              </w:rPr>
              <w:t>回购套利策略是本基金重要的操作策略之一，把信用产品投资和回购交易结合起来，管理人根据信用产品的特征，在信用风险和流动性风险可控的前提下，或者通过回购融资来博取超额收益，或者通过回购的不断滚动来套取信用债收益率和资金成本的利差。</w:t>
            </w:r>
          </w:p>
          <w:p>
            <w:pPr>
              <w:pStyle w:val="20"/>
              <w:wordWrap w:val="0"/>
              <w:spacing w:before="0"/>
              <w:ind w:left="0" w:firstLine="480"/>
              <w:rPr>
                <w:rFonts w:hint="eastAsia"/>
              </w:rPr>
            </w:pPr>
            <w:r>
              <w:rPr>
                <w:rFonts w:hint="eastAsia"/>
              </w:rPr>
              <w:t>当本基金管理人判断市场出现明显的趋势性投资机会时，本基金可以直接参与股票市场投资，努力获取超额收益。在股市场投资过程中，本基金主要采取自下而上的投资策略，利用数量化投资技术与基本面研究相结合的研究方法，对以下三类上市公司进行投资：</w:t>
            </w:r>
          </w:p>
          <w:p>
            <w:pPr>
              <w:pStyle w:val="20"/>
              <w:wordWrap w:val="0"/>
              <w:spacing w:before="0"/>
              <w:ind w:left="0" w:firstLine="480"/>
              <w:rPr>
                <w:rFonts w:hint="eastAsia"/>
              </w:rPr>
            </w:pPr>
            <w:r>
              <w:rPr>
                <w:rFonts w:hint="eastAsia"/>
              </w:rPr>
              <w:t>（1）现金流充沛、行业竞争优势明显、具有良好的现金分红记录或现金分红潜力的优质上市公司；</w:t>
            </w:r>
          </w:p>
          <w:p>
            <w:pPr>
              <w:pStyle w:val="20"/>
              <w:wordWrap w:val="0"/>
              <w:spacing w:before="0"/>
              <w:ind w:left="0" w:firstLine="480"/>
              <w:rPr>
                <w:rFonts w:hint="eastAsia"/>
              </w:rPr>
            </w:pPr>
            <w:r>
              <w:rPr>
                <w:rFonts w:hint="eastAsia"/>
              </w:rPr>
              <w:t>（2）投资价值明显被市场低估的上市公司；</w:t>
            </w:r>
          </w:p>
          <w:p>
            <w:pPr>
              <w:pStyle w:val="20"/>
              <w:wordWrap w:val="0"/>
              <w:spacing w:before="0"/>
              <w:ind w:left="0" w:firstLine="480"/>
              <w:rPr>
                <w:rFonts w:hint="eastAsia"/>
              </w:rPr>
            </w:pPr>
            <w:r>
              <w:rPr>
                <w:rFonts w:hint="eastAsia"/>
              </w:rPr>
              <w:t>（3）未来盈利水平具有明显增长潜力且估值合理的上市公司。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中债综合（全价）指数收益率×90%+沪深300指数收益率×10%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本基金为债券型基金，其长期平均预期风险和预期收益率低于股票基金、混合基金，高于货币市场基金。</w:t>
            </w:r>
          </w:p>
        </w:tc>
      </w:tr>
    </w:tbl>
    <w:p>
      <w:pPr>
        <w:widowControl/>
        <w:jc w:val="left"/>
        <w:rPr>
          <w:rFonts w:hint="eastAsia" w:ascii="宋体" w:hAnsi="宋体" w:cs="宋体"/>
          <w:kern w:val="0"/>
          <w:sz w:val="24"/>
          <w:szCs w:val="24"/>
        </w:rPr>
      </w:pPr>
    </w:p>
    <w:p>
      <w:pPr>
        <w:pStyle w:val="14"/>
        <w:rPr>
          <w:rFonts w:hint="eastAsia"/>
        </w:rPr>
      </w:pPr>
      <w:bookmarkStart w:id="6" w:name="_Toc417276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17276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注：本基金自2019年1月19日起信息披露报纸由《上海证券报》变更为《证券时报》。</w:t>
      </w:r>
    </w:p>
    <w:p>
      <w:pPr>
        <w:widowControl/>
        <w:jc w:val="left"/>
        <w:rPr>
          <w:rFonts w:hint="eastAsia" w:ascii="宋体" w:hAnsi="宋体" w:cs="宋体"/>
          <w:kern w:val="0"/>
          <w:sz w:val="24"/>
          <w:szCs w:val="24"/>
        </w:rPr>
      </w:pPr>
    </w:p>
    <w:p>
      <w:pPr>
        <w:pStyle w:val="14"/>
        <w:rPr>
          <w:rFonts w:hint="eastAsia"/>
        </w:rPr>
      </w:pPr>
      <w:bookmarkStart w:id="8" w:name="_Toc417276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276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276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00"/>
        <w:gridCol w:w="1240"/>
        <w:gridCol w:w="1241"/>
        <w:gridCol w:w="1241"/>
        <w:gridCol w:w="1241"/>
        <w:gridCol w:w="1241"/>
        <w:gridCol w:w="1241"/>
      </w:tblGrid>
      <w:tr>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-108,353.97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-4,362,558.14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-896,486.21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-3,351,300.27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64,340.75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-290,186.66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-2,493,542.37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-535,173.30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-8,947,742.06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-163,876.48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-167,636.23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-222,433.88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-138,792.83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4,187,305.07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657,760.74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22,747,533.89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9,308,019.21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43,073,241.53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7,755,116.25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91,520,118.77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17,529,516.91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277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创金合信聚利债券A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pStyle w:val="17"/>
        <w:rPr>
          <w:rFonts w:hint="eastAsia"/>
        </w:rPr>
      </w:pPr>
      <w:r>
        <w:rPr>
          <w:rFonts w:hint="eastAsia" w:hAnsi="Calibri"/>
          <w:color w:val="000000"/>
        </w:rPr>
        <w:t>创金合信聚利债券C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1199_FB010010_20190002_2.jpg" type="#_x0000_t75" style="height:286.5pt;width:441pt;" filled="f" stroked="f" coordsize="21600,21600">
            <v:path/>
            <v:fill on="f" focussize="0,0"/>
            <v:stroke on="f"/>
            <v:imagedata r:id="rId7" grayscale="f" bilevel="f" o:title="CN_50990000_001199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1199_FB010010_20190002_3.jpg" type="#_x0000_t75" style="height:286.5pt;width:441pt;" filled="f" stroked="f" coordsize="21600,21600">
            <v:path/>
            <v:fill on="f" focussize="0,0"/>
            <v:stroke on="f"/>
            <v:imagedata r:id="rId8" grayscale="f" bilevel="f" o:title="CN_50990000_001199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1199_FB010010_20190002_6.jpg" type="#_x0000_t75" style="height:286.5pt;width:441pt;" filled="f" stroked="f" coordsize="21600,21600">
            <v:path/>
            <v:fill on="f" focussize="0,0"/>
            <v:stroke on="f"/>
            <v:imagedata r:id="rId9" grayscale="f" bilevel="f" o:title="CN_50990000_001199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1199_FB010010_20190002_7.jpg" type="#_x0000_t75" style="height:286.5pt;width:441pt;" filled="f" stroked="f" coordsize="21600,21600">
            <v:path/>
            <v:fill on="f" focussize="0,0"/>
            <v:stroke on="f"/>
            <v:imagedata r:id="rId10" grayscale="f" bilevel="f" o:title="CN_50990000_001199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2771"/>
      <w:r>
        <w:rPr>
          <w:rFonts w:hint="eastAsia" w:hAnsi="Calibri"/>
          <w:b/>
          <w:color w:val="000000"/>
        </w:rPr>
        <w:t>3.3 过去三年基金的利润分配情况</w:t>
      </w:r>
      <w:bookmarkEnd w:id="12"/>
    </w:p>
    <w:p>
      <w:pPr>
        <w:pStyle w:val="20"/>
        <w:rPr>
          <w:rFonts w:hint="eastAsia"/>
        </w:rPr>
      </w:pPr>
      <w:r>
        <w:rPr>
          <w:rFonts w:hint="eastAsia"/>
        </w:rPr>
        <w:t>本基金过去三年未发生利润分配。</w:t>
      </w:r>
    </w:p>
    <w:p>
      <w:pPr>
        <w:widowControl/>
        <w:jc w:val="left"/>
        <w:rPr>
          <w:rFonts w:hint="eastAsia" w:ascii="宋体" w:hAnsi="宋体" w:cs="宋体"/>
          <w:kern w:val="0"/>
          <w:sz w:val="24"/>
          <w:szCs w:val="24"/>
        </w:rPr>
      </w:pPr>
    </w:p>
    <w:p>
      <w:pPr>
        <w:pStyle w:val="13"/>
        <w:rPr>
          <w:rFonts w:hint="eastAsia"/>
        </w:rPr>
      </w:pPr>
      <w:bookmarkStart w:id="13" w:name="_Toc417277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277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2774"/>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2775"/>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2776"/>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聚利债券A基金份额净值为1.007元，本报告期内，该类基金份额净值增长率为-3.17%，同期业绩比较基准收益率为1.51%；截至报告期末创金合信聚利债券C基金份额净值为0.990元，本报告期内，该类基金份额净值增长率为-3.51%，同期业绩比较基准收益率为1.51%。</w:t>
      </w:r>
    </w:p>
    <w:p>
      <w:pPr>
        <w:widowControl/>
        <w:jc w:val="left"/>
        <w:rPr>
          <w:rFonts w:hint="eastAsia" w:ascii="宋体" w:hAnsi="宋体" w:cs="宋体"/>
          <w:kern w:val="0"/>
          <w:sz w:val="24"/>
          <w:szCs w:val="24"/>
        </w:rPr>
      </w:pPr>
    </w:p>
    <w:p>
      <w:pPr>
        <w:pStyle w:val="14"/>
        <w:rPr>
          <w:rFonts w:hint="eastAsia"/>
        </w:rPr>
      </w:pPr>
      <w:bookmarkStart w:id="18" w:name="_Toc4172777"/>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今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172778"/>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2779"/>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2780"/>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2781"/>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417278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2783"/>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聚利债券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172784"/>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聚利债券型证券投资基金的管理人--创金合信基金管理有限公司在创金合信聚利债券型证券投资基金的投资运作、基金资产净值计算、基金份额申购赎回价格计算、基金费用开支等问题上，不存在任何损害基金份额持有人利益的行为，在各重要方面的运作严格按照基金合同的规定进行。本报告期内，创金合信聚利债券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172785"/>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聚利债券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17278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278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普华永道中天审字(2019)第24800号</w:t>
            </w:r>
          </w:p>
        </w:tc>
      </w:tr>
    </w:tbl>
    <w:p>
      <w:pPr>
        <w:widowControl/>
        <w:jc w:val="left"/>
        <w:rPr>
          <w:rFonts w:hint="eastAsia" w:ascii="宋体" w:hAnsi="宋体" w:cs="宋体"/>
          <w:kern w:val="0"/>
          <w:sz w:val="24"/>
          <w:szCs w:val="24"/>
        </w:rPr>
      </w:pPr>
    </w:p>
    <w:p>
      <w:pPr>
        <w:pStyle w:val="14"/>
        <w:rPr>
          <w:rFonts w:hint="eastAsia"/>
        </w:rPr>
      </w:pPr>
      <w:bookmarkStart w:id="29" w:name="_Toc417278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我们审计了创金合信聚利债券型证券投资基金(以下简称“ 创金合信聚利债券基金”)的财务报表，包括2018年12月31日的资产负债表，2018年度的利润表和所有者权益(基金净值)变动表以及财务报表附注。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聚利债券基金 2018年12月31日的财务状况以及2018年度的经营成果和基金净值变动情况。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按照中国注册会计师职业道德守则，我们独立于创金合信聚利债券基金 ，并履行了职业道德方面的其他责任。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聚利债券基金的持续经营能力，披露与持续经营相关的事项(如适用)，并运用持续经营假设，除非基金管理人管理层计划清算创金合信聚利债券基金、终止运营或别无其他现实的选择。 基金管理人治理层负责监督创金合信聚利债券基金的财务报告过程。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聚利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聚利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278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2790"/>
      <w:r>
        <w:rPr>
          <w:rFonts w:hint="eastAsia"/>
          <w:b/>
          <w:bCs/>
        </w:rPr>
        <w:t>7.1 资产负债表</w:t>
      </w:r>
      <w:bookmarkEnd w:id="31"/>
    </w:p>
    <w:p>
      <w:pPr>
        <w:pStyle w:val="17"/>
        <w:rPr>
          <w:rFonts w:hint="eastAsia"/>
        </w:rPr>
      </w:pPr>
      <w:r>
        <w:rPr>
          <w:rFonts w:hint="eastAsia"/>
        </w:rPr>
        <w:t>会计主体：创金合信聚利债券型证券投资基金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146,444.18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579,132.72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31,384,191.22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344,223.77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32,465,966.93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229,337.70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14,591.33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437,794.71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18,359.99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31,673.98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9,049.72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2,745.59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410,413.83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5,362,134.23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31,983,126.16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72,426.94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32,055,553.10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32,465,966.93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r>
    </w:tbl>
    <w:p>
      <w:pPr>
        <w:pStyle w:val="20"/>
        <w:rPr>
          <w:rFonts w:hint="eastAsia"/>
        </w:rPr>
      </w:pPr>
      <w:r>
        <w:rPr>
          <w:rFonts w:hint="eastAsia"/>
        </w:rPr>
        <w:t>注：报告截止日2018年12月31日，基金份额总额31,983,126.16份，其中下属A类基金份额22,584,687.97份，C类基金份额9,398,438.19份。下属A类基金份额净值1.007元，C类基金份额净值0.990元。</w:t>
      </w:r>
    </w:p>
    <w:p>
      <w:pPr>
        <w:widowControl/>
        <w:jc w:val="left"/>
        <w:rPr>
          <w:rFonts w:hint="eastAsia" w:ascii="宋体" w:hAnsi="宋体" w:cs="宋体"/>
          <w:kern w:val="0"/>
          <w:sz w:val="24"/>
          <w:szCs w:val="24"/>
        </w:rPr>
      </w:pPr>
    </w:p>
    <w:p>
      <w:pPr>
        <w:pStyle w:val="14"/>
        <w:rPr>
          <w:rFonts w:hint="eastAsia"/>
        </w:rPr>
      </w:pPr>
      <w:bookmarkStart w:id="32" w:name="_Toc4172791"/>
      <w:r>
        <w:rPr>
          <w:rFonts w:hint="eastAsia"/>
          <w:b/>
          <w:bCs/>
        </w:rPr>
        <w:t>7.2 利润表</w:t>
      </w:r>
      <w:bookmarkEnd w:id="32"/>
    </w:p>
    <w:p>
      <w:pPr>
        <w:pStyle w:val="17"/>
        <w:rPr>
          <w:rFonts w:hint="eastAsia"/>
        </w:rPr>
      </w:pPr>
      <w:r>
        <w:rPr>
          <w:rFonts w:hint="eastAsia"/>
        </w:rPr>
        <w:t>会计主体：创金合信聚利债券型证券投资基金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-1,250,047.84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765,974.31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2,568,781.11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84,754.42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752,397.27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2,450,390.25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33,636.44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-288,409.61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-6,052,053.40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-526,844.10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-4,581,551.19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204,431.55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-323,779.68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2,895.77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640,343.56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1,778,667.83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245,010.94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589,862.88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168,532.30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27,392.64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49,939.99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109,667.74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85,586.38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682,521.01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85,586.38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682,521.01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178,143.91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-482,741.94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-482,741.94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r>
    </w:tbl>
    <w:p>
      <w:pPr>
        <w:widowControl/>
        <w:jc w:val="left"/>
        <w:rPr>
          <w:rFonts w:hint="eastAsia" w:ascii="宋体" w:hAnsi="宋体" w:cs="宋体"/>
          <w:kern w:val="0"/>
          <w:sz w:val="24"/>
          <w:szCs w:val="24"/>
        </w:rPr>
      </w:pPr>
    </w:p>
    <w:p>
      <w:pPr>
        <w:pStyle w:val="14"/>
        <w:rPr>
          <w:rFonts w:hint="eastAsia"/>
        </w:rPr>
      </w:pPr>
      <w:bookmarkStart w:id="33" w:name="_Toc4172792"/>
      <w:r>
        <w:rPr>
          <w:rFonts w:hint="eastAsia"/>
          <w:b/>
          <w:bCs/>
        </w:rPr>
        <w:t>7.3 所有者权益（基金净值）变动表</w:t>
      </w:r>
      <w:bookmarkEnd w:id="33"/>
    </w:p>
    <w:p>
      <w:pPr>
        <w:pStyle w:val="17"/>
        <w:rPr>
          <w:rFonts w:hint="eastAsia"/>
        </w:rPr>
      </w:pPr>
      <w:r>
        <w:rPr>
          <w:rFonts w:hint="eastAsia"/>
        </w:rPr>
        <w:t>会计主体：创金合信聚利债券型证券投资基金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-482,741.94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-482,741.94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-17,009,558.58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-1,280,504.16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-18,290,062.74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8,096,248.23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214,848.08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8,311,096.31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-25,105,806.81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-1,495,352.24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-26,601,159.05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31,983,126.16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72,426.94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32,055,553.10</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100,737,449.93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8,312,185.75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-51,744,765.19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-3,447,797.04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-55,192,562.23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2,569,140.63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185,324.67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2,754,465.30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-54,313,905.82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-3,633,121.71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-57,947,027.53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2793"/>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聚利债券型证券投资基金(以下简称“本基金”)经中国证券监督管理委员会(以下简称“中国证监会”)证监许可[2015]第472号《关于准予创金合信聚利债券型证券投资基金注册的批复》核准，由创金合信基金管理有限公司依照《中华人民共和国证券投资基金法》和《创金合信聚利债券型证券投资基金基金合同》负责公开募集。本基金为契约型开放式，存续期限不定，首次设立募集不包括认购资金利息共募集人民币385,473,879.28元，业经普华永道中天会计师事务所(特殊普通合伙)普华永道中天验字(2015)第481号验资报告予以验证。经向中国证监会备案，《创金合信聚利债券型证券投资基金基金合同》于2015年5月15日正式生效，基金合同生效日的基金份额总额为385,546,708.18份基金份额，其中认购资金利息折合72,828.90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根据《创金合信聚利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聚利债券型证券投资基金基金合同》的有关规定，本基金的投资范围为具有良好流动性的金融工具，包括国内依法发行上市的股票(含中小板、创业板及其他经中国证监会核准上市的股票)、权证等权益类资产及债券等固定收益类金融工具以及法律法规或中国证监会允许基金投资的其他金融工具(但须符合中国证监会相关规定)。本基金的业绩比较基准为：中债综合(全价)指数收益率×90%+沪深300指数收益率×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聚利债券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 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本基金目前以交易目的持有的股票投资和债券投资分类为以公允价值计量且其变动计入当期损益的金融资产。以公允价值计量且其变动计入当期损益的金融资产在资产负债表中以交易性金融资产列示。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本基金持有的股票投资和债券投资按如下原则确定公允价值并进行估值：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在符合有关基金分红条件的前提下，本基金每年收益分配次数最多为12次，每份基金份额每次收益分配比例不得低于该次该类基金份额可供分配利润的30%；若《基金合同》生效不满3个月可不进行收益分配。(2) 本基金收益分配方式分两种：现金分红与红利再投资，基金份额持有人可对A类基金份额、C类基金份额分别选择不同的分红方式；选择采取红利再投资方式的，基金份额的分红金额将转为同一类别基金份额进行再投资；若投资者不选择，本基金默认的收益分配方式为现金分红。(3) 基金收益分配后基金份额净值不能低于面值：即基金收益分配基准日的基金份额净值减去每单位基金份额收益分配金额后不能低于面值。(4) 由于本基金A 类基金份额不收取销售服务费，而C 类基金份额收取销售服务费，各基金份额类别对应的可供分配利润将有所不同，基金管理人可对各类别基金份额分别制定收益分配方案；同一类别内的每一基金份额享有同等分配权。(5)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该组成部分能够在日常活动中产生收入、发生费用；(2)本基金的基金管理人能够定期评价该组成部分的经营成果，以决定向其配置资源、评价其业绩；(3)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6,465,741.53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-1,009,124.53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26,378,513.38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-450,939.16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26,378,513.38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-450,939.16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32,844,254.91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31,384,191.22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-1,460,063.69</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9,964,663.10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-284,730.10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41,173,217.21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-851,553.91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41,173,217.21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-851,553.91</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51,137,880.31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-1,136,284.01</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344,021.05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600,012.42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344,223.77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168,999.80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创金合信聚利债券A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41,435,324.56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41,435,324.56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1,287,184.72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1,287,184.72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-20,137,821.31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-20,137,821.31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22,584,687.97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22,584,687.97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创金合信聚利债券C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6,809,063.51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6,809,063.51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-4,967,985.50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-4,967,985.50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9,398,438.19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9,398,438.19</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创金合信聚利债券A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-222,433.88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1,860,350.85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1,637,916.97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-108,353.97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-84,201.31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-192,555.28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163,151.62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-1,445,667.39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-1,282,515.77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71,841.79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61,847.58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173,145.83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-1,517,509.18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-1,344,363.35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-167,636.23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330,482.15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162,845.92</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创金合信聚利债券C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-138,792.83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336,548.90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197,756.07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-50,608.29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-239,578.37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-290,186.66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-39,296.28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2,011.61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-159,978.73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312,979.23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153,000.50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120,682.45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-271,671.34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-150,988.89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-228,697.40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138,278.42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-90,418.98</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60,417.70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23,756.58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84,754.42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股票投资收益——买卖股票差价收入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6,393,235.47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43,146,155.40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6,920,079.57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47,727,706.59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-526,844.10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-4,581,551.19</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43,448,119.25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279,364,497.25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42,615,988.64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275,920,278.79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798,127.67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5,275,654.98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204,431.55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204,431.55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-323,779.68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-724,394.43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2,561,110.79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400,614.75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-330,782.11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-323,779.68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2,895.77</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107,357.74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109,667.74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178,143.91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4,469,152.20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64,064,210.71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25.07%</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41.19%</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245,010.94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589,862.88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323,379.01</w:t>
            </w:r>
          </w:p>
        </w:tc>
      </w:tr>
    </w:tbl>
    <w:p>
      <w:pPr>
        <w:pStyle w:val="20"/>
        <w:rPr>
          <w:rFonts w:hint="eastAsia"/>
        </w:rPr>
      </w:pPr>
      <w:r>
        <w:rPr>
          <w:rFonts w:hint="eastAsia"/>
        </w:rPr>
        <w:t>注：本基金的管理费按前一日基金资产净值的0.7%年费率计提。管理费的计算方法如下：</w:t>
      </w:r>
      <w:r>
        <w:rPr>
          <w:rFonts w:hint="eastAsia"/>
        </w:rPr>
        <w:br w:type="textWrapping"/>
      </w:r>
      <w:r>
        <w:rPr>
          <w:rFonts w:hint="eastAsia"/>
        </w:rPr>
        <w:t>H＝E×0.7 %÷当年天数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2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168,532.30</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基金托管费每日计算，逐日累计至每月月末，按月支付，由基金管理人向基金托管人发送基金托管费划款指令，基金托管人复核后于次月前2 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2983"/>
        <w:gridCol w:w="2983"/>
        <w:gridCol w:w="1722"/>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24,492.20</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r>
    </w:tbl>
    <w:p>
      <w:pPr>
        <w:pStyle w:val="20"/>
        <w:rPr>
          <w:rFonts w:hint="eastAsia"/>
        </w:rPr>
      </w:pPr>
      <w:r>
        <w:rPr>
          <w:rFonts w:hint="eastAsia"/>
        </w:rPr>
        <w:t>注：本基金A类基金份额不收取销售服务费，C类基金份额的销售服务费年费率为0.40%。本基金销售服务费将专门用于本基金的市场推广、销售与基金份额持有人服务。销售服务费按前一日C类基金份额的基金资产净值的0.40%年费率计提。计算方法如下：</w:t>
      </w:r>
      <w:r>
        <w:rPr>
          <w:rFonts w:hint="eastAsia"/>
        </w:rPr>
        <w:br w:type="textWrapping"/>
      </w:r>
      <w:r>
        <w:rPr>
          <w:rFonts w:hint="eastAsia"/>
        </w:rPr>
        <w:t>H＝E×0.40%÷当年天数</w:t>
      </w:r>
      <w:r>
        <w:rPr>
          <w:rFonts w:hint="eastAsia"/>
        </w:rPr>
        <w:br w:type="textWrapping"/>
      </w:r>
      <w:r>
        <w:rPr>
          <w:rFonts w:hint="eastAsia"/>
        </w:rPr>
        <w:t>H为C类基金份额每日应计提的销售服务费</w:t>
      </w:r>
      <w:r>
        <w:rPr>
          <w:rFonts w:hint="eastAsia"/>
        </w:rPr>
        <w:br w:type="textWrapping"/>
      </w:r>
      <w:r>
        <w:rPr>
          <w:rFonts w:hint="eastAsia"/>
        </w:rPr>
        <w:t>E为C类基金份额前一日基金资产净值</w:t>
      </w:r>
      <w:r>
        <w:rPr>
          <w:rFonts w:hint="eastAsia"/>
        </w:rPr>
        <w:br w:type="textWrapping"/>
      </w:r>
      <w:r>
        <w:rPr>
          <w:rFonts w:hint="eastAsia"/>
        </w:rPr>
        <w:t>销售服务费每日计提，逐日累计至每月月末，按月支付。由基金管理人向基金托管人发送销售服务费划付指令，基金托管人复核后于次月首日起2个工作日内从基金资产中划出，由登记机构代收，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60,417.70</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200,000.00元，于2019年1月2日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15,881,160.52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17,300,351.50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6,075,233.70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20,424,951.80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3,971,180.00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37,725,303.30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200,000.00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 32,318,361.05元，超过经确认的当日净赎回金额。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861"/>
        <w:gridCol w:w="1860"/>
        <w:gridCol w:w="1738"/>
        <w:gridCol w:w="1860"/>
        <w:gridCol w:w="1860"/>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589,689.14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589,689.14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146,444.18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146,444.18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958.98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958.98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7,950,480.00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17,977,094.22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5,456,617.00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31,384,191.22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344,223.77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344,223.77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8,687,572.30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17,977,094.22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5,801,300.41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32,465,966.93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14,591.33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14,591.33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18,359.99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18,359.99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5,245.74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5,245.74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2,580.75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2,580.75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418.38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169,010.64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210,413.83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410,413.83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8,487,572.30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17,977,094.22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5,590,886.58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32,055,553.10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3,093,539.79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3,093,539.79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579,132.72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579,132.72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11,276.91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11,276.91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11,810,701.80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18,675,741.50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9,835,220.00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50,001,596.30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603,717.96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603,717.96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601,128.36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601,128.36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16,794,651.22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18,675,741.50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9,835,220.00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10,884,879.29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56,190,492.01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229,337.70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229,337.70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437,794.71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437,794.71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31,673.98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31,673.98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9,049.72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9,049.72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2,745.59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2,745.59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4,703.05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-2,170.46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-2,170.46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148,999.94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148,999.94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862,134.23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5,362,134.23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12,294,651.22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18,675,741.50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9,835,220.00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10,022,745.06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50,828,357.78</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-31,926.30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25,608.69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32,097.00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5,456,617.00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5,456,617.00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19.04</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p>
      <w:pPr>
        <w:pStyle w:val="20"/>
        <w:rPr>
          <w:rFonts w:hint="eastAsia"/>
        </w:rPr>
      </w:pPr>
      <w:r>
        <w:rPr>
          <w:rFonts w:hint="eastAsia"/>
        </w:rPr>
        <w:t>于2018年12月31日，本基金持有的交易性权益类投资公允价值占基金资产净值的比例为17.02%(2017年12月31日：19.04%)，因此除市场利率和外汇汇率以外的市场价格因素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 16,711,820.92元，属于第二层次的余额为14,672,370.30元，无属于第三层次的余额(2017年12月31日：第一层次25,416,413.00元，第二层次24,585,183.30元，无第三层次)。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2794"/>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279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736,133.32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345,642.39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32,465,966.93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2796"/>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5,333,094.00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62,197.00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5,456,617.00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w:t>
            </w:r>
          </w:p>
        </w:tc>
      </w:tr>
    </w:tbl>
    <w:p>
      <w:pPr>
        <w:widowControl/>
        <w:jc w:val="left"/>
        <w:rPr>
          <w:rFonts w:hint="eastAsia" w:ascii="宋体" w:hAnsi="宋体" w:cs="宋体"/>
          <w:kern w:val="0"/>
          <w:sz w:val="24"/>
          <w:szCs w:val="24"/>
        </w:rPr>
      </w:pPr>
    </w:p>
    <w:p>
      <w:pPr>
        <w:pStyle w:val="14"/>
        <w:rPr>
          <w:rFonts w:hint="eastAsia"/>
        </w:rPr>
      </w:pPr>
      <w:bookmarkStart w:id="38" w:name="_Toc4172797"/>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迪安诊断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bl>
    <w:p>
      <w:pPr>
        <w:widowControl/>
        <w:jc w:val="left"/>
        <w:rPr>
          <w:rFonts w:hint="eastAsia" w:ascii="宋体" w:hAnsi="宋体" w:cs="宋体"/>
          <w:kern w:val="0"/>
          <w:sz w:val="24"/>
          <w:szCs w:val="24"/>
        </w:rPr>
      </w:pPr>
    </w:p>
    <w:p>
      <w:pPr>
        <w:pStyle w:val="14"/>
        <w:rPr>
          <w:rFonts w:hint="eastAsia"/>
        </w:rPr>
      </w:pPr>
      <w:bookmarkStart w:id="39" w:name="_Toc417279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迪安诊断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918,128.47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3,421,158.00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6,393,235.47</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279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2,962,980.00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2,962,980.00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7,758,122.30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14,198,271.92</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25,927,574.22</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80.88</w:t>
            </w:r>
          </w:p>
        </w:tc>
      </w:tr>
    </w:tbl>
    <w:p>
      <w:pPr>
        <w:widowControl/>
        <w:jc w:val="left"/>
        <w:rPr>
          <w:rFonts w:hint="eastAsia" w:ascii="宋体" w:hAnsi="宋体" w:cs="宋体"/>
          <w:kern w:val="0"/>
          <w:sz w:val="24"/>
          <w:szCs w:val="24"/>
        </w:rPr>
      </w:pPr>
    </w:p>
    <w:p>
      <w:pPr>
        <w:pStyle w:val="14"/>
        <w:rPr>
          <w:rFonts w:hint="eastAsia"/>
        </w:rPr>
      </w:pPr>
      <w:bookmarkStart w:id="41" w:name="_Toc417280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2,962,980.00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2,932,782.80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2,838,240.00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2,827,898.40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w:t>
            </w:r>
          </w:p>
        </w:tc>
      </w:tr>
    </w:tbl>
    <w:p>
      <w:pPr>
        <w:widowControl/>
        <w:jc w:val="left"/>
        <w:rPr>
          <w:rFonts w:hint="eastAsia" w:ascii="宋体" w:hAnsi="宋体" w:cs="宋体"/>
          <w:kern w:val="0"/>
          <w:sz w:val="24"/>
          <w:szCs w:val="24"/>
        </w:rPr>
      </w:pPr>
    </w:p>
    <w:p>
      <w:pPr>
        <w:pStyle w:val="14"/>
        <w:rPr>
          <w:rFonts w:hint="eastAsia"/>
        </w:rPr>
      </w:pPr>
      <w:bookmarkStart w:id="42" w:name="_Toc4172801"/>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280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280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280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2805"/>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280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344,223.77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345,642.39</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03"/>
        <w:gridCol w:w="1905"/>
        <w:gridCol w:w="1905"/>
        <w:gridCol w:w="2510"/>
        <w:gridCol w:w="197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2,932,782.80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2,838,240.00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2,827,898.40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2,656,282.72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w:t>
            </w:r>
          </w:p>
        </w:tc>
      </w:tr>
    </w:tbl>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2807"/>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280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47,747.75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22,584,594.76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9,398,438.19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31,983,032.95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4172809"/>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188"/>
        <w:gridCol w:w="1829"/>
        <w:gridCol w:w="1977"/>
        <w:gridCol w:w="2051"/>
      </w:tblGrid>
      <w:tr>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bl>
    <w:p>
      <w:pPr>
        <w:widowControl/>
        <w:jc w:val="left"/>
        <w:rPr>
          <w:rFonts w:hint="eastAsia" w:ascii="宋体" w:hAnsi="宋体" w:cs="宋体"/>
          <w:kern w:val="0"/>
          <w:sz w:val="24"/>
          <w:szCs w:val="24"/>
        </w:rPr>
      </w:pPr>
    </w:p>
    <w:p>
      <w:pPr>
        <w:pStyle w:val="14"/>
        <w:rPr>
          <w:rFonts w:hint="eastAsia"/>
        </w:rPr>
      </w:pPr>
      <w:bookmarkStart w:id="51" w:name="_Toc4172810"/>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17281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基金合同生效日(2015年05月15日)基金份额总额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305,115,514.93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80,431,193.25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41,435,324.56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7,557,360.18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1,287,184.72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6,809,063.51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20,137,821.31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4,967,985.50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22,584,687.97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9,398,438.19</w:t>
            </w:r>
          </w:p>
        </w:tc>
      </w:tr>
    </w:tbl>
    <w:p>
      <w:pPr>
        <w:widowControl/>
        <w:jc w:val="left"/>
        <w:rPr>
          <w:rFonts w:hint="eastAsia" w:ascii="宋体" w:hAnsi="宋体" w:cs="宋体"/>
          <w:kern w:val="0"/>
          <w:sz w:val="24"/>
          <w:szCs w:val="24"/>
        </w:rPr>
      </w:pPr>
    </w:p>
    <w:p>
      <w:pPr>
        <w:pStyle w:val="13"/>
        <w:rPr>
          <w:rFonts w:hint="eastAsia"/>
        </w:rPr>
      </w:pPr>
      <w:bookmarkStart w:id="53" w:name="_Toc417281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2813"/>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2814"/>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2815"/>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2816"/>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2817"/>
      <w:r>
        <w:rPr>
          <w:rFonts w:hint="eastAsia"/>
          <w:b/>
          <w:bCs/>
        </w:rPr>
        <w:t>11.5 为基金进行审计的会计师事务所情况</w:t>
      </w:r>
      <w:bookmarkEnd w:id="58"/>
    </w:p>
    <w:p>
      <w:pPr>
        <w:pStyle w:val="20"/>
        <w:spacing w:before="0"/>
        <w:ind w:left="0" w:firstLine="480"/>
        <w:rPr>
          <w:rFonts w:hint="eastAsia"/>
        </w:rPr>
      </w:pPr>
      <w:r>
        <w:rPr>
          <w:rFonts w:hint="eastAsia"/>
        </w:rPr>
        <w:t>本报告期内本基金未更换会计师事务所,本年度支付给普华永道中天会计师事务所(特殊普通合伙)审计费用60,000.00元,该审计机构连续提供审计服务的年限为4年。</w:t>
      </w:r>
    </w:p>
    <w:p>
      <w:pPr>
        <w:widowControl/>
        <w:jc w:val="left"/>
        <w:rPr>
          <w:rFonts w:hint="eastAsia" w:ascii="宋体" w:hAnsi="宋体" w:cs="宋体"/>
          <w:kern w:val="0"/>
          <w:sz w:val="24"/>
          <w:szCs w:val="24"/>
        </w:rPr>
      </w:pPr>
    </w:p>
    <w:p>
      <w:pPr>
        <w:pStyle w:val="14"/>
        <w:rPr>
          <w:rFonts w:hint="eastAsia"/>
        </w:rPr>
      </w:pPr>
      <w:bookmarkStart w:id="59" w:name="_Toc4172818"/>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2819"/>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2,962,408.00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1,270.04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1,525,507.00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651.32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5,326,478.47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3,858.91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1,617,298.01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627,389.96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4,469,152.20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193,900,000.00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7,002,056.34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5,175,848.00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18,504,529.10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21,959,985.40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282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创金合信基金管理有限公司关于创金合信聚利债券型证券投资基金修订基金合同、托管协议部分条款及调整赎回费相关规则的公告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创金合信聚利债券型证券投资基金（2018年第2号）招募说明书（摘要）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2018-12-28</w:t>
            </w:r>
          </w:p>
        </w:tc>
      </w:tr>
    </w:tbl>
    <w:p>
      <w:pPr>
        <w:widowControl/>
        <w:jc w:val="left"/>
        <w:rPr>
          <w:rFonts w:hint="eastAsia" w:ascii="宋体" w:hAnsi="宋体" w:cs="宋体"/>
          <w:kern w:val="0"/>
          <w:sz w:val="24"/>
          <w:szCs w:val="24"/>
        </w:rPr>
      </w:pPr>
    </w:p>
    <w:p>
      <w:pPr>
        <w:pStyle w:val="13"/>
        <w:rPr>
          <w:rFonts w:hint="eastAsia"/>
        </w:rPr>
      </w:pPr>
      <w:bookmarkStart w:id="62" w:name="_Toc417282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2822"/>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p>
    <w:p>
      <w:pPr>
        <w:pStyle w:val="14"/>
        <w:rPr>
          <w:rFonts w:hint="eastAsia"/>
        </w:rPr>
      </w:pPr>
      <w:bookmarkStart w:id="64" w:name="_Toc4172823"/>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282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2825"/>
      <w:r>
        <w:rPr>
          <w:rFonts w:hint="eastAsia"/>
          <w:b/>
          <w:bCs/>
        </w:rPr>
        <w:t>13.1 备查文件目录</w:t>
      </w:r>
      <w:bookmarkEnd w:id="66"/>
    </w:p>
    <w:p>
      <w:pPr>
        <w:pStyle w:val="20"/>
        <w:spacing w:before="0"/>
        <w:ind w:left="0" w:firstLine="480"/>
        <w:rPr>
          <w:rFonts w:hint="eastAsia"/>
        </w:rPr>
      </w:pPr>
      <w:r>
        <w:rPr>
          <w:rFonts w:hint="eastAsia"/>
        </w:rPr>
        <w:t>1、《创金合信聚利债券型证券投资基金基金合同》；</w:t>
      </w:r>
    </w:p>
    <w:p>
      <w:pPr>
        <w:pStyle w:val="20"/>
        <w:spacing w:before="0"/>
        <w:ind w:left="0" w:firstLine="480"/>
        <w:rPr>
          <w:rFonts w:hint="eastAsia"/>
        </w:rPr>
      </w:pPr>
      <w:r>
        <w:rPr>
          <w:rFonts w:hint="eastAsia"/>
        </w:rPr>
        <w:t>2、《创金合信聚利债券型证券投资基金托管协议》；</w:t>
      </w:r>
    </w:p>
    <w:p>
      <w:pPr>
        <w:pStyle w:val="20"/>
        <w:spacing w:before="0"/>
        <w:ind w:left="0" w:firstLine="480"/>
        <w:rPr>
          <w:rFonts w:hint="eastAsia"/>
        </w:rPr>
      </w:pPr>
      <w:r>
        <w:rPr>
          <w:rFonts w:hint="eastAsia"/>
        </w:rPr>
        <w:t>3、创金合信聚利债券型证券投资基金2018年年度报告。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2826"/>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2827"/>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68</w:t>
    </w:r>
    <w:r>
      <w:rPr>
        <w:rStyle w:val="10"/>
      </w:rPr>
      <w:fldChar w:fldCharType="end"/>
    </w:r>
  </w:p>
  <w:p>
    <w:pPr>
      <w:pStyle w:val="2"/>
      <w:jc w:val="center"/>
    </w:pPr>
    <w:r>
      <w:rPr>
        <w:rFonts w:hint="eastAsia"/>
      </w:rPr>
      <w:t xml:space="preserve">                   第       页，共70页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创金合信聚利债券型证券投资基金2018年年度报告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18E9"/>
    <w:rsid w:val="004440F7"/>
    <w:rsid w:val="004F182B"/>
    <w:rsid w:val="005B1143"/>
    <w:rsid w:val="005E1B7C"/>
    <w:rsid w:val="007C18E9"/>
    <w:rsid w:val="008B64AE"/>
    <w:rsid w:val="00AC4977"/>
    <w:rsid w:val="00E9119D"/>
    <w:rsid w:val="396D17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69</Pages>
  <Words>7667</Words>
  <Characters>43703</Characters>
  <Lines>364</Lines>
  <Paragraphs>102</Paragraphs>
  <TotalTime>0</TotalTime>
  <ScaleCrop>false</ScaleCrop>
  <LinksUpToDate>false</LinksUpToDate>
  <CharactersWithSpaces>51268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2019-03-22T10:44:00Z</dcterms:created>
  <dc:creator>石怡翔</dc:creator>
  <cp:lastModifiedBy>Administrator</cp:lastModifiedBy>
  <dcterms:modified xsi:type="dcterms:W3CDTF">2019-12-26T14:04:08Z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