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left"/>
        <w:rPr>
          <w:rFonts w:ascii="MS Sans Serif" w:hAnsi="MS Sans Serif"/>
          <w:color w:val="000000"/>
          <w:kern w:val="0"/>
          <w:sz w:val="2"/>
          <w:szCs w:val="24"/>
        </w:rPr>
      </w:pPr>
      <w:bookmarkStart w:id="71" w:name="_GoBack"/>
      <w:bookmarkEnd w:id="71"/>
    </w:p>
    <w:p>
      <w:pPr>
        <w:autoSpaceDE w:val="0"/>
        <w:autoSpaceDN w:val="0"/>
        <w:adjustRightInd w:val="0"/>
        <w:spacing w:line="288" w:lineRule="auto"/>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hint="eastAsia" w:ascii="宋体"/>
          <w:b/>
          <w:color w:val="000000"/>
          <w:kern w:val="0"/>
          <w:sz w:val="24"/>
          <w:szCs w:val="24"/>
        </w:rPr>
        <w:t>创金合信聚利债券型证券投资基金</w:t>
      </w:r>
      <w:r>
        <w:rPr>
          <w:rFonts w:ascii="宋体"/>
          <w:b/>
          <w:color w:val="000000"/>
          <w:kern w:val="0"/>
          <w:sz w:val="24"/>
          <w:szCs w:val="24"/>
        </w:rPr>
        <w:t>2015</w:t>
      </w:r>
      <w:r>
        <w:rPr>
          <w:rFonts w:hint="eastAsia" w:ascii="宋体"/>
          <w:b/>
          <w:color w:val="000000"/>
          <w:kern w:val="0"/>
          <w:sz w:val="24"/>
          <w:szCs w:val="24"/>
        </w:rPr>
        <w:t>年年度报告</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before="30" w:line="288" w:lineRule="auto"/>
        <w:ind w:left="15"/>
        <w:jc w:val="center"/>
        <w:rPr>
          <w:rFonts w:ascii="宋体"/>
          <w:b/>
          <w:color w:val="000000"/>
          <w:kern w:val="0"/>
          <w:sz w:val="24"/>
          <w:szCs w:val="24"/>
        </w:rPr>
      </w:pPr>
      <w:r>
        <w:rPr>
          <w:rFonts w:ascii="宋体"/>
          <w:b/>
          <w:color w:val="000000"/>
          <w:kern w:val="0"/>
          <w:sz w:val="24"/>
          <w:szCs w:val="24"/>
        </w:rPr>
        <w:t>2015</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w:t>
      </w:r>
    </w:p>
    <w:p>
      <w:pPr>
        <w:autoSpaceDE w:val="0"/>
        <w:autoSpaceDN w:val="0"/>
        <w:adjustRightInd w:val="0"/>
        <w:spacing w:line="288" w:lineRule="auto"/>
        <w:jc w:val="center"/>
        <w:rPr>
          <w:rFonts w:ascii="宋体"/>
          <w:b/>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line="288" w:lineRule="auto"/>
        <w:rPr>
          <w:rFonts w:ascii="宋体"/>
          <w:color w:val="000000"/>
          <w:kern w:val="0"/>
          <w:sz w:val="24"/>
          <w:szCs w:val="24"/>
        </w:rPr>
      </w:pPr>
    </w:p>
    <w:p>
      <w:pPr>
        <w:autoSpaceDE w:val="0"/>
        <w:autoSpaceDN w:val="0"/>
        <w:adjustRightInd w:val="0"/>
        <w:spacing w:line="288" w:lineRule="auto"/>
        <w:rPr>
          <w:rFonts w:ascii="宋体"/>
          <w:color w:val="000000"/>
          <w:kern w:val="0"/>
          <w:sz w:val="24"/>
          <w:szCs w:val="24"/>
        </w:rPr>
      </w:pPr>
    </w:p>
    <w:p>
      <w:pPr>
        <w:autoSpaceDE w:val="0"/>
        <w:autoSpaceDN w:val="0"/>
        <w:adjustRightInd w:val="0"/>
        <w:spacing w:line="288" w:lineRule="auto"/>
        <w:rPr>
          <w:rFonts w:ascii="宋体"/>
          <w:color w:val="000000"/>
          <w:kern w:val="0"/>
          <w:sz w:val="24"/>
          <w:szCs w:val="24"/>
        </w:rPr>
      </w:pP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基金管理人：创金合信基金管理有限公司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jc w:val="center"/>
        <w:rPr>
          <w:rFonts w:ascii="宋体"/>
          <w:b/>
          <w:color w:val="000000"/>
          <w:kern w:val="0"/>
          <w:sz w:val="24"/>
          <w:szCs w:val="24"/>
        </w:rPr>
      </w:pPr>
      <w:r>
        <w:rPr>
          <w:rFonts w:hint="eastAsia" w:ascii="宋体"/>
          <w:b/>
          <w:color w:val="000000"/>
          <w:kern w:val="0"/>
          <w:sz w:val="24"/>
          <w:szCs w:val="24"/>
        </w:rPr>
        <w:t>基金托管人：中国工商银行股份有限公司</w:t>
      </w:r>
    </w:p>
    <w:p>
      <w:pPr>
        <w:autoSpaceDE w:val="0"/>
        <w:autoSpaceDN w:val="0"/>
        <w:adjustRightInd w:val="0"/>
        <w:spacing w:line="288" w:lineRule="auto"/>
        <w:jc w:val="center"/>
        <w:rPr>
          <w:rFonts w:ascii="宋体"/>
          <w:color w:val="000000"/>
          <w:kern w:val="0"/>
          <w:sz w:val="24"/>
          <w:szCs w:val="24"/>
        </w:rPr>
      </w:pPr>
    </w:p>
    <w:p>
      <w:pPr>
        <w:autoSpaceDE w:val="0"/>
        <w:autoSpaceDN w:val="0"/>
        <w:adjustRightInd w:val="0"/>
        <w:spacing w:before="30" w:line="288" w:lineRule="auto"/>
        <w:ind w:left="15" w:firstLine="482"/>
        <w:rPr>
          <w:rFonts w:ascii="宋体"/>
          <w:b/>
          <w:color w:val="000000"/>
          <w:kern w:val="0"/>
          <w:sz w:val="24"/>
          <w:szCs w:val="24"/>
        </w:rPr>
      </w:pPr>
      <w:r>
        <w:rPr>
          <w:rFonts w:ascii="宋体"/>
          <w:b/>
          <w:color w:val="000000"/>
          <w:kern w:val="0"/>
          <w:sz w:val="24"/>
          <w:szCs w:val="24"/>
        </w:rPr>
        <w:t xml:space="preserve">                 </w:t>
      </w:r>
      <w:r>
        <w:rPr>
          <w:rFonts w:hint="eastAsia" w:ascii="宋体"/>
          <w:b/>
          <w:color w:val="000000"/>
          <w:kern w:val="0"/>
          <w:sz w:val="24"/>
          <w:szCs w:val="24"/>
        </w:rPr>
        <w:t>送出日期：</w:t>
      </w:r>
      <w:r>
        <w:rPr>
          <w:rFonts w:ascii="宋体"/>
          <w:b/>
          <w:color w:val="000000"/>
          <w:kern w:val="0"/>
          <w:sz w:val="24"/>
          <w:szCs w:val="24"/>
        </w:rPr>
        <w:t>2016</w:t>
      </w:r>
      <w:r>
        <w:rPr>
          <w:rFonts w:hint="eastAsia" w:ascii="宋体"/>
          <w:b/>
          <w:color w:val="000000"/>
          <w:kern w:val="0"/>
          <w:sz w:val="24"/>
          <w:szCs w:val="24"/>
        </w:rPr>
        <w:t>年</w:t>
      </w:r>
      <w:r>
        <w:rPr>
          <w:rFonts w:ascii="宋体"/>
          <w:b/>
          <w:color w:val="000000"/>
          <w:kern w:val="0"/>
          <w:sz w:val="24"/>
          <w:szCs w:val="24"/>
        </w:rPr>
        <w:t>03</w:t>
      </w:r>
      <w:r>
        <w:rPr>
          <w:rFonts w:hint="eastAsia" w:ascii="宋体"/>
          <w:b/>
          <w:color w:val="000000"/>
          <w:kern w:val="0"/>
          <w:sz w:val="24"/>
          <w:szCs w:val="24"/>
        </w:rPr>
        <w:t>月</w:t>
      </w:r>
      <w:r>
        <w:rPr>
          <w:rFonts w:ascii="宋体"/>
          <w:b/>
          <w:color w:val="000000"/>
          <w:kern w:val="0"/>
          <w:sz w:val="24"/>
          <w:szCs w:val="24"/>
        </w:rPr>
        <w:t>2</w:t>
      </w:r>
      <w:r>
        <w:rPr>
          <w:rFonts w:hint="eastAsia" w:ascii="宋体"/>
          <w:b/>
          <w:color w:val="000000"/>
          <w:kern w:val="0"/>
          <w:sz w:val="24"/>
          <w:szCs w:val="24"/>
        </w:rPr>
        <w:t>6日</w:t>
      </w:r>
    </w:p>
    <w:p>
      <w:pPr>
        <w:autoSpaceDE w:val="0"/>
        <w:autoSpaceDN w:val="0"/>
        <w:adjustRightInd w:val="0"/>
        <w:spacing w:line="288" w:lineRule="auto"/>
        <w:jc w:val="left"/>
        <w:rPr>
          <w:rFonts w:ascii="宋体"/>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宋体"/>
          <w:b/>
          <w:color w:val="000000"/>
          <w:kern w:val="0"/>
          <w:sz w:val="24"/>
          <w:szCs w:val="24"/>
        </w:rPr>
      </w:pPr>
      <w:bookmarkStart w:id="0" w:name="_Toc446321349"/>
      <w:r>
        <w:rPr>
          <w:rFonts w:hint="eastAsia" w:ascii="宋体"/>
          <w:b/>
          <w:color w:val="000000"/>
          <w:kern w:val="0"/>
          <w:sz w:val="24"/>
          <w:szCs w:val="24"/>
        </w:rPr>
        <w:t>§</w:t>
      </w:r>
      <w:r>
        <w:rPr>
          <w:rFonts w:ascii="宋体"/>
          <w:b/>
          <w:color w:val="000000"/>
          <w:kern w:val="0"/>
          <w:sz w:val="24"/>
          <w:szCs w:val="24"/>
        </w:rPr>
        <w:t xml:space="preserve">1  </w:t>
      </w:r>
      <w:r>
        <w:rPr>
          <w:rFonts w:hint="eastAsia" w:ascii="宋体"/>
          <w:b/>
          <w:color w:val="000000"/>
          <w:kern w:val="0"/>
          <w:sz w:val="24"/>
          <w:szCs w:val="24"/>
        </w:rPr>
        <w:t>重要提示及目录</w:t>
      </w:r>
      <w:bookmarkEnd w:id="0"/>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30" w:line="288" w:lineRule="auto"/>
        <w:ind w:left="15"/>
        <w:jc w:val="left"/>
        <w:outlineLvl w:val="1"/>
        <w:rPr>
          <w:rFonts w:ascii="宋体"/>
          <w:b/>
          <w:color w:val="000000"/>
          <w:kern w:val="0"/>
          <w:sz w:val="24"/>
          <w:szCs w:val="24"/>
        </w:rPr>
      </w:pPr>
      <w:bookmarkStart w:id="1" w:name="_Toc446321350"/>
      <w:r>
        <w:rPr>
          <w:rFonts w:ascii="宋体"/>
          <w:b/>
          <w:color w:val="000000"/>
          <w:kern w:val="0"/>
          <w:sz w:val="24"/>
          <w:szCs w:val="24"/>
        </w:rPr>
        <w:t xml:space="preserve">1.1 </w:t>
      </w:r>
      <w:r>
        <w:rPr>
          <w:rFonts w:hint="eastAsia" w:ascii="宋体"/>
          <w:b/>
          <w:color w:val="000000"/>
          <w:kern w:val="0"/>
          <w:sz w:val="24"/>
          <w:szCs w:val="24"/>
        </w:rPr>
        <w:t>重要提示</w:t>
      </w:r>
      <w:bookmarkEnd w:id="1"/>
    </w:p>
    <w:tbl>
      <w:tblPr>
        <w:tblStyle w:val="10"/>
        <w:tblW w:w="0" w:type="auto"/>
        <w:tblInd w:w="108" w:type="dxa"/>
        <w:tblLayout w:type="fixed"/>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的董事会、董事保证本报告所载资料不存在虚假记载、误导性陈述或重大遗漏，并对其内容的真实性、准确性和完整性承担个别及连带的法律责任。本年度报告已经全部独立董事签字同意，并由董事长签发。</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基金托管人中国工商银行股份有限公司根据本基金合同规定，于</w:t>
            </w:r>
            <w:r>
              <w:rPr>
                <w:rFonts w:ascii="宋体"/>
                <w:color w:val="000000"/>
                <w:kern w:val="0"/>
                <w:sz w:val="24"/>
                <w:szCs w:val="24"/>
              </w:rPr>
              <w:t>2016</w:t>
            </w:r>
            <w:r>
              <w:rPr>
                <w:rFonts w:hint="eastAsia" w:ascii="宋体"/>
                <w:color w:val="000000"/>
                <w:kern w:val="0"/>
                <w:sz w:val="24"/>
                <w:szCs w:val="24"/>
              </w:rPr>
              <w:t>年3</w:t>
            </w:r>
            <w:r>
              <w:rPr>
                <w:rFonts w:ascii="宋体"/>
                <w:color w:val="000000"/>
                <w:kern w:val="0"/>
                <w:sz w:val="24"/>
                <w:szCs w:val="24"/>
              </w:rPr>
              <w:t xml:space="preserve"> </w:t>
            </w:r>
            <w:r>
              <w:rPr>
                <w:rFonts w:hint="eastAsia" w:ascii="宋体"/>
                <w:color w:val="000000"/>
                <w:kern w:val="0"/>
                <w:sz w:val="24"/>
                <w:szCs w:val="24"/>
              </w:rPr>
              <w:t>月23</w:t>
            </w:r>
            <w:r>
              <w:rPr>
                <w:rFonts w:ascii="宋体"/>
                <w:color w:val="000000"/>
                <w:kern w:val="0"/>
                <w:sz w:val="24"/>
                <w:szCs w:val="24"/>
              </w:rPr>
              <w:t xml:space="preserve"> </w:t>
            </w:r>
            <w:r>
              <w:rPr>
                <w:rFonts w:hint="eastAsia" w:ascii="宋体"/>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普华永道中天会计师事务所（特殊普通合伙）为本基金出具了无保留意见的审计报告，基金管理人在本报告中对相关事项亦有详细说明，请投资者注意阅读。</w:t>
            </w:r>
          </w:p>
          <w:p>
            <w:pPr>
              <w:autoSpaceDE w:val="0"/>
              <w:autoSpaceDN w:val="0"/>
              <w:adjustRightInd w:val="0"/>
              <w:spacing w:before="30" w:line="288" w:lineRule="auto"/>
              <w:ind w:left="15" w:firstLine="482"/>
              <w:jc w:val="left"/>
              <w:rPr>
                <w:rFonts w:ascii="宋体"/>
                <w:color w:val="000000"/>
                <w:kern w:val="0"/>
                <w:sz w:val="24"/>
                <w:szCs w:val="24"/>
              </w:rPr>
            </w:pPr>
            <w:r>
              <w:rPr>
                <w:rFonts w:hint="eastAsia" w:ascii="宋体"/>
                <w:color w:val="000000"/>
                <w:kern w:val="0"/>
                <w:sz w:val="24"/>
                <w:szCs w:val="24"/>
              </w:rPr>
              <w:t>本报告期自</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日（基金合同生效日）起至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w:t>
            </w:r>
          </w:p>
        </w:tc>
      </w:tr>
    </w:tbl>
    <w:p>
      <w:pPr>
        <w:autoSpaceDE w:val="0"/>
        <w:autoSpaceDN w:val="0"/>
        <w:adjustRightInd w:val="0"/>
        <w:spacing w:line="288" w:lineRule="auto"/>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宋体"/>
          <w:b/>
          <w:color w:val="000000"/>
          <w:kern w:val="0"/>
          <w:sz w:val="24"/>
          <w:szCs w:val="24"/>
        </w:rPr>
      </w:pPr>
      <w:bookmarkStart w:id="2" w:name="_Toc446321351"/>
      <w:r>
        <w:rPr>
          <w:rFonts w:ascii="宋体"/>
          <w:b/>
          <w:color w:val="000000"/>
          <w:kern w:val="0"/>
          <w:sz w:val="24"/>
          <w:szCs w:val="24"/>
        </w:rPr>
        <w:t xml:space="preserve">1.2  </w:t>
      </w:r>
      <w:r>
        <w:rPr>
          <w:rFonts w:hint="eastAsia" w:ascii="宋体"/>
          <w:b/>
          <w:color w:val="000000"/>
          <w:kern w:val="0"/>
          <w:sz w:val="24"/>
          <w:szCs w:val="24"/>
        </w:rPr>
        <w:t>目录</w:t>
      </w:r>
      <w:bookmarkEnd w:id="2"/>
    </w:p>
    <w:p>
      <w:pPr>
        <w:pStyle w:val="14"/>
        <w:jc w:val="center"/>
        <w:rPr>
          <w:color w:val="auto"/>
        </w:rPr>
      </w:pPr>
      <w:r>
        <w:rPr>
          <w:color w:val="auto"/>
          <w:lang w:val="zh-CN"/>
        </w:rPr>
        <w:t>目录</w:t>
      </w:r>
    </w:p>
    <w:p>
      <w:pPr>
        <w:pStyle w:val="7"/>
        <w:tabs>
          <w:tab w:val="right" w:leader="dot" w:pos="9076"/>
        </w:tabs>
        <w:rPr>
          <w:lang/>
        </w:rPr>
      </w:pPr>
      <w:r>
        <w:fldChar w:fldCharType="begin"/>
      </w:r>
      <w:r>
        <w:instrText xml:space="preserve"> TOC \o "1-3" \h \z \u </w:instrText>
      </w:r>
      <w:r>
        <w:fldChar w:fldCharType="separate"/>
      </w:r>
      <w:r>
        <w:rPr>
          <w:rStyle w:val="12"/>
          <w:lang/>
        </w:rPr>
        <w:fldChar w:fldCharType="begin"/>
      </w:r>
      <w:r>
        <w:rPr>
          <w:rStyle w:val="12"/>
          <w:lang/>
        </w:rPr>
        <w:instrText xml:space="preserve"> </w:instrText>
      </w:r>
      <w:r>
        <w:rPr>
          <w:lang/>
        </w:rPr>
        <w:instrText xml:space="preserve">HYPERLINK \l "_Toc446321349"</w:instrText>
      </w:r>
      <w:r>
        <w:rPr>
          <w:rStyle w:val="12"/>
          <w:lang/>
        </w:rPr>
        <w:instrText xml:space="preserve"> </w:instrText>
      </w:r>
      <w:r>
        <w:rPr>
          <w:rStyle w:val="12"/>
          <w:lang/>
        </w:rPr>
        <w:fldChar w:fldCharType="separate"/>
      </w:r>
      <w:r>
        <w:rPr>
          <w:rStyle w:val="12"/>
          <w:rFonts w:ascii="宋体"/>
          <w:b/>
          <w:kern w:val="0"/>
          <w:lang/>
        </w:rPr>
        <w:t xml:space="preserve">§1  </w:t>
      </w:r>
      <w:r>
        <w:rPr>
          <w:rStyle w:val="12"/>
          <w:rFonts w:hint="eastAsia" w:ascii="宋体"/>
          <w:b/>
          <w:kern w:val="0"/>
          <w:lang/>
        </w:rPr>
        <w:t>重要提示及目录</w:t>
      </w:r>
      <w:r>
        <w:rPr>
          <w:lang/>
        </w:rPr>
        <w:tab/>
      </w:r>
      <w:r>
        <w:rPr>
          <w:lang/>
        </w:rPr>
        <w:fldChar w:fldCharType="begin"/>
      </w:r>
      <w:r>
        <w:rPr>
          <w:lang/>
        </w:rPr>
        <w:instrText xml:space="preserve"> PAGEREF _Toc446321349 \h </w:instrText>
      </w:r>
      <w:r>
        <w:rPr>
          <w:lang/>
        </w:rPr>
        <w:fldChar w:fldCharType="separate"/>
      </w:r>
      <w:r>
        <w:rPr>
          <w:lang/>
        </w:rPr>
        <w:t>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"_Toc446321350"</w:instrText>
      </w:r>
      <w:r>
        <w:rPr>
          <w:rStyle w:val="12"/>
          <w:lang/>
        </w:rPr>
        <w:instrText xml:space="preserve"> </w:instrText>
      </w:r>
      <w:r>
        <w:rPr>
          <w:rStyle w:val="12"/>
          <w:lang/>
        </w:rPr>
        <w:fldChar w:fldCharType="separate"/>
      </w:r>
      <w:r>
        <w:rPr>
          <w:rStyle w:val="12"/>
          <w:rFonts w:ascii="宋体"/>
          <w:b/>
          <w:kern w:val="0"/>
          <w:lang/>
        </w:rPr>
        <w:t xml:space="preserve">1.1 </w:t>
      </w:r>
      <w:r>
        <w:rPr>
          <w:rStyle w:val="12"/>
          <w:rFonts w:hint="eastAsia" w:ascii="宋体"/>
          <w:b/>
          <w:kern w:val="0"/>
          <w:lang/>
        </w:rPr>
        <w:t>重要提示</w:t>
      </w:r>
      <w:r>
        <w:rPr>
          <w:lang/>
        </w:rPr>
        <w:tab/>
      </w:r>
      <w:r>
        <w:rPr>
          <w:lang/>
        </w:rPr>
        <w:fldChar w:fldCharType="begin"/>
      </w:r>
      <w:r>
        <w:rPr>
          <w:lang/>
        </w:rPr>
        <w:instrText xml:space="preserve"> PAGEREF _Toc446321350 \h </w:instrText>
      </w:r>
      <w:r>
        <w:rPr>
          <w:lang/>
        </w:rPr>
        <w:fldChar w:fldCharType="separate"/>
      </w:r>
      <w:r>
        <w:rPr>
          <w:lang/>
        </w:rPr>
        <w:t>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"_Toc446321351"</w:instrText>
      </w:r>
      <w:r>
        <w:rPr>
          <w:rStyle w:val="12"/>
          <w:lang/>
        </w:rPr>
        <w:instrText xml:space="preserve"> </w:instrText>
      </w:r>
      <w:r>
        <w:rPr>
          <w:rStyle w:val="12"/>
          <w:lang/>
        </w:rPr>
        <w:fldChar w:fldCharType="separate"/>
      </w:r>
      <w:r>
        <w:rPr>
          <w:rStyle w:val="12"/>
          <w:rFonts w:ascii="宋体"/>
          <w:b/>
          <w:kern w:val="0"/>
          <w:lang/>
        </w:rPr>
        <w:t xml:space="preserve">1.2  </w:t>
      </w:r>
      <w:r>
        <w:rPr>
          <w:rStyle w:val="12"/>
          <w:rFonts w:hint="eastAsia" w:ascii="宋体"/>
          <w:b/>
          <w:kern w:val="0"/>
          <w:lang/>
        </w:rPr>
        <w:t>目录</w:t>
      </w:r>
      <w:r>
        <w:rPr>
          <w:lang/>
        </w:rPr>
        <w:tab/>
      </w:r>
      <w:r>
        <w:rPr>
          <w:lang/>
        </w:rPr>
        <w:fldChar w:fldCharType="begin"/>
      </w:r>
      <w:r>
        <w:rPr>
          <w:lang/>
        </w:rPr>
        <w:instrText xml:space="preserve"> PAGEREF _Toc446321351 \h </w:instrText>
      </w:r>
      <w:r>
        <w:rPr>
          <w:lang/>
        </w:rPr>
        <w:fldChar w:fldCharType="separate"/>
      </w:r>
      <w:r>
        <w:rPr>
          <w:lang/>
        </w:rPr>
        <w:t>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"_Toc446321352"</w:instrText>
      </w:r>
      <w:r>
        <w:rPr>
          <w:rStyle w:val="12"/>
          <w:lang/>
        </w:rPr>
        <w:instrText xml:space="preserve"> </w:instrText>
      </w:r>
      <w:r>
        <w:rPr>
          <w:rStyle w:val="12"/>
          <w:lang/>
        </w:rPr>
        <w:fldChar w:fldCharType="separate"/>
      </w:r>
      <w:r>
        <w:rPr>
          <w:rStyle w:val="12"/>
          <w:rFonts w:ascii="宋体"/>
          <w:b/>
          <w:kern w:val="0"/>
          <w:lang/>
        </w:rPr>
        <w:t xml:space="preserve">§2  </w:t>
      </w:r>
      <w:r>
        <w:rPr>
          <w:rStyle w:val="12"/>
          <w:rFonts w:hint="eastAsia" w:ascii="宋体"/>
          <w:b/>
          <w:kern w:val="0"/>
          <w:lang/>
        </w:rPr>
        <w:t>基金简介</w:t>
      </w:r>
      <w:r>
        <w:rPr>
          <w:lang/>
        </w:rPr>
        <w:tab/>
      </w:r>
      <w:r>
        <w:rPr>
          <w:lang/>
        </w:rPr>
        <w:fldChar w:fldCharType="begin"/>
      </w:r>
      <w:r>
        <w:rPr>
          <w:lang/>
        </w:rPr>
        <w:instrText xml:space="preserve"> PAGEREF _Toc446321352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"_Toc446321353"</w:instrText>
      </w:r>
      <w:r>
        <w:rPr>
          <w:rStyle w:val="12"/>
          <w:lang/>
        </w:rPr>
        <w:instrText xml:space="preserve"> </w:instrText>
      </w:r>
      <w:r>
        <w:rPr>
          <w:rStyle w:val="12"/>
          <w:lang/>
        </w:rPr>
        <w:fldChar w:fldCharType="separate"/>
      </w:r>
      <w:r>
        <w:rPr>
          <w:rStyle w:val="12"/>
          <w:rFonts w:ascii="宋体"/>
          <w:b/>
          <w:kern w:val="0"/>
          <w:lang/>
        </w:rPr>
        <w:t xml:space="preserve">2.1 </w:t>
      </w:r>
      <w:r>
        <w:rPr>
          <w:rStyle w:val="12"/>
          <w:rFonts w:hint="eastAsia" w:ascii="宋体"/>
          <w:b/>
          <w:kern w:val="0"/>
          <w:lang/>
        </w:rPr>
        <w:t>基金基本情况</w:t>
      </w:r>
      <w:r>
        <w:rPr>
          <w:lang/>
        </w:rPr>
        <w:tab/>
      </w:r>
      <w:r>
        <w:rPr>
          <w:lang/>
        </w:rPr>
        <w:fldChar w:fldCharType="begin"/>
      </w:r>
      <w:r>
        <w:rPr>
          <w:lang/>
        </w:rPr>
        <w:instrText xml:space="preserve"> PAGEREF _Toc446321353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"_Toc446321354"</w:instrText>
      </w:r>
      <w:r>
        <w:rPr>
          <w:rStyle w:val="12"/>
          <w:lang/>
        </w:rPr>
        <w:instrText xml:space="preserve"> </w:instrText>
      </w:r>
      <w:r>
        <w:rPr>
          <w:rStyle w:val="12"/>
          <w:lang/>
        </w:rPr>
        <w:fldChar w:fldCharType="separate"/>
      </w:r>
      <w:r>
        <w:rPr>
          <w:rStyle w:val="12"/>
          <w:rFonts w:ascii="宋体"/>
          <w:b/>
          <w:kern w:val="0"/>
          <w:lang/>
        </w:rPr>
        <w:t xml:space="preserve">2.2 </w:t>
      </w:r>
      <w:r>
        <w:rPr>
          <w:rStyle w:val="12"/>
          <w:rFonts w:hint="eastAsia" w:ascii="宋体"/>
          <w:b/>
          <w:kern w:val="0"/>
          <w:lang/>
        </w:rPr>
        <w:t>基金产品说明</w:t>
      </w:r>
      <w:r>
        <w:rPr>
          <w:lang/>
        </w:rPr>
        <w:tab/>
      </w:r>
      <w:r>
        <w:rPr>
          <w:lang/>
        </w:rPr>
        <w:fldChar w:fldCharType="begin"/>
      </w:r>
      <w:r>
        <w:rPr>
          <w:lang/>
        </w:rPr>
        <w:instrText xml:space="preserve"> PAGEREF _Toc446321354 \h </w:instrText>
      </w:r>
      <w:r>
        <w:rPr>
          <w:lang/>
        </w:rPr>
        <w:fldChar w:fldCharType="separate"/>
      </w:r>
      <w:r>
        <w:rPr>
          <w:lang/>
        </w:rPr>
        <w:t>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"_Toc446321355"</w:instrText>
      </w:r>
      <w:r>
        <w:rPr>
          <w:rStyle w:val="12"/>
          <w:lang/>
        </w:rPr>
        <w:instrText xml:space="preserve"> </w:instrText>
      </w:r>
      <w:r>
        <w:rPr>
          <w:rStyle w:val="12"/>
          <w:lang/>
        </w:rPr>
        <w:fldChar w:fldCharType="separate"/>
      </w:r>
      <w:r>
        <w:rPr>
          <w:rStyle w:val="12"/>
          <w:rFonts w:ascii="宋体"/>
          <w:b/>
          <w:kern w:val="0"/>
          <w:lang/>
        </w:rPr>
        <w:t xml:space="preserve">2.3 </w:t>
      </w:r>
      <w:r>
        <w:rPr>
          <w:rStyle w:val="12"/>
          <w:rFonts w:hint="eastAsia" w:ascii="宋体"/>
          <w:b/>
          <w:kern w:val="0"/>
          <w:lang/>
        </w:rPr>
        <w:t>基金管理人和基金托管人</w:t>
      </w:r>
      <w:r>
        <w:rPr>
          <w:lang/>
        </w:rPr>
        <w:tab/>
      </w:r>
      <w:r>
        <w:rPr>
          <w:lang/>
        </w:rPr>
        <w:fldChar w:fldCharType="begin"/>
      </w:r>
      <w:r>
        <w:rPr>
          <w:lang/>
        </w:rPr>
        <w:instrText xml:space="preserve"> PAGEREF _Toc446321355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"_Toc446321356"</w:instrText>
      </w:r>
      <w:r>
        <w:rPr>
          <w:rStyle w:val="12"/>
          <w:lang/>
        </w:rPr>
        <w:instrText xml:space="preserve"> </w:instrText>
      </w:r>
      <w:r>
        <w:rPr>
          <w:rStyle w:val="12"/>
          <w:lang/>
        </w:rPr>
        <w:fldChar w:fldCharType="separate"/>
      </w:r>
      <w:r>
        <w:rPr>
          <w:rStyle w:val="12"/>
          <w:rFonts w:ascii="宋体"/>
          <w:b/>
          <w:kern w:val="0"/>
          <w:lang/>
        </w:rPr>
        <w:t xml:space="preserve">2.4 </w:t>
      </w:r>
      <w:r>
        <w:rPr>
          <w:rStyle w:val="12"/>
          <w:rFonts w:hint="eastAsia" w:ascii="宋体"/>
          <w:b/>
          <w:kern w:val="0"/>
          <w:lang/>
        </w:rPr>
        <w:t>信息披露方式</w:t>
      </w:r>
      <w:r>
        <w:rPr>
          <w:lang/>
        </w:rPr>
        <w:tab/>
      </w:r>
      <w:r>
        <w:rPr>
          <w:lang/>
        </w:rPr>
        <w:fldChar w:fldCharType="begin"/>
      </w:r>
      <w:r>
        <w:rPr>
          <w:lang/>
        </w:rPr>
        <w:instrText xml:space="preserve"> PAGEREF _Toc446321356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"_Toc446321357"</w:instrText>
      </w:r>
      <w:r>
        <w:rPr>
          <w:rStyle w:val="12"/>
          <w:lang/>
        </w:rPr>
        <w:instrText xml:space="preserve"> </w:instrText>
      </w:r>
      <w:r>
        <w:rPr>
          <w:rStyle w:val="12"/>
          <w:lang/>
        </w:rPr>
        <w:fldChar w:fldCharType="separate"/>
      </w:r>
      <w:r>
        <w:rPr>
          <w:rStyle w:val="12"/>
          <w:rFonts w:ascii="宋体"/>
          <w:b/>
          <w:kern w:val="0"/>
          <w:lang/>
        </w:rPr>
        <w:t xml:space="preserve">2.5 </w:t>
      </w:r>
      <w:r>
        <w:rPr>
          <w:rStyle w:val="12"/>
          <w:rFonts w:hint="eastAsia" w:ascii="宋体"/>
          <w:b/>
          <w:kern w:val="0"/>
          <w:lang/>
        </w:rPr>
        <w:t>其他相关资料</w:t>
      </w:r>
      <w:r>
        <w:rPr>
          <w:lang/>
        </w:rPr>
        <w:tab/>
      </w:r>
      <w:r>
        <w:rPr>
          <w:lang/>
        </w:rPr>
        <w:fldChar w:fldCharType="begin"/>
      </w:r>
      <w:r>
        <w:rPr>
          <w:lang/>
        </w:rPr>
        <w:instrText xml:space="preserve"> PAGEREF _Toc446321357 \h </w:instrText>
      </w:r>
      <w:r>
        <w:rPr>
          <w:lang/>
        </w:rPr>
        <w:fldChar w:fldCharType="separate"/>
      </w:r>
      <w:r>
        <w:rPr>
          <w:lang/>
        </w:rPr>
        <w:t>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"_Toc446321358"</w:instrText>
      </w:r>
      <w:r>
        <w:rPr>
          <w:rStyle w:val="12"/>
          <w:lang/>
        </w:rPr>
        <w:instrText xml:space="preserve"> </w:instrText>
      </w:r>
      <w:r>
        <w:rPr>
          <w:rStyle w:val="12"/>
          <w:lang/>
        </w:rPr>
        <w:fldChar w:fldCharType="separate"/>
      </w:r>
      <w:r>
        <w:rPr>
          <w:rStyle w:val="12"/>
          <w:rFonts w:ascii="宋体"/>
          <w:b/>
          <w:kern w:val="0"/>
          <w:lang/>
        </w:rPr>
        <w:t xml:space="preserve">§3  </w:t>
      </w:r>
      <w:r>
        <w:rPr>
          <w:rStyle w:val="12"/>
          <w:rFonts w:hint="eastAsia" w:ascii="宋体"/>
          <w:b/>
          <w:kern w:val="0"/>
          <w:lang/>
        </w:rPr>
        <w:t>主要财务指标、基金净值表现及利润分配情况</w:t>
      </w:r>
      <w:r>
        <w:rPr>
          <w:lang/>
        </w:rPr>
        <w:tab/>
      </w:r>
      <w:r>
        <w:rPr>
          <w:lang/>
        </w:rPr>
        <w:fldChar w:fldCharType="begin"/>
      </w:r>
      <w:r>
        <w:rPr>
          <w:lang/>
        </w:rPr>
        <w:instrText xml:space="preserve"> PAGEREF _Toc446321358 \h </w:instrText>
      </w:r>
      <w:r>
        <w:rPr>
          <w:lang/>
        </w:rPr>
        <w:fldChar w:fldCharType="separate"/>
      </w:r>
      <w:r>
        <w:rPr>
          <w:lang/>
        </w:rPr>
        <w:t>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"_Toc446321359"</w:instrText>
      </w:r>
      <w:r>
        <w:rPr>
          <w:rStyle w:val="12"/>
          <w:lang/>
        </w:rPr>
        <w:instrText xml:space="preserve"> </w:instrText>
      </w:r>
      <w:r>
        <w:rPr>
          <w:rStyle w:val="12"/>
          <w:lang/>
        </w:rPr>
        <w:fldChar w:fldCharType="separate"/>
      </w:r>
      <w:r>
        <w:rPr>
          <w:rStyle w:val="12"/>
          <w:rFonts w:ascii="宋体"/>
          <w:b/>
          <w:kern w:val="0"/>
          <w:lang/>
        </w:rPr>
        <w:t xml:space="preserve">3.1 </w:t>
      </w:r>
      <w:r>
        <w:rPr>
          <w:rStyle w:val="12"/>
          <w:rFonts w:hint="eastAsia" w:ascii="宋体"/>
          <w:b/>
          <w:kern w:val="0"/>
          <w:lang/>
        </w:rPr>
        <w:t>主要会计数据和财务指标</w:t>
      </w:r>
      <w:r>
        <w:rPr>
          <w:lang/>
        </w:rPr>
        <w:tab/>
      </w:r>
      <w:r>
        <w:rPr>
          <w:lang/>
        </w:rPr>
        <w:fldChar w:fldCharType="begin"/>
      </w:r>
      <w:r>
        <w:rPr>
          <w:lang/>
        </w:rPr>
        <w:instrText xml:space="preserve"> PAGEREF _Toc446321359 \h </w:instrText>
      </w:r>
      <w:r>
        <w:rPr>
          <w:lang/>
        </w:rPr>
        <w:fldChar w:fldCharType="separate"/>
      </w:r>
      <w:r>
        <w:rPr>
          <w:lang/>
        </w:rPr>
        <w:t>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"_Toc446321360"</w:instrText>
      </w:r>
      <w:r>
        <w:rPr>
          <w:rStyle w:val="12"/>
          <w:lang/>
        </w:rPr>
        <w:instrText xml:space="preserve"> </w:instrText>
      </w:r>
      <w:r>
        <w:rPr>
          <w:rStyle w:val="12"/>
          <w:lang/>
        </w:rPr>
        <w:fldChar w:fldCharType="separate"/>
      </w:r>
      <w:r>
        <w:rPr>
          <w:rStyle w:val="12"/>
          <w:rFonts w:ascii="宋体"/>
          <w:b/>
          <w:kern w:val="0"/>
          <w:lang/>
        </w:rPr>
        <w:t xml:space="preserve">3.2 </w:t>
      </w:r>
      <w:r>
        <w:rPr>
          <w:rStyle w:val="12"/>
          <w:rFonts w:hint="eastAsia" w:ascii="宋体"/>
          <w:b/>
          <w:kern w:val="0"/>
          <w:lang/>
        </w:rPr>
        <w:t>基金净值表现</w:t>
      </w:r>
      <w:r>
        <w:rPr>
          <w:lang/>
        </w:rPr>
        <w:tab/>
      </w:r>
      <w:r>
        <w:rPr>
          <w:lang/>
        </w:rPr>
        <w:fldChar w:fldCharType="begin"/>
      </w:r>
      <w:r>
        <w:rPr>
          <w:lang/>
        </w:rPr>
        <w:instrText xml:space="preserve"> PAGEREF _Toc446321360 \h </w:instrText>
      </w:r>
      <w:r>
        <w:rPr>
          <w:lang/>
        </w:rPr>
        <w:fldChar w:fldCharType="separate"/>
      </w:r>
      <w:r>
        <w:rPr>
          <w:lang/>
        </w:rPr>
        <w:t>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"_Toc446321361"</w:instrText>
      </w:r>
      <w:r>
        <w:rPr>
          <w:rStyle w:val="12"/>
          <w:lang/>
        </w:rPr>
        <w:instrText xml:space="preserve"> </w:instrText>
      </w:r>
      <w:r>
        <w:rPr>
          <w:rStyle w:val="12"/>
          <w:lang/>
        </w:rPr>
        <w:fldChar w:fldCharType="separate"/>
      </w:r>
      <w:r>
        <w:rPr>
          <w:rStyle w:val="12"/>
          <w:rFonts w:ascii="宋体"/>
          <w:b/>
          <w:kern w:val="0"/>
          <w:lang/>
        </w:rPr>
        <w:t xml:space="preserve">§4  </w:t>
      </w:r>
      <w:r>
        <w:rPr>
          <w:rStyle w:val="12"/>
          <w:rFonts w:hint="eastAsia" w:ascii="宋体"/>
          <w:b/>
          <w:kern w:val="0"/>
          <w:lang/>
        </w:rPr>
        <w:t>管理人报告</w:t>
      </w:r>
      <w:r>
        <w:rPr>
          <w:lang/>
        </w:rPr>
        <w:tab/>
      </w:r>
      <w:r>
        <w:rPr>
          <w:lang/>
        </w:rPr>
        <w:fldChar w:fldCharType="begin"/>
      </w:r>
      <w:r>
        <w:rPr>
          <w:lang/>
        </w:rPr>
        <w:instrText xml:space="preserve"> PAGEREF _Toc446321361 \h </w:instrText>
      </w:r>
      <w:r>
        <w:rPr>
          <w:lang/>
        </w:rPr>
        <w:fldChar w:fldCharType="separate"/>
      </w:r>
      <w:r>
        <w:rPr>
          <w:lang/>
        </w:rPr>
        <w:t>10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"_Toc446321362"</w:instrText>
      </w:r>
      <w:r>
        <w:rPr>
          <w:rStyle w:val="12"/>
          <w:lang/>
        </w:rPr>
        <w:instrText xml:space="preserve"> </w:instrText>
      </w:r>
      <w:r>
        <w:rPr>
          <w:rStyle w:val="12"/>
          <w:lang/>
        </w:rPr>
        <w:fldChar w:fldCharType="separate"/>
      </w:r>
      <w:r>
        <w:rPr>
          <w:rStyle w:val="12"/>
          <w:rFonts w:ascii="宋体"/>
          <w:b/>
          <w:kern w:val="0"/>
          <w:lang/>
        </w:rPr>
        <w:t xml:space="preserve">4.1 </w:t>
      </w:r>
      <w:r>
        <w:rPr>
          <w:rStyle w:val="12"/>
          <w:rFonts w:hint="eastAsia" w:ascii="宋体"/>
          <w:b/>
          <w:kern w:val="0"/>
          <w:lang/>
        </w:rPr>
        <w:t>基金管理人及基金经理情况</w:t>
      </w:r>
      <w:r>
        <w:rPr>
          <w:lang/>
        </w:rPr>
        <w:tab/>
      </w:r>
      <w:r>
        <w:rPr>
          <w:lang/>
        </w:rPr>
        <w:fldChar w:fldCharType="begin"/>
      </w:r>
      <w:r>
        <w:rPr>
          <w:lang/>
        </w:rPr>
        <w:instrText xml:space="preserve"> PAGEREF _Toc446321362 \h </w:instrText>
      </w:r>
      <w:r>
        <w:rPr>
          <w:lang/>
        </w:rPr>
        <w:fldChar w:fldCharType="separate"/>
      </w:r>
      <w:r>
        <w:rPr>
          <w:lang/>
        </w:rPr>
        <w:t>10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"_Toc446321363"</w:instrText>
      </w:r>
      <w:r>
        <w:rPr>
          <w:rStyle w:val="12"/>
          <w:lang/>
        </w:rPr>
        <w:instrText xml:space="preserve"> </w:instrText>
      </w:r>
      <w:r>
        <w:rPr>
          <w:rStyle w:val="12"/>
          <w:lang/>
        </w:rPr>
        <w:fldChar w:fldCharType="separate"/>
      </w:r>
      <w:r>
        <w:rPr>
          <w:rStyle w:val="12"/>
          <w:rFonts w:ascii="宋体"/>
          <w:b/>
          <w:kern w:val="0"/>
          <w:lang/>
        </w:rPr>
        <w:t xml:space="preserve">4.2 </w:t>
      </w:r>
      <w:r>
        <w:rPr>
          <w:rStyle w:val="12"/>
          <w:rFonts w:hint="eastAsia" w:ascii="宋体"/>
          <w:b/>
          <w:kern w:val="0"/>
          <w:lang/>
        </w:rPr>
        <w:t>管理人对报告期内本基金运作遵规守信情况的说明</w:t>
      </w:r>
      <w:r>
        <w:rPr>
          <w:lang/>
        </w:rPr>
        <w:tab/>
      </w:r>
      <w:r>
        <w:rPr>
          <w:lang/>
        </w:rPr>
        <w:fldChar w:fldCharType="begin"/>
      </w:r>
      <w:r>
        <w:rPr>
          <w:lang/>
        </w:rPr>
        <w:instrText xml:space="preserve"> PAGEREF _Toc446321363 \h </w:instrText>
      </w:r>
      <w:r>
        <w:rPr>
          <w:lang/>
        </w:rPr>
        <w:fldChar w:fldCharType="separate"/>
      </w:r>
      <w:r>
        <w:rPr>
          <w:lang/>
        </w:rPr>
        <w:t>12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"_Toc446321364"</w:instrText>
      </w:r>
      <w:r>
        <w:rPr>
          <w:rStyle w:val="12"/>
          <w:lang/>
        </w:rPr>
        <w:instrText xml:space="preserve"> </w:instrText>
      </w:r>
      <w:r>
        <w:rPr>
          <w:rStyle w:val="12"/>
          <w:lang/>
        </w:rPr>
        <w:fldChar w:fldCharType="separate"/>
      </w:r>
      <w:r>
        <w:rPr>
          <w:rStyle w:val="12"/>
          <w:rFonts w:ascii="宋体"/>
          <w:b/>
          <w:kern w:val="0"/>
          <w:lang/>
        </w:rPr>
        <w:t xml:space="preserve">4.3 </w:t>
      </w:r>
      <w:r>
        <w:rPr>
          <w:rStyle w:val="12"/>
          <w:rFonts w:hint="eastAsia" w:ascii="宋体"/>
          <w:b/>
          <w:kern w:val="0"/>
          <w:lang/>
        </w:rPr>
        <w:t>管理人对报告期内公平交易情况的专项说明</w:t>
      </w:r>
      <w:r>
        <w:rPr>
          <w:lang/>
        </w:rPr>
        <w:tab/>
      </w:r>
      <w:r>
        <w:rPr>
          <w:lang/>
        </w:rPr>
        <w:fldChar w:fldCharType="begin"/>
      </w:r>
      <w:r>
        <w:rPr>
          <w:lang/>
        </w:rPr>
        <w:instrText xml:space="preserve"> PAGEREF _Toc446321364 \h </w:instrText>
      </w:r>
      <w:r>
        <w:rPr>
          <w:lang/>
        </w:rPr>
        <w:fldChar w:fldCharType="separate"/>
      </w:r>
      <w:r>
        <w:rPr>
          <w:lang/>
        </w:rPr>
        <w:t>12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"_Toc446321365"</w:instrText>
      </w:r>
      <w:r>
        <w:rPr>
          <w:rStyle w:val="12"/>
          <w:lang/>
        </w:rPr>
        <w:instrText xml:space="preserve"> </w:instrText>
      </w:r>
      <w:r>
        <w:rPr>
          <w:rStyle w:val="12"/>
          <w:lang/>
        </w:rPr>
        <w:fldChar w:fldCharType="separate"/>
      </w:r>
      <w:r>
        <w:rPr>
          <w:rStyle w:val="12"/>
          <w:rFonts w:ascii="宋体"/>
          <w:b/>
          <w:kern w:val="0"/>
          <w:lang/>
        </w:rPr>
        <w:t xml:space="preserve">4.4 </w:t>
      </w:r>
      <w:r>
        <w:rPr>
          <w:rStyle w:val="12"/>
          <w:rFonts w:hint="eastAsia" w:ascii="宋体"/>
          <w:b/>
          <w:kern w:val="0"/>
          <w:lang/>
        </w:rPr>
        <w:t>管理人对报告期内基金的投资策略和业绩表现说明</w:t>
      </w:r>
      <w:r>
        <w:rPr>
          <w:lang/>
        </w:rPr>
        <w:tab/>
      </w:r>
      <w:r>
        <w:rPr>
          <w:lang/>
        </w:rPr>
        <w:fldChar w:fldCharType="begin"/>
      </w:r>
      <w:r>
        <w:rPr>
          <w:lang/>
        </w:rPr>
        <w:instrText xml:space="preserve"> PAGEREF _Toc446321365 \h </w:instrText>
      </w:r>
      <w:r>
        <w:rPr>
          <w:lang/>
        </w:rPr>
        <w:fldChar w:fldCharType="separate"/>
      </w:r>
      <w:r>
        <w:rPr>
          <w:lang/>
        </w:rPr>
        <w:t>13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"_Toc446321366"</w:instrText>
      </w:r>
      <w:r>
        <w:rPr>
          <w:rStyle w:val="12"/>
          <w:lang/>
        </w:rPr>
        <w:instrText xml:space="preserve"> </w:instrText>
      </w:r>
      <w:r>
        <w:rPr>
          <w:rStyle w:val="12"/>
          <w:lang/>
        </w:rPr>
        <w:fldChar w:fldCharType="separate"/>
      </w:r>
      <w:r>
        <w:rPr>
          <w:rStyle w:val="12"/>
          <w:rFonts w:ascii="宋体"/>
          <w:b/>
          <w:kern w:val="0"/>
          <w:lang/>
        </w:rPr>
        <w:t xml:space="preserve">4.5 </w:t>
      </w:r>
      <w:r>
        <w:rPr>
          <w:rStyle w:val="12"/>
          <w:rFonts w:hint="eastAsia" w:ascii="宋体"/>
          <w:b/>
          <w:kern w:val="0"/>
          <w:lang/>
        </w:rPr>
        <w:t>管理人对宏观经济、证券市场及行业走势的简要展望</w:t>
      </w:r>
      <w:r>
        <w:rPr>
          <w:lang/>
        </w:rPr>
        <w:tab/>
      </w:r>
      <w:r>
        <w:rPr>
          <w:lang/>
        </w:rPr>
        <w:fldChar w:fldCharType="begin"/>
      </w:r>
      <w:r>
        <w:rPr>
          <w:lang/>
        </w:rPr>
        <w:instrText xml:space="preserve"> PAGEREF _Toc446321366 \h </w:instrText>
      </w:r>
      <w:r>
        <w:rPr>
          <w:lang/>
        </w:rPr>
        <w:fldChar w:fldCharType="separate"/>
      </w:r>
      <w:r>
        <w:rPr>
          <w:lang/>
        </w:rPr>
        <w:t>14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"_Toc446321367"</w:instrText>
      </w:r>
      <w:r>
        <w:rPr>
          <w:rStyle w:val="12"/>
          <w:lang/>
        </w:rPr>
        <w:instrText xml:space="preserve"> </w:instrText>
      </w:r>
      <w:r>
        <w:rPr>
          <w:rStyle w:val="12"/>
          <w:lang/>
        </w:rPr>
        <w:fldChar w:fldCharType="separate"/>
      </w:r>
      <w:r>
        <w:rPr>
          <w:rStyle w:val="12"/>
          <w:rFonts w:ascii="宋体"/>
          <w:b/>
          <w:kern w:val="0"/>
          <w:lang/>
        </w:rPr>
        <w:t xml:space="preserve">4.6 </w:t>
      </w:r>
      <w:r>
        <w:rPr>
          <w:rStyle w:val="12"/>
          <w:rFonts w:hint="eastAsia" w:ascii="宋体"/>
          <w:b/>
          <w:kern w:val="0"/>
          <w:lang/>
        </w:rPr>
        <w:t>管理人内部有关本基金的监察稽核工作情况</w:t>
      </w:r>
      <w:r>
        <w:rPr>
          <w:lang/>
        </w:rPr>
        <w:tab/>
      </w:r>
      <w:r>
        <w:rPr>
          <w:lang/>
        </w:rPr>
        <w:fldChar w:fldCharType="begin"/>
      </w:r>
      <w:r>
        <w:rPr>
          <w:lang/>
        </w:rPr>
        <w:instrText xml:space="preserve"> PAGEREF _Toc446321367 \h </w:instrText>
      </w:r>
      <w:r>
        <w:rPr>
          <w:lang/>
        </w:rPr>
        <w:fldChar w:fldCharType="separate"/>
      </w:r>
      <w:r>
        <w:rPr>
          <w:lang/>
        </w:rPr>
        <w:t>15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"_Toc446321368"</w:instrText>
      </w:r>
      <w:r>
        <w:rPr>
          <w:rStyle w:val="12"/>
          <w:lang/>
        </w:rPr>
        <w:instrText xml:space="preserve"> </w:instrText>
      </w:r>
      <w:r>
        <w:rPr>
          <w:rStyle w:val="12"/>
          <w:lang/>
        </w:rPr>
        <w:fldChar w:fldCharType="separate"/>
      </w:r>
      <w:r>
        <w:rPr>
          <w:rStyle w:val="12"/>
          <w:rFonts w:ascii="宋体"/>
          <w:b/>
          <w:kern w:val="0"/>
          <w:lang/>
        </w:rPr>
        <w:t xml:space="preserve">4.7 </w:t>
      </w:r>
      <w:r>
        <w:rPr>
          <w:rStyle w:val="12"/>
          <w:rFonts w:hint="eastAsia" w:ascii="宋体"/>
          <w:b/>
          <w:kern w:val="0"/>
          <w:lang/>
        </w:rPr>
        <w:t>管理人对报告期内基金估值程序等事项的说明</w:t>
      </w:r>
      <w:r>
        <w:rPr>
          <w:lang/>
        </w:rPr>
        <w:tab/>
      </w:r>
      <w:r>
        <w:rPr>
          <w:lang/>
        </w:rPr>
        <w:fldChar w:fldCharType="begin"/>
      </w:r>
      <w:r>
        <w:rPr>
          <w:lang/>
        </w:rPr>
        <w:instrText xml:space="preserve"> PAGEREF _Toc446321368 \h </w:instrText>
      </w:r>
      <w:r>
        <w:rPr>
          <w:lang/>
        </w:rPr>
        <w:fldChar w:fldCharType="separate"/>
      </w:r>
      <w:r>
        <w:rPr>
          <w:lang/>
        </w:rPr>
        <w:t>16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"_Toc446321369"</w:instrText>
      </w:r>
      <w:r>
        <w:rPr>
          <w:rStyle w:val="12"/>
          <w:lang/>
        </w:rPr>
        <w:instrText xml:space="preserve"> </w:instrText>
      </w:r>
      <w:r>
        <w:rPr>
          <w:rStyle w:val="12"/>
          <w:lang/>
        </w:rPr>
        <w:fldChar w:fldCharType="separate"/>
      </w:r>
      <w:r>
        <w:rPr>
          <w:rStyle w:val="12"/>
          <w:rFonts w:ascii="宋体"/>
          <w:b/>
          <w:kern w:val="0"/>
          <w:lang/>
        </w:rPr>
        <w:t xml:space="preserve">4.8 </w:t>
      </w:r>
      <w:r>
        <w:rPr>
          <w:rStyle w:val="12"/>
          <w:rFonts w:hint="eastAsia" w:ascii="宋体"/>
          <w:b/>
          <w:kern w:val="0"/>
          <w:lang/>
        </w:rPr>
        <w:t>管理人对报告期内基金利润分配情况的说明</w:t>
      </w:r>
      <w:r>
        <w:rPr>
          <w:lang/>
        </w:rPr>
        <w:tab/>
      </w:r>
      <w:r>
        <w:rPr>
          <w:lang/>
        </w:rPr>
        <w:fldChar w:fldCharType="begin"/>
      </w:r>
      <w:r>
        <w:rPr>
          <w:lang/>
        </w:rPr>
        <w:instrText xml:space="preserve"> PAGEREF _Toc446321369 \h </w:instrText>
      </w:r>
      <w:r>
        <w:rPr>
          <w:lang/>
        </w:rPr>
        <w:fldChar w:fldCharType="separate"/>
      </w:r>
      <w:r>
        <w:rPr>
          <w:lang/>
        </w:rPr>
        <w:t>16</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"_Toc446321370"</w:instrText>
      </w:r>
      <w:r>
        <w:rPr>
          <w:rStyle w:val="12"/>
          <w:lang/>
        </w:rPr>
        <w:instrText xml:space="preserve"> </w:instrText>
      </w:r>
      <w:r>
        <w:rPr>
          <w:rStyle w:val="12"/>
          <w:lang/>
        </w:rPr>
        <w:fldChar w:fldCharType="separate"/>
      </w:r>
      <w:r>
        <w:rPr>
          <w:rStyle w:val="12"/>
          <w:rFonts w:ascii="宋体"/>
          <w:b/>
          <w:kern w:val="0"/>
          <w:lang/>
        </w:rPr>
        <w:t xml:space="preserve">§5  </w:t>
      </w:r>
      <w:r>
        <w:rPr>
          <w:rStyle w:val="12"/>
          <w:rFonts w:hint="eastAsia" w:ascii="宋体"/>
          <w:b/>
          <w:kern w:val="0"/>
          <w:lang/>
        </w:rPr>
        <w:t>托管人报告</w:t>
      </w:r>
      <w:r>
        <w:rPr>
          <w:lang/>
        </w:rPr>
        <w:tab/>
      </w:r>
      <w:r>
        <w:rPr>
          <w:lang/>
        </w:rPr>
        <w:fldChar w:fldCharType="begin"/>
      </w:r>
      <w:r>
        <w:rPr>
          <w:lang/>
        </w:rPr>
        <w:instrText xml:space="preserve"> PAGEREF _Toc446321370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"_Toc446321371"</w:instrText>
      </w:r>
      <w:r>
        <w:rPr>
          <w:rStyle w:val="12"/>
          <w:lang/>
        </w:rPr>
        <w:instrText xml:space="preserve"> </w:instrText>
      </w:r>
      <w:r>
        <w:rPr>
          <w:rStyle w:val="12"/>
          <w:lang/>
        </w:rPr>
        <w:fldChar w:fldCharType="separate"/>
      </w:r>
      <w:r>
        <w:rPr>
          <w:rStyle w:val="12"/>
          <w:rFonts w:ascii="宋体"/>
          <w:b/>
          <w:kern w:val="0"/>
          <w:lang/>
        </w:rPr>
        <w:t xml:space="preserve">5.1 </w:t>
      </w:r>
      <w:r>
        <w:rPr>
          <w:rStyle w:val="12"/>
          <w:rFonts w:hint="eastAsia" w:ascii="宋体"/>
          <w:b/>
          <w:kern w:val="0"/>
          <w:lang/>
        </w:rPr>
        <w:t>报告期内本基金托管人遵规守信情况声明</w:t>
      </w:r>
      <w:r>
        <w:rPr>
          <w:lang/>
        </w:rPr>
        <w:tab/>
      </w:r>
      <w:r>
        <w:rPr>
          <w:lang/>
        </w:rPr>
        <w:fldChar w:fldCharType="begin"/>
      </w:r>
      <w:r>
        <w:rPr>
          <w:lang/>
        </w:rPr>
        <w:instrText xml:space="preserve"> PAGEREF _Toc446321371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"_Toc446321372"</w:instrText>
      </w:r>
      <w:r>
        <w:rPr>
          <w:rStyle w:val="12"/>
          <w:lang/>
        </w:rPr>
        <w:instrText xml:space="preserve"> </w:instrText>
      </w:r>
      <w:r>
        <w:rPr>
          <w:rStyle w:val="12"/>
          <w:lang/>
        </w:rPr>
        <w:fldChar w:fldCharType="separate"/>
      </w:r>
      <w:r>
        <w:rPr>
          <w:rStyle w:val="12"/>
          <w:rFonts w:ascii="宋体"/>
          <w:b/>
          <w:kern w:val="0"/>
          <w:lang/>
        </w:rPr>
        <w:t xml:space="preserve">5.2 </w:t>
      </w:r>
      <w:r>
        <w:rPr>
          <w:rStyle w:val="12"/>
          <w:rFonts w:hint="eastAsia" w:ascii="宋体"/>
          <w:b/>
          <w:kern w:val="0"/>
          <w:lang/>
        </w:rPr>
        <w:t>托管人对报告期内本基金投资运作遵规守信、净值计算、利润分配等情况的说明</w:t>
      </w:r>
      <w:r>
        <w:rPr>
          <w:lang/>
        </w:rPr>
        <w:tab/>
      </w:r>
      <w:r>
        <w:rPr>
          <w:lang/>
        </w:rPr>
        <w:fldChar w:fldCharType="begin"/>
      </w:r>
      <w:r>
        <w:rPr>
          <w:lang/>
        </w:rPr>
        <w:instrText xml:space="preserve"> PAGEREF _Toc446321372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"_Toc446321373"</w:instrText>
      </w:r>
      <w:r>
        <w:rPr>
          <w:rStyle w:val="12"/>
          <w:lang/>
        </w:rPr>
        <w:instrText xml:space="preserve"> </w:instrText>
      </w:r>
      <w:r>
        <w:rPr>
          <w:rStyle w:val="12"/>
          <w:lang/>
        </w:rPr>
        <w:fldChar w:fldCharType="separate"/>
      </w:r>
      <w:r>
        <w:rPr>
          <w:rStyle w:val="12"/>
          <w:rFonts w:ascii="宋体"/>
          <w:b/>
          <w:kern w:val="0"/>
          <w:lang/>
        </w:rPr>
        <w:t xml:space="preserve">5.3 </w:t>
      </w:r>
      <w:r>
        <w:rPr>
          <w:rStyle w:val="12"/>
          <w:rFonts w:hint="eastAsia" w:ascii="宋体"/>
          <w:b/>
          <w:kern w:val="0"/>
          <w:lang/>
        </w:rPr>
        <w:t>托管人对本年度报告中财务信息等内容的真实、准确和完整发表意见</w:t>
      </w:r>
      <w:r>
        <w:rPr>
          <w:lang/>
        </w:rPr>
        <w:tab/>
      </w:r>
      <w:r>
        <w:rPr>
          <w:lang/>
        </w:rPr>
        <w:fldChar w:fldCharType="begin"/>
      </w:r>
      <w:r>
        <w:rPr>
          <w:lang/>
        </w:rPr>
        <w:instrText xml:space="preserve"> PAGEREF _Toc446321373 \h </w:instrText>
      </w:r>
      <w:r>
        <w:rPr>
          <w:lang/>
        </w:rPr>
        <w:fldChar w:fldCharType="separate"/>
      </w:r>
      <w:r>
        <w:rPr>
          <w:lang/>
        </w:rPr>
        <w:t>17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"_Toc446321374"</w:instrText>
      </w:r>
      <w:r>
        <w:rPr>
          <w:rStyle w:val="12"/>
          <w:lang/>
        </w:rPr>
        <w:instrText xml:space="preserve"> </w:instrText>
      </w:r>
      <w:r>
        <w:rPr>
          <w:rStyle w:val="12"/>
          <w:lang/>
        </w:rPr>
        <w:fldChar w:fldCharType="separate"/>
      </w:r>
      <w:r>
        <w:rPr>
          <w:rStyle w:val="12"/>
          <w:rFonts w:ascii="宋体"/>
          <w:b/>
          <w:kern w:val="0"/>
          <w:lang/>
        </w:rPr>
        <w:t xml:space="preserve">§6 </w:t>
      </w:r>
      <w:r>
        <w:rPr>
          <w:rStyle w:val="12"/>
          <w:rFonts w:hint="eastAsia" w:ascii="宋体"/>
          <w:b/>
          <w:kern w:val="0"/>
          <w:lang/>
        </w:rPr>
        <w:t>审计报告</w:t>
      </w:r>
      <w:r>
        <w:rPr>
          <w:lang/>
        </w:rPr>
        <w:tab/>
      </w:r>
      <w:r>
        <w:rPr>
          <w:lang/>
        </w:rPr>
        <w:fldChar w:fldCharType="begin"/>
      </w:r>
      <w:r>
        <w:rPr>
          <w:lang/>
        </w:rPr>
        <w:instrText xml:space="preserve"> PAGEREF _Toc446321374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"_Toc446321375"</w:instrText>
      </w:r>
      <w:r>
        <w:rPr>
          <w:rStyle w:val="12"/>
          <w:lang/>
        </w:rPr>
        <w:instrText xml:space="preserve"> </w:instrText>
      </w:r>
      <w:r>
        <w:rPr>
          <w:rStyle w:val="12"/>
          <w:lang/>
        </w:rPr>
        <w:fldChar w:fldCharType="separate"/>
      </w:r>
      <w:r>
        <w:rPr>
          <w:rStyle w:val="12"/>
          <w:rFonts w:ascii="宋体"/>
          <w:b/>
          <w:kern w:val="0"/>
          <w:lang/>
        </w:rPr>
        <w:t xml:space="preserve">6.1 </w:t>
      </w:r>
      <w:r>
        <w:rPr>
          <w:rStyle w:val="12"/>
          <w:rFonts w:hint="eastAsia" w:ascii="宋体"/>
          <w:b/>
          <w:kern w:val="0"/>
          <w:lang/>
        </w:rPr>
        <w:t>审计报告基本信息</w:t>
      </w:r>
      <w:r>
        <w:rPr>
          <w:lang/>
        </w:rPr>
        <w:tab/>
      </w:r>
      <w:r>
        <w:rPr>
          <w:lang/>
        </w:rPr>
        <w:fldChar w:fldCharType="begin"/>
      </w:r>
      <w:r>
        <w:rPr>
          <w:lang/>
        </w:rPr>
        <w:instrText xml:space="preserve"> PAGEREF _Toc446321375 \h </w:instrText>
      </w:r>
      <w:r>
        <w:rPr>
          <w:lang/>
        </w:rPr>
        <w:fldChar w:fldCharType="separate"/>
      </w:r>
      <w:r>
        <w:rPr>
          <w:lang/>
        </w:rPr>
        <w:t>17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"_Toc446321376"</w:instrText>
      </w:r>
      <w:r>
        <w:rPr>
          <w:rStyle w:val="12"/>
          <w:lang/>
        </w:rPr>
        <w:instrText xml:space="preserve"> </w:instrText>
      </w:r>
      <w:r>
        <w:rPr>
          <w:rStyle w:val="12"/>
          <w:lang/>
        </w:rPr>
        <w:fldChar w:fldCharType="separate"/>
      </w:r>
      <w:r>
        <w:rPr>
          <w:rStyle w:val="12"/>
          <w:rFonts w:ascii="宋体"/>
          <w:b/>
          <w:kern w:val="0"/>
          <w:lang/>
        </w:rPr>
        <w:t xml:space="preserve">6.2 </w:t>
      </w:r>
      <w:r>
        <w:rPr>
          <w:rStyle w:val="12"/>
          <w:rFonts w:hint="eastAsia" w:ascii="宋体"/>
          <w:b/>
          <w:kern w:val="0"/>
          <w:lang/>
        </w:rPr>
        <w:t>审计报告的基本内容</w:t>
      </w:r>
      <w:r>
        <w:rPr>
          <w:lang/>
        </w:rPr>
        <w:tab/>
      </w:r>
      <w:r>
        <w:rPr>
          <w:lang/>
        </w:rPr>
        <w:fldChar w:fldCharType="begin"/>
      </w:r>
      <w:r>
        <w:rPr>
          <w:lang/>
        </w:rPr>
        <w:instrText xml:space="preserve"> PAGEREF _Toc446321376 \h </w:instrText>
      </w:r>
      <w:r>
        <w:rPr>
          <w:lang/>
        </w:rPr>
        <w:fldChar w:fldCharType="separate"/>
      </w:r>
      <w:r>
        <w:rPr>
          <w:lang/>
        </w:rPr>
        <w:t>17</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"_Toc446321377"</w:instrText>
      </w:r>
      <w:r>
        <w:rPr>
          <w:rStyle w:val="12"/>
          <w:lang/>
        </w:rPr>
        <w:instrText xml:space="preserve"> </w:instrText>
      </w:r>
      <w:r>
        <w:rPr>
          <w:rStyle w:val="12"/>
          <w:lang/>
        </w:rPr>
        <w:fldChar w:fldCharType="separate"/>
      </w:r>
      <w:r>
        <w:rPr>
          <w:rStyle w:val="12"/>
          <w:rFonts w:ascii="宋体"/>
          <w:b/>
          <w:kern w:val="0"/>
          <w:lang/>
        </w:rPr>
        <w:t xml:space="preserve">§7 </w:t>
      </w:r>
      <w:r>
        <w:rPr>
          <w:rStyle w:val="12"/>
          <w:rFonts w:hint="eastAsia" w:ascii="宋体"/>
          <w:b/>
          <w:kern w:val="0"/>
          <w:lang/>
        </w:rPr>
        <w:t>年度财务报表</w:t>
      </w:r>
      <w:r>
        <w:rPr>
          <w:lang/>
        </w:rPr>
        <w:tab/>
      </w:r>
      <w:r>
        <w:rPr>
          <w:lang/>
        </w:rPr>
        <w:fldChar w:fldCharType="begin"/>
      </w:r>
      <w:r>
        <w:rPr>
          <w:lang/>
        </w:rPr>
        <w:instrText xml:space="preserve"> PAGEREF _Toc446321377 \h </w:instrText>
      </w:r>
      <w:r>
        <w:rPr>
          <w:lang/>
        </w:rPr>
        <w:fldChar w:fldCharType="separate"/>
      </w:r>
      <w:r>
        <w:rPr>
          <w:lang/>
        </w:rPr>
        <w:t>19</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"_Toc446321378"</w:instrText>
      </w:r>
      <w:r>
        <w:rPr>
          <w:rStyle w:val="12"/>
          <w:lang/>
        </w:rPr>
        <w:instrText xml:space="preserve"> </w:instrText>
      </w:r>
      <w:r>
        <w:rPr>
          <w:rStyle w:val="12"/>
          <w:lang/>
        </w:rPr>
        <w:fldChar w:fldCharType="separate"/>
      </w:r>
      <w:r>
        <w:rPr>
          <w:rStyle w:val="12"/>
          <w:rFonts w:ascii="宋体"/>
          <w:b/>
          <w:kern w:val="0"/>
          <w:lang/>
        </w:rPr>
        <w:t xml:space="preserve">7.1 </w:t>
      </w:r>
      <w:r>
        <w:rPr>
          <w:rStyle w:val="12"/>
          <w:rFonts w:hint="eastAsia" w:ascii="宋体"/>
          <w:b/>
          <w:kern w:val="0"/>
          <w:lang/>
        </w:rPr>
        <w:t>资产负债表</w:t>
      </w:r>
      <w:r>
        <w:rPr>
          <w:lang/>
        </w:rPr>
        <w:tab/>
      </w:r>
      <w:r>
        <w:rPr>
          <w:lang/>
        </w:rPr>
        <w:fldChar w:fldCharType="begin"/>
      </w:r>
      <w:r>
        <w:rPr>
          <w:lang/>
        </w:rPr>
        <w:instrText xml:space="preserve"> PAGEREF _Toc446321378 \h </w:instrText>
      </w:r>
      <w:r>
        <w:rPr>
          <w:lang/>
        </w:rPr>
        <w:fldChar w:fldCharType="separate"/>
      </w:r>
      <w:r>
        <w:rPr>
          <w:lang/>
        </w:rPr>
        <w:t>19</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"_Toc446321379"</w:instrText>
      </w:r>
      <w:r>
        <w:rPr>
          <w:rStyle w:val="12"/>
          <w:lang/>
        </w:rPr>
        <w:instrText xml:space="preserve"> </w:instrText>
      </w:r>
      <w:r>
        <w:rPr>
          <w:rStyle w:val="12"/>
          <w:lang/>
        </w:rPr>
        <w:fldChar w:fldCharType="separate"/>
      </w:r>
      <w:r>
        <w:rPr>
          <w:rStyle w:val="12"/>
          <w:rFonts w:ascii="宋体"/>
          <w:b/>
          <w:kern w:val="0"/>
          <w:lang/>
        </w:rPr>
        <w:t xml:space="preserve">7.2 </w:t>
      </w:r>
      <w:r>
        <w:rPr>
          <w:rStyle w:val="12"/>
          <w:rFonts w:hint="eastAsia" w:ascii="宋体"/>
          <w:b/>
          <w:kern w:val="0"/>
          <w:lang/>
        </w:rPr>
        <w:t>利润表</w:t>
      </w:r>
      <w:r>
        <w:rPr>
          <w:lang/>
        </w:rPr>
        <w:tab/>
      </w:r>
      <w:r>
        <w:rPr>
          <w:lang/>
        </w:rPr>
        <w:fldChar w:fldCharType="begin"/>
      </w:r>
      <w:r>
        <w:rPr>
          <w:lang/>
        </w:rPr>
        <w:instrText xml:space="preserve"> PAGEREF _Toc446321379 \h </w:instrText>
      </w:r>
      <w:r>
        <w:rPr>
          <w:lang/>
        </w:rPr>
        <w:fldChar w:fldCharType="separate"/>
      </w:r>
      <w:r>
        <w:rPr>
          <w:lang/>
        </w:rPr>
        <w:t>20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"_Toc446321380"</w:instrText>
      </w:r>
      <w:r>
        <w:rPr>
          <w:rStyle w:val="12"/>
          <w:lang/>
        </w:rPr>
        <w:instrText xml:space="preserve"> </w:instrText>
      </w:r>
      <w:r>
        <w:rPr>
          <w:rStyle w:val="12"/>
          <w:lang/>
        </w:rPr>
        <w:fldChar w:fldCharType="separate"/>
      </w:r>
      <w:r>
        <w:rPr>
          <w:rStyle w:val="12"/>
          <w:rFonts w:ascii="宋体"/>
          <w:b/>
          <w:kern w:val="0"/>
          <w:lang/>
        </w:rPr>
        <w:t xml:space="preserve">7.3 </w:t>
      </w:r>
      <w:r>
        <w:rPr>
          <w:rStyle w:val="12"/>
          <w:rFonts w:hint="eastAsia" w:ascii="宋体"/>
          <w:b/>
          <w:kern w:val="0"/>
          <w:lang/>
        </w:rPr>
        <w:t>所有者权益（基金净值）变动表</w:t>
      </w:r>
      <w:r>
        <w:rPr>
          <w:lang/>
        </w:rPr>
        <w:tab/>
      </w:r>
      <w:r>
        <w:rPr>
          <w:lang/>
        </w:rPr>
        <w:fldChar w:fldCharType="begin"/>
      </w:r>
      <w:r>
        <w:rPr>
          <w:lang/>
        </w:rPr>
        <w:instrText xml:space="preserve"> PAGEREF _Toc446321380 \h </w:instrText>
      </w:r>
      <w:r>
        <w:rPr>
          <w:lang/>
        </w:rPr>
        <w:fldChar w:fldCharType="separate"/>
      </w:r>
      <w:r>
        <w:rPr>
          <w:lang/>
        </w:rPr>
        <w:t>22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"_Toc446321381"</w:instrText>
      </w:r>
      <w:r>
        <w:rPr>
          <w:rStyle w:val="12"/>
          <w:lang/>
        </w:rPr>
        <w:instrText xml:space="preserve"> </w:instrText>
      </w:r>
      <w:r>
        <w:rPr>
          <w:rStyle w:val="12"/>
          <w:lang/>
        </w:rPr>
        <w:fldChar w:fldCharType="separate"/>
      </w:r>
      <w:r>
        <w:rPr>
          <w:rStyle w:val="12"/>
          <w:rFonts w:ascii="宋体"/>
          <w:b/>
          <w:kern w:val="0"/>
          <w:lang/>
        </w:rPr>
        <w:t xml:space="preserve">7.4 </w:t>
      </w:r>
      <w:r>
        <w:rPr>
          <w:rStyle w:val="12"/>
          <w:rFonts w:hint="eastAsia" w:ascii="宋体"/>
          <w:b/>
          <w:kern w:val="0"/>
          <w:lang/>
        </w:rPr>
        <w:t>报表</w:t>
      </w:r>
      <w:bookmarkStart w:id="3" w:name="_Hlt446334719"/>
      <w:bookmarkStart w:id="4" w:name="_Hlt446334720"/>
      <w:r>
        <w:rPr>
          <w:rStyle w:val="12"/>
          <w:rFonts w:hint="eastAsia" w:ascii="宋体"/>
          <w:b/>
          <w:kern w:val="0"/>
          <w:lang/>
        </w:rPr>
        <w:t>附</w:t>
      </w:r>
      <w:bookmarkEnd w:id="3"/>
      <w:bookmarkEnd w:id="4"/>
      <w:r>
        <w:rPr>
          <w:rStyle w:val="12"/>
          <w:rFonts w:hint="eastAsia" w:ascii="宋体"/>
          <w:b/>
          <w:kern w:val="0"/>
          <w:lang/>
        </w:rPr>
        <w:t>注</w:t>
      </w:r>
      <w:r>
        <w:rPr>
          <w:lang/>
        </w:rPr>
        <w:tab/>
      </w:r>
      <w:r>
        <w:rPr>
          <w:lang/>
        </w:rPr>
        <w:fldChar w:fldCharType="begin"/>
      </w:r>
      <w:r>
        <w:rPr>
          <w:lang/>
        </w:rPr>
        <w:instrText xml:space="preserve"> PAGEREF _Toc446321381 \h </w:instrText>
      </w:r>
      <w:r>
        <w:rPr>
          <w:lang/>
        </w:rPr>
        <w:fldChar w:fldCharType="separate"/>
      </w:r>
      <w:r>
        <w:rPr>
          <w:lang/>
        </w:rPr>
        <w:t>23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"_Toc446321382"</w:instrText>
      </w:r>
      <w:r>
        <w:rPr>
          <w:rStyle w:val="12"/>
          <w:lang/>
        </w:rPr>
        <w:instrText xml:space="preserve"> </w:instrText>
      </w:r>
      <w:r>
        <w:rPr>
          <w:rStyle w:val="12"/>
          <w:lang/>
        </w:rPr>
        <w:fldChar w:fldCharType="separate"/>
      </w:r>
      <w:r>
        <w:rPr>
          <w:rStyle w:val="12"/>
          <w:rFonts w:ascii="宋体"/>
          <w:b/>
          <w:kern w:val="0"/>
          <w:lang/>
        </w:rPr>
        <w:t xml:space="preserve">§8  </w:t>
      </w:r>
      <w:r>
        <w:rPr>
          <w:rStyle w:val="12"/>
          <w:rFonts w:hint="eastAsia" w:ascii="宋体"/>
          <w:b/>
          <w:kern w:val="0"/>
          <w:lang/>
        </w:rPr>
        <w:t>投资组合报告</w:t>
      </w:r>
      <w:r>
        <w:rPr>
          <w:lang/>
        </w:rPr>
        <w:tab/>
      </w:r>
      <w:r>
        <w:rPr>
          <w:lang/>
        </w:rPr>
        <w:fldChar w:fldCharType="begin"/>
      </w:r>
      <w:r>
        <w:rPr>
          <w:lang/>
        </w:rPr>
        <w:instrText xml:space="preserve"> PAGEREF _Toc446321382 \h </w:instrText>
      </w:r>
      <w:r>
        <w:rPr>
          <w:lang/>
        </w:rPr>
        <w:fldChar w:fldCharType="separate"/>
      </w:r>
      <w:r>
        <w:rPr>
          <w:lang/>
        </w:rPr>
        <w:t>46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"_Toc446321383"</w:instrText>
      </w:r>
      <w:r>
        <w:rPr>
          <w:rStyle w:val="12"/>
          <w:lang/>
        </w:rPr>
        <w:instrText xml:space="preserve"> </w:instrText>
      </w:r>
      <w:r>
        <w:rPr>
          <w:rStyle w:val="12"/>
          <w:lang/>
        </w:rPr>
        <w:fldChar w:fldCharType="separate"/>
      </w:r>
      <w:r>
        <w:rPr>
          <w:rStyle w:val="12"/>
          <w:rFonts w:ascii="宋体"/>
          <w:b/>
          <w:kern w:val="0"/>
          <w:lang/>
        </w:rPr>
        <w:t xml:space="preserve">8.1 </w:t>
      </w:r>
      <w:r>
        <w:rPr>
          <w:rStyle w:val="12"/>
          <w:rFonts w:hint="eastAsia" w:ascii="宋体"/>
          <w:b/>
          <w:kern w:val="0"/>
          <w:lang/>
        </w:rPr>
        <w:t>期末基金资产组合情况</w:t>
      </w:r>
      <w:r>
        <w:rPr>
          <w:lang/>
        </w:rPr>
        <w:tab/>
      </w:r>
      <w:r>
        <w:rPr>
          <w:lang/>
        </w:rPr>
        <w:fldChar w:fldCharType="begin"/>
      </w:r>
      <w:r>
        <w:rPr>
          <w:lang/>
        </w:rPr>
        <w:instrText xml:space="preserve"> PAGEREF _Toc446321383 \h </w:instrText>
      </w:r>
      <w:r>
        <w:rPr>
          <w:lang/>
        </w:rPr>
        <w:fldChar w:fldCharType="separate"/>
      </w:r>
      <w:r>
        <w:rPr>
          <w:lang/>
        </w:rPr>
        <w:t>46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"_Toc446321384"</w:instrText>
      </w:r>
      <w:r>
        <w:rPr>
          <w:rStyle w:val="12"/>
          <w:lang/>
        </w:rPr>
        <w:instrText xml:space="preserve"> </w:instrText>
      </w:r>
      <w:r>
        <w:rPr>
          <w:rStyle w:val="12"/>
          <w:lang/>
        </w:rPr>
        <w:fldChar w:fldCharType="separate"/>
      </w:r>
      <w:r>
        <w:rPr>
          <w:rStyle w:val="12"/>
          <w:rFonts w:ascii="宋体"/>
          <w:b/>
          <w:kern w:val="0"/>
          <w:lang/>
        </w:rPr>
        <w:t xml:space="preserve">8.2 </w:t>
      </w:r>
      <w:r>
        <w:rPr>
          <w:rStyle w:val="12"/>
          <w:rFonts w:hint="eastAsia" w:ascii="宋体"/>
          <w:b/>
          <w:kern w:val="0"/>
          <w:lang/>
        </w:rPr>
        <w:t>报告期末按行业分类的股票投资组合</w:t>
      </w:r>
      <w:r>
        <w:rPr>
          <w:lang/>
        </w:rPr>
        <w:tab/>
      </w:r>
      <w:r>
        <w:rPr>
          <w:lang/>
        </w:rPr>
        <w:fldChar w:fldCharType="begin"/>
      </w:r>
      <w:r>
        <w:rPr>
          <w:lang/>
        </w:rPr>
        <w:instrText xml:space="preserve"> PAGEREF _Toc446321384 \h </w:instrText>
      </w:r>
      <w:r>
        <w:rPr>
          <w:lang/>
        </w:rPr>
        <w:fldChar w:fldCharType="separate"/>
      </w:r>
      <w:r>
        <w:rPr>
          <w:lang/>
        </w:rPr>
        <w:t>47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"_Toc446321385"</w:instrText>
      </w:r>
      <w:r>
        <w:rPr>
          <w:rStyle w:val="12"/>
          <w:lang/>
        </w:rPr>
        <w:instrText xml:space="preserve"> </w:instrText>
      </w:r>
      <w:r>
        <w:rPr>
          <w:rStyle w:val="12"/>
          <w:lang/>
        </w:rPr>
        <w:fldChar w:fldCharType="separate"/>
      </w:r>
      <w:r>
        <w:rPr>
          <w:rStyle w:val="12"/>
          <w:rFonts w:ascii="宋体"/>
          <w:b/>
          <w:kern w:val="0"/>
          <w:lang/>
        </w:rPr>
        <w:t xml:space="preserve">8.3 </w:t>
      </w:r>
      <w:r>
        <w:rPr>
          <w:rStyle w:val="12"/>
          <w:rFonts w:hint="eastAsia" w:ascii="宋体"/>
          <w:b/>
          <w:kern w:val="0"/>
          <w:lang/>
        </w:rPr>
        <w:t>期末按公允价值占基金资产净值比例大小排序的所有股票投资明细</w:t>
      </w:r>
      <w:r>
        <w:rPr>
          <w:lang/>
        </w:rPr>
        <w:tab/>
      </w:r>
      <w:r>
        <w:rPr>
          <w:lang/>
        </w:rPr>
        <w:fldChar w:fldCharType="begin"/>
      </w:r>
      <w:r>
        <w:rPr>
          <w:lang/>
        </w:rPr>
        <w:instrText xml:space="preserve"> PAGEREF _Toc446321385 \h </w:instrText>
      </w:r>
      <w:r>
        <w:rPr>
          <w:lang/>
        </w:rPr>
        <w:fldChar w:fldCharType="separate"/>
      </w:r>
      <w:r>
        <w:rPr>
          <w:lang/>
        </w:rPr>
        <w:t>47</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"_Toc446321386"</w:instrText>
      </w:r>
      <w:r>
        <w:rPr>
          <w:rStyle w:val="12"/>
          <w:lang/>
        </w:rPr>
        <w:instrText xml:space="preserve"> </w:instrText>
      </w:r>
      <w:r>
        <w:rPr>
          <w:rStyle w:val="12"/>
          <w:lang/>
        </w:rPr>
        <w:fldChar w:fldCharType="separate"/>
      </w:r>
      <w:r>
        <w:rPr>
          <w:rStyle w:val="12"/>
          <w:rFonts w:ascii="宋体"/>
          <w:b/>
          <w:kern w:val="0"/>
          <w:lang/>
        </w:rPr>
        <w:t xml:space="preserve">8.4 </w:t>
      </w:r>
      <w:r>
        <w:rPr>
          <w:rStyle w:val="12"/>
          <w:rFonts w:hint="eastAsia" w:ascii="宋体"/>
          <w:b/>
          <w:kern w:val="0"/>
          <w:lang/>
        </w:rPr>
        <w:t>报告期内股票投资组合的重大变动</w:t>
      </w:r>
      <w:r>
        <w:rPr>
          <w:lang/>
        </w:rPr>
        <w:tab/>
      </w:r>
      <w:r>
        <w:rPr>
          <w:lang/>
        </w:rPr>
        <w:fldChar w:fldCharType="begin"/>
      </w:r>
      <w:r>
        <w:rPr>
          <w:lang/>
        </w:rPr>
        <w:instrText xml:space="preserve"> PAGEREF _Toc446321386 \h </w:instrText>
      </w:r>
      <w:r>
        <w:rPr>
          <w:lang/>
        </w:rPr>
        <w:fldChar w:fldCharType="separate"/>
      </w:r>
      <w:r>
        <w:rPr>
          <w:lang/>
        </w:rPr>
        <w:t>50</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"_Toc446321387"</w:instrText>
      </w:r>
      <w:r>
        <w:rPr>
          <w:rStyle w:val="12"/>
          <w:lang/>
        </w:rPr>
        <w:instrText xml:space="preserve"> </w:instrText>
      </w:r>
      <w:r>
        <w:rPr>
          <w:rStyle w:val="12"/>
          <w:lang/>
        </w:rPr>
        <w:fldChar w:fldCharType="separate"/>
      </w:r>
      <w:r>
        <w:rPr>
          <w:rStyle w:val="12"/>
          <w:rFonts w:ascii="宋体"/>
          <w:b/>
          <w:kern w:val="0"/>
          <w:lang/>
        </w:rPr>
        <w:t xml:space="preserve">8.5 </w:t>
      </w:r>
      <w:r>
        <w:rPr>
          <w:rStyle w:val="12"/>
          <w:rFonts w:hint="eastAsia" w:ascii="宋体"/>
          <w:b/>
          <w:kern w:val="0"/>
          <w:lang/>
        </w:rPr>
        <w:t>期末按债券品种分类的债券投资组合</w:t>
      </w:r>
      <w:r>
        <w:rPr>
          <w:lang/>
        </w:rPr>
        <w:tab/>
      </w:r>
      <w:r>
        <w:rPr>
          <w:lang/>
        </w:rPr>
        <w:fldChar w:fldCharType="begin"/>
      </w:r>
      <w:r>
        <w:rPr>
          <w:lang/>
        </w:rPr>
        <w:instrText xml:space="preserve"> PAGEREF _Toc446321387 \h </w:instrText>
      </w:r>
      <w:r>
        <w:rPr>
          <w:lang/>
        </w:rPr>
        <w:fldChar w:fldCharType="separate"/>
      </w:r>
      <w:r>
        <w:rPr>
          <w:lang/>
        </w:rPr>
        <w:t>52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"_Toc446321388"</w:instrText>
      </w:r>
      <w:r>
        <w:rPr>
          <w:rStyle w:val="12"/>
          <w:lang/>
        </w:rPr>
        <w:instrText xml:space="preserve"> </w:instrText>
      </w:r>
      <w:r>
        <w:rPr>
          <w:rStyle w:val="12"/>
          <w:lang/>
        </w:rPr>
        <w:fldChar w:fldCharType="separate"/>
      </w:r>
      <w:r>
        <w:rPr>
          <w:rStyle w:val="12"/>
          <w:rFonts w:ascii="宋体"/>
          <w:b/>
          <w:kern w:val="0"/>
          <w:lang/>
        </w:rPr>
        <w:t xml:space="preserve">8.6 </w:t>
      </w:r>
      <w:r>
        <w:rPr>
          <w:rStyle w:val="12"/>
          <w:rFonts w:hint="eastAsia" w:ascii="宋体"/>
          <w:b/>
          <w:kern w:val="0"/>
          <w:lang/>
        </w:rPr>
        <w:t>期末按公允价值占基金资产净值比例大小排序的前五名债券投资明细</w:t>
      </w:r>
      <w:r>
        <w:rPr>
          <w:lang/>
        </w:rPr>
        <w:tab/>
      </w:r>
      <w:r>
        <w:rPr>
          <w:lang/>
        </w:rPr>
        <w:fldChar w:fldCharType="begin"/>
      </w:r>
      <w:r>
        <w:rPr>
          <w:lang/>
        </w:rPr>
        <w:instrText xml:space="preserve"> PAGEREF _Toc446321388 \h </w:instrText>
      </w:r>
      <w:r>
        <w:rPr>
          <w:lang/>
        </w:rPr>
        <w:fldChar w:fldCharType="separate"/>
      </w:r>
      <w:r>
        <w:rPr>
          <w:lang/>
        </w:rPr>
        <w:t>52</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"_Toc446321389"</w:instrText>
      </w:r>
      <w:r>
        <w:rPr>
          <w:rStyle w:val="12"/>
          <w:lang/>
        </w:rPr>
        <w:instrText xml:space="preserve"> </w:instrText>
      </w:r>
      <w:r>
        <w:rPr>
          <w:rStyle w:val="12"/>
          <w:lang/>
        </w:rPr>
        <w:fldChar w:fldCharType="separate"/>
      </w:r>
      <w:r>
        <w:rPr>
          <w:rStyle w:val="12"/>
          <w:rFonts w:ascii="宋体"/>
          <w:b/>
          <w:kern w:val="0"/>
          <w:lang/>
        </w:rPr>
        <w:t xml:space="preserve">8.7 </w:t>
      </w:r>
      <w:r>
        <w:rPr>
          <w:rStyle w:val="12"/>
          <w:rFonts w:hint="eastAsia" w:ascii="宋体"/>
          <w:b/>
          <w:kern w:val="0"/>
          <w:lang/>
        </w:rPr>
        <w:t>期末按公允价值占基金资产净值比例大小排序的所有资产支持证券投资明细</w:t>
      </w:r>
      <w:r>
        <w:rPr>
          <w:lang/>
        </w:rPr>
        <w:tab/>
      </w:r>
      <w:r>
        <w:rPr>
          <w:lang/>
        </w:rPr>
        <w:fldChar w:fldCharType="begin"/>
      </w:r>
      <w:r>
        <w:rPr>
          <w:lang/>
        </w:rPr>
        <w:instrText xml:space="preserve"> PAGEREF _Toc446321389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"_Toc446321390"</w:instrText>
      </w:r>
      <w:r>
        <w:rPr>
          <w:rStyle w:val="12"/>
          <w:lang/>
        </w:rPr>
        <w:instrText xml:space="preserve"> </w:instrText>
      </w:r>
      <w:r>
        <w:rPr>
          <w:rStyle w:val="12"/>
          <w:lang/>
        </w:rPr>
        <w:fldChar w:fldCharType="separate"/>
      </w:r>
      <w:r>
        <w:rPr>
          <w:rStyle w:val="12"/>
          <w:rFonts w:ascii="宋体"/>
          <w:b/>
          <w:kern w:val="0"/>
          <w:lang/>
        </w:rPr>
        <w:t xml:space="preserve">8.8 </w:t>
      </w:r>
      <w:r>
        <w:rPr>
          <w:rStyle w:val="12"/>
          <w:rFonts w:hint="eastAsia" w:ascii="宋体"/>
          <w:b/>
          <w:kern w:val="0"/>
          <w:lang/>
        </w:rPr>
        <w:t>报告期末按公允价值占基金资产净值比例大小排序的前五名贵金属投资明细</w:t>
      </w:r>
      <w:r>
        <w:rPr>
          <w:lang/>
        </w:rPr>
        <w:tab/>
      </w:r>
      <w:r>
        <w:rPr>
          <w:lang/>
        </w:rPr>
        <w:fldChar w:fldCharType="begin"/>
      </w:r>
      <w:r>
        <w:rPr>
          <w:lang/>
        </w:rPr>
        <w:instrText xml:space="preserve"> PAGEREF _Toc446321390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"_Toc446321391"</w:instrText>
      </w:r>
      <w:r>
        <w:rPr>
          <w:rStyle w:val="12"/>
          <w:lang/>
        </w:rPr>
        <w:instrText xml:space="preserve"> </w:instrText>
      </w:r>
      <w:r>
        <w:rPr>
          <w:rStyle w:val="12"/>
          <w:lang/>
        </w:rPr>
        <w:fldChar w:fldCharType="separate"/>
      </w:r>
      <w:r>
        <w:rPr>
          <w:rStyle w:val="12"/>
          <w:rFonts w:ascii="宋体"/>
          <w:b/>
          <w:kern w:val="0"/>
          <w:lang/>
        </w:rPr>
        <w:t xml:space="preserve">8.9 </w:t>
      </w:r>
      <w:r>
        <w:rPr>
          <w:rStyle w:val="12"/>
          <w:rFonts w:hint="eastAsia" w:ascii="宋体"/>
          <w:b/>
          <w:kern w:val="0"/>
          <w:lang/>
        </w:rPr>
        <w:t>期末按公允价值占基金资产净值比例大小排序的前五名权证投资明细</w:t>
      </w:r>
      <w:r>
        <w:rPr>
          <w:lang/>
        </w:rPr>
        <w:tab/>
      </w:r>
      <w:r>
        <w:rPr>
          <w:lang/>
        </w:rPr>
        <w:fldChar w:fldCharType="begin"/>
      </w:r>
      <w:r>
        <w:rPr>
          <w:lang/>
        </w:rPr>
        <w:instrText xml:space="preserve"> PAGEREF _Toc446321391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"_Toc446321392"</w:instrText>
      </w:r>
      <w:r>
        <w:rPr>
          <w:rStyle w:val="12"/>
          <w:lang/>
        </w:rPr>
        <w:instrText xml:space="preserve"> </w:instrText>
      </w:r>
      <w:r>
        <w:rPr>
          <w:rStyle w:val="12"/>
          <w:lang/>
        </w:rPr>
        <w:fldChar w:fldCharType="separate"/>
      </w:r>
      <w:r>
        <w:rPr>
          <w:rStyle w:val="12"/>
          <w:rFonts w:ascii="宋体"/>
          <w:b/>
          <w:kern w:val="0"/>
          <w:lang/>
        </w:rPr>
        <w:t xml:space="preserve">8.10 </w:t>
      </w:r>
      <w:r>
        <w:rPr>
          <w:rStyle w:val="12"/>
          <w:rFonts w:hint="eastAsia" w:ascii="宋体"/>
          <w:b/>
          <w:kern w:val="0"/>
          <w:lang/>
        </w:rPr>
        <w:t>报告期末本基金投资的股指期货交易情况说明</w:t>
      </w:r>
      <w:r>
        <w:rPr>
          <w:lang/>
        </w:rPr>
        <w:tab/>
      </w:r>
      <w:r>
        <w:rPr>
          <w:lang/>
        </w:rPr>
        <w:fldChar w:fldCharType="begin"/>
      </w:r>
      <w:r>
        <w:rPr>
          <w:lang/>
        </w:rPr>
        <w:instrText xml:space="preserve"> PAGEREF _Toc446321392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"_Toc446321393"</w:instrText>
      </w:r>
      <w:r>
        <w:rPr>
          <w:rStyle w:val="12"/>
          <w:lang/>
        </w:rPr>
        <w:instrText xml:space="preserve"> </w:instrText>
      </w:r>
      <w:r>
        <w:rPr>
          <w:rStyle w:val="12"/>
          <w:lang/>
        </w:rPr>
        <w:fldChar w:fldCharType="separate"/>
      </w:r>
      <w:r>
        <w:rPr>
          <w:rStyle w:val="12"/>
          <w:rFonts w:ascii="宋体"/>
          <w:b/>
          <w:kern w:val="0"/>
          <w:lang/>
        </w:rPr>
        <w:t xml:space="preserve">8.11 </w:t>
      </w:r>
      <w:r>
        <w:rPr>
          <w:rStyle w:val="12"/>
          <w:rFonts w:hint="eastAsia" w:ascii="宋体"/>
          <w:b/>
          <w:kern w:val="0"/>
          <w:lang/>
        </w:rPr>
        <w:t>报告期末本基金投资的国债期货交易情况说明</w:t>
      </w:r>
      <w:r>
        <w:rPr>
          <w:lang/>
        </w:rPr>
        <w:tab/>
      </w:r>
      <w:r>
        <w:rPr>
          <w:lang/>
        </w:rPr>
        <w:fldChar w:fldCharType="begin"/>
      </w:r>
      <w:r>
        <w:rPr>
          <w:lang/>
        </w:rPr>
        <w:instrText xml:space="preserve"> PAGEREF _Toc446321393 \h </w:instrText>
      </w:r>
      <w:r>
        <w:rPr>
          <w:lang/>
        </w:rPr>
        <w:fldChar w:fldCharType="separate"/>
      </w:r>
      <w:r>
        <w:rPr>
          <w:lang/>
        </w:rPr>
        <w:t>53</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"_Toc446321394"</w:instrText>
      </w:r>
      <w:r>
        <w:rPr>
          <w:rStyle w:val="12"/>
          <w:lang/>
        </w:rPr>
        <w:instrText xml:space="preserve"> </w:instrText>
      </w:r>
      <w:r>
        <w:rPr>
          <w:rStyle w:val="12"/>
          <w:lang/>
        </w:rPr>
        <w:fldChar w:fldCharType="separate"/>
      </w:r>
      <w:r>
        <w:rPr>
          <w:rStyle w:val="12"/>
          <w:rFonts w:ascii="宋体"/>
          <w:b/>
          <w:kern w:val="0"/>
          <w:lang/>
        </w:rPr>
        <w:t xml:space="preserve">8.12 </w:t>
      </w:r>
      <w:r>
        <w:rPr>
          <w:rStyle w:val="12"/>
          <w:rFonts w:hint="eastAsia" w:ascii="宋体"/>
          <w:b/>
          <w:kern w:val="0"/>
          <w:lang/>
        </w:rPr>
        <w:t>投资组合报告附注</w:t>
      </w:r>
      <w:r>
        <w:rPr>
          <w:lang/>
        </w:rPr>
        <w:tab/>
      </w:r>
      <w:r>
        <w:rPr>
          <w:lang/>
        </w:rPr>
        <w:fldChar w:fldCharType="begin"/>
      </w:r>
      <w:r>
        <w:rPr>
          <w:lang/>
        </w:rPr>
        <w:instrText xml:space="preserve"> PAGEREF _Toc446321394 \h </w:instrText>
      </w:r>
      <w:r>
        <w:rPr>
          <w:lang/>
        </w:rPr>
        <w:fldChar w:fldCharType="separate"/>
      </w:r>
      <w:r>
        <w:rPr>
          <w:lang/>
        </w:rPr>
        <w:t>53</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"_Toc446321395"</w:instrText>
      </w:r>
      <w:r>
        <w:rPr>
          <w:rStyle w:val="12"/>
          <w:lang/>
        </w:rPr>
        <w:instrText xml:space="preserve"> </w:instrText>
      </w:r>
      <w:r>
        <w:rPr>
          <w:rStyle w:val="12"/>
          <w:lang/>
        </w:rPr>
        <w:fldChar w:fldCharType="separate"/>
      </w:r>
      <w:r>
        <w:rPr>
          <w:rStyle w:val="12"/>
          <w:rFonts w:ascii="宋体"/>
          <w:b/>
          <w:kern w:val="0"/>
          <w:lang/>
        </w:rPr>
        <w:t xml:space="preserve">§9 </w:t>
      </w:r>
      <w:r>
        <w:rPr>
          <w:rStyle w:val="12"/>
          <w:rFonts w:hint="eastAsia" w:ascii="宋体"/>
          <w:b/>
          <w:kern w:val="0"/>
          <w:lang/>
        </w:rPr>
        <w:t>基金份额持有人信息</w:t>
      </w:r>
      <w:r>
        <w:rPr>
          <w:lang/>
        </w:rPr>
        <w:tab/>
      </w:r>
      <w:r>
        <w:rPr>
          <w:lang/>
        </w:rPr>
        <w:fldChar w:fldCharType="begin"/>
      </w:r>
      <w:r>
        <w:rPr>
          <w:lang/>
        </w:rPr>
        <w:instrText xml:space="preserve"> PAGEREF _Toc446321395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"_Toc446321396"</w:instrText>
      </w:r>
      <w:r>
        <w:rPr>
          <w:rStyle w:val="12"/>
          <w:lang/>
        </w:rPr>
        <w:instrText xml:space="preserve"> </w:instrText>
      </w:r>
      <w:r>
        <w:rPr>
          <w:rStyle w:val="12"/>
          <w:lang/>
        </w:rPr>
        <w:fldChar w:fldCharType="separate"/>
      </w:r>
      <w:r>
        <w:rPr>
          <w:rStyle w:val="12"/>
          <w:rFonts w:ascii="宋体"/>
          <w:b/>
          <w:kern w:val="0"/>
          <w:lang/>
        </w:rPr>
        <w:t xml:space="preserve">9.1 </w:t>
      </w:r>
      <w:r>
        <w:rPr>
          <w:rStyle w:val="12"/>
          <w:rFonts w:hint="eastAsia" w:ascii="宋体"/>
          <w:b/>
          <w:kern w:val="0"/>
          <w:lang/>
        </w:rPr>
        <w:t>期末基金份额持有人户数及持有人结构</w:t>
      </w:r>
      <w:r>
        <w:rPr>
          <w:lang/>
        </w:rPr>
        <w:tab/>
      </w:r>
      <w:r>
        <w:rPr>
          <w:lang/>
        </w:rPr>
        <w:fldChar w:fldCharType="begin"/>
      </w:r>
      <w:r>
        <w:rPr>
          <w:lang/>
        </w:rPr>
        <w:instrText xml:space="preserve"> PAGEREF _Toc446321396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"_Toc446321397"</w:instrText>
      </w:r>
      <w:r>
        <w:rPr>
          <w:rStyle w:val="12"/>
          <w:lang/>
        </w:rPr>
        <w:instrText xml:space="preserve"> </w:instrText>
      </w:r>
      <w:r>
        <w:rPr>
          <w:rStyle w:val="12"/>
          <w:lang/>
        </w:rPr>
        <w:fldChar w:fldCharType="separate"/>
      </w:r>
      <w:r>
        <w:rPr>
          <w:rStyle w:val="12"/>
          <w:rFonts w:ascii="宋体"/>
          <w:b/>
          <w:kern w:val="0"/>
          <w:lang/>
        </w:rPr>
        <w:t xml:space="preserve">9.2 </w:t>
      </w:r>
      <w:r>
        <w:rPr>
          <w:rStyle w:val="12"/>
          <w:rFonts w:hint="eastAsia" w:ascii="宋体"/>
          <w:b/>
          <w:kern w:val="0"/>
          <w:lang/>
        </w:rPr>
        <w:t>期末基金管理人的从业人员持有本基金的情况</w:t>
      </w:r>
      <w:r>
        <w:rPr>
          <w:lang/>
        </w:rPr>
        <w:tab/>
      </w:r>
      <w:r>
        <w:rPr>
          <w:lang/>
        </w:rPr>
        <w:fldChar w:fldCharType="begin"/>
      </w:r>
      <w:r>
        <w:rPr>
          <w:lang/>
        </w:rPr>
        <w:instrText xml:space="preserve"> PAGEREF _Toc446321397 \h </w:instrText>
      </w:r>
      <w:r>
        <w:rPr>
          <w:lang/>
        </w:rPr>
        <w:fldChar w:fldCharType="separate"/>
      </w:r>
      <w:r>
        <w:rPr>
          <w:lang/>
        </w:rPr>
        <w:t>54</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"_Toc446321398"</w:instrText>
      </w:r>
      <w:r>
        <w:rPr>
          <w:rStyle w:val="12"/>
          <w:lang/>
        </w:rPr>
        <w:instrText xml:space="preserve"> </w:instrText>
      </w:r>
      <w:r>
        <w:rPr>
          <w:rStyle w:val="12"/>
          <w:lang/>
        </w:rPr>
        <w:fldChar w:fldCharType="separate"/>
      </w:r>
      <w:r>
        <w:rPr>
          <w:rStyle w:val="12"/>
          <w:rFonts w:ascii="宋体"/>
          <w:b/>
          <w:kern w:val="0"/>
          <w:lang/>
        </w:rPr>
        <w:t xml:space="preserve">9.3 </w:t>
      </w:r>
      <w:r>
        <w:rPr>
          <w:rStyle w:val="12"/>
          <w:rFonts w:hint="eastAsia" w:ascii="宋体"/>
          <w:b/>
          <w:kern w:val="0"/>
          <w:lang/>
        </w:rPr>
        <w:t>期末基金管理人的从业人员持有本开放式基金份额总量区间情况</w:t>
      </w:r>
      <w:r>
        <w:rPr>
          <w:lang/>
        </w:rPr>
        <w:tab/>
      </w:r>
      <w:r>
        <w:rPr>
          <w:lang/>
        </w:rPr>
        <w:fldChar w:fldCharType="begin"/>
      </w:r>
      <w:r>
        <w:rPr>
          <w:lang/>
        </w:rPr>
        <w:instrText xml:space="preserve"> PAGEREF _Toc446321398 \h </w:instrText>
      </w:r>
      <w:r>
        <w:rPr>
          <w:lang/>
        </w:rPr>
        <w:fldChar w:fldCharType="separate"/>
      </w:r>
      <w:r>
        <w:rPr>
          <w:lang/>
        </w:rPr>
        <w:t>55</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"_Toc446321399"</w:instrText>
      </w:r>
      <w:r>
        <w:rPr>
          <w:rStyle w:val="12"/>
          <w:lang/>
        </w:rPr>
        <w:instrText xml:space="preserve"> </w:instrText>
      </w:r>
      <w:r>
        <w:rPr>
          <w:rStyle w:val="12"/>
          <w:lang/>
        </w:rPr>
        <w:fldChar w:fldCharType="separate"/>
      </w:r>
      <w:r>
        <w:rPr>
          <w:rStyle w:val="12"/>
          <w:rFonts w:ascii="宋体"/>
          <w:b/>
          <w:kern w:val="0"/>
          <w:lang/>
        </w:rPr>
        <w:t xml:space="preserve">§10 </w:t>
      </w:r>
      <w:r>
        <w:rPr>
          <w:rStyle w:val="12"/>
          <w:rFonts w:hint="eastAsia" w:ascii="宋体"/>
          <w:b/>
          <w:kern w:val="0"/>
          <w:lang/>
        </w:rPr>
        <w:t>开放式基金份额变动</w:t>
      </w:r>
      <w:r>
        <w:rPr>
          <w:lang/>
        </w:rPr>
        <w:tab/>
      </w:r>
      <w:r>
        <w:rPr>
          <w:lang/>
        </w:rPr>
        <w:fldChar w:fldCharType="begin"/>
      </w:r>
      <w:r>
        <w:rPr>
          <w:lang/>
        </w:rPr>
        <w:instrText xml:space="preserve"> PAGEREF _Toc446321399 \h </w:instrText>
      </w:r>
      <w:r>
        <w:rPr>
          <w:lang/>
        </w:rPr>
        <w:fldChar w:fldCharType="separate"/>
      </w:r>
      <w:r>
        <w:rPr>
          <w:lang/>
        </w:rPr>
        <w:t>55</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"_Toc446321400"</w:instrText>
      </w:r>
      <w:r>
        <w:rPr>
          <w:rStyle w:val="12"/>
          <w:lang/>
        </w:rPr>
        <w:instrText xml:space="preserve"> </w:instrText>
      </w:r>
      <w:r>
        <w:rPr>
          <w:rStyle w:val="12"/>
          <w:lang/>
        </w:rPr>
        <w:fldChar w:fldCharType="separate"/>
      </w:r>
      <w:r>
        <w:rPr>
          <w:rStyle w:val="12"/>
          <w:rFonts w:ascii="宋体"/>
          <w:b/>
          <w:kern w:val="0"/>
          <w:lang/>
        </w:rPr>
        <w:t xml:space="preserve">§11 </w:t>
      </w:r>
      <w:r>
        <w:rPr>
          <w:rStyle w:val="12"/>
          <w:rFonts w:hint="eastAsia" w:ascii="宋体"/>
          <w:b/>
          <w:kern w:val="0"/>
          <w:lang/>
        </w:rPr>
        <w:t>重大事件揭示</w:t>
      </w:r>
      <w:r>
        <w:rPr>
          <w:lang/>
        </w:rPr>
        <w:tab/>
      </w:r>
      <w:r>
        <w:rPr>
          <w:lang/>
        </w:rPr>
        <w:fldChar w:fldCharType="begin"/>
      </w:r>
      <w:r>
        <w:rPr>
          <w:lang/>
        </w:rPr>
        <w:instrText xml:space="preserve"> PAGEREF _Toc446321400 \h </w:instrText>
      </w:r>
      <w:r>
        <w:rPr>
          <w:lang/>
        </w:rPr>
        <w:fldChar w:fldCharType="separate"/>
      </w:r>
      <w:r>
        <w:rPr>
          <w:lang/>
        </w:rPr>
        <w:t>55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"_Toc446321401"</w:instrText>
      </w:r>
      <w:r>
        <w:rPr>
          <w:rStyle w:val="12"/>
          <w:lang/>
        </w:rPr>
        <w:instrText xml:space="preserve"> </w:instrText>
      </w:r>
      <w:r>
        <w:rPr>
          <w:rStyle w:val="12"/>
          <w:lang/>
        </w:rPr>
        <w:fldChar w:fldCharType="separate"/>
      </w:r>
      <w:r>
        <w:rPr>
          <w:rStyle w:val="12"/>
          <w:rFonts w:ascii="宋体"/>
          <w:b/>
          <w:kern w:val="0"/>
          <w:lang/>
        </w:rPr>
        <w:t xml:space="preserve">11.1 </w:t>
      </w:r>
      <w:r>
        <w:rPr>
          <w:rStyle w:val="12"/>
          <w:rFonts w:hint="eastAsia" w:ascii="宋体"/>
          <w:b/>
          <w:kern w:val="0"/>
          <w:lang/>
        </w:rPr>
        <w:t>基金份额持有人大会决议</w:t>
      </w:r>
      <w:r>
        <w:rPr>
          <w:lang/>
        </w:rPr>
        <w:tab/>
      </w:r>
      <w:r>
        <w:rPr>
          <w:lang/>
        </w:rPr>
        <w:fldChar w:fldCharType="begin"/>
      </w:r>
      <w:r>
        <w:rPr>
          <w:lang/>
        </w:rPr>
        <w:instrText xml:space="preserve"> PAGEREF _Toc446321401 \h </w:instrText>
      </w:r>
      <w:r>
        <w:rPr>
          <w:lang/>
        </w:rPr>
        <w:fldChar w:fldCharType="separate"/>
      </w:r>
      <w:r>
        <w:rPr>
          <w:lang/>
        </w:rPr>
        <w:t>55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"_Toc446321402"</w:instrText>
      </w:r>
      <w:r>
        <w:rPr>
          <w:rStyle w:val="12"/>
          <w:lang/>
        </w:rPr>
        <w:instrText xml:space="preserve"> </w:instrText>
      </w:r>
      <w:r>
        <w:rPr>
          <w:rStyle w:val="12"/>
          <w:lang/>
        </w:rPr>
        <w:fldChar w:fldCharType="separate"/>
      </w:r>
      <w:r>
        <w:rPr>
          <w:rStyle w:val="12"/>
          <w:rFonts w:ascii="宋体"/>
          <w:b/>
          <w:kern w:val="0"/>
          <w:lang/>
        </w:rPr>
        <w:t xml:space="preserve">11.2 </w:t>
      </w:r>
      <w:r>
        <w:rPr>
          <w:rStyle w:val="12"/>
          <w:rFonts w:hint="eastAsia" w:ascii="宋体"/>
          <w:b/>
          <w:kern w:val="0"/>
          <w:lang/>
        </w:rPr>
        <w:t>基金管理人、基金托管人的专门基金托管部门的重大人事变动</w:t>
      </w:r>
      <w:r>
        <w:rPr>
          <w:lang/>
        </w:rPr>
        <w:tab/>
      </w:r>
      <w:r>
        <w:rPr>
          <w:lang/>
        </w:rPr>
        <w:fldChar w:fldCharType="begin"/>
      </w:r>
      <w:r>
        <w:rPr>
          <w:lang/>
        </w:rPr>
        <w:instrText xml:space="preserve"> PAGEREF _Toc446321402 \h </w:instrText>
      </w:r>
      <w:r>
        <w:rPr>
          <w:lang/>
        </w:rPr>
        <w:fldChar w:fldCharType="separate"/>
      </w:r>
      <w:r>
        <w:rPr>
          <w:lang/>
        </w:rPr>
        <w:t>55</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"_Toc446321403"</w:instrText>
      </w:r>
      <w:r>
        <w:rPr>
          <w:rStyle w:val="12"/>
          <w:lang/>
        </w:rPr>
        <w:instrText xml:space="preserve"> </w:instrText>
      </w:r>
      <w:r>
        <w:rPr>
          <w:rStyle w:val="12"/>
          <w:lang/>
        </w:rPr>
        <w:fldChar w:fldCharType="separate"/>
      </w:r>
      <w:r>
        <w:rPr>
          <w:rStyle w:val="12"/>
          <w:rFonts w:ascii="宋体"/>
          <w:b/>
          <w:kern w:val="0"/>
          <w:lang/>
        </w:rPr>
        <w:t xml:space="preserve">11.3 </w:t>
      </w:r>
      <w:r>
        <w:rPr>
          <w:rStyle w:val="12"/>
          <w:rFonts w:hint="eastAsia" w:ascii="宋体"/>
          <w:b/>
          <w:kern w:val="0"/>
          <w:lang/>
        </w:rPr>
        <w:t>涉及基金管理人、基金财产、基金托管业务的诉讼</w:t>
      </w:r>
      <w:r>
        <w:rPr>
          <w:lang/>
        </w:rPr>
        <w:tab/>
      </w:r>
      <w:r>
        <w:rPr>
          <w:lang/>
        </w:rPr>
        <w:fldChar w:fldCharType="begin"/>
      </w:r>
      <w:r>
        <w:rPr>
          <w:lang/>
        </w:rPr>
        <w:instrText xml:space="preserve"> PAGEREF _Toc446321403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"_Toc446321404"</w:instrText>
      </w:r>
      <w:r>
        <w:rPr>
          <w:rStyle w:val="12"/>
          <w:lang/>
        </w:rPr>
        <w:instrText xml:space="preserve"> </w:instrText>
      </w:r>
      <w:r>
        <w:rPr>
          <w:rStyle w:val="12"/>
          <w:lang/>
        </w:rPr>
        <w:fldChar w:fldCharType="separate"/>
      </w:r>
      <w:r>
        <w:rPr>
          <w:rStyle w:val="12"/>
          <w:rFonts w:ascii="宋体"/>
          <w:b/>
          <w:kern w:val="0"/>
          <w:lang/>
        </w:rPr>
        <w:t xml:space="preserve">11.4 </w:t>
      </w:r>
      <w:r>
        <w:rPr>
          <w:rStyle w:val="12"/>
          <w:rFonts w:hint="eastAsia" w:ascii="宋体"/>
          <w:b/>
          <w:kern w:val="0"/>
          <w:lang/>
        </w:rPr>
        <w:t>基金投资策略的改变</w:t>
      </w:r>
      <w:r>
        <w:rPr>
          <w:lang/>
        </w:rPr>
        <w:tab/>
      </w:r>
      <w:r>
        <w:rPr>
          <w:lang/>
        </w:rPr>
        <w:fldChar w:fldCharType="begin"/>
      </w:r>
      <w:r>
        <w:rPr>
          <w:lang/>
        </w:rPr>
        <w:instrText xml:space="preserve"> PAGEREF _Toc446321404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"_Toc446321405"</w:instrText>
      </w:r>
      <w:r>
        <w:rPr>
          <w:rStyle w:val="12"/>
          <w:lang/>
        </w:rPr>
        <w:instrText xml:space="preserve"> </w:instrText>
      </w:r>
      <w:r>
        <w:rPr>
          <w:rStyle w:val="12"/>
          <w:lang/>
        </w:rPr>
        <w:fldChar w:fldCharType="separate"/>
      </w:r>
      <w:r>
        <w:rPr>
          <w:rStyle w:val="12"/>
          <w:rFonts w:ascii="宋体"/>
          <w:b/>
          <w:kern w:val="0"/>
          <w:lang/>
        </w:rPr>
        <w:t xml:space="preserve">11.5 </w:t>
      </w:r>
      <w:r>
        <w:rPr>
          <w:rStyle w:val="12"/>
          <w:rFonts w:hint="eastAsia" w:ascii="宋体"/>
          <w:b/>
          <w:kern w:val="0"/>
          <w:lang/>
        </w:rPr>
        <w:t>为基金进行审计的会计师事务所情况</w:t>
      </w:r>
      <w:r>
        <w:rPr>
          <w:lang/>
        </w:rPr>
        <w:tab/>
      </w:r>
      <w:r>
        <w:rPr>
          <w:lang/>
        </w:rPr>
        <w:fldChar w:fldCharType="begin"/>
      </w:r>
      <w:r>
        <w:rPr>
          <w:lang/>
        </w:rPr>
        <w:instrText xml:space="preserve"> PAGEREF _Toc446321405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"_Toc446321407"</w:instrText>
      </w:r>
      <w:r>
        <w:rPr>
          <w:rStyle w:val="12"/>
          <w:lang/>
        </w:rPr>
        <w:instrText xml:space="preserve"> </w:instrText>
      </w:r>
      <w:r>
        <w:rPr>
          <w:rStyle w:val="12"/>
          <w:lang/>
        </w:rPr>
        <w:fldChar w:fldCharType="separate"/>
      </w:r>
      <w:r>
        <w:rPr>
          <w:rStyle w:val="12"/>
          <w:rFonts w:ascii="宋体"/>
          <w:b/>
          <w:kern w:val="0"/>
          <w:lang/>
        </w:rPr>
        <w:t xml:space="preserve">11.6 </w:t>
      </w:r>
      <w:r>
        <w:rPr>
          <w:rStyle w:val="12"/>
          <w:rFonts w:hint="eastAsia" w:ascii="宋体"/>
          <w:b/>
          <w:kern w:val="0"/>
          <w:lang/>
        </w:rPr>
        <w:t>管理人、托管人及其高级管理人员受稽查或处罚等情况</w:t>
      </w:r>
      <w:r>
        <w:rPr>
          <w:lang/>
        </w:rPr>
        <w:tab/>
      </w:r>
      <w:r>
        <w:rPr>
          <w:lang/>
        </w:rPr>
        <w:fldChar w:fldCharType="begin"/>
      </w:r>
      <w:r>
        <w:rPr>
          <w:lang/>
        </w:rPr>
        <w:instrText xml:space="preserve"> PAGEREF _Toc446321407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"_Toc446321408"</w:instrText>
      </w:r>
      <w:r>
        <w:rPr>
          <w:rStyle w:val="12"/>
          <w:lang/>
        </w:rPr>
        <w:instrText xml:space="preserve"> </w:instrText>
      </w:r>
      <w:r>
        <w:rPr>
          <w:rStyle w:val="12"/>
          <w:lang/>
        </w:rPr>
        <w:fldChar w:fldCharType="separate"/>
      </w:r>
      <w:r>
        <w:rPr>
          <w:rStyle w:val="12"/>
          <w:rFonts w:ascii="宋体"/>
          <w:b/>
          <w:kern w:val="0"/>
          <w:lang/>
        </w:rPr>
        <w:t xml:space="preserve">11.7 </w:t>
      </w:r>
      <w:r>
        <w:rPr>
          <w:rStyle w:val="12"/>
          <w:rFonts w:hint="eastAsia" w:ascii="宋体"/>
          <w:b/>
          <w:kern w:val="0"/>
          <w:lang/>
        </w:rPr>
        <w:t>基金租用证券公司交易单元的有关情况</w:t>
      </w:r>
      <w:r>
        <w:rPr>
          <w:lang/>
        </w:rPr>
        <w:tab/>
      </w:r>
      <w:r>
        <w:rPr>
          <w:lang/>
        </w:rPr>
        <w:fldChar w:fldCharType="begin"/>
      </w:r>
      <w:r>
        <w:rPr>
          <w:lang/>
        </w:rPr>
        <w:instrText xml:space="preserve"> PAGEREF _Toc446321408 \h </w:instrText>
      </w:r>
      <w:r>
        <w:rPr>
          <w:lang/>
        </w:rPr>
        <w:fldChar w:fldCharType="separate"/>
      </w:r>
      <w:r>
        <w:rPr>
          <w:lang/>
        </w:rPr>
        <w:t>56</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"_Toc446321409"</w:instrText>
      </w:r>
      <w:r>
        <w:rPr>
          <w:rStyle w:val="12"/>
          <w:lang/>
        </w:rPr>
        <w:instrText xml:space="preserve"> </w:instrText>
      </w:r>
      <w:r>
        <w:rPr>
          <w:rStyle w:val="12"/>
          <w:lang/>
        </w:rPr>
        <w:fldChar w:fldCharType="separate"/>
      </w:r>
      <w:r>
        <w:rPr>
          <w:rStyle w:val="12"/>
          <w:rFonts w:ascii="宋体" w:cs="宋体"/>
          <w:b/>
          <w:bCs/>
          <w:lang/>
        </w:rPr>
        <w:t xml:space="preserve">11.8 </w:t>
      </w:r>
      <w:r>
        <w:rPr>
          <w:rStyle w:val="12"/>
          <w:rFonts w:hint="eastAsia" w:ascii="宋体" w:cs="宋体"/>
          <w:b/>
          <w:bCs/>
          <w:lang/>
        </w:rPr>
        <w:t>其他重大事件</w:t>
      </w:r>
      <w:r>
        <w:rPr>
          <w:lang/>
        </w:rPr>
        <w:tab/>
      </w:r>
      <w:bookmarkStart w:id="5" w:name="_Hlt446321415"/>
      <w:bookmarkStart w:id="6" w:name="_Hlt446321416"/>
      <w:r>
        <w:rPr>
          <w:lang/>
        </w:rPr>
        <w:fldChar w:fldCharType="begin"/>
      </w:r>
      <w:r>
        <w:rPr>
          <w:lang/>
        </w:rPr>
        <w:instrText xml:space="preserve"> PAGEREF _Toc446321409 \h </w:instrText>
      </w:r>
      <w:r>
        <w:rPr>
          <w:lang/>
        </w:rPr>
        <w:fldChar w:fldCharType="separate"/>
      </w:r>
      <w:r>
        <w:rPr>
          <w:lang/>
        </w:rPr>
        <w:t>57</w:t>
      </w:r>
      <w:r>
        <w:rPr>
          <w:lang/>
        </w:rPr>
        <w:fldChar w:fldCharType="end"/>
      </w:r>
      <w:bookmarkEnd w:id="5"/>
      <w:bookmarkEnd w:id="6"/>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"_Toc446321410"</w:instrText>
      </w:r>
      <w:r>
        <w:rPr>
          <w:rStyle w:val="12"/>
          <w:lang/>
        </w:rPr>
        <w:instrText xml:space="preserve"> </w:instrText>
      </w:r>
      <w:r>
        <w:rPr>
          <w:rStyle w:val="12"/>
          <w:lang/>
        </w:rPr>
        <w:fldChar w:fldCharType="separate"/>
      </w:r>
      <w:r>
        <w:rPr>
          <w:rStyle w:val="12"/>
          <w:rFonts w:ascii="宋体"/>
          <w:b/>
          <w:kern w:val="0"/>
          <w:lang/>
        </w:rPr>
        <w:t xml:space="preserve">§12 </w:t>
      </w:r>
      <w:r>
        <w:rPr>
          <w:rStyle w:val="12"/>
          <w:rFonts w:hint="eastAsia" w:ascii="宋体"/>
          <w:b/>
          <w:kern w:val="0"/>
          <w:lang/>
        </w:rPr>
        <w:t>影响投资者决策的其他重要信息</w:t>
      </w:r>
      <w:r>
        <w:rPr>
          <w:lang/>
        </w:rPr>
        <w:tab/>
      </w:r>
      <w:r>
        <w:rPr>
          <w:lang/>
        </w:rPr>
        <w:fldChar w:fldCharType="begin"/>
      </w:r>
      <w:r>
        <w:rPr>
          <w:lang/>
        </w:rPr>
        <w:instrText xml:space="preserve"> PAGEREF _Toc446321410 \h </w:instrText>
      </w:r>
      <w:r>
        <w:rPr>
          <w:lang/>
        </w:rPr>
        <w:fldChar w:fldCharType="separate"/>
      </w:r>
      <w:r>
        <w:rPr>
          <w:lang/>
        </w:rPr>
        <w:t>58</w:t>
      </w:r>
      <w:r>
        <w:rPr>
          <w:lang/>
        </w:rPr>
        <w:fldChar w:fldCharType="end"/>
      </w:r>
      <w:r>
        <w:rPr>
          <w:rStyle w:val="12"/>
          <w:lang/>
        </w:rPr>
        <w:fldChar w:fldCharType="end"/>
      </w:r>
    </w:p>
    <w:p>
      <w:pPr>
        <w:pStyle w:val="7"/>
        <w:tabs>
          <w:tab w:val="right" w:leader="dot" w:pos="9076"/>
        </w:tabs>
        <w:rPr>
          <w:lang/>
        </w:rPr>
      </w:pPr>
      <w:r>
        <w:rPr>
          <w:rStyle w:val="12"/>
          <w:lang/>
        </w:rPr>
        <w:fldChar w:fldCharType="begin"/>
      </w:r>
      <w:r>
        <w:rPr>
          <w:rStyle w:val="12"/>
          <w:lang/>
        </w:rPr>
        <w:instrText xml:space="preserve"> </w:instrText>
      </w:r>
      <w:r>
        <w:rPr>
          <w:lang/>
        </w:rPr>
        <w:instrText xml:space="preserve">HYPERLINK \l "_Toc446321411"</w:instrText>
      </w:r>
      <w:r>
        <w:rPr>
          <w:rStyle w:val="12"/>
          <w:lang/>
        </w:rPr>
        <w:instrText xml:space="preserve"> </w:instrText>
      </w:r>
      <w:r>
        <w:rPr>
          <w:rStyle w:val="12"/>
          <w:lang/>
        </w:rPr>
        <w:fldChar w:fldCharType="separate"/>
      </w:r>
      <w:r>
        <w:rPr>
          <w:rStyle w:val="12"/>
          <w:rFonts w:ascii="宋体"/>
          <w:b/>
          <w:kern w:val="0"/>
          <w:lang/>
        </w:rPr>
        <w:t xml:space="preserve">§13 </w:t>
      </w:r>
      <w:r>
        <w:rPr>
          <w:rStyle w:val="12"/>
          <w:rFonts w:hint="eastAsia" w:ascii="宋体"/>
          <w:b/>
          <w:kern w:val="0"/>
          <w:lang/>
        </w:rPr>
        <w:t>备查文件目录</w:t>
      </w:r>
      <w:r>
        <w:rPr>
          <w:lang/>
        </w:rPr>
        <w:tab/>
      </w:r>
      <w:r>
        <w:rPr>
          <w:lang/>
        </w:rPr>
        <w:fldChar w:fldCharType="begin"/>
      </w:r>
      <w:r>
        <w:rPr>
          <w:lang/>
        </w:rPr>
        <w:instrText xml:space="preserve"> PAGEREF _Toc446321411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"_Toc446321412"</w:instrText>
      </w:r>
      <w:r>
        <w:rPr>
          <w:rStyle w:val="12"/>
          <w:lang/>
        </w:rPr>
        <w:instrText xml:space="preserve"> </w:instrText>
      </w:r>
      <w:r>
        <w:rPr>
          <w:rStyle w:val="12"/>
          <w:lang/>
        </w:rPr>
        <w:fldChar w:fldCharType="separate"/>
      </w:r>
      <w:r>
        <w:rPr>
          <w:rStyle w:val="12"/>
          <w:rFonts w:ascii="宋体"/>
          <w:b/>
          <w:kern w:val="0"/>
          <w:lang/>
        </w:rPr>
        <w:t xml:space="preserve">13.1 </w:t>
      </w:r>
      <w:r>
        <w:rPr>
          <w:rStyle w:val="12"/>
          <w:rFonts w:hint="eastAsia" w:ascii="宋体"/>
          <w:b/>
          <w:kern w:val="0"/>
          <w:lang/>
        </w:rPr>
        <w:t>备查文件目录</w:t>
      </w:r>
      <w:r>
        <w:rPr>
          <w:lang/>
        </w:rPr>
        <w:tab/>
      </w:r>
      <w:r>
        <w:rPr>
          <w:lang/>
        </w:rPr>
        <w:fldChar w:fldCharType="begin"/>
      </w:r>
      <w:r>
        <w:rPr>
          <w:lang/>
        </w:rPr>
        <w:instrText xml:space="preserve"> PAGEREF _Toc446321412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"_Toc446321413"</w:instrText>
      </w:r>
      <w:r>
        <w:rPr>
          <w:rStyle w:val="12"/>
          <w:lang/>
        </w:rPr>
        <w:instrText xml:space="preserve"> </w:instrText>
      </w:r>
      <w:r>
        <w:rPr>
          <w:rStyle w:val="12"/>
          <w:lang/>
        </w:rPr>
        <w:fldChar w:fldCharType="separate"/>
      </w:r>
      <w:r>
        <w:rPr>
          <w:rStyle w:val="12"/>
          <w:rFonts w:ascii="宋体"/>
          <w:b/>
          <w:kern w:val="0"/>
          <w:lang/>
        </w:rPr>
        <w:t xml:space="preserve">13.2 </w:t>
      </w:r>
      <w:r>
        <w:rPr>
          <w:rStyle w:val="12"/>
          <w:rFonts w:hint="eastAsia" w:ascii="宋体"/>
          <w:b/>
          <w:kern w:val="0"/>
          <w:lang/>
        </w:rPr>
        <w:t>存放地点</w:t>
      </w:r>
      <w:r>
        <w:rPr>
          <w:lang/>
        </w:rPr>
        <w:tab/>
      </w:r>
      <w:r>
        <w:rPr>
          <w:lang/>
        </w:rPr>
        <w:fldChar w:fldCharType="begin"/>
      </w:r>
      <w:r>
        <w:rPr>
          <w:lang/>
        </w:rPr>
        <w:instrText xml:space="preserve"> PAGEREF _Toc446321413 \h </w:instrText>
      </w:r>
      <w:r>
        <w:rPr>
          <w:lang/>
        </w:rPr>
        <w:fldChar w:fldCharType="separate"/>
      </w:r>
      <w:r>
        <w:rPr>
          <w:lang/>
        </w:rPr>
        <w:t>58</w:t>
      </w:r>
      <w:r>
        <w:rPr>
          <w:lang/>
        </w:rPr>
        <w:fldChar w:fldCharType="end"/>
      </w:r>
      <w:r>
        <w:rPr>
          <w:rStyle w:val="12"/>
          <w:lang/>
        </w:rPr>
        <w:fldChar w:fldCharType="end"/>
      </w:r>
    </w:p>
    <w:p>
      <w:pPr>
        <w:pStyle w:val="8"/>
        <w:tabs>
          <w:tab w:val="right" w:leader="dot" w:pos="9076"/>
        </w:tabs>
        <w:rPr>
          <w:lang/>
        </w:rPr>
      </w:pPr>
      <w:r>
        <w:rPr>
          <w:rStyle w:val="12"/>
          <w:lang/>
        </w:rPr>
        <w:fldChar w:fldCharType="begin"/>
      </w:r>
      <w:r>
        <w:rPr>
          <w:rStyle w:val="12"/>
          <w:lang/>
        </w:rPr>
        <w:instrText xml:space="preserve"> </w:instrText>
      </w:r>
      <w:r>
        <w:rPr>
          <w:lang/>
        </w:rPr>
        <w:instrText xml:space="preserve">HYPERLINK \l "_Toc446321414"</w:instrText>
      </w:r>
      <w:r>
        <w:rPr>
          <w:rStyle w:val="12"/>
          <w:lang/>
        </w:rPr>
        <w:instrText xml:space="preserve"> </w:instrText>
      </w:r>
      <w:r>
        <w:rPr>
          <w:rStyle w:val="12"/>
          <w:lang/>
        </w:rPr>
        <w:fldChar w:fldCharType="separate"/>
      </w:r>
      <w:r>
        <w:rPr>
          <w:rStyle w:val="12"/>
          <w:rFonts w:ascii="宋体"/>
          <w:b/>
          <w:kern w:val="0"/>
          <w:lang/>
        </w:rPr>
        <w:t xml:space="preserve">13.3 </w:t>
      </w:r>
      <w:r>
        <w:rPr>
          <w:rStyle w:val="12"/>
          <w:rFonts w:hint="eastAsia" w:ascii="宋体"/>
          <w:b/>
          <w:kern w:val="0"/>
          <w:lang/>
        </w:rPr>
        <w:t>查阅方式</w:t>
      </w:r>
      <w:r>
        <w:rPr>
          <w:lang/>
        </w:rPr>
        <w:tab/>
      </w:r>
      <w:r>
        <w:rPr>
          <w:lang/>
        </w:rPr>
        <w:fldChar w:fldCharType="begin"/>
      </w:r>
      <w:r>
        <w:rPr>
          <w:lang/>
        </w:rPr>
        <w:instrText xml:space="preserve"> PAGEREF _Toc446321414 \h </w:instrText>
      </w:r>
      <w:r>
        <w:rPr>
          <w:lang/>
        </w:rPr>
        <w:fldChar w:fldCharType="separate"/>
      </w:r>
      <w:r>
        <w:rPr>
          <w:lang/>
        </w:rPr>
        <w:t>58</w:t>
      </w:r>
      <w:r>
        <w:rPr>
          <w:lang/>
        </w:rPr>
        <w:fldChar w:fldCharType="end"/>
      </w:r>
      <w:r>
        <w:rPr>
          <w:rStyle w:val="12"/>
          <w:lang/>
        </w:rPr>
        <w:fldChar w:fldCharType="end"/>
      </w:r>
    </w:p>
    <w:p>
      <w:r>
        <w:fldChar w:fldCharType="end"/>
      </w:r>
    </w:p>
    <w:p>
      <w:pPr>
        <w:autoSpaceDE w:val="0"/>
        <w:autoSpaceDN w:val="0"/>
        <w:adjustRightInd w:val="0"/>
        <w:spacing w:before="30" w:line="288" w:lineRule="auto"/>
        <w:ind w:left="15"/>
        <w:jc w:val="left"/>
        <w:rPr>
          <w:rFonts w:ascii="宋体"/>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宋体"/>
          <w:b/>
          <w:color w:val="000000"/>
          <w:kern w:val="0"/>
          <w:sz w:val="24"/>
          <w:szCs w:val="24"/>
        </w:rPr>
      </w:pPr>
      <w:bookmarkStart w:id="7" w:name="_Toc446321352"/>
      <w:r>
        <w:rPr>
          <w:rFonts w:hint="eastAsia" w:ascii="宋体"/>
          <w:b/>
          <w:color w:val="000000"/>
          <w:kern w:val="0"/>
          <w:sz w:val="24"/>
          <w:szCs w:val="24"/>
        </w:rPr>
        <w:t>§</w:t>
      </w:r>
      <w:r>
        <w:rPr>
          <w:rFonts w:ascii="宋体"/>
          <w:b/>
          <w:color w:val="000000"/>
          <w:kern w:val="0"/>
          <w:sz w:val="24"/>
          <w:szCs w:val="24"/>
        </w:rPr>
        <w:t xml:space="preserve">2  </w:t>
      </w:r>
      <w:r>
        <w:rPr>
          <w:rFonts w:hint="eastAsia" w:ascii="宋体"/>
          <w:b/>
          <w:color w:val="000000"/>
          <w:kern w:val="0"/>
          <w:sz w:val="24"/>
          <w:szCs w:val="24"/>
        </w:rPr>
        <w:t>基金简介</w:t>
      </w:r>
      <w:bookmarkEnd w:id="7"/>
    </w:p>
    <w:p>
      <w:pPr>
        <w:autoSpaceDE w:val="0"/>
        <w:autoSpaceDN w:val="0"/>
        <w:adjustRightInd w:val="0"/>
        <w:spacing w:before="29" w:line="288" w:lineRule="auto"/>
        <w:ind w:left="15"/>
        <w:jc w:val="left"/>
        <w:outlineLvl w:val="1"/>
        <w:rPr>
          <w:rFonts w:ascii="宋体"/>
          <w:b/>
          <w:color w:val="000000"/>
          <w:kern w:val="0"/>
          <w:sz w:val="24"/>
          <w:szCs w:val="24"/>
        </w:rPr>
      </w:pPr>
      <w:bookmarkStart w:id="8" w:name="_Toc446321353"/>
      <w:r>
        <w:rPr>
          <w:rFonts w:ascii="宋体"/>
          <w:b/>
          <w:color w:val="000000"/>
          <w:kern w:val="0"/>
          <w:sz w:val="24"/>
          <w:szCs w:val="24"/>
        </w:rPr>
        <w:t xml:space="preserve">2.1 </w:t>
      </w:r>
      <w:r>
        <w:rPr>
          <w:rFonts w:hint="eastAsia" w:ascii="宋体"/>
          <w:b/>
          <w:color w:val="000000"/>
          <w:kern w:val="0"/>
          <w:sz w:val="24"/>
          <w:szCs w:val="24"/>
        </w:rPr>
        <w:t>基金基本情况</w:t>
      </w:r>
      <w:bookmarkEnd w:id="8"/>
    </w:p>
    <w:tbl>
      <w:tblPr>
        <w:tblStyle w:val="10"/>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创金合信聚利债券型证券投资基金</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创金合信聚利债券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001199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契约型开放式</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160,464,845.14</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A</w:t>
            </w:r>
            <w:r>
              <w:rPr>
                <w:rFonts w:hint="eastAsia" w:ascii="Times New Roman" w:hAnsi="Times New Roman"/>
                <w:color w:val="000000"/>
                <w:kern w:val="0"/>
                <w:sz w:val="24"/>
                <w:szCs w:val="24"/>
              </w:rPr>
              <w:t>级</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C</w:t>
            </w:r>
            <w:r>
              <w:rPr>
                <w:rFonts w:hint="eastAsia" w:ascii="Times New Roman" w:hAnsi="Times New Roman"/>
                <w:color w:val="000000"/>
                <w:kern w:val="0"/>
                <w:sz w:val="24"/>
                <w:szCs w:val="24"/>
              </w:rPr>
              <w:t>级</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001199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001200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123,245,595.19</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37,219,249.95</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9" w:name="_Toc446321354"/>
      <w:r>
        <w:rPr>
          <w:rFonts w:ascii="宋体"/>
          <w:b/>
          <w:color w:val="000000"/>
          <w:kern w:val="0"/>
          <w:sz w:val="24"/>
          <w:szCs w:val="24"/>
        </w:rPr>
        <w:t xml:space="preserve">2.2 </w:t>
      </w:r>
      <w:r>
        <w:rPr>
          <w:rFonts w:hint="eastAsia" w:ascii="宋体"/>
          <w:b/>
          <w:color w:val="000000"/>
          <w:kern w:val="0"/>
          <w:sz w:val="24"/>
          <w:szCs w:val="24"/>
        </w:rPr>
        <w:t>基金产品说明</w:t>
      </w:r>
      <w:bookmarkEnd w:id="9"/>
    </w:p>
    <w:tbl>
      <w:tblPr>
        <w:tblStyle w:val="10"/>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本基金在追求本金安全、保持资产流动性以及有效控制风险的基础上，通过积极主动的投资管理，力争为持有人提供较高的当期收益以及长期稳定的投资回报。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通过对宏观经济以及债券市场中长期发展趋势的客观判断，合理配置风险收益较优的企业债、公司债，以及可转换债、可分离债券等，加以对国家债券等高流动性品种的投资，灵活运用组合久期调整、收益率曲线调整、信用利差和相对价值等策略。在保证基金流动性的前提下，积极把握投资机会，获取各类债券的超额投资收益。</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中债综合（全价）指数收益率×</w:t>
            </w:r>
            <w:r>
              <w:rPr>
                <w:rFonts w:ascii="宋体"/>
                <w:color w:val="000000"/>
                <w:kern w:val="0"/>
                <w:sz w:val="24"/>
                <w:szCs w:val="24"/>
              </w:rPr>
              <w:t>90%+</w:t>
            </w:r>
            <w:r>
              <w:rPr>
                <w:rFonts w:hint="eastAsia" w:ascii="宋体"/>
                <w:color w:val="000000"/>
                <w:kern w:val="0"/>
                <w:sz w:val="24"/>
                <w:szCs w:val="24"/>
              </w:rPr>
              <w:t>沪深</w:t>
            </w:r>
            <w:r>
              <w:rPr>
                <w:rFonts w:ascii="宋体"/>
                <w:color w:val="000000"/>
                <w:kern w:val="0"/>
                <w:sz w:val="24"/>
                <w:szCs w:val="24"/>
              </w:rPr>
              <w:t>300</w:t>
            </w:r>
            <w:r>
              <w:rPr>
                <w:rFonts w:hint="eastAsia" w:ascii="宋体"/>
                <w:color w:val="000000"/>
                <w:kern w:val="0"/>
                <w:sz w:val="24"/>
                <w:szCs w:val="24"/>
              </w:rPr>
              <w:t>指数收益率×</w:t>
            </w:r>
            <w:r>
              <w:rPr>
                <w:rFonts w:ascii="宋体"/>
                <w:color w:val="000000"/>
                <w:kern w:val="0"/>
                <w:sz w:val="24"/>
                <w:szCs w:val="24"/>
              </w:rPr>
              <w:t>10%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本基金为债券型基金，其长期平均预期风险和预期收益率低于股票基金、混合基金，高于货币市场基金。</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0" w:name="_Toc446321355"/>
      <w:r>
        <w:rPr>
          <w:rFonts w:ascii="宋体"/>
          <w:b/>
          <w:color w:val="000000"/>
          <w:kern w:val="0"/>
          <w:sz w:val="24"/>
          <w:szCs w:val="24"/>
        </w:rPr>
        <w:t xml:space="preserve">2.3 </w:t>
      </w:r>
      <w:r>
        <w:rPr>
          <w:rFonts w:hint="eastAsia" w:ascii="宋体"/>
          <w:b/>
          <w:color w:val="000000"/>
          <w:kern w:val="0"/>
          <w:sz w:val="24"/>
          <w:szCs w:val="24"/>
        </w:rPr>
        <w:t>基金管理人和基金托管人</w:t>
      </w:r>
      <w:bookmarkEnd w:id="10"/>
    </w:p>
    <w:tbl>
      <w:tblPr>
        <w:tblStyle w:val="10"/>
        <w:tblW w:w="0" w:type="auto"/>
        <w:tblInd w:w="108" w:type="dxa"/>
        <w:tblLayout w:type="fixed"/>
        <w:tblCellMar>
          <w:top w:w="0" w:type="dxa"/>
          <w:left w:w="108" w:type="dxa"/>
          <w:bottom w:w="0" w:type="dxa"/>
          <w:right w:w="108" w:type="dxa"/>
        </w:tblCellMar>
      </w:tblPr>
      <w:tblGrid>
        <w:gridCol w:w="1806"/>
        <w:gridCol w:w="1445"/>
        <w:gridCol w:w="2889"/>
        <w:gridCol w:w="2890"/>
      </w:tblGrid>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基金托管人</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中国工商银行股份有限公司</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洪渊</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010-66105799</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custody@icbc.com.cn</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95588</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010-66105798</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深圳市前海深港合作区前湾一路</w:t>
            </w:r>
            <w:r>
              <w:rPr>
                <w:rFonts w:ascii="宋体"/>
                <w:color w:val="000000"/>
                <w:kern w:val="0"/>
                <w:sz w:val="24"/>
                <w:szCs w:val="24"/>
              </w:rPr>
              <w:t xml:space="preserve"> 1</w:t>
            </w:r>
            <w:r>
              <w:rPr>
                <w:rFonts w:hint="eastAsia" w:ascii="宋体"/>
                <w:color w:val="000000"/>
                <w:kern w:val="0"/>
                <w:sz w:val="24"/>
                <w:szCs w:val="24"/>
              </w:rPr>
              <w:t>号</w:t>
            </w:r>
            <w:r>
              <w:rPr>
                <w:rFonts w:ascii="宋体"/>
                <w:color w:val="000000"/>
                <w:kern w:val="0"/>
                <w:sz w:val="24"/>
                <w:szCs w:val="24"/>
              </w:rPr>
              <w:t>A</w:t>
            </w:r>
            <w:r>
              <w:rPr>
                <w:rFonts w:hint="eastAsia" w:ascii="宋体"/>
                <w:color w:val="000000"/>
                <w:kern w:val="0"/>
                <w:sz w:val="24"/>
                <w:szCs w:val="24"/>
              </w:rPr>
              <w:t>栋</w:t>
            </w:r>
            <w:r>
              <w:rPr>
                <w:rFonts w:ascii="宋体"/>
                <w:color w:val="000000"/>
                <w:kern w:val="0"/>
                <w:sz w:val="24"/>
                <w:szCs w:val="24"/>
              </w:rPr>
              <w:t xml:space="preserve">201 </w:t>
            </w:r>
            <w:r>
              <w:rPr>
                <w:rFonts w:hint="eastAsia" w:ascii="宋体"/>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北京市西城区复兴门内大街</w:t>
            </w:r>
            <w:r>
              <w:rPr>
                <w:rFonts w:ascii="宋体"/>
                <w:color w:val="000000"/>
                <w:kern w:val="0"/>
                <w:sz w:val="24"/>
                <w:szCs w:val="24"/>
              </w:rPr>
              <w:t>55</w:t>
            </w:r>
            <w:r>
              <w:rPr>
                <w:rFonts w:hint="eastAsia" w:ascii="宋体"/>
                <w:color w:val="000000"/>
                <w:kern w:val="0"/>
                <w:sz w:val="24"/>
                <w:szCs w:val="24"/>
              </w:rPr>
              <w:t>号</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北京市西城区复兴门内大街</w:t>
            </w:r>
            <w:r>
              <w:rPr>
                <w:rFonts w:ascii="宋体"/>
                <w:color w:val="000000"/>
                <w:kern w:val="0"/>
                <w:sz w:val="24"/>
                <w:szCs w:val="24"/>
              </w:rPr>
              <w:t>55</w:t>
            </w:r>
            <w:r>
              <w:rPr>
                <w:rFonts w:hint="eastAsia" w:ascii="宋体"/>
                <w:color w:val="000000"/>
                <w:kern w:val="0"/>
                <w:sz w:val="24"/>
                <w:szCs w:val="24"/>
              </w:rPr>
              <w:t>号</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100140</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姜建清</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1" w:name="_Toc446321356"/>
      <w:r>
        <w:rPr>
          <w:rFonts w:ascii="宋体"/>
          <w:b/>
          <w:color w:val="000000"/>
          <w:kern w:val="0"/>
          <w:sz w:val="24"/>
          <w:szCs w:val="24"/>
        </w:rPr>
        <w:t xml:space="preserve">2.4 </w:t>
      </w:r>
      <w:r>
        <w:rPr>
          <w:rFonts w:hint="eastAsia" w:ascii="宋体"/>
          <w:b/>
          <w:color w:val="000000"/>
          <w:kern w:val="0"/>
          <w:sz w:val="24"/>
          <w:szCs w:val="24"/>
        </w:rPr>
        <w:t>信息披露方式</w:t>
      </w:r>
      <w:bookmarkEnd w:id="11"/>
    </w:p>
    <w:tbl>
      <w:tblPr>
        <w:tblStyle w:val="10"/>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上海证券报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www.cjhxfund.com</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层</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2" w:name="_Toc446321357"/>
      <w:r>
        <w:rPr>
          <w:rFonts w:ascii="宋体"/>
          <w:b/>
          <w:color w:val="000000"/>
          <w:kern w:val="0"/>
          <w:sz w:val="24"/>
          <w:szCs w:val="24"/>
        </w:rPr>
        <w:t xml:space="preserve">2.5 </w:t>
      </w:r>
      <w:r>
        <w:rPr>
          <w:rFonts w:hint="eastAsia" w:ascii="宋体"/>
          <w:b/>
          <w:color w:val="000000"/>
          <w:kern w:val="0"/>
          <w:sz w:val="24"/>
          <w:szCs w:val="24"/>
        </w:rPr>
        <w:t>其他相关资料</w:t>
      </w:r>
      <w:bookmarkEnd w:id="12"/>
    </w:p>
    <w:tbl>
      <w:tblPr>
        <w:tblStyle w:val="10"/>
        <w:tblW w:w="0" w:type="auto"/>
        <w:tblInd w:w="108" w:type="dxa"/>
        <w:tblLayout w:type="fixed"/>
        <w:tblCellMar>
          <w:top w:w="0" w:type="dxa"/>
          <w:left w:w="108" w:type="dxa"/>
          <w:bottom w:w="0" w:type="dxa"/>
          <w:right w:w="108" w:type="dxa"/>
        </w:tblCellMar>
      </w:tblPr>
      <w:tblGrid>
        <w:gridCol w:w="1806"/>
        <w:gridCol w:w="3612"/>
        <w:gridCol w:w="3612"/>
      </w:tblGrid>
      <w:tr>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办公地址</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上海市黄浦区湖滨路</w:t>
            </w:r>
            <w:r>
              <w:rPr>
                <w:rFonts w:ascii="宋体"/>
                <w:color w:val="000000"/>
                <w:kern w:val="0"/>
                <w:sz w:val="24"/>
                <w:szCs w:val="24"/>
              </w:rPr>
              <w:t>202</w:t>
            </w:r>
            <w:r>
              <w:rPr>
                <w:rFonts w:hint="eastAsia" w:ascii="宋体"/>
                <w:color w:val="000000"/>
                <w:kern w:val="0"/>
                <w:sz w:val="24"/>
                <w:szCs w:val="24"/>
              </w:rPr>
              <w:t>号普华永道中心</w:t>
            </w:r>
            <w:r>
              <w:rPr>
                <w:rFonts w:ascii="宋体"/>
                <w:color w:val="000000"/>
                <w:kern w:val="0"/>
                <w:sz w:val="24"/>
                <w:szCs w:val="24"/>
              </w:rPr>
              <w:t>11</w:t>
            </w:r>
            <w:r>
              <w:rPr>
                <w:rFonts w:hint="eastAsia" w:ascii="宋体"/>
                <w:color w:val="000000"/>
                <w:kern w:val="0"/>
                <w:sz w:val="24"/>
                <w:szCs w:val="24"/>
              </w:rPr>
              <w:t>楼</w:t>
            </w:r>
          </w:p>
        </w:tc>
      </w:tr>
      <w:tr>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深圳市福田区福华一路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13" w:name="_Toc446321358"/>
      <w:r>
        <w:rPr>
          <w:rFonts w:hint="eastAsia" w:ascii="宋体"/>
          <w:b/>
          <w:color w:val="000000"/>
          <w:kern w:val="0"/>
          <w:sz w:val="24"/>
          <w:szCs w:val="24"/>
        </w:rPr>
        <w:t>§</w:t>
      </w:r>
      <w:r>
        <w:rPr>
          <w:rFonts w:ascii="宋体"/>
          <w:b/>
          <w:color w:val="000000"/>
          <w:kern w:val="0"/>
          <w:sz w:val="24"/>
          <w:szCs w:val="24"/>
        </w:rPr>
        <w:t xml:space="preserve">3  </w:t>
      </w:r>
      <w:r>
        <w:rPr>
          <w:rFonts w:hint="eastAsia" w:ascii="宋体"/>
          <w:b/>
          <w:color w:val="000000"/>
          <w:kern w:val="0"/>
          <w:sz w:val="24"/>
          <w:szCs w:val="24"/>
        </w:rPr>
        <w:t>主要财务指标、基金净值表现及利润分配情况</w:t>
      </w:r>
      <w:bookmarkEnd w:id="13"/>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4" w:name="_Toc446321359"/>
      <w:r>
        <w:rPr>
          <w:rFonts w:ascii="宋体"/>
          <w:b/>
          <w:color w:val="000000"/>
          <w:kern w:val="0"/>
          <w:sz w:val="24"/>
          <w:szCs w:val="24"/>
        </w:rPr>
        <w:t xml:space="preserve">3.1 </w:t>
      </w:r>
      <w:r>
        <w:rPr>
          <w:rFonts w:hint="eastAsia" w:ascii="宋体"/>
          <w:b/>
          <w:color w:val="000000"/>
          <w:kern w:val="0"/>
          <w:sz w:val="24"/>
          <w:szCs w:val="24"/>
        </w:rPr>
        <w:t>主要会计数据和财务指标</w:t>
      </w:r>
      <w:bookmarkEnd w:id="14"/>
    </w:p>
    <w:p>
      <w:pPr>
        <w:autoSpaceDE w:val="0"/>
        <w:autoSpaceDN w:val="0"/>
        <w:adjustRightInd w:val="0"/>
        <w:spacing w:line="288" w:lineRule="auto"/>
        <w:jc w:val="left"/>
        <w:rPr>
          <w:rFonts w:ascii="MS Sans Serif" w:hAnsi="MS Sans Serif"/>
          <w:color w:val="000000"/>
          <w:kern w:val="0"/>
          <w:sz w:val="3"/>
          <w:szCs w:val="24"/>
        </w:rPr>
      </w:pPr>
    </w:p>
    <w:tbl>
      <w:tblPr>
        <w:tblStyle w:val="10"/>
        <w:tblW w:w="0" w:type="auto"/>
        <w:tblInd w:w="108" w:type="dxa"/>
        <w:tblLayout w:type="fixed"/>
        <w:tblCellMar>
          <w:top w:w="0" w:type="dxa"/>
          <w:left w:w="108" w:type="dxa"/>
          <w:bottom w:w="0" w:type="dxa"/>
          <w:right w:w="108" w:type="dxa"/>
        </w:tblCellMar>
      </w:tblPr>
      <w:tblGrid>
        <w:gridCol w:w="236"/>
        <w:gridCol w:w="3194"/>
        <w:gridCol w:w="2889"/>
        <w:gridCol w:w="2890"/>
        <w:gridCol w:w="57"/>
      </w:tblGrid>
      <w:tr>
        <w:tblPrEx>
          <w:tblCellMar>
            <w:top w:w="0" w:type="dxa"/>
            <w:left w:w="108" w:type="dxa"/>
            <w:bottom w:w="0" w:type="dxa"/>
            <w:right w:w="108" w:type="dxa"/>
          </w:tblCellMar>
        </w:tblPrEx>
        <w:trPr>
          <w:wBefore w:w="0" w:type="auto"/>
        </w:trPr>
        <w:tc>
          <w:tcPr>
            <w:tcW w:w="57" w:type="dxa"/>
            <w:vMerge w:val="restart"/>
            <w:tcBorders>
              <w:top w:val="nil"/>
              <w:left w:val="nil"/>
              <w:bottom w:val="nil"/>
              <w:right w:val="nil"/>
            </w:tcBorders>
            <w:noWrap w:val="0"/>
            <w:vAlign w:val="top"/>
          </w:tcPr>
          <w:p>
            <w:pPr>
              <w:autoSpaceDE w:val="0"/>
              <w:autoSpaceDN w:val="0"/>
              <w:adjustRightInd w:val="0"/>
              <w:spacing w:line="288" w:lineRule="auto"/>
              <w:jc w:val="left"/>
              <w:rPr>
                <w:rFonts w:ascii="MS Sans Serif" w:hAnsi="MS Sans Serif"/>
                <w:color w:val="000000"/>
                <w:kern w:val="0"/>
                <w:sz w:val="23"/>
                <w:szCs w:val="24"/>
              </w:rPr>
            </w:pPr>
          </w:p>
        </w:tc>
        <w:tc>
          <w:tcPr>
            <w:tcW w:w="9030" w:type="dxa"/>
            <w:gridSpan w:val="4"/>
            <w:tcBorders>
              <w:top w:val="nil"/>
              <w:left w:val="nil"/>
              <w:bottom w:val="nil"/>
              <w:right w:val="nil"/>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c>
      </w:tr>
      <w:tr>
        <w:tblPrEx>
          <w:tblCellMar>
            <w:top w:w="0" w:type="dxa"/>
            <w:left w:w="108" w:type="dxa"/>
            <w:bottom w:w="0" w:type="dxa"/>
            <w:right w:w="108" w:type="dxa"/>
          </w:tblCellMar>
        </w:tblPrEx>
        <w:trPr>
          <w:gridAfter w:val="4"/>
          <w:wBefore w:w="0" w:type="auto"/>
          <w:wAfter w:w="9030" w:type="dxa"/>
          <w:trHeight w:val="187" w:hRule="atLeast"/>
        </w:trPr>
        <w:tc>
          <w:tcPr>
            <w:tcW w:w="57" w:type="dxa"/>
            <w:vMerge w:val="continue"/>
            <w:tcBorders>
              <w:top w:val="nil"/>
              <w:left w:val="nil"/>
              <w:bottom w:val="nil"/>
              <w:right w:val="nil"/>
            </w:tcBorders>
            <w:noWrap w:val="0"/>
            <w:vAlign w:val="top"/>
          </w:tcPr>
          <w:p>
            <w:pPr>
              <w:autoSpaceDE w:val="0"/>
              <w:autoSpaceDN w:val="0"/>
              <w:adjustRightInd w:val="0"/>
              <w:spacing w:line="288" w:lineRule="auto"/>
              <w:jc w:val="left"/>
              <w:rPr>
                <w:rFonts w:ascii="宋体"/>
                <w:kern w:val="0"/>
                <w:sz w:val="12"/>
                <w:szCs w:val="24"/>
              </w:rPr>
            </w:pPr>
          </w:p>
        </w:tc>
      </w:tr>
      <w:tr>
        <w:tblPrEx>
          <w:tblCellMar>
            <w:top w:w="0" w:type="dxa"/>
            <w:left w:w="108" w:type="dxa"/>
            <w:bottom w:w="0" w:type="dxa"/>
            <w:right w:w="108" w:type="dxa"/>
          </w:tblCellMar>
        </w:tblPrEx>
        <w:trPr>
          <w:gridAfter w:val="1"/>
          <w:wBefore w:w="0" w:type="auto"/>
          <w:wAfter w:w="57" w:type="dxa"/>
        </w:trPr>
        <w:tc>
          <w:tcPr>
            <w:tcW w:w="3251"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3.1.1 </w:t>
            </w:r>
            <w:r>
              <w:rPr>
                <w:rFonts w:hint="eastAsia" w:ascii="宋体"/>
                <w:color w:val="000000"/>
                <w:kern w:val="0"/>
                <w:sz w:val="24"/>
                <w:szCs w:val="24"/>
              </w:rPr>
              <w:t>期间数据和指标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05</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gridAfter w:val="1"/>
          <w:wBefore w:w="0" w:type="auto"/>
          <w:wAfter w:w="57" w:type="dxa"/>
        </w:trPr>
        <w:tc>
          <w:tcPr>
            <w:tcW w:w="3251"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A</w:t>
            </w:r>
            <w:r>
              <w:rPr>
                <w:rFonts w:hint="eastAsia" w:ascii="Times New Roman" w:hAnsi="Times New Roman"/>
                <w:color w:val="000000"/>
                <w:kern w:val="0"/>
                <w:sz w:val="24"/>
                <w:szCs w:val="24"/>
              </w:rPr>
              <w:t>级</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C</w:t>
            </w:r>
            <w:r>
              <w:rPr>
                <w:rFonts w:hint="eastAsia" w:ascii="Times New Roman" w:hAnsi="Times New Roman"/>
                <w:color w:val="000000"/>
                <w:kern w:val="0"/>
                <w:sz w:val="24"/>
                <w:szCs w:val="24"/>
              </w:rPr>
              <w:t>级</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10,138,275.50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2,665,847.49</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11,960,111.24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3,302,058.08</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0.0643</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6.31%</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3.1.2 </w:t>
            </w:r>
            <w:r>
              <w:rPr>
                <w:rFonts w:hint="eastAsia" w:ascii="宋体"/>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7,272,663.51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2,098,261.88</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0.0564</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131,836,849.30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39,715,178.93</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3.1.3 </w:t>
            </w:r>
            <w:r>
              <w:rPr>
                <w:rFonts w:hint="eastAsia" w:ascii="宋体"/>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gridAfter w:val="1"/>
          <w:wBefore w:w="0" w:type="auto"/>
          <w:wAfter w:w="57" w:type="dxa"/>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上述基金业绩指标不包括持有人认购或交易基金的各项费用</w:t>
      </w:r>
      <w:r>
        <w:rPr>
          <w:rFonts w:ascii="宋体"/>
          <w:color w:val="000000"/>
          <w:kern w:val="0"/>
          <w:szCs w:val="24"/>
        </w:rPr>
        <w:t>,</w:t>
      </w:r>
      <w:r>
        <w:rPr>
          <w:rFonts w:hint="eastAsia" w:ascii="宋体"/>
          <w:color w:val="000000"/>
          <w:kern w:val="0"/>
          <w:szCs w:val="24"/>
        </w:rPr>
        <w:t>计入费用后实际收益水平要低于所列数字。</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本期已实现收益指基金本期利息收入、投资收益、其他收入</w:t>
      </w:r>
      <w:r>
        <w:rPr>
          <w:rFonts w:ascii="宋体"/>
          <w:color w:val="000000"/>
          <w:kern w:val="0"/>
          <w:szCs w:val="24"/>
        </w:rPr>
        <w:t>(</w:t>
      </w:r>
      <w:r>
        <w:rPr>
          <w:rFonts w:hint="eastAsia" w:ascii="宋体"/>
          <w:color w:val="000000"/>
          <w:kern w:val="0"/>
          <w:szCs w:val="24"/>
        </w:rPr>
        <w:t>不含公允价值变动收益</w:t>
      </w:r>
      <w:r>
        <w:rPr>
          <w:rFonts w:ascii="宋体"/>
          <w:color w:val="000000"/>
          <w:kern w:val="0"/>
          <w:szCs w:val="24"/>
        </w:rPr>
        <w:t>)</w:t>
      </w:r>
      <w:r>
        <w:rPr>
          <w:rFonts w:hint="eastAsia" w:ascii="宋体"/>
          <w:color w:val="000000"/>
          <w:kern w:val="0"/>
          <w:szCs w:val="24"/>
        </w:rPr>
        <w:t>扣除相关费用后的余额</w:t>
      </w:r>
      <w:r>
        <w:rPr>
          <w:rFonts w:ascii="宋体"/>
          <w:color w:val="000000"/>
          <w:kern w:val="0"/>
          <w:szCs w:val="24"/>
        </w:rPr>
        <w:t>,</w:t>
      </w:r>
      <w:r>
        <w:rPr>
          <w:rFonts w:hint="eastAsia" w:ascii="宋体"/>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3.</w:t>
      </w:r>
      <w:r>
        <w:rPr>
          <w:rFonts w:hint="eastAsia" w:ascii="宋体"/>
          <w:color w:val="000000"/>
          <w:kern w:val="0"/>
          <w:szCs w:val="24"/>
        </w:rPr>
        <w:t>期末可供分配利润是采用期末资产负债表中未分配利润与未分配利润中已实现部分的孰低数，表中的“期末”均指报告期最后一日，即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4.</w:t>
      </w:r>
      <w:r>
        <w:rPr>
          <w:rFonts w:hint="eastAsia" w:ascii="宋体"/>
          <w:color w:val="000000"/>
          <w:kern w:val="0"/>
          <w:szCs w:val="24"/>
        </w:rPr>
        <w:t>本基金合同生效日为</w:t>
      </w:r>
      <w:r>
        <w:rPr>
          <w:rFonts w:ascii="宋体"/>
          <w:color w:val="000000"/>
          <w:kern w:val="0"/>
          <w:szCs w:val="24"/>
        </w:rPr>
        <w:t>2015</w:t>
      </w:r>
      <w:r>
        <w:rPr>
          <w:rFonts w:hint="eastAsia" w:ascii="宋体"/>
          <w:color w:val="000000"/>
          <w:kern w:val="0"/>
          <w:szCs w:val="24"/>
        </w:rPr>
        <w:t>年</w:t>
      </w:r>
      <w:r>
        <w:rPr>
          <w:rFonts w:ascii="宋体"/>
          <w:color w:val="000000"/>
          <w:kern w:val="0"/>
          <w:szCs w:val="24"/>
        </w:rPr>
        <w:t>5</w:t>
      </w:r>
      <w:r>
        <w:rPr>
          <w:rFonts w:hint="eastAsia" w:ascii="宋体"/>
          <w:color w:val="000000"/>
          <w:kern w:val="0"/>
          <w:szCs w:val="24"/>
        </w:rPr>
        <w:t>月</w:t>
      </w:r>
      <w:r>
        <w:rPr>
          <w:rFonts w:ascii="宋体"/>
          <w:color w:val="000000"/>
          <w:kern w:val="0"/>
          <w:szCs w:val="24"/>
        </w:rPr>
        <w:t>15</w:t>
      </w:r>
      <w:r>
        <w:rPr>
          <w:rFonts w:hint="eastAsia" w:ascii="宋体"/>
          <w:color w:val="000000"/>
          <w:kern w:val="0"/>
          <w:szCs w:val="24"/>
        </w:rPr>
        <w:t>日，截至报告期末，本基金成立不满一年。合同生效当期的相关数据和指标按实际存续期计算。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5" w:name="_Toc446321360"/>
      <w:r>
        <w:rPr>
          <w:rFonts w:ascii="宋体"/>
          <w:b/>
          <w:color w:val="000000"/>
          <w:kern w:val="0"/>
          <w:sz w:val="24"/>
          <w:szCs w:val="24"/>
        </w:rPr>
        <w:t xml:space="preserve">3.2 </w:t>
      </w:r>
      <w:r>
        <w:rPr>
          <w:rFonts w:hint="eastAsia" w:ascii="宋体"/>
          <w:b/>
          <w:color w:val="000000"/>
          <w:kern w:val="0"/>
          <w:sz w:val="24"/>
          <w:szCs w:val="24"/>
        </w:rPr>
        <w:t>基金净值表现</w:t>
      </w:r>
      <w:bookmarkEnd w:id="15"/>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3.2.1 </w:t>
      </w:r>
      <w:r>
        <w:rPr>
          <w:rFonts w:hint="eastAsia" w:ascii="宋体"/>
          <w:b/>
          <w:color w:val="000000"/>
          <w:kern w:val="0"/>
          <w:sz w:val="24"/>
          <w:szCs w:val="24"/>
        </w:rPr>
        <w:t>基金份额净值增长率及其与同期业绩比较基准收益率的比较</w:t>
      </w:r>
    </w:p>
    <w:tbl>
      <w:tblPr>
        <w:tblStyle w:val="10"/>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r>
              <w:rPr>
                <w:rFonts w:ascii="宋体"/>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bl>
    <w:p>
      <w:pPr>
        <w:autoSpaceDE w:val="0"/>
        <w:autoSpaceDN w:val="0"/>
        <w:adjustRightInd w:val="0"/>
        <w:spacing w:line="288" w:lineRule="auto"/>
        <w:jc w:val="left"/>
        <w:rPr>
          <w:rFonts w:ascii="MS Sans Serif" w:hAnsi="MS Sans Serif"/>
          <w:color w:val="000000"/>
          <w:kern w:val="0"/>
          <w:sz w:val="23"/>
          <w:szCs w:val="24"/>
        </w:rPr>
      </w:pPr>
    </w:p>
    <w:tbl>
      <w:tblPr>
        <w:tblStyle w:val="10"/>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阶段</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r>
              <w:rPr>
                <w:rFonts w:ascii="宋体"/>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①</w:t>
            </w:r>
            <w:r>
              <w:rPr>
                <w:rFonts w:ascii="宋体"/>
                <w:color w:val="000000"/>
                <w:kern w:val="0"/>
                <w:sz w:val="24"/>
                <w:szCs w:val="24"/>
              </w:rPr>
              <w:t>-</w:t>
            </w:r>
            <w:r>
              <w:rPr>
                <w:rFonts w:hint="eastAsia" w:ascii="宋体"/>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②</w:t>
            </w:r>
            <w:r>
              <w:rPr>
                <w:rFonts w:ascii="宋体"/>
                <w:color w:val="000000"/>
                <w:kern w:val="0"/>
                <w:sz w:val="24"/>
                <w:szCs w:val="24"/>
              </w:rPr>
              <w:t>-</w:t>
            </w:r>
            <w:r>
              <w:rPr>
                <w:rFonts w:hint="eastAsia" w:ascii="宋体"/>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自基金合同生效日起至今（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3.2.2 </w:t>
      </w:r>
      <w:r>
        <w:rPr>
          <w:rFonts w:hint="eastAsia" w:ascii="宋体"/>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、本基金基金合同于</w:t>
      </w:r>
      <w:r>
        <w:rPr>
          <w:rFonts w:ascii="宋体"/>
          <w:color w:val="000000"/>
          <w:kern w:val="0"/>
          <w:szCs w:val="24"/>
        </w:rPr>
        <w:t>2015</w:t>
      </w:r>
      <w:r>
        <w:rPr>
          <w:rFonts w:hint="eastAsia" w:ascii="宋体"/>
          <w:color w:val="000000"/>
          <w:kern w:val="0"/>
          <w:szCs w:val="24"/>
        </w:rPr>
        <w:t>年</w:t>
      </w:r>
      <w:r>
        <w:rPr>
          <w:rFonts w:ascii="宋体"/>
          <w:color w:val="000000"/>
          <w:kern w:val="0"/>
          <w:szCs w:val="24"/>
        </w:rPr>
        <w:t>5</w:t>
      </w:r>
      <w:r>
        <w:rPr>
          <w:rFonts w:hint="eastAsia" w:ascii="宋体"/>
          <w:color w:val="000000"/>
          <w:kern w:val="0"/>
          <w:szCs w:val="24"/>
        </w:rPr>
        <w:t>月</w:t>
      </w:r>
      <w:r>
        <w:rPr>
          <w:rFonts w:ascii="宋体"/>
          <w:color w:val="000000"/>
          <w:kern w:val="0"/>
          <w:szCs w:val="24"/>
        </w:rPr>
        <w:t>15</w:t>
      </w:r>
      <w:r>
        <w:rPr>
          <w:rFonts w:hint="eastAsia" w:ascii="宋体"/>
          <w:color w:val="000000"/>
          <w:kern w:val="0"/>
          <w:szCs w:val="24"/>
        </w:rPr>
        <w:t>日生效。</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、根据本基金基金合同的约定，本基金自基金合同生效之日起</w:t>
      </w:r>
      <w:r>
        <w:rPr>
          <w:rFonts w:ascii="宋体"/>
          <w:color w:val="000000"/>
          <w:kern w:val="0"/>
          <w:szCs w:val="24"/>
        </w:rPr>
        <w:t>6</w:t>
      </w:r>
      <w:r>
        <w:rPr>
          <w:rFonts w:hint="eastAsia" w:ascii="宋体"/>
          <w:color w:val="000000"/>
          <w:kern w:val="0"/>
          <w:szCs w:val="24"/>
        </w:rPr>
        <w:t>个月内为建仓期，建仓期结束时本基金的投资组合比例符合基金合同的有关规定。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3.2.3 </w:t>
      </w:r>
      <w:r>
        <w:rPr>
          <w:rFonts w:hint="eastAsia" w:ascii="宋体"/>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MS Sans Serif" w:hAnsi="MS Sans Serif"/>
          <w:color w:val="000000"/>
          <w:kern w:val="0"/>
          <w:sz w:val="7"/>
          <w:szCs w:val="24"/>
        </w:rPr>
      </w:pP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宋体"/>
          <w:kern w:val="0"/>
          <w:sz w:val="24"/>
          <w:szCs w:val="24"/>
        </w:rPr>
      </w:pPr>
      <w:r>
        <w:rPr>
          <w:rFonts w:ascii="宋体"/>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注：合同生效当年按实际存续期计算，不按整个自然年度进行折算。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3.3 </w:t>
      </w:r>
      <w:r>
        <w:rPr>
          <w:rFonts w:hint="eastAsia" w:ascii="宋体"/>
          <w:b/>
          <w:color w:val="000000"/>
          <w:kern w:val="0"/>
          <w:sz w:val="24"/>
          <w:szCs w:val="24"/>
        </w:rPr>
        <w:t>过去三年基金的利润分配情况</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本基金自基金合同生效日（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日）至本报告期末未发生利润分配。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16" w:name="_Toc446321361"/>
      <w:r>
        <w:rPr>
          <w:rFonts w:hint="eastAsia" w:ascii="宋体"/>
          <w:b/>
          <w:color w:val="000000"/>
          <w:kern w:val="0"/>
          <w:sz w:val="24"/>
          <w:szCs w:val="24"/>
        </w:rPr>
        <w:t>§</w:t>
      </w:r>
      <w:r>
        <w:rPr>
          <w:rFonts w:ascii="宋体"/>
          <w:b/>
          <w:color w:val="000000"/>
          <w:kern w:val="0"/>
          <w:sz w:val="24"/>
          <w:szCs w:val="24"/>
        </w:rPr>
        <w:t xml:space="preserve">4  </w:t>
      </w:r>
      <w:r>
        <w:rPr>
          <w:rFonts w:hint="eastAsia" w:ascii="宋体"/>
          <w:b/>
          <w:color w:val="000000"/>
          <w:kern w:val="0"/>
          <w:sz w:val="24"/>
          <w:szCs w:val="24"/>
        </w:rPr>
        <w:t>管理人报告</w:t>
      </w:r>
      <w:bookmarkEnd w:id="16"/>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7" w:name="_Toc446321362"/>
      <w:r>
        <w:rPr>
          <w:rFonts w:ascii="宋体"/>
          <w:b/>
          <w:color w:val="000000"/>
          <w:kern w:val="0"/>
          <w:sz w:val="24"/>
          <w:szCs w:val="24"/>
        </w:rPr>
        <w:t xml:space="preserve">4.1 </w:t>
      </w:r>
      <w:r>
        <w:rPr>
          <w:rFonts w:hint="eastAsia" w:ascii="宋体"/>
          <w:b/>
          <w:color w:val="000000"/>
          <w:kern w:val="0"/>
          <w:sz w:val="24"/>
          <w:szCs w:val="24"/>
        </w:rPr>
        <w:t>基金管理人及基金经理情况</w:t>
      </w:r>
      <w:bookmarkEnd w:id="17"/>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4.1.1 </w:t>
      </w:r>
      <w:r>
        <w:rPr>
          <w:rFonts w:hint="eastAsia" w:ascii="宋体"/>
          <w:b/>
          <w:color w:val="000000"/>
          <w:kern w:val="0"/>
          <w:sz w:val="24"/>
          <w:szCs w:val="24"/>
        </w:rPr>
        <w:t>基金管理人及其管理基金的经验</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创金合信基金管理有限公司于</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3</w:t>
      </w:r>
      <w:r>
        <w:rPr>
          <w:rFonts w:hint="eastAsia" w:ascii="宋体"/>
          <w:color w:val="000000"/>
          <w:kern w:val="0"/>
          <w:sz w:val="24"/>
          <w:szCs w:val="24"/>
        </w:rPr>
        <w:t>日获得中国证监会批复，</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w:t>
      </w:r>
      <w:r>
        <w:rPr>
          <w:rFonts w:ascii="宋体"/>
          <w:color w:val="000000"/>
          <w:kern w:val="0"/>
          <w:sz w:val="24"/>
          <w:szCs w:val="24"/>
        </w:rPr>
        <w:t>9</w:t>
      </w:r>
      <w:r>
        <w:rPr>
          <w:rFonts w:hint="eastAsia" w:ascii="宋体"/>
          <w:color w:val="000000"/>
          <w:kern w:val="0"/>
          <w:sz w:val="24"/>
          <w:szCs w:val="24"/>
        </w:rPr>
        <w:t>日正式注册设立，注册地为深圳市。</w:t>
      </w:r>
      <w:r>
        <w:rPr>
          <w:rFonts w:hint="eastAsia" w:ascii="宋体"/>
          <w:color w:val="000000"/>
          <w:kern w:val="0"/>
          <w:sz w:val="24"/>
        </w:rPr>
        <w:t>公司由第一创业证券股份有限公司、深圳市金合信投资合伙企业（有限合伙）共同出资设立。公司注册资本</w:t>
      </w:r>
      <w:r>
        <w:rPr>
          <w:rFonts w:ascii="宋体"/>
          <w:color w:val="000000"/>
          <w:kern w:val="0"/>
          <w:sz w:val="24"/>
        </w:rPr>
        <w:t>1.7</w:t>
      </w:r>
      <w:r>
        <w:rPr>
          <w:rFonts w:hint="eastAsia" w:ascii="宋体"/>
          <w:color w:val="000000"/>
          <w:kern w:val="0"/>
          <w:sz w:val="24"/>
        </w:rPr>
        <w:t>亿元人民币，股东出资情况为：第一创业证券股份有限公司出资</w:t>
      </w:r>
      <w:r>
        <w:rPr>
          <w:rFonts w:ascii="宋体"/>
          <w:color w:val="000000"/>
          <w:kern w:val="0"/>
          <w:sz w:val="24"/>
        </w:rPr>
        <w:t>11,900</w:t>
      </w:r>
      <w:r>
        <w:rPr>
          <w:rFonts w:hint="eastAsia" w:ascii="宋体"/>
          <w:color w:val="000000"/>
          <w:kern w:val="0"/>
          <w:sz w:val="24"/>
        </w:rPr>
        <w:t>亿元，占公司注册资本的</w:t>
      </w:r>
      <w:r>
        <w:rPr>
          <w:rFonts w:ascii="宋体"/>
          <w:color w:val="000000"/>
          <w:kern w:val="0"/>
          <w:sz w:val="24"/>
        </w:rPr>
        <w:t>70%</w:t>
      </w:r>
      <w:r>
        <w:rPr>
          <w:rFonts w:hint="eastAsia" w:ascii="宋体"/>
          <w:color w:val="000000"/>
          <w:kern w:val="0"/>
          <w:sz w:val="24"/>
        </w:rPr>
        <w:t>；深圳市金合信投资合伙企业（有限合伙）出资</w:t>
      </w:r>
      <w:r>
        <w:rPr>
          <w:rFonts w:ascii="宋体"/>
          <w:color w:val="000000"/>
          <w:kern w:val="0"/>
          <w:sz w:val="24"/>
        </w:rPr>
        <w:t>5,100</w:t>
      </w:r>
      <w:r>
        <w:rPr>
          <w:rFonts w:hint="eastAsia" w:ascii="宋体"/>
          <w:color w:val="000000"/>
          <w:kern w:val="0"/>
          <w:sz w:val="24"/>
        </w:rPr>
        <w:t>万元，占公司注册资本的</w:t>
      </w:r>
      <w:r>
        <w:rPr>
          <w:rFonts w:ascii="宋体"/>
          <w:color w:val="000000"/>
          <w:kern w:val="0"/>
          <w:sz w:val="24"/>
        </w:rPr>
        <w:t>30%</w:t>
      </w:r>
      <w:r>
        <w:rPr>
          <w:rFonts w:hint="eastAsia" w:ascii="宋体"/>
          <w:color w:val="000000"/>
          <w:kern w:val="0"/>
          <w:sz w:val="24"/>
        </w:rPr>
        <w:t>。</w:t>
      </w:r>
    </w:p>
    <w:p>
      <w:pPr>
        <w:autoSpaceDE w:val="0"/>
        <w:autoSpaceDN w:val="0"/>
        <w:adjustRightInd w:val="0"/>
        <w:spacing w:line="288" w:lineRule="auto"/>
        <w:ind w:left="15" w:firstLine="480" w:firstLineChars="200"/>
        <w:jc w:val="left"/>
        <w:rPr>
          <w:rFonts w:ascii="宋体"/>
          <w:color w:val="000000"/>
          <w:kern w:val="0"/>
          <w:sz w:val="24"/>
        </w:rPr>
      </w:pPr>
      <w:r>
        <w:rPr>
          <w:rFonts w:hint="eastAsia" w:ascii="宋体"/>
          <w:color w:val="000000"/>
          <w:kern w:val="0"/>
          <w:sz w:val="24"/>
        </w:rPr>
        <w:t>公司始终坚持</w:t>
      </w:r>
      <w:r>
        <w:rPr>
          <w:rFonts w:ascii="宋体"/>
          <w:color w:val="000000"/>
          <w:kern w:val="0"/>
          <w:sz w:val="24"/>
        </w:rPr>
        <w:t>“</w:t>
      </w:r>
      <w:r>
        <w:rPr>
          <w:rFonts w:hint="eastAsia" w:ascii="宋体"/>
          <w:color w:val="000000"/>
          <w:kern w:val="0"/>
          <w:sz w:val="24"/>
        </w:rPr>
        <w:t>客户利益至上</w:t>
      </w:r>
      <w:r>
        <w:rPr>
          <w:rFonts w:ascii="宋体"/>
          <w:color w:val="000000"/>
          <w:kern w:val="0"/>
          <w:sz w:val="24"/>
        </w:rPr>
        <w:t>”</w:t>
      </w:r>
      <w:r>
        <w:rPr>
          <w:rFonts w:hint="eastAsia" w:ascii="宋体"/>
          <w:color w:val="000000"/>
          <w:kern w:val="0"/>
          <w:sz w:val="24"/>
        </w:rPr>
        <w:t>，致力于为客户实现长期稳定的投资回报，做客户投资理财的亲密伙伴。</w:t>
      </w:r>
    </w:p>
    <w:p>
      <w:pPr>
        <w:autoSpaceDE w:val="0"/>
        <w:autoSpaceDN w:val="0"/>
        <w:adjustRightInd w:val="0"/>
        <w:spacing w:before="29" w:line="288" w:lineRule="auto"/>
        <w:ind w:left="15" w:firstLine="480"/>
        <w:jc w:val="left"/>
        <w:rPr>
          <w:rFonts w:ascii="宋体"/>
          <w:color w:val="000000"/>
          <w:kern w:val="0"/>
          <w:sz w:val="24"/>
        </w:rPr>
      </w:pPr>
      <w:r>
        <w:rPr>
          <w:rFonts w:hint="eastAsia" w:ascii="宋体"/>
          <w:color w:val="000000"/>
          <w:kern w:val="0"/>
          <w:sz w:val="24"/>
        </w:rPr>
        <w:t>报告期内，本公司共发行</w:t>
      </w:r>
      <w:r>
        <w:rPr>
          <w:rFonts w:ascii="宋体"/>
          <w:color w:val="000000"/>
          <w:kern w:val="0"/>
          <w:sz w:val="24"/>
        </w:rPr>
        <w:t>7</w:t>
      </w:r>
      <w:r>
        <w:rPr>
          <w:rFonts w:hint="eastAsia" w:ascii="宋体"/>
          <w:color w:val="000000"/>
          <w:kern w:val="0"/>
          <w:sz w:val="24"/>
        </w:rPr>
        <w:t>只公募基金。截至</w:t>
      </w:r>
      <w:r>
        <w:rPr>
          <w:rFonts w:ascii="宋体"/>
          <w:color w:val="000000"/>
          <w:kern w:val="0"/>
          <w:sz w:val="24"/>
        </w:rPr>
        <w:t>2015</w:t>
      </w:r>
      <w:r>
        <w:rPr>
          <w:rFonts w:hint="eastAsia" w:ascii="宋体"/>
          <w:color w:val="000000"/>
          <w:kern w:val="0"/>
          <w:sz w:val="24"/>
        </w:rPr>
        <w:t>年</w:t>
      </w:r>
      <w:r>
        <w:rPr>
          <w:rFonts w:ascii="宋体"/>
          <w:color w:val="000000"/>
          <w:kern w:val="0"/>
          <w:sz w:val="24"/>
        </w:rPr>
        <w:t>12</w:t>
      </w:r>
      <w:r>
        <w:rPr>
          <w:rFonts w:hint="eastAsia" w:ascii="宋体"/>
          <w:color w:val="000000"/>
          <w:kern w:val="0"/>
          <w:sz w:val="24"/>
        </w:rPr>
        <w:t>月</w:t>
      </w:r>
      <w:r>
        <w:rPr>
          <w:rFonts w:ascii="宋体"/>
          <w:color w:val="000000"/>
          <w:kern w:val="0"/>
          <w:sz w:val="24"/>
        </w:rPr>
        <w:t>31</w:t>
      </w:r>
      <w:r>
        <w:rPr>
          <w:rFonts w:hint="eastAsia" w:ascii="宋体"/>
          <w:color w:val="000000"/>
          <w:kern w:val="0"/>
          <w:sz w:val="24"/>
        </w:rPr>
        <w:t>日，本公司共管理</w:t>
      </w:r>
      <w:r>
        <w:rPr>
          <w:rFonts w:ascii="宋体"/>
          <w:color w:val="000000"/>
          <w:kern w:val="0"/>
          <w:sz w:val="24"/>
        </w:rPr>
        <w:t>7</w:t>
      </w:r>
      <w:r>
        <w:rPr>
          <w:rFonts w:hint="eastAsia" w:ascii="宋体"/>
          <w:color w:val="000000"/>
          <w:kern w:val="0"/>
          <w:sz w:val="24"/>
        </w:rPr>
        <w:t>只公募基金，其中混合型产品</w:t>
      </w:r>
      <w:r>
        <w:rPr>
          <w:rFonts w:ascii="宋体"/>
          <w:color w:val="000000"/>
          <w:kern w:val="0"/>
          <w:sz w:val="24"/>
        </w:rPr>
        <w:t>3</w:t>
      </w:r>
      <w:r>
        <w:rPr>
          <w:rFonts w:hint="eastAsia" w:ascii="宋体"/>
          <w:color w:val="000000"/>
          <w:kern w:val="0"/>
          <w:sz w:val="24"/>
        </w:rPr>
        <w:t>只、指数型产品</w:t>
      </w:r>
      <w:r>
        <w:rPr>
          <w:rFonts w:ascii="宋体"/>
          <w:color w:val="000000"/>
          <w:kern w:val="0"/>
          <w:sz w:val="24"/>
        </w:rPr>
        <w:t>2</w:t>
      </w:r>
      <w:r>
        <w:rPr>
          <w:rFonts w:hint="eastAsia" w:ascii="宋体"/>
          <w:color w:val="000000"/>
          <w:kern w:val="0"/>
          <w:sz w:val="24"/>
        </w:rPr>
        <w:t>只、债券型产品</w:t>
      </w:r>
      <w:r>
        <w:rPr>
          <w:rFonts w:ascii="宋体"/>
          <w:color w:val="000000"/>
          <w:kern w:val="0"/>
          <w:sz w:val="24"/>
        </w:rPr>
        <w:t>1</w:t>
      </w:r>
      <w:r>
        <w:rPr>
          <w:rFonts w:hint="eastAsia" w:ascii="宋体"/>
          <w:color w:val="000000"/>
          <w:kern w:val="0"/>
          <w:sz w:val="24"/>
        </w:rPr>
        <w:t>只和货币型产品</w:t>
      </w:r>
      <w:r>
        <w:rPr>
          <w:rFonts w:ascii="宋体"/>
          <w:color w:val="000000"/>
          <w:kern w:val="0"/>
          <w:sz w:val="24"/>
        </w:rPr>
        <w:t>1</w:t>
      </w:r>
      <w:r>
        <w:rPr>
          <w:rFonts w:hint="eastAsia" w:ascii="宋体"/>
          <w:color w:val="000000"/>
          <w:kern w:val="0"/>
          <w:sz w:val="24"/>
        </w:rPr>
        <w:t>只；管理的公募基金规模为</w:t>
      </w:r>
      <w:r>
        <w:rPr>
          <w:rFonts w:ascii="宋体"/>
          <w:color w:val="000000"/>
          <w:kern w:val="0"/>
          <w:sz w:val="24"/>
        </w:rPr>
        <w:t>44.22</w:t>
      </w:r>
      <w:r>
        <w:rPr>
          <w:rFonts w:hint="eastAsia" w:ascii="宋体"/>
          <w:color w:val="000000"/>
          <w:kern w:val="0"/>
          <w:sz w:val="24"/>
        </w:rPr>
        <w:t>亿元。</w:t>
      </w:r>
    </w:p>
    <w:p>
      <w:pPr>
        <w:autoSpaceDE w:val="0"/>
        <w:autoSpaceDN w:val="0"/>
        <w:adjustRightInd w:val="0"/>
        <w:spacing w:before="29" w:line="288" w:lineRule="auto"/>
        <w:ind w:left="15" w:firstLine="480"/>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4.1.2 </w:t>
      </w:r>
      <w:r>
        <w:rPr>
          <w:rFonts w:hint="eastAsia" w:ascii="宋体"/>
          <w:b/>
          <w:color w:val="000000"/>
          <w:kern w:val="0"/>
          <w:sz w:val="24"/>
          <w:szCs w:val="24"/>
        </w:rPr>
        <w:t>基金经理（或基金经理小组）及基金经理助理简介</w:t>
      </w:r>
    </w:p>
    <w:tbl>
      <w:tblPr>
        <w:tblStyle w:val="10"/>
        <w:tblW w:w="0" w:type="auto"/>
        <w:tblInd w:w="108" w:type="dxa"/>
        <w:tblLayout w:type="fixed"/>
        <w:tblCellMar>
          <w:top w:w="0" w:type="dxa"/>
          <w:left w:w="108" w:type="dxa"/>
          <w:bottom w:w="0" w:type="dxa"/>
          <w:right w:w="108" w:type="dxa"/>
        </w:tblCellMar>
      </w:tblPr>
      <w:tblGrid>
        <w:gridCol w:w="1084"/>
        <w:gridCol w:w="1083"/>
        <w:gridCol w:w="1445"/>
        <w:gridCol w:w="1445"/>
        <w:gridCol w:w="1083"/>
        <w:gridCol w:w="2890"/>
      </w:tblGrid>
      <w:tr>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说明</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王一兵</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本基金基金经理、固定收益部总监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王一兵先生，中国国籍，四川大学</w:t>
            </w:r>
            <w:r>
              <w:rPr>
                <w:rFonts w:ascii="宋体"/>
                <w:color w:val="000000"/>
                <w:kern w:val="0"/>
                <w:sz w:val="24"/>
                <w:szCs w:val="24"/>
              </w:rPr>
              <w:t>MBA</w:t>
            </w:r>
            <w:r>
              <w:rPr>
                <w:rFonts w:hint="eastAsia" w:ascii="宋体"/>
                <w:color w:val="000000"/>
                <w:kern w:val="0"/>
                <w:sz w:val="24"/>
                <w:szCs w:val="24"/>
              </w:rPr>
              <w:t>。</w:t>
            </w:r>
            <w:r>
              <w:rPr>
                <w:rFonts w:ascii="宋体"/>
                <w:color w:val="000000"/>
                <w:kern w:val="0"/>
                <w:sz w:val="24"/>
                <w:szCs w:val="24"/>
              </w:rPr>
              <w:t>1994</w:t>
            </w:r>
            <w:r>
              <w:rPr>
                <w:rFonts w:hint="eastAsia" w:ascii="宋体"/>
                <w:color w:val="000000"/>
                <w:kern w:val="0"/>
                <w:sz w:val="24"/>
                <w:szCs w:val="24"/>
              </w:rPr>
              <w:t>年即进入证券期货行业，作为公司出市代表任海南中商期货交易所红马甲。</w:t>
            </w:r>
            <w:r>
              <w:rPr>
                <w:rFonts w:ascii="宋体"/>
                <w:color w:val="000000"/>
                <w:kern w:val="0"/>
                <w:sz w:val="24"/>
                <w:szCs w:val="24"/>
              </w:rPr>
              <w:t>1997</w:t>
            </w:r>
            <w:r>
              <w:rPr>
                <w:rFonts w:hint="eastAsia" w:ascii="宋体"/>
                <w:color w:val="000000"/>
                <w:kern w:val="0"/>
                <w:sz w:val="24"/>
                <w:szCs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郑振源先生，中国国籍，中国人民银行研究生部经济学硕士。</w:t>
            </w:r>
            <w:r>
              <w:rPr>
                <w:rFonts w:ascii="宋体"/>
                <w:color w:val="000000"/>
                <w:kern w:val="0"/>
                <w:sz w:val="24"/>
                <w:szCs w:val="24"/>
              </w:rPr>
              <w:t>2009</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月加入第一创业证券研究所，担任宏观债券研究员。</w:t>
            </w:r>
            <w:r>
              <w:rPr>
                <w:rFonts w:ascii="宋体"/>
                <w:color w:val="000000"/>
                <w:kern w:val="0"/>
                <w:sz w:val="24"/>
                <w:szCs w:val="24"/>
              </w:rPr>
              <w:t>2012</w:t>
            </w:r>
            <w:r>
              <w:rPr>
                <w:rFonts w:hint="eastAsia" w:ascii="宋体"/>
                <w:color w:val="000000"/>
                <w:kern w:val="0"/>
                <w:sz w:val="24"/>
                <w:szCs w:val="24"/>
              </w:rPr>
              <w:t>年</w:t>
            </w:r>
            <w:r>
              <w:rPr>
                <w:rFonts w:ascii="宋体"/>
                <w:color w:val="000000"/>
                <w:kern w:val="0"/>
                <w:sz w:val="24"/>
                <w:szCs w:val="24"/>
              </w:rPr>
              <w:t>7</w:t>
            </w:r>
            <w:r>
              <w:rPr>
                <w:rFonts w:hint="eastAsia" w:ascii="宋体"/>
                <w:color w:val="000000"/>
                <w:kern w:val="0"/>
                <w:sz w:val="24"/>
                <w:szCs w:val="24"/>
              </w:rPr>
              <w:t>月加入第一创业证券资产管理部，先后担任宏观债券研究员、投资主办等职务。</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张荣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06</w:t>
            </w:r>
            <w:r>
              <w:rPr>
                <w:rFonts w:hint="eastAsia" w:ascii="宋体"/>
                <w:color w:val="000000"/>
                <w:kern w:val="0"/>
                <w:sz w:val="24"/>
                <w:szCs w:val="24"/>
              </w:rPr>
              <w:t>月</w:t>
            </w:r>
            <w:r>
              <w:rPr>
                <w:rFonts w:ascii="宋体"/>
                <w:color w:val="000000"/>
                <w:kern w:val="0"/>
                <w:sz w:val="24"/>
                <w:szCs w:val="24"/>
              </w:rPr>
              <w:t>11</w:t>
            </w:r>
            <w:r>
              <w:rPr>
                <w:rFonts w:hint="eastAsia" w:ascii="宋体"/>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张荣先生，中国国籍，北京大学金融学硕士。</w:t>
            </w:r>
            <w:r>
              <w:rPr>
                <w:rFonts w:ascii="宋体"/>
                <w:color w:val="000000"/>
                <w:kern w:val="0"/>
                <w:sz w:val="24"/>
                <w:szCs w:val="24"/>
              </w:rPr>
              <w:t xml:space="preserve"> 2004</w:t>
            </w:r>
            <w:r>
              <w:rPr>
                <w:rFonts w:hint="eastAsia" w:ascii="宋体"/>
                <w:color w:val="000000"/>
                <w:kern w:val="0"/>
                <w:sz w:val="24"/>
                <w:szCs w:val="24"/>
              </w:rPr>
              <w:t>年就职于深圳银监局从事银行监管工作，历任多家银行监管员。</w:t>
            </w:r>
            <w:r>
              <w:rPr>
                <w:rFonts w:ascii="宋体"/>
                <w:color w:val="000000"/>
                <w:kern w:val="0"/>
                <w:sz w:val="24"/>
                <w:szCs w:val="24"/>
              </w:rPr>
              <w:t xml:space="preserve"> 2010</w:t>
            </w:r>
            <w:r>
              <w:rPr>
                <w:rFonts w:hint="eastAsia" w:ascii="宋体"/>
                <w:color w:val="000000"/>
                <w:kern w:val="0"/>
                <w:sz w:val="24"/>
                <w:szCs w:val="24"/>
              </w:rPr>
              <w:t>年加入第一创业证券资产管理部，历任金融行业研究主管、投资主办等职务。</w:t>
            </w:r>
            <w:r>
              <w:rPr>
                <w:rFonts w:ascii="宋体"/>
                <w:color w:val="000000"/>
                <w:kern w:val="0"/>
                <w:sz w:val="24"/>
                <w:szCs w:val="24"/>
              </w:rPr>
              <w:t>2014</w:t>
            </w:r>
            <w:r>
              <w:rPr>
                <w:rFonts w:hint="eastAsia" w:ascii="宋体"/>
                <w:color w:val="000000"/>
                <w:kern w:val="0"/>
                <w:sz w:val="24"/>
                <w:szCs w:val="24"/>
              </w:rPr>
              <w:t>年</w:t>
            </w:r>
            <w:r>
              <w:rPr>
                <w:rFonts w:ascii="宋体"/>
                <w:color w:val="000000"/>
                <w:kern w:val="0"/>
                <w:sz w:val="24"/>
                <w:szCs w:val="24"/>
              </w:rPr>
              <w:t>8</w:t>
            </w:r>
            <w:r>
              <w:rPr>
                <w:rFonts w:hint="eastAsia" w:ascii="宋体"/>
                <w:color w:val="000000"/>
                <w:kern w:val="0"/>
                <w:sz w:val="24"/>
                <w:szCs w:val="24"/>
              </w:rPr>
              <w:t>月加入创金合信基金管理有限公司担任高级研究员。</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、证券从业年限计算的起止时间按照从事证券行业开始时间计算。</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3</w:t>
      </w:r>
      <w:r>
        <w:rPr>
          <w:rFonts w:hint="eastAsia" w:ascii="宋体"/>
          <w:color w:val="000000"/>
          <w:kern w:val="0"/>
          <w:szCs w:val="24"/>
        </w:rPr>
        <w:t>、证券从业的含义遵从行业协会《证券业从业人员资格管理办法》的相关规定。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8" w:name="_Toc446321363"/>
      <w:r>
        <w:rPr>
          <w:rFonts w:ascii="宋体"/>
          <w:b/>
          <w:color w:val="000000"/>
          <w:kern w:val="0"/>
          <w:sz w:val="24"/>
          <w:szCs w:val="24"/>
        </w:rPr>
        <w:t xml:space="preserve">4.2 </w:t>
      </w:r>
      <w:r>
        <w:rPr>
          <w:rFonts w:hint="eastAsia" w:ascii="宋体"/>
          <w:b/>
          <w:color w:val="000000"/>
          <w:kern w:val="0"/>
          <w:sz w:val="24"/>
          <w:szCs w:val="24"/>
        </w:rPr>
        <w:t>管理人对报告期内本基金运作遵规守信情况的说明</w:t>
      </w:r>
      <w:bookmarkEnd w:id="18"/>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聚利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19" w:name="_Toc446321364"/>
      <w:r>
        <w:rPr>
          <w:rFonts w:ascii="宋体"/>
          <w:b/>
          <w:color w:val="000000"/>
          <w:kern w:val="0"/>
          <w:sz w:val="24"/>
          <w:szCs w:val="24"/>
        </w:rPr>
        <w:t xml:space="preserve">4.3 </w:t>
      </w:r>
      <w:r>
        <w:rPr>
          <w:rFonts w:hint="eastAsia" w:ascii="宋体"/>
          <w:b/>
          <w:color w:val="000000"/>
          <w:kern w:val="0"/>
          <w:sz w:val="24"/>
          <w:szCs w:val="24"/>
        </w:rPr>
        <w:t>管理人对报告期内公平交易情况的专项说明</w:t>
      </w:r>
      <w:bookmarkEnd w:id="19"/>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4.3.1 </w:t>
      </w:r>
      <w:r>
        <w:rPr>
          <w:rFonts w:hint="eastAsia" w:ascii="宋体"/>
          <w:b/>
          <w:color w:val="000000"/>
          <w:kern w:val="0"/>
          <w:sz w:val="24"/>
          <w:szCs w:val="24"/>
        </w:rPr>
        <w:t>公平交易制度和控制方法</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w:t>
      </w:r>
      <w:r>
        <w:rPr>
          <w:rFonts w:ascii="宋体"/>
          <w:color w:val="000000"/>
          <w:kern w:val="0"/>
          <w:sz w:val="24"/>
          <w:szCs w:val="24"/>
        </w:rPr>
        <w:t>2011</w:t>
      </w:r>
      <w:r>
        <w:rPr>
          <w:rFonts w:hint="eastAsia" w:ascii="宋体"/>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、交易执行的内部控制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、交易指令分配的控制</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、公平交易监控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宋体"/>
          <w:color w:val="000000"/>
          <w:kern w:val="0"/>
          <w:sz w:val="24"/>
          <w:szCs w:val="24"/>
        </w:rPr>
        <w:t>1</w:t>
      </w:r>
      <w:r>
        <w:rPr>
          <w:rFonts w:hint="eastAsia" w:ascii="宋体"/>
          <w:color w:val="000000"/>
          <w:kern w:val="0"/>
          <w:sz w:val="24"/>
          <w:szCs w:val="24"/>
        </w:rPr>
        <w:t>日内、</w:t>
      </w:r>
      <w:r>
        <w:rPr>
          <w:rFonts w:ascii="宋体"/>
          <w:color w:val="000000"/>
          <w:kern w:val="0"/>
          <w:sz w:val="24"/>
          <w:szCs w:val="24"/>
        </w:rPr>
        <w:t>3</w:t>
      </w:r>
      <w:r>
        <w:rPr>
          <w:rFonts w:hint="eastAsia" w:ascii="宋体"/>
          <w:color w:val="000000"/>
          <w:kern w:val="0"/>
          <w:sz w:val="24"/>
          <w:szCs w:val="24"/>
        </w:rPr>
        <w:t>日、</w:t>
      </w:r>
      <w:r>
        <w:rPr>
          <w:rFonts w:ascii="宋体"/>
          <w:color w:val="000000"/>
          <w:kern w:val="0"/>
          <w:sz w:val="24"/>
          <w:szCs w:val="24"/>
        </w:rPr>
        <w:t>5</w:t>
      </w:r>
      <w:r>
        <w:rPr>
          <w:rFonts w:hint="eastAsia" w:ascii="宋体"/>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4.3.2 </w:t>
      </w:r>
      <w:r>
        <w:rPr>
          <w:rFonts w:hint="eastAsia" w:ascii="宋体"/>
          <w:b/>
          <w:color w:val="000000"/>
          <w:kern w:val="0"/>
          <w:sz w:val="24"/>
          <w:szCs w:val="24"/>
        </w:rPr>
        <w:t>公平交易制度的执行情况</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本报告期内，本基金管理人严格执行《证券投资基金管理公司公平交易制度指导意见（</w:t>
      </w:r>
      <w:r>
        <w:rPr>
          <w:rFonts w:ascii="宋体"/>
          <w:color w:val="000000"/>
          <w:kern w:val="0"/>
          <w:sz w:val="24"/>
          <w:szCs w:val="24"/>
        </w:rPr>
        <w:t>2011</w:t>
      </w:r>
      <w:r>
        <w:rPr>
          <w:rFonts w:hint="eastAsia" w:ascii="宋体"/>
          <w:color w:val="000000"/>
          <w:kern w:val="0"/>
          <w:sz w:val="24"/>
          <w:szCs w:val="24"/>
        </w:rPr>
        <w:t>年修订）》，完善相应制度及流程，通过系统和人工等各种方式在各业务环节严格控制交易公平执行，公平对待旗下管理的所有投资组合。本报告期内本基金管理人根据《证券投资基金管理公司公平交易制度指导意见（</w:t>
      </w:r>
      <w:r>
        <w:rPr>
          <w:rFonts w:ascii="宋体"/>
          <w:color w:val="000000"/>
          <w:kern w:val="0"/>
          <w:sz w:val="24"/>
          <w:szCs w:val="24"/>
        </w:rPr>
        <w:t>2011</w:t>
      </w:r>
      <w:r>
        <w:rPr>
          <w:rFonts w:hint="eastAsia" w:ascii="宋体"/>
          <w:color w:val="000000"/>
          <w:kern w:val="0"/>
          <w:sz w:val="24"/>
          <w:szCs w:val="24"/>
        </w:rPr>
        <w:t>年修订）》及《创金合信基金管理有限公司公平交易制度》对本年度同向交易价差进行了专项分析，未发现异常交易情况。</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4.3.3 </w:t>
      </w:r>
      <w:r>
        <w:rPr>
          <w:rFonts w:hint="eastAsia" w:ascii="宋体"/>
          <w:b/>
          <w:color w:val="000000"/>
          <w:kern w:val="0"/>
          <w:sz w:val="24"/>
          <w:szCs w:val="24"/>
        </w:rPr>
        <w:t>异常交易行为的专项说明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本基金本报告期内未发现异常交易行为。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0" w:name="_Toc446321365"/>
      <w:r>
        <w:rPr>
          <w:rFonts w:ascii="宋体"/>
          <w:b/>
          <w:color w:val="000000"/>
          <w:kern w:val="0"/>
          <w:sz w:val="24"/>
          <w:szCs w:val="24"/>
        </w:rPr>
        <w:t xml:space="preserve">4.4 </w:t>
      </w:r>
      <w:r>
        <w:rPr>
          <w:rFonts w:hint="eastAsia" w:ascii="宋体"/>
          <w:b/>
          <w:color w:val="000000"/>
          <w:kern w:val="0"/>
          <w:sz w:val="24"/>
          <w:szCs w:val="24"/>
        </w:rPr>
        <w:t>管理人对报告期内基金的投资策略和业绩表现说明</w:t>
      </w:r>
      <w:bookmarkEnd w:id="20"/>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4.4.1 </w:t>
      </w:r>
      <w:r>
        <w:rPr>
          <w:rFonts w:hint="eastAsia" w:ascii="宋体"/>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总体来说，</w:t>
      </w:r>
      <w:r>
        <w:rPr>
          <w:rFonts w:ascii="宋体"/>
          <w:color w:val="000000"/>
          <w:kern w:val="0"/>
          <w:sz w:val="24"/>
          <w:szCs w:val="24"/>
        </w:rPr>
        <w:t>2015</w:t>
      </w:r>
      <w:r>
        <w:rPr>
          <w:rFonts w:hint="eastAsia" w:ascii="宋体"/>
          <w:color w:val="000000"/>
          <w:kern w:val="0"/>
          <w:sz w:val="24"/>
          <w:szCs w:val="24"/>
        </w:rPr>
        <w:t>年的债券市场延续了牛市的格局。经济偏弱及央行货币政策宽松奠定了牛市的基础，在债券供给、财政刺激及股市等因素的作用下，收益率呈现震荡加剧、波动加大的态势。</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上半年，短端利率的变化经历两个阶段：一季度，调结构在央行的目标权重较大，货币市场利率整体维持偏高，短端收益率居高不下，而随着经济下行压力加大，二季度，央行稳增长需求推动宽松力度有所加大，货币市场利率开始出现趋势性下行，短端收益率也跟随大幅下行。长端利率则在上半年维持震荡格局，经济下行压力推动长债收益率下行，但</w:t>
      </w:r>
      <w:r>
        <w:rPr>
          <w:rFonts w:ascii="宋体"/>
          <w:color w:val="000000"/>
          <w:kern w:val="0"/>
          <w:sz w:val="24"/>
          <w:szCs w:val="24"/>
        </w:rPr>
        <w:t>3</w:t>
      </w:r>
      <w:r>
        <w:rPr>
          <w:rFonts w:hint="eastAsia" w:ascii="宋体"/>
          <w:color w:val="000000"/>
          <w:kern w:val="0"/>
          <w:sz w:val="24"/>
          <w:szCs w:val="24"/>
        </w:rPr>
        <w:t>月地方债置换所带来的地方债大幅供给，以及二季度政府不断释放稳增长预期，构成长债的上行动力。</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下半年，短端利率整体维持相对稳定，主要是央行持续维护货币市场利率的稳定，</w:t>
      </w:r>
      <w:r>
        <w:rPr>
          <w:rFonts w:ascii="宋体"/>
          <w:color w:val="000000"/>
          <w:kern w:val="0"/>
          <w:sz w:val="24"/>
          <w:szCs w:val="24"/>
        </w:rPr>
        <w:t>7</w:t>
      </w:r>
      <w:r>
        <w:rPr>
          <w:rFonts w:hint="eastAsia" w:ascii="宋体"/>
          <w:color w:val="000000"/>
          <w:kern w:val="0"/>
          <w:sz w:val="24"/>
          <w:szCs w:val="24"/>
        </w:rPr>
        <w:t>天回购利率稳定在</w:t>
      </w:r>
      <w:r>
        <w:rPr>
          <w:rFonts w:ascii="宋体"/>
          <w:color w:val="000000"/>
          <w:kern w:val="0"/>
          <w:sz w:val="24"/>
          <w:szCs w:val="24"/>
        </w:rPr>
        <w:t>2.4%</w:t>
      </w:r>
      <w:r>
        <w:rPr>
          <w:rFonts w:hint="eastAsia" w:ascii="宋体"/>
          <w:color w:val="000000"/>
          <w:kern w:val="0"/>
          <w:sz w:val="24"/>
          <w:szCs w:val="24"/>
        </w:rPr>
        <w:t>附近，因此短端品种的收益率整体变化不大。负面冲击包括以下：一是</w:t>
      </w:r>
      <w:r>
        <w:rPr>
          <w:rFonts w:ascii="宋体"/>
          <w:color w:val="000000"/>
          <w:kern w:val="0"/>
          <w:sz w:val="24"/>
          <w:szCs w:val="24"/>
        </w:rPr>
        <w:t>7</w:t>
      </w:r>
      <w:r>
        <w:rPr>
          <w:rFonts w:hint="eastAsia" w:ascii="宋体"/>
          <w:color w:val="000000"/>
          <w:kern w:val="0"/>
          <w:sz w:val="24"/>
          <w:szCs w:val="24"/>
        </w:rPr>
        <w:t>月股灾及</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IPO</w:t>
      </w:r>
      <w:r>
        <w:rPr>
          <w:rFonts w:hint="eastAsia" w:ascii="宋体"/>
          <w:color w:val="000000"/>
          <w:kern w:val="0"/>
          <w:sz w:val="24"/>
          <w:szCs w:val="24"/>
        </w:rPr>
        <w:t>的重启构成了短期扰动，二是低评级品种面临信用利差持续扩大的局面。</w:t>
      </w:r>
      <w:r>
        <w:rPr>
          <w:rFonts w:ascii="宋体"/>
          <w:color w:val="000000"/>
          <w:kern w:val="0"/>
          <w:sz w:val="24"/>
          <w:szCs w:val="24"/>
        </w:rPr>
        <w:t>11</w:t>
      </w:r>
      <w:r>
        <w:rPr>
          <w:rFonts w:hint="eastAsia" w:ascii="宋体"/>
          <w:color w:val="000000"/>
          <w:kern w:val="0"/>
          <w:sz w:val="24"/>
          <w:szCs w:val="24"/>
        </w:rPr>
        <w:t>月山水水泥的信用事件，虽然只是今年以来企业违约风险事件的其中之一，但对低评级短融市场构成了较为明显的冲击，尤其是中央开始准备对产能过剩行业加大清理力度的情况下。</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长端方面，整体呈现趋势下行的牛市行情。两个因素发挥了决定性作用：一方面，财政刺激无力。从二季度开始，政府开始不断推出稳增长措施，但由于考核机制转变，财政刺激的效果大幅减弱；其次，下半年，注重调结构、促改革的增长思路重新成为政府主要着力，来自刺激的扰动进一步减弱。对于经济增长而言，投资需求减弱，经济下行，推动利率下行。另一方面，股灾后银行资产重配，在经济下行导致实体融资需求下降后，上半年股市上行为银行提供优先配资及打新等低风险高收益资产，股灾则使银行面临资产配置的紧缺，债市成为优先选择。上述两个因素主导了下半年的债市行情。而</w:t>
      </w:r>
      <w:r>
        <w:rPr>
          <w:rFonts w:ascii="宋体"/>
          <w:color w:val="000000"/>
          <w:kern w:val="0"/>
          <w:sz w:val="24"/>
          <w:szCs w:val="24"/>
        </w:rPr>
        <w:t>11</w:t>
      </w:r>
      <w:r>
        <w:rPr>
          <w:rFonts w:hint="eastAsia" w:ascii="宋体"/>
          <w:color w:val="000000"/>
          <w:kern w:val="0"/>
          <w:sz w:val="24"/>
          <w:szCs w:val="24"/>
        </w:rPr>
        <w:t>月</w:t>
      </w:r>
      <w:r>
        <w:rPr>
          <w:rFonts w:ascii="宋体"/>
          <w:color w:val="000000"/>
          <w:kern w:val="0"/>
          <w:sz w:val="24"/>
          <w:szCs w:val="24"/>
        </w:rPr>
        <w:t>IPO</w:t>
      </w:r>
      <w:r>
        <w:rPr>
          <w:rFonts w:hint="eastAsia" w:ascii="宋体"/>
          <w:color w:val="000000"/>
          <w:kern w:val="0"/>
          <w:sz w:val="24"/>
          <w:szCs w:val="24"/>
        </w:rPr>
        <w:t>重启及美联储加息，由于不构成实质影响，因此也只是短期冲击。</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b/>
          <w:color w:val="000000"/>
          <w:kern w:val="0"/>
          <w:sz w:val="24"/>
          <w:szCs w:val="24"/>
        </w:rPr>
        <w:t xml:space="preserve">4.4.2 </w:t>
      </w:r>
      <w:r>
        <w:rPr>
          <w:rFonts w:hint="eastAsia" w:ascii="宋体"/>
          <w:b/>
          <w:color w:val="000000"/>
          <w:kern w:val="0"/>
          <w:sz w:val="24"/>
          <w:szCs w:val="24"/>
        </w:rPr>
        <w:t>报告期内基金的业绩表现</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年创金聚利</w:t>
      </w:r>
      <w:r>
        <w:rPr>
          <w:rFonts w:ascii="宋体"/>
          <w:color w:val="000000"/>
          <w:kern w:val="0"/>
          <w:sz w:val="24"/>
          <w:szCs w:val="24"/>
        </w:rPr>
        <w:t>A</w:t>
      </w:r>
      <w:r>
        <w:rPr>
          <w:rFonts w:hint="eastAsia" w:ascii="宋体"/>
          <w:color w:val="000000"/>
          <w:kern w:val="0"/>
          <w:sz w:val="24"/>
          <w:szCs w:val="24"/>
        </w:rPr>
        <w:t>级净值增长率</w:t>
      </w:r>
      <w:r>
        <w:rPr>
          <w:rFonts w:ascii="宋体"/>
          <w:color w:val="000000"/>
          <w:kern w:val="0"/>
          <w:sz w:val="24"/>
          <w:szCs w:val="24"/>
        </w:rPr>
        <w:t>7.0%</w:t>
      </w: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级净值增长率为</w:t>
      </w:r>
      <w:r>
        <w:rPr>
          <w:rFonts w:ascii="宋体"/>
          <w:color w:val="000000"/>
          <w:kern w:val="0"/>
          <w:sz w:val="24"/>
          <w:szCs w:val="24"/>
        </w:rPr>
        <w:t>6.70%</w:t>
      </w:r>
      <w:r>
        <w:rPr>
          <w:rFonts w:hint="eastAsia" w:ascii="宋体"/>
          <w:color w:val="000000"/>
          <w:kern w:val="0"/>
          <w:sz w:val="24"/>
          <w:szCs w:val="24"/>
        </w:rPr>
        <w:t>，同期业绩比较基准增长率为</w:t>
      </w:r>
      <w:r>
        <w:rPr>
          <w:rFonts w:ascii="宋体"/>
          <w:color w:val="000000"/>
          <w:kern w:val="0"/>
          <w:sz w:val="24"/>
          <w:szCs w:val="24"/>
        </w:rPr>
        <w:t>4.74%</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1" w:name="_Toc446321366"/>
      <w:r>
        <w:rPr>
          <w:rFonts w:ascii="宋体"/>
          <w:b/>
          <w:color w:val="000000"/>
          <w:kern w:val="0"/>
          <w:sz w:val="24"/>
          <w:szCs w:val="24"/>
        </w:rPr>
        <w:t xml:space="preserve">4.5 </w:t>
      </w:r>
      <w:r>
        <w:rPr>
          <w:rFonts w:hint="eastAsia" w:ascii="宋体"/>
          <w:b/>
          <w:color w:val="000000"/>
          <w:kern w:val="0"/>
          <w:sz w:val="24"/>
          <w:szCs w:val="24"/>
        </w:rPr>
        <w:t>管理人对宏观经济、证券市场及行业走势的简要展望</w:t>
      </w:r>
      <w:bookmarkEnd w:id="21"/>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中央经济工作会议提出</w:t>
      </w:r>
      <w:r>
        <w:rPr>
          <w:rFonts w:ascii="宋体"/>
          <w:color w:val="000000"/>
          <w:kern w:val="0"/>
          <w:sz w:val="24"/>
          <w:szCs w:val="24"/>
        </w:rPr>
        <w:t>2016</w:t>
      </w:r>
      <w:r>
        <w:rPr>
          <w:rFonts w:hint="eastAsia" w:ascii="宋体"/>
          <w:color w:val="000000"/>
          <w:kern w:val="0"/>
          <w:sz w:val="24"/>
          <w:szCs w:val="24"/>
        </w:rPr>
        <w:t>年要更加注重供给侧结构性改革，主要是抓好去产能、去库存、去杠杆、降成本、补短板五大任务，积极稳妥化解产能过剩、帮助企业降低成本、化解房地产库存、扩大有效供给、防范化解金融风险，并多次提及资本市场在其中承担重要使命。中央经济工作会议的总基调仍然是有托底的调结构而非全面刺激，而且要着力降低融资成本，奠定了长期资金宽松的格局。</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对于财政政策而言，重点将从投资转向减税，最初的政策效果是传统产业需求疲弱，调整加速、出清加速。但随后就可能迎来企业盈利状况改善，进而带来企业投资增加、宏观逐步企稳。</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对于货币政策而言，央行货币政策委员会第四季度例会表示将保持政策的连续性和稳定性，继续实施稳健的货币政策，更加注重松紧适度，适时适度预调微调，为经济结构调整与转型升级营造中性适度的货币金融环境。央行已明确宣示，货币政策将从数量型为主转向价格为主，这将降低短期利率的波动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预计</w:t>
      </w:r>
      <w:r>
        <w:rPr>
          <w:rFonts w:ascii="宋体"/>
          <w:color w:val="000000"/>
          <w:kern w:val="0"/>
          <w:sz w:val="24"/>
          <w:szCs w:val="24"/>
        </w:rPr>
        <w:t xml:space="preserve">2016 </w:t>
      </w:r>
      <w:r>
        <w:rPr>
          <w:rFonts w:hint="eastAsia" w:ascii="宋体"/>
          <w:color w:val="000000"/>
          <w:kern w:val="0"/>
          <w:sz w:val="24"/>
          <w:szCs w:val="24"/>
        </w:rPr>
        <w:t>年经济整体维持偏弱格局，央行货币政策将被动式宽松。因此，债市长牛的逻辑基础不变，收益率曲线长期下行仍将是市场主要趋势，但长短端债券可能呈现很不一致的下行走势。短期债券收益率主要受货币市场利率影响，随着货币市场稳定下行，短债收益率稳定下行是可以预期的。长债方面，随着收益率的低位下行，波动性会加大。</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信用方面，供给侧改革市场加速出清，信用违约将会越发频繁。需要谨防信用利差在事件冲击下的急剧上升。</w:t>
      </w:r>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2016</w:t>
      </w:r>
      <w:r>
        <w:rPr>
          <w:rFonts w:hint="eastAsia" w:ascii="宋体"/>
          <w:color w:val="000000"/>
          <w:kern w:val="0"/>
          <w:sz w:val="24"/>
          <w:szCs w:val="24"/>
        </w:rPr>
        <w:t>年本基金将继续以利率债和高评级债券为主要投资品种，择机进行波段操作，同时规避中低评级产业债的信用风险</w:t>
      </w:r>
      <w:r>
        <w:rPr>
          <w:rFonts w:ascii="宋体"/>
          <w:color w:val="000000"/>
          <w:kern w:val="0"/>
          <w:sz w:val="24"/>
          <w:szCs w:val="24"/>
        </w:rPr>
        <w:t>,</w:t>
      </w:r>
      <w:r>
        <w:rPr>
          <w:rFonts w:hint="eastAsia" w:ascii="宋体"/>
          <w:color w:val="000000"/>
          <w:kern w:val="0"/>
          <w:sz w:val="24"/>
          <w:szCs w:val="24"/>
        </w:rPr>
        <w:t>争取为持有人获取稳定的回报。</w:t>
      </w:r>
    </w:p>
    <w:p>
      <w:pPr>
        <w:autoSpaceDE w:val="0"/>
        <w:autoSpaceDN w:val="0"/>
        <w:adjustRightInd w:val="0"/>
        <w:spacing w:line="288" w:lineRule="auto"/>
        <w:jc w:val="left"/>
        <w:rPr>
          <w:rFonts w:ascii="MS Sans Serif" w:hAnsi="MS Sans Serif"/>
          <w:color w:val="000000"/>
          <w:kern w:val="0"/>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2" w:name="_Toc446321367"/>
      <w:r>
        <w:rPr>
          <w:rFonts w:ascii="宋体"/>
          <w:b/>
          <w:color w:val="000000"/>
          <w:kern w:val="0"/>
          <w:sz w:val="24"/>
          <w:szCs w:val="24"/>
        </w:rPr>
        <w:t xml:space="preserve">4.6 </w:t>
      </w:r>
      <w:r>
        <w:rPr>
          <w:rFonts w:hint="eastAsia" w:ascii="宋体"/>
          <w:b/>
          <w:color w:val="000000"/>
          <w:kern w:val="0"/>
          <w:sz w:val="24"/>
          <w:szCs w:val="24"/>
        </w:rPr>
        <w:t>管理人内部有关本基金的监察稽核工作情况</w:t>
      </w:r>
      <w:bookmarkEnd w:id="22"/>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hint="eastAsia" w:ascii="宋体" w:hAnsi="宋体" w:cs="宋体"/>
          <w:color w:val="000000"/>
          <w:sz w:val="24"/>
          <w:szCs w:val="24"/>
        </w:rPr>
      </w:pPr>
      <w:r>
        <w:rPr>
          <w:rFonts w:hint="eastAsia" w:ascii="宋体"/>
          <w:color w:val="000000"/>
          <w:kern w:val="0"/>
          <w:sz w:val="24"/>
          <w:szCs w:val="24"/>
        </w:rPr>
        <w:t>本报告期内，本基金管理人</w:t>
      </w:r>
      <w:r>
        <w:rPr>
          <w:rFonts w:hint="eastAsia" w:ascii="宋体" w:hAnsi="宋体" w:cs="宋体"/>
          <w:color w:val="000000"/>
          <w:sz w:val="24"/>
          <w:szCs w:val="24"/>
        </w:rPr>
        <w:t>的主要内部监察稽核工作如下：</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1</w:t>
      </w:r>
      <w:r>
        <w:rPr>
          <w:rFonts w:hint="eastAsia" w:ascii="宋体"/>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2</w:t>
      </w:r>
      <w:r>
        <w:rPr>
          <w:rFonts w:hint="eastAsia" w:ascii="宋体"/>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3</w:t>
      </w:r>
      <w:r>
        <w:rPr>
          <w:rFonts w:hint="eastAsia" w:ascii="宋体"/>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4</w:t>
      </w:r>
      <w:r>
        <w:rPr>
          <w:rFonts w:hint="eastAsia" w:ascii="宋体"/>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5</w:t>
      </w:r>
      <w:r>
        <w:rPr>
          <w:rFonts w:hint="eastAsia" w:ascii="宋体"/>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6</w:t>
      </w:r>
      <w:r>
        <w:rPr>
          <w:rFonts w:hint="eastAsia" w:ascii="宋体"/>
          <w:color w:val="000000"/>
          <w:kern w:val="0"/>
          <w:sz w:val="24"/>
          <w:szCs w:val="24"/>
        </w:rPr>
        <w:t>）加强关联交易管理。制定《关联交易管理制度》，履行关联交易决策审批程序；</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7</w:t>
      </w:r>
      <w:r>
        <w:rPr>
          <w:rFonts w:hint="eastAsia" w:ascii="宋体"/>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hint="eastAsia" w:ascii="宋体"/>
          <w:color w:val="000000"/>
          <w:kern w:val="0"/>
          <w:sz w:val="24"/>
          <w:szCs w:val="24"/>
        </w:rPr>
      </w:pPr>
      <w:r>
        <w:rPr>
          <w:rFonts w:hint="eastAsia" w:ascii="宋体"/>
          <w:color w:val="000000"/>
          <w:kern w:val="0"/>
          <w:sz w:val="24"/>
          <w:szCs w:val="24"/>
        </w:rPr>
        <w:t>（</w:t>
      </w:r>
      <w:r>
        <w:rPr>
          <w:rFonts w:ascii="宋体"/>
          <w:color w:val="000000"/>
          <w:kern w:val="0"/>
          <w:sz w:val="24"/>
          <w:szCs w:val="24"/>
        </w:rPr>
        <w:t>8</w:t>
      </w:r>
      <w:r>
        <w:rPr>
          <w:rFonts w:hint="eastAsia" w:ascii="宋体"/>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w:t>
      </w:r>
      <w:r>
        <w:rPr>
          <w:rFonts w:ascii="宋体"/>
          <w:color w:val="000000"/>
          <w:kern w:val="0"/>
          <w:sz w:val="24"/>
          <w:szCs w:val="24"/>
        </w:rPr>
        <w:t>9</w:t>
      </w:r>
      <w:r>
        <w:rPr>
          <w:rFonts w:hint="eastAsia" w:ascii="宋体"/>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3" w:name="_Toc446321368"/>
      <w:r>
        <w:rPr>
          <w:rFonts w:ascii="宋体"/>
          <w:b/>
          <w:color w:val="000000"/>
          <w:kern w:val="0"/>
          <w:sz w:val="24"/>
          <w:szCs w:val="24"/>
        </w:rPr>
        <w:t xml:space="preserve">4.7 </w:t>
      </w:r>
      <w:r>
        <w:rPr>
          <w:rFonts w:hint="eastAsia" w:ascii="宋体"/>
          <w:b/>
          <w:color w:val="000000"/>
          <w:kern w:val="0"/>
          <w:sz w:val="24"/>
          <w:szCs w:val="24"/>
        </w:rPr>
        <w:t>管理人对报告期内基金估值程序等事项的说明</w:t>
      </w:r>
      <w:bookmarkEnd w:id="23"/>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定价服务机构按照商业合同约定提供定价服务。</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4" w:name="_Toc446321369"/>
      <w:r>
        <w:rPr>
          <w:rFonts w:ascii="宋体"/>
          <w:b/>
          <w:color w:val="000000"/>
          <w:kern w:val="0"/>
          <w:sz w:val="24"/>
          <w:szCs w:val="24"/>
        </w:rPr>
        <w:t xml:space="preserve">4.8 </w:t>
      </w:r>
      <w:r>
        <w:rPr>
          <w:rFonts w:hint="eastAsia" w:ascii="宋体"/>
          <w:b/>
          <w:color w:val="000000"/>
          <w:kern w:val="0"/>
          <w:sz w:val="24"/>
          <w:szCs w:val="24"/>
        </w:rPr>
        <w:t>管理人对报告期内基金利润分配情况的说明</w:t>
      </w:r>
      <w:bookmarkEnd w:id="24"/>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结合法律法规的规定及《基金合同》的约定，在符合有关基金分红条件的前提下，本基金每年收益分配次数最多为</w:t>
      </w:r>
      <w:r>
        <w:rPr>
          <w:rFonts w:ascii="宋体"/>
          <w:color w:val="000000"/>
          <w:kern w:val="0"/>
          <w:sz w:val="24"/>
          <w:szCs w:val="24"/>
        </w:rPr>
        <w:t>12</w:t>
      </w:r>
      <w:r>
        <w:rPr>
          <w:rFonts w:hint="eastAsia" w:ascii="宋体"/>
          <w:color w:val="000000"/>
          <w:kern w:val="0"/>
          <w:sz w:val="24"/>
          <w:szCs w:val="24"/>
        </w:rPr>
        <w:t>次，每份基金份额每次收益分配比例不得低于该次该类基金份额可供分配利润的</w:t>
      </w:r>
      <w:r>
        <w:rPr>
          <w:rFonts w:ascii="宋体"/>
          <w:color w:val="000000"/>
          <w:kern w:val="0"/>
          <w:sz w:val="24"/>
          <w:szCs w:val="24"/>
        </w:rPr>
        <w:t>30%</w:t>
      </w:r>
      <w:r>
        <w:rPr>
          <w:rFonts w:hint="eastAsia" w:ascii="宋体"/>
          <w:color w:val="000000"/>
          <w:kern w:val="0"/>
          <w:sz w:val="24"/>
          <w:szCs w:val="24"/>
        </w:rPr>
        <w:t>，若《基金合同》生效不满</w:t>
      </w:r>
      <w:r>
        <w:rPr>
          <w:rFonts w:ascii="宋体"/>
          <w:color w:val="000000"/>
          <w:kern w:val="0"/>
          <w:sz w:val="24"/>
          <w:szCs w:val="24"/>
        </w:rPr>
        <w:t>3</w:t>
      </w:r>
      <w:r>
        <w:rPr>
          <w:rFonts w:hint="eastAsia" w:ascii="宋体"/>
          <w:color w:val="000000"/>
          <w:kern w:val="0"/>
          <w:sz w:val="24"/>
          <w:szCs w:val="24"/>
        </w:rPr>
        <w:t>个月可不进行收益分配；</w:t>
      </w:r>
      <w:r>
        <w:rPr>
          <w:rFonts w:ascii="宋体"/>
          <w:color w:val="000000"/>
          <w:kern w:val="0"/>
          <w:sz w:val="24"/>
          <w:szCs w:val="24"/>
        </w:rPr>
        <w:t xml:space="preserve"> </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本报告期内，本基金未进行利润分配，符合合同约定。</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4.9 </w:t>
      </w:r>
      <w:r>
        <w:rPr>
          <w:rFonts w:hint="eastAsia" w:ascii="宋体"/>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5" w:name="_Toc446321370"/>
      <w:r>
        <w:rPr>
          <w:rFonts w:hint="eastAsia" w:ascii="宋体"/>
          <w:b/>
          <w:color w:val="000000"/>
          <w:kern w:val="0"/>
          <w:sz w:val="24"/>
          <w:szCs w:val="24"/>
        </w:rPr>
        <w:t>§</w:t>
      </w:r>
      <w:r>
        <w:rPr>
          <w:rFonts w:ascii="宋体"/>
          <w:b/>
          <w:color w:val="000000"/>
          <w:kern w:val="0"/>
          <w:sz w:val="24"/>
          <w:szCs w:val="24"/>
        </w:rPr>
        <w:t xml:space="preserve">5  </w:t>
      </w:r>
      <w:r>
        <w:rPr>
          <w:rFonts w:hint="eastAsia" w:ascii="宋体"/>
          <w:b/>
          <w:color w:val="000000"/>
          <w:kern w:val="0"/>
          <w:sz w:val="24"/>
          <w:szCs w:val="24"/>
        </w:rPr>
        <w:t>托管人报告</w:t>
      </w:r>
      <w:bookmarkEnd w:id="25"/>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6" w:name="_Toc446321371"/>
      <w:r>
        <w:rPr>
          <w:rFonts w:ascii="宋体"/>
          <w:b/>
          <w:color w:val="000000"/>
          <w:kern w:val="0"/>
          <w:sz w:val="24"/>
          <w:szCs w:val="24"/>
        </w:rPr>
        <w:t xml:space="preserve">5.1 </w:t>
      </w:r>
      <w:r>
        <w:rPr>
          <w:rFonts w:hint="eastAsia" w:ascii="宋体"/>
          <w:b/>
          <w:color w:val="000000"/>
          <w:kern w:val="0"/>
          <w:sz w:val="24"/>
          <w:szCs w:val="24"/>
        </w:rPr>
        <w:t>报告期内本基金托管人遵规守信情况声明</w:t>
      </w:r>
      <w:bookmarkEnd w:id="26"/>
    </w:p>
    <w:p>
      <w:pPr>
        <w:autoSpaceDE w:val="0"/>
        <w:autoSpaceDN w:val="0"/>
        <w:adjustRightInd w:val="0"/>
        <w:spacing w:line="276" w:lineRule="auto"/>
        <w:ind w:firstLine="480" w:firstLineChars="200"/>
        <w:rPr>
          <w:rFonts w:ascii="宋体"/>
          <w:color w:val="000000"/>
          <w:kern w:val="0"/>
          <w:sz w:val="24"/>
          <w:szCs w:val="24"/>
        </w:rPr>
      </w:pPr>
      <w:r>
        <w:rPr>
          <w:rFonts w:hint="eastAsia" w:ascii="宋体"/>
          <w:color w:val="000000"/>
          <w:kern w:val="0"/>
          <w:sz w:val="24"/>
          <w:szCs w:val="24"/>
        </w:rPr>
        <w:t>本报告期内，本基金托管人在对创金合信聚利债券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7" w:name="_Toc446321372"/>
      <w:r>
        <w:rPr>
          <w:rFonts w:ascii="宋体"/>
          <w:b/>
          <w:color w:val="000000"/>
          <w:kern w:val="0"/>
          <w:sz w:val="24"/>
          <w:szCs w:val="24"/>
        </w:rPr>
        <w:t xml:space="preserve">5.2 </w:t>
      </w:r>
      <w:r>
        <w:rPr>
          <w:rFonts w:hint="eastAsia" w:ascii="宋体"/>
          <w:b/>
          <w:color w:val="000000"/>
          <w:kern w:val="0"/>
          <w:sz w:val="24"/>
          <w:szCs w:val="24"/>
        </w:rPr>
        <w:t>托管人对报告期内本基金投资运作遵规守信、净值计算、利润分配等情况的说明</w:t>
      </w:r>
      <w:bookmarkEnd w:id="27"/>
    </w:p>
    <w:p>
      <w:pPr>
        <w:autoSpaceDE w:val="0"/>
        <w:autoSpaceDN w:val="0"/>
        <w:adjustRightInd w:val="0"/>
        <w:spacing w:line="288" w:lineRule="auto"/>
        <w:ind w:firstLine="480" w:firstLineChars="200"/>
        <w:jc w:val="left"/>
        <w:rPr>
          <w:rFonts w:hint="eastAsia"/>
          <w:color w:val="000000"/>
          <w:kern w:val="0"/>
          <w:sz w:val="24"/>
          <w:szCs w:val="24"/>
        </w:rPr>
      </w:pPr>
      <w:r>
        <w:rPr>
          <w:rFonts w:hint="eastAsia" w:ascii="Times New Roman"/>
          <w:color w:val="000000"/>
          <w:kern w:val="0"/>
          <w:sz w:val="24"/>
          <w:szCs w:val="24"/>
        </w:rPr>
        <w:t>本报告期内</w:t>
      </w:r>
      <w:r>
        <w:rPr>
          <w:rFonts w:hint="eastAsia"/>
          <w:color w:val="000000"/>
          <w:kern w:val="0"/>
          <w:sz w:val="24"/>
          <w:szCs w:val="24"/>
        </w:rPr>
        <w:t>，创金合信聚利债券型证券投资基金的管理人——创金合信基金管理有限公司在创金合信聚利债券型证券投资基金的投资运作、基金资产净值计算、基金份额申购赎回价格计算、基金费用开支等问题上，不存在任何损害基金份额持有人利益的行为，在各重要方面的运作严格按照基金合同的规定进行。</w:t>
      </w:r>
    </w:p>
    <w:p>
      <w:pPr>
        <w:autoSpaceDE w:val="0"/>
        <w:autoSpaceDN w:val="0"/>
        <w:adjustRightInd w:val="0"/>
        <w:spacing w:line="288" w:lineRule="auto"/>
        <w:ind w:firstLine="480" w:firstLineChars="200"/>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28" w:name="_Toc446321373"/>
      <w:r>
        <w:rPr>
          <w:rFonts w:ascii="宋体"/>
          <w:b/>
          <w:color w:val="000000"/>
          <w:kern w:val="0"/>
          <w:sz w:val="24"/>
          <w:szCs w:val="24"/>
        </w:rPr>
        <w:t xml:space="preserve">5.3 </w:t>
      </w:r>
      <w:r>
        <w:rPr>
          <w:rFonts w:hint="eastAsia" w:ascii="宋体"/>
          <w:b/>
          <w:color w:val="000000"/>
          <w:kern w:val="0"/>
          <w:sz w:val="24"/>
          <w:szCs w:val="24"/>
        </w:rPr>
        <w:t>托管人对本年度报告中财务信息等内容的真实、准确和完整发表意见</w:t>
      </w:r>
      <w:bookmarkEnd w:id="28"/>
    </w:p>
    <w:p>
      <w:pPr>
        <w:autoSpaceDE w:val="0"/>
        <w:autoSpaceDN w:val="0"/>
        <w:adjustRightInd w:val="0"/>
        <w:spacing w:line="288" w:lineRule="auto"/>
        <w:ind w:firstLine="480" w:firstLineChars="200"/>
        <w:jc w:val="left"/>
        <w:rPr>
          <w:rFonts w:hint="eastAsia" w:ascii="宋体" w:hAnsi="宋体"/>
          <w:color w:val="000000"/>
          <w:kern w:val="0"/>
          <w:sz w:val="24"/>
          <w:szCs w:val="24"/>
        </w:rPr>
      </w:pPr>
      <w:r>
        <w:rPr>
          <w:rFonts w:hint="eastAsia" w:ascii="宋体" w:hAnsi="宋体"/>
          <w:color w:val="000000"/>
          <w:kern w:val="0"/>
          <w:sz w:val="24"/>
          <w:szCs w:val="24"/>
        </w:rPr>
        <w:t>本托管人依法对创金合信基金管理有限公司编制和披露的创金合信聚利债券型证券投资基金</w:t>
      </w:r>
      <w:r>
        <w:rPr>
          <w:rFonts w:ascii="宋体" w:hAnsi="宋体"/>
          <w:color w:val="000000"/>
          <w:kern w:val="0"/>
          <w:sz w:val="24"/>
          <w:szCs w:val="24"/>
        </w:rPr>
        <w:t>201</w:t>
      </w:r>
      <w:r>
        <w:rPr>
          <w:rFonts w:hint="eastAsia" w:ascii="宋体" w:hAnsi="宋体"/>
          <w:color w:val="000000"/>
          <w:kern w:val="0"/>
          <w:sz w:val="24"/>
          <w:szCs w:val="24"/>
        </w:rPr>
        <w:t>5年年度报告中财务指标、净值表现、利润分配情况、财务会计报告、投资组合报告等内容进行了核查，以上内容真实、准确和完整。</w:t>
      </w:r>
    </w:p>
    <w:p>
      <w:pPr>
        <w:autoSpaceDE w:val="0"/>
        <w:autoSpaceDN w:val="0"/>
        <w:adjustRightInd w:val="0"/>
        <w:spacing w:line="288" w:lineRule="auto"/>
        <w:ind w:firstLine="480" w:firstLineChars="200"/>
        <w:jc w:val="left"/>
        <w:rPr>
          <w:rFonts w:ascii="宋体" w:hAnsi="宋体"/>
          <w:color w:val="000000"/>
          <w:kern w:val="0"/>
          <w:sz w:val="24"/>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29" w:name="_Toc446321374"/>
      <w:r>
        <w:rPr>
          <w:rFonts w:hint="eastAsia" w:ascii="宋体"/>
          <w:b/>
          <w:color w:val="000000"/>
          <w:kern w:val="0"/>
          <w:sz w:val="24"/>
          <w:szCs w:val="24"/>
        </w:rPr>
        <w:t>§</w:t>
      </w:r>
      <w:r>
        <w:rPr>
          <w:rFonts w:ascii="宋体"/>
          <w:b/>
          <w:color w:val="000000"/>
          <w:kern w:val="0"/>
          <w:sz w:val="24"/>
          <w:szCs w:val="24"/>
        </w:rPr>
        <w:t xml:space="preserve">6 </w:t>
      </w:r>
      <w:r>
        <w:rPr>
          <w:rFonts w:hint="eastAsia" w:ascii="宋体"/>
          <w:b/>
          <w:color w:val="000000"/>
          <w:kern w:val="0"/>
          <w:sz w:val="24"/>
          <w:szCs w:val="24"/>
        </w:rPr>
        <w:t>审计报告</w:t>
      </w:r>
      <w:bookmarkEnd w:id="29"/>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0" w:name="_Toc446321375"/>
      <w:r>
        <w:rPr>
          <w:rFonts w:ascii="宋体"/>
          <w:b/>
          <w:color w:val="000000"/>
          <w:kern w:val="0"/>
          <w:sz w:val="24"/>
          <w:szCs w:val="24"/>
        </w:rPr>
        <w:t xml:space="preserve">6.1 </w:t>
      </w:r>
      <w:r>
        <w:rPr>
          <w:rFonts w:hint="eastAsia" w:ascii="宋体"/>
          <w:b/>
          <w:color w:val="000000"/>
          <w:kern w:val="0"/>
          <w:sz w:val="24"/>
          <w:szCs w:val="24"/>
        </w:rPr>
        <w:t>审计报告基本信息</w:t>
      </w:r>
      <w:bookmarkEnd w:id="30"/>
    </w:p>
    <w:tbl>
      <w:tblPr>
        <w:tblStyle w:val="10"/>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(2016)</w:t>
            </w:r>
            <w:r>
              <w:rPr>
                <w:rFonts w:hint="eastAsia" w:ascii="Times New Roman" w:hAnsi="Times New Roman"/>
                <w:color w:val="000000"/>
                <w:kern w:val="0"/>
                <w:sz w:val="24"/>
                <w:szCs w:val="24"/>
              </w:rPr>
              <w:t>第</w:t>
            </w:r>
            <w:r>
              <w:rPr>
                <w:rFonts w:ascii="Times New Roman" w:hAnsi="Times New Roman"/>
                <w:color w:val="000000"/>
                <w:kern w:val="0"/>
                <w:sz w:val="24"/>
                <w:szCs w:val="24"/>
              </w:rPr>
              <w:t>21124</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宋体"/>
          <w:b/>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1" w:name="_Toc446321376"/>
      <w:r>
        <w:rPr>
          <w:rFonts w:ascii="宋体"/>
          <w:b/>
          <w:color w:val="000000"/>
          <w:kern w:val="0"/>
          <w:sz w:val="24"/>
          <w:szCs w:val="24"/>
        </w:rPr>
        <w:t xml:space="preserve">6.2 </w:t>
      </w:r>
      <w:r>
        <w:rPr>
          <w:rFonts w:hint="eastAsia" w:ascii="宋体"/>
          <w:b/>
          <w:color w:val="000000"/>
          <w:kern w:val="0"/>
          <w:sz w:val="24"/>
          <w:szCs w:val="24"/>
        </w:rPr>
        <w:t>审计报告的基本内容</w:t>
      </w:r>
      <w:bookmarkEnd w:id="31"/>
    </w:p>
    <w:tbl>
      <w:tblPr>
        <w:tblStyle w:val="10"/>
        <w:tblW w:w="0" w:type="auto"/>
        <w:tblInd w:w="108" w:type="dxa"/>
        <w:tblLayout w:type="fixed"/>
        <w:tblCellMar>
          <w:top w:w="0" w:type="dxa"/>
          <w:left w:w="108" w:type="dxa"/>
          <w:bottom w:w="0" w:type="dxa"/>
          <w:right w:w="108" w:type="dxa"/>
        </w:tblCellMar>
      </w:tblPr>
      <w:tblGrid>
        <w:gridCol w:w="3612"/>
        <w:gridCol w:w="2709"/>
        <w:gridCol w:w="2709"/>
      </w:tblGrid>
      <w:tr>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创金合信聚利债券型证券投资基金全体基金份额持有人</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我们审计了后附的创金合信聚利债券型证券投资基金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创金合信聚利债券型基金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编制和公允列报财务报表是创金合信聚利债券型基金的基金管理人创金合信基金管理有限公司管理层的责任。这种责任包括：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聚利债券型基金的财务报表在所有重大方面按照企业会计准则和在财务报表附注中所列示的中国证监会、中国基金业协会发布的有关规定及允许的基金行业实务操作编制，公允反映了创金合信聚利债券型基金</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的经营成果和基金净值变动情况。</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270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p>
        </w:tc>
        <w:tc>
          <w:tcPr>
            <w:tcW w:w="270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边晓红</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2016-03-21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32" w:name="_Toc446321377"/>
      <w:r>
        <w:rPr>
          <w:rFonts w:hint="eastAsia" w:ascii="宋体"/>
          <w:b/>
          <w:color w:val="000000"/>
          <w:kern w:val="0"/>
          <w:sz w:val="24"/>
          <w:szCs w:val="24"/>
        </w:rPr>
        <w:t>§</w:t>
      </w:r>
      <w:r>
        <w:rPr>
          <w:rFonts w:ascii="宋体"/>
          <w:b/>
          <w:color w:val="000000"/>
          <w:kern w:val="0"/>
          <w:sz w:val="24"/>
          <w:szCs w:val="24"/>
        </w:rPr>
        <w:t xml:space="preserve">7 </w:t>
      </w:r>
      <w:r>
        <w:rPr>
          <w:rFonts w:hint="eastAsia" w:ascii="宋体"/>
          <w:b/>
          <w:color w:val="000000"/>
          <w:kern w:val="0"/>
          <w:sz w:val="24"/>
          <w:szCs w:val="24"/>
        </w:rPr>
        <w:t>年度财务报表</w:t>
      </w:r>
      <w:bookmarkEnd w:id="32"/>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3" w:name="_Toc446321378"/>
      <w:r>
        <w:rPr>
          <w:rFonts w:ascii="宋体"/>
          <w:b/>
          <w:color w:val="000000"/>
          <w:kern w:val="0"/>
          <w:sz w:val="24"/>
          <w:szCs w:val="24"/>
        </w:rPr>
        <w:t xml:space="preserve">7.1 </w:t>
      </w:r>
      <w:r>
        <w:rPr>
          <w:rFonts w:hint="eastAsia" w:ascii="宋体"/>
          <w:b/>
          <w:color w:val="000000"/>
          <w:kern w:val="0"/>
          <w:sz w:val="24"/>
          <w:szCs w:val="24"/>
        </w:rPr>
        <w:t>资产负债表</w:t>
      </w:r>
      <w:bookmarkEnd w:id="33"/>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会计主体：创金合信聚利债券型证券投资基金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报告截止日：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890"/>
        <w:gridCol w:w="1083"/>
        <w:gridCol w:w="5113"/>
      </w:tblGrid>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资</w:t>
            </w:r>
            <w:r>
              <w:rPr>
                <w:rFonts w:ascii="宋体"/>
                <w:b/>
                <w:color w:val="000000"/>
                <w:kern w:val="0"/>
                <w:sz w:val="24"/>
                <w:szCs w:val="24"/>
              </w:rPr>
              <w:t xml:space="preserve"> </w:t>
            </w:r>
            <w:r>
              <w:rPr>
                <w:rFonts w:hint="eastAsia" w:ascii="宋体"/>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28,052,291.07</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237,678.66</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57,925.15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7.4.7.2</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193,936,600.70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16,826,824.00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177,109,776.70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7.4.7.4</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7.4.7.5</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2,964,542.02</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7.4.7.6</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225,249,537.60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本期末</w:t>
            </w:r>
          </w:p>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负</w:t>
            </w:r>
            <w:r>
              <w:rPr>
                <w:rFonts w:ascii="宋体"/>
                <w:b/>
                <w:color w:val="000000"/>
                <w:kern w:val="0"/>
                <w:sz w:val="24"/>
                <w:szCs w:val="24"/>
              </w:rPr>
              <w:t xml:space="preserve"> </w:t>
            </w:r>
            <w:r>
              <w:rPr>
                <w:rFonts w:hint="eastAsia" w:ascii="宋体"/>
                <w:b/>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7.4.7.3</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48,099,327.85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4,836,227.92</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291,485.77</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103,541.64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29,583.33</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12,980.63</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7.4.7.7</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212,130.78</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9,116.05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7.4.7.8</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103,115.40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53,697,509.37</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7.4.7.9</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160,464,845.14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7.4.7.10</w:t>
            </w: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11,087,183.09</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171,552,028.23</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511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225,249,537.60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报告截止日</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日，基金份额总额</w:t>
      </w:r>
      <w:r>
        <w:rPr>
          <w:rFonts w:ascii="宋体"/>
          <w:color w:val="000000"/>
          <w:kern w:val="0"/>
          <w:szCs w:val="24"/>
        </w:rPr>
        <w:t>160,464,845.14</w:t>
      </w:r>
      <w:r>
        <w:rPr>
          <w:rFonts w:hint="eastAsia" w:ascii="宋体"/>
          <w:color w:val="000000"/>
          <w:kern w:val="0"/>
          <w:szCs w:val="24"/>
        </w:rPr>
        <w:t>份，其中下属</w:t>
      </w:r>
      <w:r>
        <w:rPr>
          <w:rFonts w:ascii="宋体"/>
          <w:color w:val="000000"/>
          <w:kern w:val="0"/>
          <w:szCs w:val="24"/>
        </w:rPr>
        <w:t>A</w:t>
      </w:r>
      <w:r>
        <w:rPr>
          <w:rFonts w:hint="eastAsia" w:ascii="宋体"/>
          <w:color w:val="000000"/>
          <w:kern w:val="0"/>
          <w:szCs w:val="24"/>
        </w:rPr>
        <w:t>类基金份额</w:t>
      </w:r>
      <w:r>
        <w:rPr>
          <w:rFonts w:ascii="宋体"/>
          <w:color w:val="000000"/>
          <w:kern w:val="0"/>
          <w:szCs w:val="24"/>
        </w:rPr>
        <w:t>123,245,595.19</w:t>
      </w:r>
      <w:r>
        <w:rPr>
          <w:rFonts w:hint="eastAsia" w:ascii="宋体"/>
          <w:color w:val="000000"/>
          <w:kern w:val="0"/>
          <w:szCs w:val="24"/>
        </w:rPr>
        <w:t>份，</w:t>
      </w:r>
      <w:r>
        <w:rPr>
          <w:rFonts w:ascii="宋体"/>
          <w:color w:val="000000"/>
          <w:kern w:val="0"/>
          <w:szCs w:val="24"/>
        </w:rPr>
        <w:t>C</w:t>
      </w:r>
      <w:r>
        <w:rPr>
          <w:rFonts w:hint="eastAsia" w:ascii="宋体"/>
          <w:color w:val="000000"/>
          <w:kern w:val="0"/>
          <w:szCs w:val="24"/>
        </w:rPr>
        <w:t>类基金份额</w:t>
      </w:r>
      <w:r>
        <w:rPr>
          <w:rFonts w:ascii="宋体"/>
          <w:color w:val="000000"/>
          <w:kern w:val="0"/>
          <w:szCs w:val="24"/>
        </w:rPr>
        <w:t>37,219,249.95</w:t>
      </w:r>
      <w:r>
        <w:rPr>
          <w:rFonts w:hint="eastAsia" w:ascii="宋体"/>
          <w:color w:val="000000"/>
          <w:kern w:val="0"/>
          <w:szCs w:val="24"/>
        </w:rPr>
        <w:t>份。下属</w:t>
      </w:r>
      <w:r>
        <w:rPr>
          <w:rFonts w:ascii="宋体"/>
          <w:color w:val="000000"/>
          <w:kern w:val="0"/>
          <w:szCs w:val="24"/>
        </w:rPr>
        <w:t>A</w:t>
      </w:r>
      <w:r>
        <w:rPr>
          <w:rFonts w:hint="eastAsia" w:ascii="宋体"/>
          <w:color w:val="000000"/>
          <w:kern w:val="0"/>
          <w:szCs w:val="24"/>
        </w:rPr>
        <w:t>类基金份额净值</w:t>
      </w:r>
      <w:r>
        <w:rPr>
          <w:rFonts w:ascii="宋体"/>
          <w:color w:val="000000"/>
          <w:kern w:val="0"/>
          <w:szCs w:val="24"/>
        </w:rPr>
        <w:t xml:space="preserve"> 1.070</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类基金份额净值</w:t>
      </w:r>
      <w:r>
        <w:rPr>
          <w:rFonts w:ascii="宋体"/>
          <w:color w:val="000000"/>
          <w:kern w:val="0"/>
          <w:szCs w:val="24"/>
        </w:rPr>
        <w:t xml:space="preserve"> 1.067</w:t>
      </w:r>
      <w:r>
        <w:rPr>
          <w:rFonts w:hint="eastAsia" w:ascii="宋体"/>
          <w:color w:val="000000"/>
          <w:kern w:val="0"/>
          <w:szCs w:val="24"/>
        </w:rPr>
        <w:t>元。</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本财务报表的实际编制期间为</w:t>
      </w:r>
      <w:r>
        <w:rPr>
          <w:rFonts w:ascii="宋体"/>
          <w:color w:val="000000"/>
          <w:kern w:val="0"/>
          <w:szCs w:val="24"/>
        </w:rPr>
        <w:t>2015</w:t>
      </w:r>
      <w:r>
        <w:rPr>
          <w:rFonts w:hint="eastAsia" w:ascii="宋体"/>
          <w:color w:val="000000"/>
          <w:kern w:val="0"/>
          <w:szCs w:val="24"/>
        </w:rPr>
        <w:t>年</w:t>
      </w:r>
      <w:r>
        <w:rPr>
          <w:rFonts w:ascii="宋体"/>
          <w:color w:val="000000"/>
          <w:kern w:val="0"/>
          <w:szCs w:val="24"/>
        </w:rPr>
        <w:t>5</w:t>
      </w:r>
      <w:r>
        <w:rPr>
          <w:rFonts w:hint="eastAsia" w:ascii="宋体"/>
          <w:color w:val="000000"/>
          <w:kern w:val="0"/>
          <w:szCs w:val="24"/>
        </w:rPr>
        <w:t>月</w:t>
      </w:r>
      <w:r>
        <w:rPr>
          <w:rFonts w:ascii="宋体"/>
          <w:color w:val="000000"/>
          <w:kern w:val="0"/>
          <w:szCs w:val="24"/>
        </w:rPr>
        <w:t>15</w:t>
      </w:r>
      <w:r>
        <w:rPr>
          <w:rFonts w:hint="eastAsia" w:ascii="宋体"/>
          <w:color w:val="000000"/>
          <w:kern w:val="0"/>
          <w:szCs w:val="24"/>
        </w:rPr>
        <w:t>日</w:t>
      </w:r>
      <w:r>
        <w:rPr>
          <w:rFonts w:ascii="宋体"/>
          <w:color w:val="000000"/>
          <w:kern w:val="0"/>
          <w:szCs w:val="24"/>
        </w:rPr>
        <w:t>(</w:t>
      </w:r>
      <w:r>
        <w:rPr>
          <w:rFonts w:hint="eastAsia" w:ascii="宋体"/>
          <w:color w:val="000000"/>
          <w:kern w:val="0"/>
          <w:szCs w:val="24"/>
        </w:rPr>
        <w:t>基金合同生效日</w:t>
      </w:r>
      <w:r>
        <w:rPr>
          <w:rFonts w:ascii="宋体"/>
          <w:color w:val="000000"/>
          <w:kern w:val="0"/>
          <w:szCs w:val="24"/>
        </w:rPr>
        <w:t>)</w:t>
      </w:r>
      <w:r>
        <w:rPr>
          <w:rFonts w:hint="eastAsia" w:ascii="宋体"/>
          <w:color w:val="000000"/>
          <w:kern w:val="0"/>
          <w:szCs w:val="24"/>
        </w:rPr>
        <w:t>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4" w:name="_Toc446321379"/>
      <w:r>
        <w:rPr>
          <w:rFonts w:ascii="宋体"/>
          <w:b/>
          <w:color w:val="000000"/>
          <w:kern w:val="0"/>
          <w:sz w:val="24"/>
          <w:szCs w:val="24"/>
        </w:rPr>
        <w:t xml:space="preserve">7.2 </w:t>
      </w:r>
      <w:r>
        <w:rPr>
          <w:rFonts w:hint="eastAsia" w:ascii="宋体"/>
          <w:b/>
          <w:color w:val="000000"/>
          <w:kern w:val="0"/>
          <w:sz w:val="24"/>
          <w:szCs w:val="24"/>
        </w:rPr>
        <w:t>利润表</w:t>
      </w:r>
      <w:bookmarkEnd w:id="34"/>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会计主体：创金合信聚利债券型证券投资基金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1083"/>
        <w:gridCol w:w="475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本期</w:t>
            </w:r>
          </w:p>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05</w:t>
            </w:r>
            <w:r>
              <w:rPr>
                <w:rFonts w:hint="eastAsia" w:ascii="Times New Roman" w:hAnsi="Times New Roman"/>
                <w:b/>
                <w:color w:val="000000"/>
                <w:kern w:val="0"/>
                <w:sz w:val="24"/>
                <w:szCs w:val="24"/>
              </w:rPr>
              <w:t>月</w:t>
            </w:r>
            <w:r>
              <w:rPr>
                <w:rFonts w:ascii="Times New Roman" w:hAnsi="Times New Roman"/>
                <w:b/>
                <w:color w:val="000000"/>
                <w:kern w:val="0"/>
                <w:sz w:val="24"/>
                <w:szCs w:val="24"/>
              </w:rPr>
              <w:t>15</w:t>
            </w:r>
            <w:r>
              <w:rPr>
                <w:rFonts w:hint="eastAsia" w:ascii="Times New Roman" w:hAnsi="Times New Roman"/>
                <w:b/>
                <w:color w:val="000000"/>
                <w:kern w:val="0"/>
                <w:sz w:val="24"/>
                <w:szCs w:val="24"/>
              </w:rPr>
              <w:t>日至</w:t>
            </w: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18,180,725.43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7,565,965.02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7.4.7.11</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187,091.88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7,137,522.88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241,350.26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投资收益（损失以“</w:t>
            </w:r>
            <w:r>
              <w:rPr>
                <w:rFonts w:ascii="宋体"/>
                <w:color w:val="000000"/>
                <w:kern w:val="0"/>
                <w:sz w:val="24"/>
                <w:szCs w:val="24"/>
              </w:rPr>
              <w:t>-</w:t>
            </w:r>
            <w:r>
              <w:rPr>
                <w:rFonts w:hint="eastAsia" w:ascii="宋体"/>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4"/>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8,057,633.38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7.4.7.12</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5,299,429.21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7.4.7.13</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2,381,426.35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7.4.7.14</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7.4.7.15</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376,777.82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公允价值变动收益（损失以“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7.4.7.16</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2,458,046.33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4"/>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其他收入（损失以“</w:t>
            </w:r>
            <w:r>
              <w:rPr>
                <w:rFonts w:ascii="宋体"/>
                <w:color w:val="000000"/>
                <w:kern w:val="0"/>
                <w:sz w:val="24"/>
                <w:szCs w:val="24"/>
              </w:rPr>
              <w:t>-</w:t>
            </w:r>
            <w:r>
              <w:rPr>
                <w:rFonts w:hint="eastAsia" w:ascii="宋体"/>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7.4.7.17</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99,080.70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2,918,556.11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1,088,521.63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311,006.25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131,199.31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7.4.7.18</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391,299.79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861,142.23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861,142.23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w:t>
            </w:r>
            <w:r>
              <w:rPr>
                <w:rFonts w:hint="eastAsia" w:ascii="宋体"/>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7.4.7.19</w:t>
            </w: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135,386.90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三、利润总额（亏损总额以“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4"/>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15,262,169.32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b/>
                <w:color w:val="000000"/>
                <w:kern w:val="0"/>
                <w:sz w:val="24"/>
                <w:szCs w:val="24"/>
              </w:rPr>
            </w:pPr>
            <w:r>
              <w:rPr>
                <w:rFonts w:hint="eastAsia" w:ascii="宋体"/>
                <w:b/>
                <w:color w:val="000000"/>
                <w:kern w:val="0"/>
                <w:sz w:val="24"/>
                <w:szCs w:val="24"/>
              </w:rPr>
              <w:t>四、净利润（净亏损以“</w:t>
            </w:r>
            <w:r>
              <w:rPr>
                <w:rFonts w:ascii="宋体"/>
                <w:b/>
                <w:color w:val="000000"/>
                <w:kern w:val="0"/>
                <w:sz w:val="24"/>
                <w:szCs w:val="24"/>
              </w:rPr>
              <w:t>-</w:t>
            </w:r>
            <w:r>
              <w:rPr>
                <w:rFonts w:hint="eastAsia" w:ascii="宋体"/>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4"/>
                <w:szCs w:val="24"/>
              </w:rPr>
            </w:pPr>
          </w:p>
        </w:tc>
        <w:tc>
          <w:tcPr>
            <w:tcW w:w="47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15,262,169.32</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5" w:name="_Toc446321380"/>
      <w:r>
        <w:rPr>
          <w:rFonts w:ascii="宋体"/>
          <w:b/>
          <w:color w:val="000000"/>
          <w:kern w:val="0"/>
          <w:sz w:val="24"/>
          <w:szCs w:val="24"/>
        </w:rPr>
        <w:t xml:space="preserve">7.3 </w:t>
      </w:r>
      <w:r>
        <w:rPr>
          <w:rFonts w:hint="eastAsia" w:ascii="宋体"/>
          <w:b/>
          <w:color w:val="000000"/>
          <w:kern w:val="0"/>
          <w:sz w:val="24"/>
          <w:szCs w:val="24"/>
        </w:rPr>
        <w:t>所有者权益（基金净值）变动表</w:t>
      </w:r>
      <w:bookmarkEnd w:id="35"/>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会计主体：创金合信聚利债券型证券投资基金</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2167"/>
        <w:gridCol w:w="1445"/>
        <w:gridCol w:w="2167"/>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b/>
                <w:color w:val="000000"/>
                <w:kern w:val="0"/>
                <w:sz w:val="24"/>
                <w:szCs w:val="24"/>
              </w:rPr>
            </w:pPr>
            <w:r>
              <w:rPr>
                <w:rFonts w:hint="eastAsia" w:ascii="宋体"/>
                <w:b/>
                <w:color w:val="000000"/>
                <w:kern w:val="0"/>
                <w:sz w:val="24"/>
                <w:szCs w:val="24"/>
              </w:rPr>
              <w:t>项</w:t>
            </w:r>
            <w:r>
              <w:rPr>
                <w:rFonts w:ascii="宋体"/>
                <w:b/>
                <w:color w:val="000000"/>
                <w:kern w:val="0"/>
                <w:sz w:val="24"/>
                <w:szCs w:val="24"/>
              </w:rPr>
              <w:t xml:space="preserve"> </w:t>
            </w:r>
            <w:r>
              <w:rPr>
                <w:rFonts w:hint="eastAsia" w:ascii="宋体"/>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05</w:t>
            </w:r>
            <w:r>
              <w:rPr>
                <w:rFonts w:hint="eastAsia" w:ascii="Times New Roman" w:hAnsi="Times New Roman"/>
                <w:b/>
                <w:color w:val="000000"/>
                <w:kern w:val="0"/>
                <w:sz w:val="24"/>
                <w:szCs w:val="24"/>
              </w:rPr>
              <w:t>月</w:t>
            </w:r>
            <w:r>
              <w:rPr>
                <w:rFonts w:ascii="Times New Roman" w:hAnsi="Times New Roman"/>
                <w:b/>
                <w:color w:val="000000"/>
                <w:kern w:val="0"/>
                <w:sz w:val="24"/>
                <w:szCs w:val="24"/>
              </w:rPr>
              <w:t>15</w:t>
            </w:r>
            <w:r>
              <w:rPr>
                <w:rFonts w:hint="eastAsia" w:ascii="Times New Roman" w:hAnsi="Times New Roman"/>
                <w:b/>
                <w:color w:val="000000"/>
                <w:kern w:val="0"/>
                <w:sz w:val="24"/>
                <w:szCs w:val="24"/>
              </w:rPr>
              <w:t>日至</w:t>
            </w:r>
            <w:r>
              <w:rPr>
                <w:rFonts w:ascii="Times New Roman" w:hAnsi="Times New Roman"/>
                <w:b/>
                <w:color w:val="000000"/>
                <w:kern w:val="0"/>
                <w:sz w:val="24"/>
                <w:szCs w:val="24"/>
              </w:rPr>
              <w:t>2015</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385,546,708.18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385,546,708.18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15,262,169.32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15,262,169.32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三、本期基金份额交易产生的基金净值变动数（净值减少以“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-225,081,863.04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-4,174,986.23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-229,256,849.27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w:t>
            </w:r>
            <w:r>
              <w:rPr>
                <w:rFonts w:ascii="宋体"/>
                <w:color w:val="000000"/>
                <w:kern w:val="0"/>
                <w:sz w:val="24"/>
                <w:szCs w:val="24"/>
              </w:rPr>
              <w:t>1.</w:t>
            </w:r>
            <w:r>
              <w:rPr>
                <w:rFonts w:hint="eastAsia" w:ascii="宋体"/>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26,437,207.37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1,003,396.16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27,440,603.53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2.</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-251,519,070.41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-5,178,382.39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-256,697,452.80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四、本期向基金份额持有人分配利润产生的基金净值变动（净值减少以“</w:t>
            </w:r>
            <w:r>
              <w:rPr>
                <w:rFonts w:ascii="宋体"/>
                <w:color w:val="000000"/>
                <w:kern w:val="0"/>
                <w:sz w:val="24"/>
                <w:szCs w:val="24"/>
              </w:rPr>
              <w:t>-</w:t>
            </w:r>
            <w:r>
              <w:rPr>
                <w:rFonts w:hint="eastAsia" w:ascii="宋体"/>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160,464,845.14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11,087,183.09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171,552,028.23</w:t>
            </w:r>
          </w:p>
        </w:tc>
      </w:tr>
    </w:tbl>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报表附注为财务报表的组成部分。</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w:t>
      </w:r>
      <w:r>
        <w:rPr>
          <w:rFonts w:ascii="宋体"/>
          <w:color w:val="000000"/>
          <w:kern w:val="0"/>
          <w:sz w:val="24"/>
          <w:szCs w:val="24"/>
        </w:rPr>
        <w:t>7.1</w:t>
      </w:r>
      <w:r>
        <w:rPr>
          <w:rFonts w:hint="eastAsia" w:ascii="宋体"/>
          <w:color w:val="000000"/>
          <w:kern w:val="0"/>
          <w:sz w:val="24"/>
          <w:szCs w:val="24"/>
        </w:rPr>
        <w:t>至</w:t>
      </w:r>
      <w:r>
        <w:rPr>
          <w:rFonts w:ascii="宋体"/>
          <w:color w:val="000000"/>
          <w:kern w:val="0"/>
          <w:sz w:val="24"/>
          <w:szCs w:val="24"/>
        </w:rPr>
        <w:t>7.4</w:t>
      </w:r>
      <w:r>
        <w:rPr>
          <w:rFonts w:hint="eastAsia" w:ascii="宋体"/>
          <w:color w:val="000000"/>
          <w:kern w:val="0"/>
          <w:sz w:val="24"/>
          <w:szCs w:val="24"/>
        </w:rPr>
        <w:t>财务报表由下列负责人签署</w:t>
      </w:r>
      <w:r>
        <w:rPr>
          <w:rFonts w:ascii="宋体"/>
          <w:color w:val="000000"/>
          <w:kern w:val="0"/>
          <w:sz w:val="24"/>
          <w:szCs w:val="24"/>
        </w:rPr>
        <w:t>:</w:t>
      </w:r>
    </w:p>
    <w:tbl>
      <w:tblPr>
        <w:tblStyle w:val="10"/>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nil"/>
              <w:left w:val="nil"/>
              <w:bottom w:val="nil"/>
              <w:right w:val="nil"/>
            </w:tcBorders>
            <w:noWrap w:val="0"/>
            <w:vAlign w:val="top"/>
          </w:tcPr>
          <w:p>
            <w:pPr>
              <w:autoSpaceDE w:val="0"/>
              <w:autoSpaceDN w:val="0"/>
              <w:adjustRightInd w:val="0"/>
              <w:spacing w:before="29" w:line="288" w:lineRule="auto"/>
              <w:ind w:left="15"/>
              <w:jc w:val="left"/>
              <w:rPr>
                <w:rFonts w:hint="eastAsia" w:ascii="宋体"/>
                <w:color w:val="000000"/>
                <w:kern w:val="0"/>
                <w:sz w:val="24"/>
                <w:szCs w:val="24"/>
              </w:rPr>
            </w:pPr>
            <w:r>
              <w:rPr>
                <w:rFonts w:hint="eastAsia" w:ascii="宋体"/>
                <w:color w:val="000000"/>
                <w:kern w:val="0"/>
                <w:sz w:val="24"/>
                <w:szCs w:val="24"/>
              </w:rPr>
              <w:t>苏彦祝</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黄越岷</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安兆国</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会计机构负责人</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6" w:name="_Toc446321381"/>
      <w:r>
        <w:rPr>
          <w:rFonts w:ascii="宋体"/>
          <w:b/>
          <w:color w:val="000000"/>
          <w:kern w:val="0"/>
          <w:sz w:val="24"/>
          <w:szCs w:val="24"/>
        </w:rPr>
        <w:t xml:space="preserve">7.4 </w:t>
      </w:r>
      <w:r>
        <w:rPr>
          <w:rFonts w:hint="eastAsia" w:ascii="宋体"/>
          <w:b/>
          <w:color w:val="000000"/>
          <w:kern w:val="0"/>
          <w:sz w:val="24"/>
          <w:szCs w:val="24"/>
        </w:rPr>
        <w:t>报表附注</w:t>
      </w:r>
      <w:bookmarkEnd w:id="36"/>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 </w:t>
      </w:r>
      <w:r>
        <w:rPr>
          <w:rFonts w:hint="eastAsia" w:ascii="宋体"/>
          <w:b/>
          <w:color w:val="000000"/>
          <w:kern w:val="0"/>
          <w:sz w:val="24"/>
          <w:szCs w:val="24"/>
        </w:rPr>
        <w:t>基金基本情况</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创金合信聚利债券型证券投资基金</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本基金</w:t>
      </w:r>
      <w:r>
        <w:rPr>
          <w:rFonts w:ascii="宋体"/>
          <w:color w:val="000000"/>
          <w:kern w:val="0"/>
          <w:sz w:val="24"/>
          <w:szCs w:val="24"/>
        </w:rPr>
        <w:t>")</w:t>
      </w:r>
      <w:r>
        <w:rPr>
          <w:rFonts w:hint="eastAsia" w:ascii="宋体"/>
          <w:color w:val="000000"/>
          <w:kern w:val="0"/>
          <w:sz w:val="24"/>
          <w:szCs w:val="24"/>
        </w:rPr>
        <w:t>经中国证券监督管理委员会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中国证监会</w:t>
      </w:r>
      <w:r>
        <w:rPr>
          <w:rFonts w:ascii="宋体"/>
          <w:color w:val="000000"/>
          <w:kern w:val="0"/>
          <w:sz w:val="24"/>
          <w:szCs w:val="24"/>
        </w:rPr>
        <w:t>")</w:t>
      </w:r>
      <w:r>
        <w:rPr>
          <w:rFonts w:hint="eastAsia" w:ascii="宋体"/>
          <w:color w:val="000000"/>
          <w:kern w:val="0"/>
          <w:sz w:val="24"/>
          <w:szCs w:val="24"/>
        </w:rPr>
        <w:t>证监许可</w:t>
      </w:r>
      <w:r>
        <w:rPr>
          <w:rFonts w:ascii="宋体"/>
          <w:color w:val="000000"/>
          <w:kern w:val="0"/>
          <w:sz w:val="24"/>
          <w:szCs w:val="24"/>
        </w:rPr>
        <w:t xml:space="preserve"> </w:t>
      </w:r>
      <w:r>
        <w:rPr>
          <w:rFonts w:hint="eastAsia" w:ascii="宋体"/>
          <w:color w:val="000000"/>
          <w:kern w:val="0"/>
          <w:sz w:val="24"/>
          <w:szCs w:val="24"/>
        </w:rPr>
        <w:t>[</w:t>
      </w:r>
      <w:r>
        <w:rPr>
          <w:rFonts w:ascii="宋体"/>
          <w:color w:val="000000"/>
          <w:kern w:val="0"/>
          <w:sz w:val="24"/>
          <w:szCs w:val="24"/>
        </w:rPr>
        <w:t>2015]</w:t>
      </w:r>
      <w:r>
        <w:rPr>
          <w:rFonts w:hint="eastAsia" w:ascii="宋体"/>
          <w:color w:val="000000"/>
          <w:kern w:val="0"/>
          <w:sz w:val="24"/>
          <w:szCs w:val="24"/>
        </w:rPr>
        <w:t>第</w:t>
      </w:r>
      <w:r>
        <w:rPr>
          <w:rFonts w:ascii="宋体"/>
          <w:color w:val="000000"/>
          <w:kern w:val="0"/>
          <w:sz w:val="24"/>
          <w:szCs w:val="24"/>
        </w:rPr>
        <w:t>472</w:t>
      </w:r>
      <w:r>
        <w:rPr>
          <w:rFonts w:hint="eastAsia" w:ascii="宋体"/>
          <w:color w:val="000000"/>
          <w:kern w:val="0"/>
          <w:sz w:val="24"/>
          <w:szCs w:val="24"/>
        </w:rPr>
        <w:t>号《关于准予创金合信聚利债券型证券投资基金注册的批复》核准，由创金合信基金管理有限公司依照《中华人民共和国证券投资基金法》和《创金合信聚利债券型证券投资基金基金合同》负责公开募集。本基金为契约型开放式，存续期限不定，首次设立募集不包括认购资金利息共募集人民币</w:t>
      </w:r>
      <w:r>
        <w:rPr>
          <w:rFonts w:ascii="宋体"/>
          <w:color w:val="000000"/>
          <w:kern w:val="0"/>
          <w:sz w:val="24"/>
          <w:szCs w:val="24"/>
        </w:rPr>
        <w:t>385,473,879.28</w:t>
      </w:r>
      <w:r>
        <w:rPr>
          <w:rFonts w:hint="eastAsia" w:ascii="宋体"/>
          <w:color w:val="000000"/>
          <w:kern w:val="0"/>
          <w:sz w:val="24"/>
          <w:szCs w:val="24"/>
        </w:rPr>
        <w:t>元，已经普华永道中天会计师事务所</w:t>
      </w:r>
      <w:r>
        <w:rPr>
          <w:rFonts w:ascii="宋体"/>
          <w:color w:val="000000"/>
          <w:kern w:val="0"/>
          <w:sz w:val="24"/>
          <w:szCs w:val="24"/>
        </w:rPr>
        <w:t>(</w:t>
      </w:r>
      <w:r>
        <w:rPr>
          <w:rFonts w:hint="eastAsia" w:ascii="宋体"/>
          <w:color w:val="000000"/>
          <w:kern w:val="0"/>
          <w:sz w:val="24"/>
          <w:szCs w:val="24"/>
        </w:rPr>
        <w:t>特殊普通合伙</w:t>
      </w:r>
      <w:r>
        <w:rPr>
          <w:rFonts w:ascii="宋体"/>
          <w:color w:val="000000"/>
          <w:kern w:val="0"/>
          <w:sz w:val="24"/>
          <w:szCs w:val="24"/>
        </w:rPr>
        <w:t>)</w:t>
      </w:r>
      <w:r>
        <w:rPr>
          <w:rFonts w:hint="eastAsia" w:ascii="宋体"/>
          <w:color w:val="000000"/>
          <w:kern w:val="0"/>
          <w:sz w:val="24"/>
          <w:szCs w:val="24"/>
        </w:rPr>
        <w:t>普华永道中天验字</w:t>
      </w:r>
      <w:r>
        <w:rPr>
          <w:rFonts w:ascii="宋体"/>
          <w:color w:val="000000"/>
          <w:kern w:val="0"/>
          <w:sz w:val="24"/>
          <w:szCs w:val="24"/>
        </w:rPr>
        <w:t>(2015)</w:t>
      </w:r>
      <w:r>
        <w:rPr>
          <w:rFonts w:hint="eastAsia" w:ascii="宋体"/>
          <w:color w:val="000000"/>
          <w:kern w:val="0"/>
          <w:sz w:val="24"/>
          <w:szCs w:val="24"/>
        </w:rPr>
        <w:t>第</w:t>
      </w:r>
      <w:r>
        <w:rPr>
          <w:rFonts w:ascii="宋体"/>
          <w:color w:val="000000"/>
          <w:kern w:val="0"/>
          <w:sz w:val="24"/>
          <w:szCs w:val="24"/>
        </w:rPr>
        <w:t>481</w:t>
      </w:r>
      <w:r>
        <w:rPr>
          <w:rFonts w:hint="eastAsia" w:ascii="宋体"/>
          <w:color w:val="000000"/>
          <w:kern w:val="0"/>
          <w:sz w:val="24"/>
          <w:szCs w:val="24"/>
        </w:rPr>
        <w:t>号验资报告予以验证。经向中国证监会备案，《创金合信聚利债券型证券投资基金基金合同》于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日正式生效，基金合同生效日的基金份额总额为</w:t>
      </w:r>
      <w:r>
        <w:rPr>
          <w:rFonts w:ascii="宋体"/>
          <w:color w:val="000000"/>
          <w:kern w:val="0"/>
          <w:sz w:val="24"/>
          <w:szCs w:val="24"/>
        </w:rPr>
        <w:t>385,546,708.18</w:t>
      </w:r>
      <w:r>
        <w:rPr>
          <w:rFonts w:hint="eastAsia" w:ascii="宋体"/>
          <w:color w:val="000000"/>
          <w:kern w:val="0"/>
          <w:sz w:val="24"/>
          <w:szCs w:val="24"/>
        </w:rPr>
        <w:t>份基金份额，其中认购资金利息折合</w:t>
      </w:r>
      <w:r>
        <w:rPr>
          <w:rFonts w:ascii="宋体"/>
          <w:color w:val="000000"/>
          <w:kern w:val="0"/>
          <w:sz w:val="24"/>
          <w:szCs w:val="24"/>
        </w:rPr>
        <w:t>72,828.90</w:t>
      </w:r>
      <w:r>
        <w:rPr>
          <w:rFonts w:hint="eastAsia" w:ascii="宋体"/>
          <w:color w:val="000000"/>
          <w:kern w:val="0"/>
          <w:sz w:val="24"/>
          <w:szCs w:val="24"/>
        </w:rPr>
        <w:t>份基金份额。本基金的基金管理人为创金合信基金管理有限公司，基金托管人为中国工商银行股份有限公司</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中国工商银行</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根据《中华人民共和国证券投资基金法》和《创金合信聚利债券型证券投资基金基金合同》的有关规定，本基金的投资范围为具有良好流动性的金融工具，包括国内依法发行上市的股票</w:t>
      </w:r>
      <w:r>
        <w:rPr>
          <w:rFonts w:ascii="宋体"/>
          <w:color w:val="000000"/>
          <w:kern w:val="0"/>
          <w:sz w:val="24"/>
          <w:szCs w:val="24"/>
        </w:rPr>
        <w:t>(</w:t>
      </w:r>
      <w:r>
        <w:rPr>
          <w:rFonts w:hint="eastAsia" w:ascii="宋体"/>
          <w:color w:val="000000"/>
          <w:kern w:val="0"/>
          <w:sz w:val="24"/>
          <w:szCs w:val="24"/>
        </w:rPr>
        <w:t>含中小板、创业板及其他经中国证监会核准上市的股票</w:t>
      </w:r>
      <w:r>
        <w:rPr>
          <w:rFonts w:ascii="宋体"/>
          <w:color w:val="000000"/>
          <w:kern w:val="0"/>
          <w:sz w:val="24"/>
          <w:szCs w:val="24"/>
        </w:rPr>
        <w:t>)</w:t>
      </w:r>
      <w:r>
        <w:rPr>
          <w:rFonts w:hint="eastAsia" w:ascii="宋体"/>
          <w:color w:val="000000"/>
          <w:kern w:val="0"/>
          <w:sz w:val="24"/>
          <w:szCs w:val="24"/>
        </w:rPr>
        <w:t>、权证等权益类资产及债券等固定收益类金融工具以及法律法规或中国证监会允许基金投资的其他金融工具</w:t>
      </w:r>
      <w:r>
        <w:rPr>
          <w:rFonts w:ascii="宋体"/>
          <w:color w:val="000000"/>
          <w:kern w:val="0"/>
          <w:sz w:val="24"/>
          <w:szCs w:val="24"/>
        </w:rPr>
        <w:t>(</w:t>
      </w:r>
      <w:r>
        <w:rPr>
          <w:rFonts w:hint="eastAsia" w:ascii="宋体"/>
          <w:color w:val="000000"/>
          <w:kern w:val="0"/>
          <w:sz w:val="24"/>
          <w:szCs w:val="24"/>
        </w:rPr>
        <w:t>但须符合中国证监会相关规定</w:t>
      </w:r>
      <w:r>
        <w:rPr>
          <w:rFonts w:ascii="宋体"/>
          <w:color w:val="000000"/>
          <w:kern w:val="0"/>
          <w:sz w:val="24"/>
          <w:szCs w:val="24"/>
        </w:rPr>
        <w:t>)</w:t>
      </w:r>
      <w:r>
        <w:rPr>
          <w:rFonts w:hint="eastAsia" w:ascii="宋体"/>
          <w:color w:val="000000"/>
          <w:kern w:val="0"/>
          <w:sz w:val="24"/>
          <w:szCs w:val="24"/>
        </w:rPr>
        <w:t>。本基金的业绩比较基准为：中债综合</w:t>
      </w:r>
      <w:r>
        <w:rPr>
          <w:rFonts w:ascii="宋体"/>
          <w:color w:val="000000"/>
          <w:kern w:val="0"/>
          <w:sz w:val="24"/>
          <w:szCs w:val="24"/>
        </w:rPr>
        <w:t>(</w:t>
      </w:r>
      <w:r>
        <w:rPr>
          <w:rFonts w:hint="eastAsia" w:ascii="宋体"/>
          <w:color w:val="000000"/>
          <w:kern w:val="0"/>
          <w:sz w:val="24"/>
          <w:szCs w:val="24"/>
        </w:rPr>
        <w:t>全价</w:t>
      </w:r>
      <w:r>
        <w:rPr>
          <w:rFonts w:ascii="宋体"/>
          <w:color w:val="000000"/>
          <w:kern w:val="0"/>
          <w:sz w:val="24"/>
          <w:szCs w:val="24"/>
        </w:rPr>
        <w:t>)</w:t>
      </w:r>
      <w:r>
        <w:rPr>
          <w:rFonts w:hint="eastAsia" w:ascii="宋体"/>
          <w:color w:val="000000"/>
          <w:kern w:val="0"/>
          <w:sz w:val="24"/>
          <w:szCs w:val="24"/>
        </w:rPr>
        <w:t>指数收益率×</w:t>
      </w:r>
      <w:r>
        <w:rPr>
          <w:rFonts w:ascii="宋体"/>
          <w:color w:val="000000"/>
          <w:kern w:val="0"/>
          <w:sz w:val="24"/>
          <w:szCs w:val="24"/>
        </w:rPr>
        <w:t>90%+</w:t>
      </w:r>
      <w:r>
        <w:rPr>
          <w:rFonts w:hint="eastAsia" w:ascii="宋体"/>
          <w:color w:val="000000"/>
          <w:kern w:val="0"/>
          <w:sz w:val="24"/>
          <w:szCs w:val="24"/>
        </w:rPr>
        <w:t>沪深</w:t>
      </w:r>
      <w:r>
        <w:rPr>
          <w:rFonts w:ascii="宋体"/>
          <w:color w:val="000000"/>
          <w:kern w:val="0"/>
          <w:sz w:val="24"/>
          <w:szCs w:val="24"/>
        </w:rPr>
        <w:t>300</w:t>
      </w:r>
      <w:r>
        <w:rPr>
          <w:rFonts w:hint="eastAsia" w:ascii="宋体"/>
          <w:color w:val="000000"/>
          <w:kern w:val="0"/>
          <w:sz w:val="24"/>
          <w:szCs w:val="24"/>
        </w:rPr>
        <w:t>指数收益率×</w:t>
      </w:r>
      <w:r>
        <w:rPr>
          <w:rFonts w:ascii="宋体"/>
          <w:color w:val="000000"/>
          <w:kern w:val="0"/>
          <w:sz w:val="24"/>
          <w:szCs w:val="24"/>
        </w:rPr>
        <w:t>10%</w:t>
      </w:r>
      <w:r>
        <w:rPr>
          <w:rFonts w:hint="eastAsia" w:ascii="宋体"/>
          <w:color w:val="000000"/>
          <w:kern w:val="0"/>
          <w:sz w:val="24"/>
          <w:szCs w:val="24"/>
        </w:rPr>
        <w:t>。</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本财务报表由本基金的基金管理人创金合信基金管理有限公司于</w:t>
      </w:r>
      <w:r>
        <w:rPr>
          <w:rFonts w:ascii="宋体"/>
          <w:color w:val="000000"/>
          <w:kern w:val="0"/>
          <w:sz w:val="24"/>
          <w:szCs w:val="24"/>
        </w:rPr>
        <w:t>2016</w:t>
      </w:r>
      <w:r>
        <w:rPr>
          <w:rFonts w:hint="eastAsia" w:ascii="宋体"/>
          <w:color w:val="000000"/>
          <w:kern w:val="0"/>
          <w:sz w:val="24"/>
          <w:szCs w:val="24"/>
        </w:rPr>
        <w:t>年</w:t>
      </w:r>
      <w:r>
        <w:rPr>
          <w:rFonts w:ascii="宋体"/>
          <w:color w:val="000000"/>
          <w:kern w:val="0"/>
          <w:sz w:val="24"/>
          <w:szCs w:val="24"/>
        </w:rPr>
        <w:t>3</w:t>
      </w:r>
      <w:r>
        <w:rPr>
          <w:rFonts w:hint="eastAsia" w:ascii="宋体"/>
          <w:color w:val="000000"/>
          <w:kern w:val="0"/>
          <w:sz w:val="24"/>
          <w:szCs w:val="24"/>
        </w:rPr>
        <w:t>月</w:t>
      </w:r>
      <w:r>
        <w:rPr>
          <w:rFonts w:ascii="宋体"/>
          <w:color w:val="000000"/>
          <w:kern w:val="0"/>
          <w:sz w:val="24"/>
          <w:szCs w:val="24"/>
        </w:rPr>
        <w:t>2</w:t>
      </w:r>
      <w:r>
        <w:rPr>
          <w:rFonts w:hint="eastAsia" w:ascii="宋体"/>
          <w:color w:val="000000"/>
          <w:kern w:val="0"/>
          <w:sz w:val="24"/>
          <w:szCs w:val="24"/>
        </w:rPr>
        <w:t>4日批准报出。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7.4.2 </w:t>
      </w:r>
      <w:r>
        <w:rPr>
          <w:rFonts w:hint="eastAsia" w:ascii="宋体"/>
          <w:b/>
          <w:color w:val="000000"/>
          <w:kern w:val="0"/>
          <w:sz w:val="24"/>
          <w:szCs w:val="24"/>
        </w:rPr>
        <w:t>会计报表的编制基础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本基金的财务报表按照财政部于</w:t>
      </w:r>
      <w:r>
        <w:rPr>
          <w:rFonts w:ascii="宋体"/>
          <w:color w:val="000000"/>
          <w:kern w:val="0"/>
          <w:sz w:val="24"/>
          <w:szCs w:val="24"/>
        </w:rPr>
        <w:t>2006</w:t>
      </w:r>
      <w:r>
        <w:rPr>
          <w:rFonts w:hint="eastAsia" w:ascii="宋体"/>
          <w:color w:val="000000"/>
          <w:kern w:val="0"/>
          <w:sz w:val="24"/>
          <w:szCs w:val="24"/>
        </w:rPr>
        <w:t>年</w:t>
      </w:r>
      <w:r>
        <w:rPr>
          <w:rFonts w:ascii="宋体"/>
          <w:color w:val="000000"/>
          <w:kern w:val="0"/>
          <w:sz w:val="24"/>
          <w:szCs w:val="24"/>
        </w:rPr>
        <w:t>2</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日及以后期间颁布的《企业会计准则－基本准则》、各项具体会计准则及相关规定</w:t>
      </w:r>
      <w:r>
        <w:rPr>
          <w:rFonts w:ascii="宋体"/>
          <w:color w:val="000000"/>
          <w:kern w:val="0"/>
          <w:sz w:val="24"/>
          <w:szCs w:val="24"/>
        </w:rPr>
        <w:t>(</w:t>
      </w:r>
      <w:r>
        <w:rPr>
          <w:rFonts w:hint="eastAsia" w:ascii="宋体"/>
          <w:color w:val="000000"/>
          <w:kern w:val="0"/>
          <w:sz w:val="24"/>
          <w:szCs w:val="24"/>
        </w:rPr>
        <w:t>以下合称</w:t>
      </w:r>
      <w:r>
        <w:rPr>
          <w:rFonts w:ascii="宋体"/>
          <w:color w:val="000000"/>
          <w:kern w:val="0"/>
          <w:sz w:val="24"/>
          <w:szCs w:val="24"/>
        </w:rPr>
        <w:t>"</w:t>
      </w:r>
      <w:r>
        <w:rPr>
          <w:rFonts w:hint="eastAsia" w:ascii="宋体"/>
          <w:color w:val="000000"/>
          <w:kern w:val="0"/>
          <w:sz w:val="24"/>
          <w:szCs w:val="24"/>
        </w:rPr>
        <w:t>企业会计准则</w:t>
      </w:r>
      <w:r>
        <w:rPr>
          <w:rFonts w:ascii="宋体"/>
          <w:color w:val="000000"/>
          <w:kern w:val="0"/>
          <w:sz w:val="24"/>
          <w:szCs w:val="24"/>
        </w:rPr>
        <w:t>")</w:t>
      </w:r>
      <w:r>
        <w:rPr>
          <w:rFonts w:hint="eastAsia" w:ascii="宋体"/>
          <w:color w:val="000000"/>
          <w:kern w:val="0"/>
          <w:sz w:val="24"/>
          <w:szCs w:val="24"/>
        </w:rPr>
        <w:t>、中国证监会颁布的《证券投资基金信息披露</w:t>
      </w:r>
      <w:r>
        <w:rPr>
          <w:rFonts w:ascii="宋体"/>
          <w:color w:val="000000"/>
          <w:kern w:val="0"/>
          <w:sz w:val="24"/>
          <w:szCs w:val="24"/>
        </w:rPr>
        <w:t>XBRL</w:t>
      </w:r>
      <w:r>
        <w:rPr>
          <w:rFonts w:hint="eastAsia" w:ascii="宋体"/>
          <w:color w:val="000000"/>
          <w:kern w:val="0"/>
          <w:sz w:val="24"/>
          <w:szCs w:val="24"/>
        </w:rPr>
        <w:t>模板第</w:t>
      </w:r>
      <w:r>
        <w:rPr>
          <w:rFonts w:ascii="宋体"/>
          <w:color w:val="000000"/>
          <w:kern w:val="0"/>
          <w:sz w:val="24"/>
          <w:szCs w:val="24"/>
        </w:rPr>
        <w:t>3</w:t>
      </w:r>
      <w:r>
        <w:rPr>
          <w:rFonts w:hint="eastAsia" w:ascii="宋体"/>
          <w:color w:val="000000"/>
          <w:kern w:val="0"/>
          <w:sz w:val="24"/>
          <w:szCs w:val="24"/>
        </w:rPr>
        <w:t>号</w:t>
      </w:r>
      <w:r>
        <w:rPr>
          <w:rFonts w:ascii="宋体"/>
          <w:color w:val="000000"/>
          <w:kern w:val="0"/>
          <w:sz w:val="24"/>
          <w:szCs w:val="24"/>
        </w:rPr>
        <w:t>&lt;</w:t>
      </w:r>
      <w:r>
        <w:rPr>
          <w:rFonts w:hint="eastAsia" w:ascii="宋体"/>
          <w:color w:val="000000"/>
          <w:kern w:val="0"/>
          <w:sz w:val="24"/>
          <w:szCs w:val="24"/>
        </w:rPr>
        <w:t>年度报告和半年度报告</w:t>
      </w:r>
      <w:r>
        <w:rPr>
          <w:rFonts w:ascii="宋体"/>
          <w:color w:val="000000"/>
          <w:kern w:val="0"/>
          <w:sz w:val="24"/>
          <w:szCs w:val="24"/>
        </w:rPr>
        <w:t>&gt;</w:t>
      </w:r>
      <w:r>
        <w:rPr>
          <w:rFonts w:hint="eastAsia" w:ascii="宋体"/>
          <w:color w:val="000000"/>
          <w:kern w:val="0"/>
          <w:sz w:val="24"/>
          <w:szCs w:val="24"/>
        </w:rPr>
        <w:t>》、中国证券投资基金业协会</w:t>
      </w:r>
      <w:r>
        <w:rPr>
          <w:rFonts w:ascii="宋体"/>
          <w:color w:val="000000"/>
          <w:kern w:val="0"/>
          <w:sz w:val="24"/>
          <w:szCs w:val="24"/>
        </w:rPr>
        <w:t>(</w:t>
      </w:r>
      <w:r>
        <w:rPr>
          <w:rFonts w:hint="eastAsia" w:ascii="宋体"/>
          <w:color w:val="000000"/>
          <w:kern w:val="0"/>
          <w:sz w:val="24"/>
          <w:szCs w:val="24"/>
        </w:rPr>
        <w:t>以下简称</w:t>
      </w:r>
      <w:r>
        <w:rPr>
          <w:rFonts w:ascii="宋体"/>
          <w:color w:val="000000"/>
          <w:kern w:val="0"/>
          <w:sz w:val="24"/>
          <w:szCs w:val="24"/>
        </w:rPr>
        <w:t>"</w:t>
      </w:r>
      <w:r>
        <w:rPr>
          <w:rFonts w:hint="eastAsia" w:ascii="宋体"/>
          <w:color w:val="000000"/>
          <w:kern w:val="0"/>
          <w:sz w:val="24"/>
          <w:szCs w:val="24"/>
        </w:rPr>
        <w:t>中国基金业协会</w:t>
      </w:r>
      <w:r>
        <w:rPr>
          <w:rFonts w:ascii="宋体"/>
          <w:color w:val="000000"/>
          <w:kern w:val="0"/>
          <w:sz w:val="24"/>
          <w:szCs w:val="24"/>
        </w:rPr>
        <w:t>")</w:t>
      </w:r>
      <w:r>
        <w:rPr>
          <w:rFonts w:hint="eastAsia" w:ascii="宋体"/>
          <w:color w:val="000000"/>
          <w:kern w:val="0"/>
          <w:sz w:val="24"/>
          <w:szCs w:val="24"/>
        </w:rPr>
        <w:t>颁布的《证券投资基金会计核算业务指引》、《创金合信聚利债券型证券投资基金基金合同》和在财务报表附注</w:t>
      </w:r>
      <w:r>
        <w:rPr>
          <w:rFonts w:ascii="宋体"/>
          <w:color w:val="000000"/>
          <w:kern w:val="0"/>
          <w:sz w:val="24"/>
          <w:szCs w:val="24"/>
        </w:rPr>
        <w:t>7.4.4</w:t>
      </w:r>
      <w:r>
        <w:rPr>
          <w:rFonts w:hint="eastAsia" w:ascii="宋体"/>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7.4.3 </w:t>
      </w:r>
      <w:r>
        <w:rPr>
          <w:rFonts w:hint="eastAsia" w:ascii="宋体"/>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w:t>
      </w:r>
      <w:r>
        <w:rPr>
          <w:rFonts w:ascii="宋体"/>
          <w:color w:val="000000"/>
          <w:kern w:val="0"/>
          <w:sz w:val="24"/>
          <w:szCs w:val="24"/>
          <w:highlight w:val="yellow"/>
        </w:rPr>
        <w:t>2015</w:t>
      </w:r>
      <w:r>
        <w:rPr>
          <w:rFonts w:hint="eastAsia" w:ascii="宋体"/>
          <w:color w:val="000000"/>
          <w:kern w:val="0"/>
          <w:sz w:val="24"/>
          <w:szCs w:val="24"/>
          <w:highlight w:val="yellow"/>
        </w:rPr>
        <w:t>年5月15日(基金</w:t>
      </w:r>
      <w:r>
        <w:rPr>
          <w:rFonts w:ascii="宋体"/>
          <w:color w:val="000000"/>
          <w:kern w:val="0"/>
          <w:sz w:val="24"/>
          <w:szCs w:val="24"/>
          <w:highlight w:val="yellow"/>
        </w:rPr>
        <w:t>合同生效日</w:t>
      </w:r>
      <w:r>
        <w:rPr>
          <w:rFonts w:hint="eastAsia" w:ascii="宋体"/>
          <w:color w:val="000000"/>
          <w:kern w:val="0"/>
          <w:sz w:val="24"/>
          <w:szCs w:val="24"/>
          <w:highlight w:val="yellow"/>
        </w:rPr>
        <w:t>)至2015年12月31日</w:t>
      </w:r>
      <w:r>
        <w:rPr>
          <w:rFonts w:ascii="宋体"/>
          <w:color w:val="000000"/>
          <w:kern w:val="0"/>
          <w:sz w:val="24"/>
          <w:szCs w:val="24"/>
          <w:highlight w:val="yellow"/>
        </w:rPr>
        <w:t>止期间</w:t>
      </w:r>
      <w:r>
        <w:rPr>
          <w:rFonts w:hint="eastAsia" w:ascii="宋体"/>
          <w:color w:val="000000"/>
          <w:kern w:val="0"/>
          <w:sz w:val="24"/>
          <w:szCs w:val="24"/>
        </w:rPr>
        <w:t>的财务报表符合企业会计准则的要求，真实、完整地反映了本基金</w:t>
      </w:r>
      <w:r>
        <w:rPr>
          <w:rFonts w:ascii="宋体"/>
          <w:color w:val="000000"/>
          <w:kern w:val="0"/>
          <w:sz w:val="24"/>
          <w:szCs w:val="24"/>
        </w:rPr>
        <w:t xml:space="preserve"> 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日的财务状况以及</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日止期间的经营成果和基金净值变动情况等有关信息。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 </w:t>
      </w:r>
      <w:r>
        <w:rPr>
          <w:rFonts w:hint="eastAsia" w:ascii="宋体"/>
          <w:b/>
          <w:color w:val="000000"/>
          <w:kern w:val="0"/>
          <w:sz w:val="24"/>
          <w:szCs w:val="24"/>
        </w:rPr>
        <w:t>重要会计政策和会计估计</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 </w:t>
      </w:r>
      <w:r>
        <w:rPr>
          <w:rFonts w:hint="eastAsia" w:ascii="宋体"/>
          <w:b/>
          <w:color w:val="000000"/>
          <w:kern w:val="0"/>
          <w:sz w:val="24"/>
          <w:szCs w:val="24"/>
        </w:rPr>
        <w:t>会计年度</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本基金会计年度为公历</w:t>
      </w:r>
      <w:r>
        <w:rPr>
          <w:rFonts w:ascii="宋体"/>
          <w:color w:val="000000"/>
          <w:kern w:val="0"/>
          <w:sz w:val="24"/>
          <w:szCs w:val="24"/>
        </w:rPr>
        <w:t>1</w:t>
      </w:r>
      <w:r>
        <w:rPr>
          <w:rFonts w:hint="eastAsia" w:ascii="宋体"/>
          <w:color w:val="000000"/>
          <w:kern w:val="0"/>
          <w:sz w:val="24"/>
          <w:szCs w:val="24"/>
        </w:rPr>
        <w:t>月</w:t>
      </w:r>
      <w:r>
        <w:rPr>
          <w:rFonts w:ascii="宋体"/>
          <w:color w:val="000000"/>
          <w:kern w:val="0"/>
          <w:sz w:val="24"/>
          <w:szCs w:val="24"/>
        </w:rPr>
        <w:t>1</w:t>
      </w:r>
      <w:r>
        <w:rPr>
          <w:rFonts w:hint="eastAsia" w:ascii="宋体"/>
          <w:color w:val="000000"/>
          <w:kern w:val="0"/>
          <w:sz w:val="24"/>
          <w:szCs w:val="24"/>
        </w:rPr>
        <w:t>日起至</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日止。本期财务报表的实际编制期间为</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基金合同生效日</w:t>
      </w:r>
      <w:r>
        <w:rPr>
          <w:rFonts w:ascii="宋体"/>
          <w:color w:val="000000"/>
          <w:kern w:val="0"/>
          <w:sz w:val="24"/>
          <w:szCs w:val="24"/>
        </w:rPr>
        <w:t>)</w:t>
      </w:r>
      <w:r>
        <w:rPr>
          <w:rFonts w:hint="eastAsia" w:ascii="宋体"/>
          <w:color w:val="000000"/>
          <w:kern w:val="0"/>
          <w:sz w:val="24"/>
          <w:szCs w:val="24"/>
        </w:rPr>
        <w:t>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日止期间。</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7.4.4.2 </w:t>
      </w:r>
      <w:r>
        <w:rPr>
          <w:rFonts w:hint="eastAsia" w:ascii="宋体"/>
          <w:b/>
          <w:color w:val="000000"/>
          <w:kern w:val="0"/>
          <w:sz w:val="24"/>
          <w:szCs w:val="24"/>
        </w:rPr>
        <w:t>记账本位币</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本基金的记账本位币为人民币。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7.4.4.3 </w:t>
      </w:r>
      <w:r>
        <w:rPr>
          <w:rFonts w:hint="eastAsia" w:ascii="宋体"/>
          <w:b/>
          <w:color w:val="000000"/>
          <w:kern w:val="0"/>
          <w:sz w:val="24"/>
          <w:szCs w:val="24"/>
        </w:rPr>
        <w:t>金融资产和金融负债的分类</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hint="eastAsia" w:ascii="宋体"/>
          <w:color w:val="000000"/>
          <w:kern w:val="0"/>
          <w:sz w:val="24"/>
          <w:szCs w:val="24"/>
        </w:rPr>
        <w:t>金融资产的分类</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本基金目前以交易目的持有的股票投资、债券投资和衍生工具</w:t>
      </w:r>
      <w:r>
        <w:rPr>
          <w:rFonts w:ascii="宋体"/>
          <w:color w:val="000000"/>
          <w:kern w:val="0"/>
          <w:sz w:val="24"/>
          <w:szCs w:val="24"/>
        </w:rPr>
        <w:t>(</w:t>
      </w:r>
      <w:r>
        <w:rPr>
          <w:rFonts w:hint="eastAsia" w:ascii="宋体"/>
          <w:color w:val="000000"/>
          <w:kern w:val="0"/>
          <w:sz w:val="24"/>
          <w:szCs w:val="24"/>
        </w:rPr>
        <w:t>主要为权证投资</w:t>
      </w:r>
      <w:r>
        <w:rPr>
          <w:rFonts w:ascii="宋体"/>
          <w:color w:val="000000"/>
          <w:kern w:val="0"/>
          <w:sz w:val="24"/>
          <w:szCs w:val="24"/>
        </w:rPr>
        <w:t>)</w:t>
      </w:r>
      <w:r>
        <w:rPr>
          <w:rFonts w:hint="eastAsia" w:ascii="宋体"/>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本基金持有的其他金融资产分类为应收款项，包括银行存款和其他各类应收款项等。应收款项是指在活跃市场中没有报价、回收金额固定或可确定的非衍生金融资产。</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金融负债的分类</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7.4.4.4 </w:t>
      </w:r>
      <w:r>
        <w:rPr>
          <w:rFonts w:hint="eastAsia" w:ascii="宋体"/>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金融资产满足下列条件之一的，予以终止确认：</w:t>
      </w:r>
      <w:r>
        <w:rPr>
          <w:rFonts w:ascii="宋体"/>
          <w:color w:val="000000"/>
          <w:kern w:val="0"/>
          <w:sz w:val="24"/>
          <w:szCs w:val="24"/>
        </w:rPr>
        <w:t xml:space="preserve">(1) </w:t>
      </w:r>
      <w:r>
        <w:rPr>
          <w:rFonts w:hint="eastAsia" w:ascii="宋体"/>
          <w:color w:val="000000"/>
          <w:kern w:val="0"/>
          <w:sz w:val="24"/>
          <w:szCs w:val="24"/>
        </w:rPr>
        <w:t>收取该金融资产现金流量的合同权利终止；</w:t>
      </w:r>
      <w:r>
        <w:rPr>
          <w:rFonts w:ascii="宋体"/>
          <w:color w:val="000000"/>
          <w:kern w:val="0"/>
          <w:sz w:val="24"/>
          <w:szCs w:val="24"/>
        </w:rPr>
        <w:t xml:space="preserve">(2) </w:t>
      </w:r>
      <w:r>
        <w:rPr>
          <w:rFonts w:hint="eastAsia" w:ascii="宋体"/>
          <w:color w:val="000000"/>
          <w:kern w:val="0"/>
          <w:sz w:val="24"/>
          <w:szCs w:val="24"/>
        </w:rPr>
        <w:t>该金融资产已转移，且本基金将金融资产所有权上几乎所有的风险和报酬转移给转入方；或者</w:t>
      </w:r>
      <w:r>
        <w:rPr>
          <w:rFonts w:ascii="宋体"/>
          <w:color w:val="000000"/>
          <w:kern w:val="0"/>
          <w:sz w:val="24"/>
          <w:szCs w:val="24"/>
        </w:rPr>
        <w:t xml:space="preserve">(3) </w:t>
      </w:r>
      <w:r>
        <w:rPr>
          <w:rFonts w:hint="eastAsia" w:ascii="宋体"/>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7.4.4.5 </w:t>
      </w:r>
      <w:r>
        <w:rPr>
          <w:rFonts w:hint="eastAsia" w:ascii="宋体"/>
          <w:b/>
          <w:color w:val="000000"/>
          <w:kern w:val="0"/>
          <w:sz w:val="24"/>
          <w:szCs w:val="24"/>
        </w:rPr>
        <w:t>金融资产和金融负债的估值原则</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本基金持有的股票投资、债券投资和衍生工具</w:t>
      </w:r>
      <w:r>
        <w:rPr>
          <w:rFonts w:ascii="宋体"/>
          <w:color w:val="000000"/>
          <w:kern w:val="0"/>
          <w:sz w:val="24"/>
          <w:szCs w:val="24"/>
        </w:rPr>
        <w:t>(</w:t>
      </w:r>
      <w:r>
        <w:rPr>
          <w:rFonts w:hint="eastAsia" w:ascii="宋体"/>
          <w:color w:val="000000"/>
          <w:kern w:val="0"/>
          <w:sz w:val="24"/>
          <w:szCs w:val="24"/>
        </w:rPr>
        <w:t>主要为权证投资</w:t>
      </w:r>
      <w:r>
        <w:rPr>
          <w:rFonts w:ascii="宋体"/>
          <w:color w:val="000000"/>
          <w:kern w:val="0"/>
          <w:sz w:val="24"/>
          <w:szCs w:val="24"/>
        </w:rPr>
        <w:t>)</w:t>
      </w:r>
      <w:r>
        <w:rPr>
          <w:rFonts w:hint="eastAsia" w:ascii="宋体"/>
          <w:color w:val="000000"/>
          <w:kern w:val="0"/>
          <w:sz w:val="24"/>
          <w:szCs w:val="24"/>
        </w:rPr>
        <w:t>按如下原则确定公允价值并进行估值：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7.4.4.6 </w:t>
      </w:r>
      <w:r>
        <w:rPr>
          <w:rFonts w:hint="eastAsia" w:ascii="宋体"/>
          <w:b/>
          <w:color w:val="000000"/>
          <w:kern w:val="0"/>
          <w:sz w:val="24"/>
          <w:szCs w:val="24"/>
        </w:rPr>
        <w:t>金融资产和金融负债的抵销</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本基金持有的资产和承担的负债基本为金融资产和金融负债。当本基金</w:t>
      </w:r>
      <w:r>
        <w:rPr>
          <w:rFonts w:ascii="宋体"/>
          <w:color w:val="000000"/>
          <w:kern w:val="0"/>
          <w:sz w:val="24"/>
          <w:szCs w:val="24"/>
        </w:rPr>
        <w:t xml:space="preserve">1) </w:t>
      </w:r>
      <w:r>
        <w:rPr>
          <w:rFonts w:hint="eastAsia" w:ascii="宋体"/>
          <w:color w:val="000000"/>
          <w:kern w:val="0"/>
          <w:sz w:val="24"/>
          <w:szCs w:val="24"/>
        </w:rPr>
        <w:t>具有抵销已确认金额的法定权利且该种法定权利现在是可执行的；且</w:t>
      </w:r>
      <w:r>
        <w:rPr>
          <w:rFonts w:ascii="宋体"/>
          <w:color w:val="000000"/>
          <w:kern w:val="0"/>
          <w:sz w:val="24"/>
          <w:szCs w:val="24"/>
        </w:rPr>
        <w:t xml:space="preserve">2) </w:t>
      </w:r>
      <w:r>
        <w:rPr>
          <w:rFonts w:hint="eastAsia" w:ascii="宋体"/>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7.4.4.7 </w:t>
      </w:r>
      <w:r>
        <w:rPr>
          <w:rFonts w:hint="eastAsia" w:ascii="宋体"/>
          <w:b/>
          <w:color w:val="000000"/>
          <w:kern w:val="0"/>
          <w:sz w:val="24"/>
          <w:szCs w:val="24"/>
        </w:rPr>
        <w:t>实收基金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7.4.4.8 </w:t>
      </w:r>
      <w:r>
        <w:rPr>
          <w:rFonts w:hint="eastAsia" w:ascii="宋体"/>
          <w:b/>
          <w:color w:val="000000"/>
          <w:kern w:val="0"/>
          <w:sz w:val="24"/>
          <w:szCs w:val="24"/>
        </w:rPr>
        <w:t>损益平准金</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w:t>
      </w:r>
      <w:r>
        <w:rPr>
          <w:rFonts w:ascii="宋体"/>
          <w:color w:val="000000"/>
          <w:kern w:val="0"/>
          <w:sz w:val="24"/>
          <w:szCs w:val="24"/>
        </w:rPr>
        <w:t>/(</w:t>
      </w:r>
      <w:r>
        <w:rPr>
          <w:rFonts w:hint="eastAsia" w:ascii="宋体"/>
          <w:color w:val="000000"/>
          <w:kern w:val="0"/>
          <w:sz w:val="24"/>
          <w:szCs w:val="24"/>
        </w:rPr>
        <w:t>累计亏损</w:t>
      </w:r>
      <w:r>
        <w:rPr>
          <w:rFonts w:ascii="宋体"/>
          <w:color w:val="000000"/>
          <w:kern w:val="0"/>
          <w:sz w:val="24"/>
          <w:szCs w:val="24"/>
        </w:rPr>
        <w:t>)</w:t>
      </w:r>
      <w:r>
        <w:rPr>
          <w:rFonts w:hint="eastAsia" w:ascii="宋体"/>
          <w:color w:val="000000"/>
          <w:kern w:val="0"/>
          <w:sz w:val="24"/>
          <w:szCs w:val="24"/>
        </w:rPr>
        <w:t>。</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7.4.4.9 </w:t>
      </w:r>
      <w:r>
        <w:rPr>
          <w:rFonts w:hint="eastAsia" w:ascii="宋体"/>
          <w:b/>
          <w:color w:val="000000"/>
          <w:kern w:val="0"/>
          <w:sz w:val="24"/>
          <w:szCs w:val="24"/>
        </w:rPr>
        <w:t>收入</w:t>
      </w:r>
      <w:r>
        <w:rPr>
          <w:rFonts w:ascii="宋体"/>
          <w:b/>
          <w:color w:val="000000"/>
          <w:kern w:val="0"/>
          <w:sz w:val="24"/>
          <w:szCs w:val="24"/>
        </w:rPr>
        <w:t>/</w:t>
      </w:r>
      <w:r>
        <w:rPr>
          <w:rFonts w:hint="eastAsia" w:ascii="宋体"/>
          <w:b/>
          <w:color w:val="000000"/>
          <w:kern w:val="0"/>
          <w:sz w:val="24"/>
          <w:szCs w:val="24"/>
        </w:rPr>
        <w:t>（损失）的确认和计量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7.4.4.10 </w:t>
      </w:r>
      <w:r>
        <w:rPr>
          <w:rFonts w:hint="eastAsia" w:ascii="宋体"/>
          <w:b/>
          <w:color w:val="000000"/>
          <w:kern w:val="0"/>
          <w:sz w:val="24"/>
          <w:szCs w:val="24"/>
        </w:rPr>
        <w:t>费用的确认和计量</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7.4.4.11 </w:t>
      </w:r>
      <w:r>
        <w:rPr>
          <w:rFonts w:hint="eastAsia" w:ascii="宋体"/>
          <w:b/>
          <w:color w:val="000000"/>
          <w:kern w:val="0"/>
          <w:sz w:val="24"/>
          <w:szCs w:val="24"/>
        </w:rPr>
        <w:t>基金的收益分配政策</w:t>
      </w:r>
    </w:p>
    <w:p>
      <w:pPr>
        <w:autoSpaceDE w:val="0"/>
        <w:autoSpaceDN w:val="0"/>
        <w:adjustRightInd w:val="0"/>
        <w:spacing w:before="29" w:line="288" w:lineRule="auto"/>
        <w:ind w:left="15" w:firstLine="480"/>
        <w:jc w:val="left"/>
        <w:rPr>
          <w:rFonts w:ascii="宋体"/>
          <w:color w:val="000000"/>
          <w:kern w:val="0"/>
          <w:sz w:val="24"/>
          <w:szCs w:val="24"/>
        </w:rPr>
      </w:pPr>
      <w:r>
        <w:rPr>
          <w:rFonts w:hint="eastAsia" w:ascii="宋体"/>
          <w:color w:val="000000"/>
          <w:kern w:val="0"/>
          <w:sz w:val="24"/>
          <w:szCs w:val="24"/>
        </w:rPr>
        <w:t>本基金的收益分配政策为：</w:t>
      </w:r>
      <w:r>
        <w:rPr>
          <w:rFonts w:ascii="宋体"/>
          <w:color w:val="000000"/>
          <w:kern w:val="0"/>
          <w:sz w:val="24"/>
          <w:szCs w:val="24"/>
        </w:rPr>
        <w:t xml:space="preserve">(1) </w:t>
      </w:r>
      <w:r>
        <w:rPr>
          <w:rFonts w:hint="eastAsia" w:ascii="宋体"/>
          <w:color w:val="000000"/>
          <w:kern w:val="0"/>
          <w:sz w:val="24"/>
          <w:szCs w:val="24"/>
        </w:rPr>
        <w:t>在符合有关基金分红条件的前提下，本基金每年收益分配次数最多为</w:t>
      </w:r>
      <w:r>
        <w:rPr>
          <w:rFonts w:ascii="宋体"/>
          <w:color w:val="000000"/>
          <w:kern w:val="0"/>
          <w:sz w:val="24"/>
          <w:szCs w:val="24"/>
        </w:rPr>
        <w:t>12</w:t>
      </w:r>
      <w:r>
        <w:rPr>
          <w:rFonts w:hint="eastAsia" w:ascii="宋体"/>
          <w:color w:val="000000"/>
          <w:kern w:val="0"/>
          <w:sz w:val="24"/>
          <w:szCs w:val="24"/>
        </w:rPr>
        <w:t>次，每份基金份额每次收益分配比例不得低于该次该类基金份额可供分配利润的</w:t>
      </w:r>
      <w:r>
        <w:rPr>
          <w:rFonts w:ascii="宋体"/>
          <w:color w:val="000000"/>
          <w:kern w:val="0"/>
          <w:sz w:val="24"/>
          <w:szCs w:val="24"/>
        </w:rPr>
        <w:t>30%</w:t>
      </w:r>
      <w:r>
        <w:rPr>
          <w:rFonts w:hint="eastAsia" w:ascii="宋体"/>
          <w:color w:val="000000"/>
          <w:kern w:val="0"/>
          <w:sz w:val="24"/>
          <w:szCs w:val="24"/>
        </w:rPr>
        <w:t>；若《基金合同》生效不满</w:t>
      </w:r>
      <w:r>
        <w:rPr>
          <w:rFonts w:ascii="宋体"/>
          <w:color w:val="000000"/>
          <w:kern w:val="0"/>
          <w:sz w:val="24"/>
          <w:szCs w:val="24"/>
        </w:rPr>
        <w:t>3</w:t>
      </w:r>
      <w:r>
        <w:rPr>
          <w:rFonts w:hint="eastAsia" w:ascii="宋体"/>
          <w:color w:val="000000"/>
          <w:kern w:val="0"/>
          <w:sz w:val="24"/>
          <w:szCs w:val="24"/>
        </w:rPr>
        <w:t>个月可不进行收益分配。</w:t>
      </w:r>
      <w:r>
        <w:rPr>
          <w:rFonts w:ascii="宋体"/>
          <w:color w:val="000000"/>
          <w:kern w:val="0"/>
          <w:sz w:val="24"/>
          <w:szCs w:val="24"/>
        </w:rPr>
        <w:t xml:space="preserve">(2) </w:t>
      </w:r>
      <w:r>
        <w:rPr>
          <w:rFonts w:hint="eastAsia" w:ascii="宋体"/>
          <w:color w:val="000000"/>
          <w:kern w:val="0"/>
          <w:sz w:val="24"/>
          <w:szCs w:val="24"/>
        </w:rPr>
        <w:t>本基金收益分配方式分两种：现金分红与红利再投资，基金份额持有人可对</w:t>
      </w:r>
      <w:r>
        <w:rPr>
          <w:rFonts w:ascii="宋体"/>
          <w:color w:val="000000"/>
          <w:kern w:val="0"/>
          <w:sz w:val="24"/>
          <w:szCs w:val="24"/>
        </w:rPr>
        <w:t>A</w:t>
      </w:r>
      <w:r>
        <w:rPr>
          <w:rFonts w:hint="eastAsia" w:ascii="宋体"/>
          <w:color w:val="000000"/>
          <w:kern w:val="0"/>
          <w:sz w:val="24"/>
          <w:szCs w:val="24"/>
        </w:rPr>
        <w:t>类基金份额、</w:t>
      </w:r>
      <w:r>
        <w:rPr>
          <w:rFonts w:ascii="宋体"/>
          <w:color w:val="000000"/>
          <w:kern w:val="0"/>
          <w:sz w:val="24"/>
          <w:szCs w:val="24"/>
        </w:rPr>
        <w:t>C</w:t>
      </w:r>
      <w:r>
        <w:rPr>
          <w:rFonts w:hint="eastAsia" w:ascii="宋体"/>
          <w:color w:val="000000"/>
          <w:kern w:val="0"/>
          <w:sz w:val="24"/>
          <w:szCs w:val="24"/>
        </w:rPr>
        <w:t>类基金份额分别选择不同的分红方式；选择采取红利再投资方式的，基金份额的分红金额将转为同一类别基金份额进行再投资；若投资者不选择，本基金默认的收益分配方式为现金分红。</w:t>
      </w:r>
      <w:r>
        <w:rPr>
          <w:rFonts w:ascii="宋体"/>
          <w:color w:val="000000"/>
          <w:kern w:val="0"/>
          <w:sz w:val="24"/>
          <w:szCs w:val="24"/>
        </w:rPr>
        <w:t xml:space="preserve">(3) </w:t>
      </w:r>
      <w:r>
        <w:rPr>
          <w:rFonts w:hint="eastAsia" w:ascii="宋体"/>
          <w:color w:val="000000"/>
          <w:kern w:val="0"/>
          <w:sz w:val="24"/>
          <w:szCs w:val="24"/>
        </w:rPr>
        <w:t>基金收益分配后基金份额净值不能低于面值：即基金收益分配基准日的基金份额净值减去每单位基金份额收益分配金额后不能低于面值。</w:t>
      </w:r>
      <w:r>
        <w:rPr>
          <w:rFonts w:ascii="宋体"/>
          <w:color w:val="000000"/>
          <w:kern w:val="0"/>
          <w:sz w:val="24"/>
          <w:szCs w:val="24"/>
        </w:rPr>
        <w:t xml:space="preserve">(4) </w:t>
      </w:r>
      <w:r>
        <w:rPr>
          <w:rFonts w:hint="eastAsia" w:ascii="宋体"/>
          <w:color w:val="000000"/>
          <w:kern w:val="0"/>
          <w:sz w:val="24"/>
          <w:szCs w:val="24"/>
        </w:rPr>
        <w:t>由于本基金</w:t>
      </w:r>
      <w:r>
        <w:rPr>
          <w:rFonts w:ascii="宋体"/>
          <w:color w:val="000000"/>
          <w:kern w:val="0"/>
          <w:sz w:val="24"/>
          <w:szCs w:val="24"/>
        </w:rPr>
        <w:t xml:space="preserve">A </w:t>
      </w:r>
      <w:r>
        <w:rPr>
          <w:rFonts w:hint="eastAsia" w:ascii="宋体"/>
          <w:color w:val="000000"/>
          <w:kern w:val="0"/>
          <w:sz w:val="24"/>
          <w:szCs w:val="24"/>
        </w:rPr>
        <w:t>类基金份额不收取销售服务费，而</w:t>
      </w:r>
      <w:r>
        <w:rPr>
          <w:rFonts w:ascii="宋体"/>
          <w:color w:val="000000"/>
          <w:kern w:val="0"/>
          <w:sz w:val="24"/>
          <w:szCs w:val="24"/>
        </w:rPr>
        <w:t xml:space="preserve">C </w:t>
      </w:r>
      <w:r>
        <w:rPr>
          <w:rFonts w:hint="eastAsia" w:ascii="宋体"/>
          <w:color w:val="000000"/>
          <w:kern w:val="0"/>
          <w:sz w:val="24"/>
          <w:szCs w:val="24"/>
        </w:rPr>
        <w:t>类基金份额收取销售服务费，各基金份额类别对应的可供分配利润将有所不同，基金管理人可对各类别基金份额分别制定收益分配方案；同一类别内的每一基金份额享有同等分配权。</w:t>
      </w:r>
      <w:r>
        <w:rPr>
          <w:rFonts w:ascii="宋体"/>
          <w:color w:val="000000"/>
          <w:kern w:val="0"/>
          <w:sz w:val="24"/>
          <w:szCs w:val="24"/>
        </w:rPr>
        <w:t xml:space="preserve">(5) </w:t>
      </w:r>
      <w:r>
        <w:rPr>
          <w:rFonts w:hint="eastAsia" w:ascii="宋体"/>
          <w:color w:val="000000"/>
          <w:kern w:val="0"/>
          <w:sz w:val="24"/>
          <w:szCs w:val="24"/>
        </w:rPr>
        <w:t>法律法规或监管机关另有规定的，从其规定。</w:t>
      </w:r>
    </w:p>
    <w:p>
      <w:pPr>
        <w:autoSpaceDE w:val="0"/>
        <w:autoSpaceDN w:val="0"/>
        <w:adjustRightInd w:val="0"/>
        <w:spacing w:before="29" w:line="288" w:lineRule="auto"/>
        <w:ind w:left="15" w:firstLine="480"/>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7.4.4.12 </w:t>
      </w:r>
      <w:r>
        <w:rPr>
          <w:rFonts w:hint="eastAsia" w:ascii="宋体"/>
          <w:b/>
          <w:color w:val="000000"/>
          <w:kern w:val="0"/>
          <w:sz w:val="24"/>
          <w:szCs w:val="24"/>
        </w:rPr>
        <w:t>分部报告</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宋体"/>
          <w:color w:val="000000"/>
          <w:kern w:val="0"/>
          <w:sz w:val="24"/>
          <w:szCs w:val="24"/>
        </w:rPr>
        <w:t xml:space="preserve">(1) </w:t>
      </w:r>
      <w:r>
        <w:rPr>
          <w:rFonts w:hint="eastAsia" w:ascii="宋体"/>
          <w:color w:val="000000"/>
          <w:kern w:val="0"/>
          <w:sz w:val="24"/>
          <w:szCs w:val="24"/>
        </w:rPr>
        <w:t>该组成部分能够在日常活动中产生收入、发生费用；</w:t>
      </w:r>
      <w:r>
        <w:rPr>
          <w:rFonts w:ascii="宋体"/>
          <w:color w:val="000000"/>
          <w:kern w:val="0"/>
          <w:sz w:val="24"/>
          <w:szCs w:val="24"/>
        </w:rPr>
        <w:t xml:space="preserve">(2) </w:t>
      </w:r>
      <w:r>
        <w:rPr>
          <w:rFonts w:hint="eastAsia" w:ascii="宋体"/>
          <w:color w:val="000000"/>
          <w:kern w:val="0"/>
          <w:sz w:val="24"/>
          <w:szCs w:val="24"/>
        </w:rPr>
        <w:t>本基金的基金管理人能够定期评价该组成部分的经营成果，以决定向其配置资源、评价其业绩；</w:t>
      </w:r>
      <w:r>
        <w:rPr>
          <w:rFonts w:ascii="宋体"/>
          <w:color w:val="000000"/>
          <w:kern w:val="0"/>
          <w:sz w:val="24"/>
          <w:szCs w:val="24"/>
        </w:rPr>
        <w:t xml:space="preserve">(3) </w:t>
      </w:r>
      <w:r>
        <w:rPr>
          <w:rFonts w:hint="eastAsia" w:ascii="宋体"/>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7.4.4.13 </w:t>
      </w:r>
      <w:r>
        <w:rPr>
          <w:rFonts w:hint="eastAsia" w:ascii="宋体"/>
          <w:b/>
          <w:color w:val="000000"/>
          <w:kern w:val="0"/>
          <w:sz w:val="24"/>
          <w:szCs w:val="24"/>
        </w:rPr>
        <w:t>其他重要的会计政策和会计估计</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对于证券交易所上市的股票和债券，若出现重大事项停牌或交易不活跃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等情况，本基金根据中国证监会公告</w:t>
      </w:r>
      <w:r>
        <w:rPr>
          <w:rFonts w:ascii="宋体"/>
          <w:color w:val="000000"/>
          <w:kern w:val="0"/>
          <w:sz w:val="24"/>
          <w:szCs w:val="24"/>
        </w:rPr>
        <w:t>[2008]38</w:t>
      </w:r>
      <w:r>
        <w:rPr>
          <w:rFonts w:hint="eastAsia" w:ascii="宋体"/>
          <w:color w:val="000000"/>
          <w:kern w:val="0"/>
          <w:sz w:val="24"/>
          <w:szCs w:val="24"/>
        </w:rPr>
        <w:t>号《关于进一步规范证券投资基金估值业务的指导意见》，根据具体情况采用《关于发布中基协</w:t>
      </w:r>
      <w:r>
        <w:rPr>
          <w:rFonts w:ascii="宋体"/>
          <w:color w:val="000000"/>
          <w:kern w:val="0"/>
          <w:sz w:val="24"/>
          <w:szCs w:val="24"/>
        </w:rPr>
        <w:t>(AMAC)</w:t>
      </w:r>
      <w:r>
        <w:rPr>
          <w:rFonts w:hint="eastAsia" w:ascii="宋体"/>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在银行间同业市场交易的债券品种，根据中国证监会证监会计字</w:t>
      </w:r>
      <w:r>
        <w:rPr>
          <w:rFonts w:ascii="宋体"/>
          <w:color w:val="000000"/>
          <w:kern w:val="0"/>
          <w:sz w:val="24"/>
          <w:szCs w:val="24"/>
        </w:rPr>
        <w:t>[2007]21</w:t>
      </w:r>
      <w:r>
        <w:rPr>
          <w:rFonts w:hint="eastAsia" w:ascii="宋体"/>
          <w:color w:val="000000"/>
          <w:kern w:val="0"/>
          <w:sz w:val="24"/>
          <w:szCs w:val="24"/>
        </w:rPr>
        <w:t>号《关于证券投资基金执行</w:t>
      </w:r>
      <w:r>
        <w:rPr>
          <w:rFonts w:ascii="宋体"/>
          <w:color w:val="000000"/>
          <w:kern w:val="0"/>
          <w:sz w:val="24"/>
          <w:szCs w:val="24"/>
        </w:rPr>
        <w:t>&lt;</w:t>
      </w:r>
      <w:r>
        <w:rPr>
          <w:rFonts w:hint="eastAsia" w:ascii="宋体"/>
          <w:color w:val="000000"/>
          <w:kern w:val="0"/>
          <w:sz w:val="24"/>
          <w:szCs w:val="24"/>
        </w:rPr>
        <w:t>企业会计准则</w:t>
      </w:r>
      <w:r>
        <w:rPr>
          <w:rFonts w:ascii="宋体"/>
          <w:color w:val="000000"/>
          <w:kern w:val="0"/>
          <w:sz w:val="24"/>
          <w:szCs w:val="24"/>
        </w:rPr>
        <w:t>&gt;</w:t>
      </w:r>
      <w:r>
        <w:rPr>
          <w:rFonts w:hint="eastAsia" w:ascii="宋体"/>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 </w:t>
      </w:r>
      <w:r>
        <w:rPr>
          <w:rFonts w:hint="eastAsia" w:ascii="宋体"/>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7.4.5.1 </w:t>
      </w:r>
      <w:r>
        <w:rPr>
          <w:rFonts w:hint="eastAsia" w:ascii="宋体"/>
          <w:b/>
          <w:color w:val="000000"/>
          <w:kern w:val="0"/>
          <w:sz w:val="24"/>
          <w:szCs w:val="24"/>
        </w:rPr>
        <w:t>会计政策变更的说明</w:t>
      </w:r>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本基金本报告期未发生会计政策变更。</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7.4.5.2 </w:t>
      </w:r>
      <w:r>
        <w:rPr>
          <w:rFonts w:hint="eastAsia" w:ascii="宋体"/>
          <w:b/>
          <w:color w:val="000000"/>
          <w:kern w:val="0"/>
          <w:sz w:val="24"/>
          <w:szCs w:val="24"/>
        </w:rPr>
        <w:t>会计估计变更的说明</w:t>
      </w:r>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本基金本报告期未发生会计估计变更。</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7.4.5.3 </w:t>
      </w:r>
      <w:r>
        <w:rPr>
          <w:rFonts w:hint="eastAsia" w:ascii="宋体"/>
          <w:b/>
          <w:color w:val="000000"/>
          <w:kern w:val="0"/>
          <w:sz w:val="24"/>
          <w:szCs w:val="24"/>
        </w:rPr>
        <w:t>差错更正的说明</w:t>
      </w:r>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本基金在本报告期间无须说明的会计差错更正。</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7.4.6 </w:t>
      </w:r>
      <w:r>
        <w:rPr>
          <w:rFonts w:hint="eastAsia" w:ascii="宋体"/>
          <w:b/>
          <w:color w:val="000000"/>
          <w:kern w:val="0"/>
          <w:sz w:val="24"/>
          <w:szCs w:val="24"/>
        </w:rPr>
        <w:t>税项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根据财政部、国家税务总局财税</w:t>
      </w:r>
      <w:r>
        <w:rPr>
          <w:rFonts w:ascii="宋体"/>
          <w:color w:val="000000"/>
          <w:kern w:val="0"/>
          <w:sz w:val="24"/>
          <w:szCs w:val="24"/>
        </w:rPr>
        <w:t>[2002]128</w:t>
      </w:r>
      <w:r>
        <w:rPr>
          <w:rFonts w:hint="eastAsia" w:ascii="宋体"/>
          <w:color w:val="000000"/>
          <w:kern w:val="0"/>
          <w:sz w:val="24"/>
          <w:szCs w:val="24"/>
        </w:rPr>
        <w:t>号《关于开放式证券投资基金有关税收问题的通知》、财税</w:t>
      </w:r>
      <w:r>
        <w:rPr>
          <w:rFonts w:ascii="宋体"/>
          <w:color w:val="000000"/>
          <w:kern w:val="0"/>
          <w:sz w:val="24"/>
          <w:szCs w:val="24"/>
        </w:rPr>
        <w:t>[2008]1</w:t>
      </w:r>
      <w:r>
        <w:rPr>
          <w:rFonts w:hint="eastAsia" w:ascii="宋体"/>
          <w:color w:val="000000"/>
          <w:kern w:val="0"/>
          <w:sz w:val="24"/>
          <w:szCs w:val="24"/>
        </w:rPr>
        <w:t>号《关于企业所得税若干优惠政策的通知》、财税</w:t>
      </w:r>
      <w:r>
        <w:rPr>
          <w:rFonts w:ascii="宋体"/>
          <w:color w:val="000000"/>
          <w:kern w:val="0"/>
          <w:sz w:val="24"/>
          <w:szCs w:val="24"/>
        </w:rPr>
        <w:t>[2012]85</w:t>
      </w:r>
      <w:r>
        <w:rPr>
          <w:rFonts w:hint="eastAsia" w:ascii="宋体"/>
          <w:color w:val="000000"/>
          <w:kern w:val="0"/>
          <w:sz w:val="24"/>
          <w:szCs w:val="24"/>
        </w:rPr>
        <w:t>号《关于实施上市公司股息红利差别化个人所得税政策有关问题的通知》、财税</w:t>
      </w:r>
      <w:r>
        <w:rPr>
          <w:rFonts w:ascii="宋体"/>
          <w:color w:val="000000"/>
          <w:kern w:val="0"/>
          <w:sz w:val="24"/>
          <w:szCs w:val="24"/>
        </w:rPr>
        <w:t>[2015]101</w:t>
      </w:r>
      <w:r>
        <w:rPr>
          <w:rFonts w:hint="eastAsia" w:ascii="宋体"/>
          <w:color w:val="000000"/>
          <w:kern w:val="0"/>
          <w:sz w:val="24"/>
          <w:szCs w:val="24"/>
        </w:rPr>
        <w:t>号《关于上市公司股息红利差别化个人所得税政策有关问题的通知》及其他相关财税法规和实务操作，主要税项列示如下：</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以发行基金方式募集资金不属于营业税征收范围，不征收营业税。基金买卖股票、债券的差价收入不予征收营业税。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对基金从证券市场中取得的收入，包括买卖股票、债券的差价收入，股权的股息、红利收入，债券的利息收入及其他收入，暂不征收企业所得税。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对基金取得的企业债券利息收入，应由发行债券的企业在向基金支付利息时代扣代缴</w:t>
      </w:r>
      <w:r>
        <w:rPr>
          <w:rFonts w:ascii="宋体"/>
          <w:color w:val="000000"/>
          <w:kern w:val="0"/>
          <w:sz w:val="24"/>
          <w:szCs w:val="24"/>
        </w:rPr>
        <w:t>20%</w:t>
      </w:r>
      <w:r>
        <w:rPr>
          <w:rFonts w:hint="eastAsia" w:ascii="宋体"/>
          <w:color w:val="000000"/>
          <w:kern w:val="0"/>
          <w:sz w:val="24"/>
          <w:szCs w:val="24"/>
        </w:rPr>
        <w:t>的个人所得税。对基金从上市公司取得的股息红利所得，持股期限在</w:t>
      </w:r>
      <w:r>
        <w:rPr>
          <w:rFonts w:ascii="宋体"/>
          <w:color w:val="000000"/>
          <w:kern w:val="0"/>
          <w:sz w:val="24"/>
          <w:szCs w:val="24"/>
        </w:rPr>
        <w:t>1</w:t>
      </w:r>
      <w:r>
        <w:rPr>
          <w:rFonts w:hint="eastAsia" w:ascii="宋体"/>
          <w:color w:val="000000"/>
          <w:kern w:val="0"/>
          <w:sz w:val="24"/>
          <w:szCs w:val="24"/>
        </w:rPr>
        <w:t>个月以内</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个月</w:t>
      </w:r>
      <w:r>
        <w:rPr>
          <w:rFonts w:ascii="宋体"/>
          <w:color w:val="000000"/>
          <w:kern w:val="0"/>
          <w:sz w:val="24"/>
          <w:szCs w:val="24"/>
        </w:rPr>
        <w:t>)</w:t>
      </w:r>
      <w:r>
        <w:rPr>
          <w:rFonts w:hint="eastAsia" w:ascii="宋体"/>
          <w:color w:val="000000"/>
          <w:kern w:val="0"/>
          <w:sz w:val="24"/>
          <w:szCs w:val="24"/>
        </w:rPr>
        <w:t>的，其股息红利所得全额计入应纳税所得额；持股期限在</w:t>
      </w:r>
      <w:r>
        <w:rPr>
          <w:rFonts w:ascii="宋体"/>
          <w:color w:val="000000"/>
          <w:kern w:val="0"/>
          <w:sz w:val="24"/>
          <w:szCs w:val="24"/>
        </w:rPr>
        <w:t>1</w:t>
      </w:r>
      <w:r>
        <w:rPr>
          <w:rFonts w:hint="eastAsia" w:ascii="宋体"/>
          <w:color w:val="000000"/>
          <w:kern w:val="0"/>
          <w:sz w:val="24"/>
          <w:szCs w:val="24"/>
        </w:rPr>
        <w:t>个月以上至</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含</w:t>
      </w:r>
      <w:r>
        <w:rPr>
          <w:rFonts w:ascii="宋体"/>
          <w:color w:val="000000"/>
          <w:kern w:val="0"/>
          <w:sz w:val="24"/>
          <w:szCs w:val="24"/>
        </w:rPr>
        <w:t>1</w:t>
      </w:r>
      <w:r>
        <w:rPr>
          <w:rFonts w:hint="eastAsia" w:ascii="宋体"/>
          <w:color w:val="000000"/>
          <w:kern w:val="0"/>
          <w:sz w:val="24"/>
          <w:szCs w:val="24"/>
        </w:rPr>
        <w:t>年</w:t>
      </w:r>
      <w:r>
        <w:rPr>
          <w:rFonts w:ascii="宋体"/>
          <w:color w:val="000000"/>
          <w:kern w:val="0"/>
          <w:sz w:val="24"/>
          <w:szCs w:val="24"/>
        </w:rPr>
        <w:t>)</w:t>
      </w:r>
      <w:r>
        <w:rPr>
          <w:rFonts w:hint="eastAsia" w:ascii="宋体"/>
          <w:color w:val="000000"/>
          <w:kern w:val="0"/>
          <w:sz w:val="24"/>
          <w:szCs w:val="24"/>
        </w:rPr>
        <w:t>的，暂减按</w:t>
      </w:r>
      <w:r>
        <w:rPr>
          <w:rFonts w:ascii="宋体"/>
          <w:color w:val="000000"/>
          <w:kern w:val="0"/>
          <w:sz w:val="24"/>
          <w:szCs w:val="24"/>
        </w:rPr>
        <w:t>50%</w:t>
      </w:r>
      <w:r>
        <w:rPr>
          <w:rFonts w:hint="eastAsia" w:ascii="宋体"/>
          <w:color w:val="000000"/>
          <w:kern w:val="0"/>
          <w:sz w:val="24"/>
          <w:szCs w:val="24"/>
        </w:rPr>
        <w:t>计入应纳税所得额；持股期限超过</w:t>
      </w:r>
      <w:r>
        <w:rPr>
          <w:rFonts w:ascii="宋体"/>
          <w:color w:val="000000"/>
          <w:kern w:val="0"/>
          <w:sz w:val="24"/>
          <w:szCs w:val="24"/>
        </w:rPr>
        <w:t>1</w:t>
      </w:r>
      <w:r>
        <w:rPr>
          <w:rFonts w:hint="eastAsia" w:ascii="宋体"/>
          <w:color w:val="000000"/>
          <w:kern w:val="0"/>
          <w:sz w:val="24"/>
          <w:szCs w:val="24"/>
        </w:rPr>
        <w:t>年的，于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w:t>
      </w:r>
      <w:r>
        <w:rPr>
          <w:rFonts w:ascii="宋体"/>
          <w:color w:val="000000"/>
          <w:kern w:val="0"/>
          <w:sz w:val="24"/>
          <w:szCs w:val="24"/>
        </w:rPr>
        <w:t>8</w:t>
      </w:r>
      <w:r>
        <w:rPr>
          <w:rFonts w:hint="eastAsia" w:ascii="宋体"/>
          <w:color w:val="000000"/>
          <w:kern w:val="0"/>
          <w:sz w:val="24"/>
          <w:szCs w:val="24"/>
        </w:rPr>
        <w:t>日前暂减按</w:t>
      </w:r>
      <w:r>
        <w:rPr>
          <w:rFonts w:ascii="宋体"/>
          <w:color w:val="000000"/>
          <w:kern w:val="0"/>
          <w:sz w:val="24"/>
          <w:szCs w:val="24"/>
        </w:rPr>
        <w:t>25%</w:t>
      </w:r>
      <w:r>
        <w:rPr>
          <w:rFonts w:hint="eastAsia" w:ascii="宋体"/>
          <w:color w:val="000000"/>
          <w:kern w:val="0"/>
          <w:sz w:val="24"/>
          <w:szCs w:val="24"/>
        </w:rPr>
        <w:t>计入应纳税所得额，自</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9</w:t>
      </w:r>
      <w:r>
        <w:rPr>
          <w:rFonts w:hint="eastAsia" w:ascii="宋体"/>
          <w:color w:val="000000"/>
          <w:kern w:val="0"/>
          <w:sz w:val="24"/>
          <w:szCs w:val="24"/>
        </w:rPr>
        <w:t>月</w:t>
      </w:r>
      <w:r>
        <w:rPr>
          <w:rFonts w:ascii="宋体"/>
          <w:color w:val="000000"/>
          <w:kern w:val="0"/>
          <w:sz w:val="24"/>
          <w:szCs w:val="24"/>
        </w:rPr>
        <w:t>8</w:t>
      </w:r>
      <w:r>
        <w:rPr>
          <w:rFonts w:hint="eastAsia" w:ascii="宋体"/>
          <w:color w:val="000000"/>
          <w:kern w:val="0"/>
          <w:sz w:val="24"/>
          <w:szCs w:val="24"/>
        </w:rPr>
        <w:t>日起，暂免征收个人所得税。对基金持有的上市公司限售股，解禁后取得的股息、红利收入，按照上述规定计算纳税，持股时间自解禁日起计算；解禁前取得的股息、红利收入继续暂减按</w:t>
      </w:r>
      <w:r>
        <w:rPr>
          <w:rFonts w:ascii="宋体"/>
          <w:color w:val="000000"/>
          <w:kern w:val="0"/>
          <w:sz w:val="24"/>
          <w:szCs w:val="24"/>
        </w:rPr>
        <w:t>50%</w:t>
      </w:r>
      <w:r>
        <w:rPr>
          <w:rFonts w:hint="eastAsia" w:ascii="宋体"/>
          <w:color w:val="000000"/>
          <w:kern w:val="0"/>
          <w:sz w:val="24"/>
          <w:szCs w:val="24"/>
        </w:rPr>
        <w:t>计入应纳税所得额。上述所得统一适用</w:t>
      </w:r>
      <w:r>
        <w:rPr>
          <w:rFonts w:ascii="宋体"/>
          <w:color w:val="000000"/>
          <w:kern w:val="0"/>
          <w:sz w:val="24"/>
          <w:szCs w:val="24"/>
        </w:rPr>
        <w:t>20%</w:t>
      </w:r>
      <w:r>
        <w:rPr>
          <w:rFonts w:hint="eastAsia" w:ascii="宋体"/>
          <w:color w:val="000000"/>
          <w:kern w:val="0"/>
          <w:sz w:val="24"/>
          <w:szCs w:val="24"/>
        </w:rPr>
        <w:t>的税率计征个人所得税。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(4)</w:t>
      </w:r>
      <w:r>
        <w:rPr>
          <w:rFonts w:hint="eastAsia" w:ascii="宋体"/>
          <w:color w:val="000000"/>
          <w:kern w:val="0"/>
          <w:sz w:val="24"/>
          <w:szCs w:val="24"/>
        </w:rPr>
        <w:t>基金卖出股票按</w:t>
      </w:r>
      <w:r>
        <w:rPr>
          <w:rFonts w:ascii="宋体"/>
          <w:color w:val="000000"/>
          <w:kern w:val="0"/>
          <w:sz w:val="24"/>
          <w:szCs w:val="24"/>
        </w:rPr>
        <w:t>0.1%</w:t>
      </w:r>
      <w:r>
        <w:rPr>
          <w:rFonts w:hint="eastAsia" w:ascii="宋体"/>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 </w:t>
      </w:r>
      <w:r>
        <w:rPr>
          <w:rFonts w:hint="eastAsia" w:ascii="宋体"/>
          <w:b/>
          <w:color w:val="000000"/>
          <w:kern w:val="0"/>
          <w:sz w:val="24"/>
          <w:szCs w:val="24"/>
        </w:rPr>
        <w:t>重要财务报表项目的说明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 </w:t>
      </w:r>
      <w:r>
        <w:rPr>
          <w:rFonts w:hint="eastAsia" w:ascii="宋体"/>
          <w:b/>
          <w:color w:val="000000"/>
          <w:kern w:val="0"/>
          <w:sz w:val="24"/>
          <w:szCs w:val="24"/>
        </w:rPr>
        <w:t>银行存款</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28,052,291.07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其中：存款期限</w:t>
            </w:r>
            <w:r>
              <w:rPr>
                <w:rFonts w:ascii="宋体"/>
                <w:color w:val="000000"/>
                <w:kern w:val="0"/>
                <w:sz w:val="24"/>
                <w:szCs w:val="24"/>
              </w:rPr>
              <w:t>1-3</w:t>
            </w:r>
            <w:r>
              <w:rPr>
                <w:rFonts w:hint="eastAsia" w:ascii="宋体"/>
                <w:color w:val="000000"/>
                <w:kern w:val="0"/>
                <w:sz w:val="24"/>
                <w:szCs w:val="24"/>
              </w:rPr>
              <w:t>个月</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28,052,291.07</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7.4.7.2 </w:t>
      </w:r>
      <w:r>
        <w:rPr>
          <w:rFonts w:hint="eastAsia" w:ascii="宋体"/>
          <w:b/>
          <w:color w:val="000000"/>
          <w:kern w:val="0"/>
          <w:sz w:val="24"/>
          <w:szCs w:val="24"/>
        </w:rPr>
        <w:t>交易性金融资产</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722"/>
        <w:gridCol w:w="1445"/>
        <w:gridCol w:w="2167"/>
        <w:gridCol w:w="2529"/>
        <w:gridCol w:w="2167"/>
      </w:tblGrid>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16,430,608.00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16,826,824.00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396,216.00</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r>
              <w:rPr>
                <w:rFonts w:ascii="宋体"/>
                <w:color w:val="000000"/>
                <w:kern w:val="0"/>
                <w:sz w:val="24"/>
                <w:szCs w:val="24"/>
              </w:rPr>
              <w:t>-</w:t>
            </w:r>
            <w:r>
              <w:rPr>
                <w:rFonts w:hint="eastAsia" w:ascii="宋体"/>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31,912,081.88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31,795,776.70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-116,305.18</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143,135,864.49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145,314,000.00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2,178,135.51</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175,047,946.37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177,109,776.70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2,061,830.33</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191,478,554.37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193,936,600.70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2,458,046.33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7.4.7.3 </w:t>
      </w:r>
      <w:r>
        <w:rPr>
          <w:rFonts w:hint="eastAsia" w:ascii="宋体"/>
          <w:b/>
          <w:color w:val="000000"/>
          <w:kern w:val="0"/>
          <w:sz w:val="24"/>
          <w:szCs w:val="24"/>
        </w:rPr>
        <w:t>衍生金融资产</w:t>
      </w:r>
      <w:r>
        <w:rPr>
          <w:rFonts w:ascii="宋体"/>
          <w:b/>
          <w:color w:val="000000"/>
          <w:kern w:val="0"/>
          <w:sz w:val="24"/>
          <w:szCs w:val="24"/>
        </w:rPr>
        <w:t>/</w:t>
      </w:r>
      <w:r>
        <w:rPr>
          <w:rFonts w:hint="eastAsia" w:ascii="宋体"/>
          <w:b/>
          <w:color w:val="000000"/>
          <w:kern w:val="0"/>
          <w:sz w:val="24"/>
          <w:szCs w:val="24"/>
        </w:rPr>
        <w:t>负债</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本基金于本期末未持有衍生金融资产</w:t>
      </w:r>
      <w:r>
        <w:rPr>
          <w:rFonts w:ascii="宋体"/>
          <w:color w:val="000000"/>
          <w:kern w:val="0"/>
          <w:sz w:val="24"/>
          <w:szCs w:val="24"/>
        </w:rPr>
        <w:t>/</w:t>
      </w:r>
      <w:r>
        <w:rPr>
          <w:rFonts w:hint="eastAsia" w:ascii="宋体"/>
          <w:color w:val="000000"/>
          <w:kern w:val="0"/>
          <w:sz w:val="24"/>
          <w:szCs w:val="24"/>
        </w:rPr>
        <w:t>负债。</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7.4.7.4 </w:t>
      </w:r>
      <w:r>
        <w:rPr>
          <w:rFonts w:hint="eastAsia" w:ascii="宋体"/>
          <w:b/>
          <w:color w:val="000000"/>
          <w:kern w:val="0"/>
          <w:sz w:val="24"/>
          <w:szCs w:val="24"/>
        </w:rPr>
        <w:t>买入返售金融资产</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本基金于本期末未持有买入返售金融资产。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7.4.7.4.1 </w:t>
      </w:r>
      <w:r>
        <w:rPr>
          <w:rFonts w:hint="eastAsia" w:ascii="宋体"/>
          <w:b/>
          <w:color w:val="000000"/>
          <w:kern w:val="0"/>
          <w:sz w:val="24"/>
          <w:szCs w:val="24"/>
        </w:rPr>
        <w:t>期末买断式逆回购交易中取得的债券</w:t>
      </w:r>
    </w:p>
    <w:p>
      <w:pPr>
        <w:autoSpaceDE w:val="0"/>
        <w:autoSpaceDN w:val="0"/>
        <w:adjustRightInd w:val="0"/>
        <w:spacing w:before="29" w:line="288" w:lineRule="auto"/>
        <w:ind w:left="15" w:leftChars="7" w:firstLine="600" w:firstLineChars="250"/>
        <w:jc w:val="left"/>
        <w:rPr>
          <w:rFonts w:ascii="宋体"/>
          <w:color w:val="000000"/>
          <w:kern w:val="0"/>
          <w:szCs w:val="24"/>
        </w:rPr>
      </w:pPr>
      <w:r>
        <w:rPr>
          <w:rFonts w:hint="eastAsia" w:ascii="宋体"/>
          <w:color w:val="000000"/>
          <w:kern w:val="0"/>
          <w:sz w:val="24"/>
          <w:szCs w:val="24"/>
        </w:rPr>
        <w:t>本基金本期末未持有买断式逆回购交易中取得的债券。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7.4.7.5 </w:t>
      </w:r>
      <w:r>
        <w:rPr>
          <w:rFonts w:hint="eastAsia" w:ascii="宋体"/>
          <w:b/>
          <w:color w:val="000000"/>
          <w:kern w:val="0"/>
          <w:sz w:val="24"/>
          <w:szCs w:val="24"/>
        </w:rPr>
        <w:t>应收利息</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应收活期存款利息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4,769.86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应收定期存款利息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应收其他存款利息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应收结算备付金利息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117.70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应收债券利息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2,959,625.75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应收买入返售证券利息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应收申购款利息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应收黄金合约拆借孳息</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28.71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2,964,542.02</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7.4.7.6 </w:t>
      </w:r>
      <w:r>
        <w:rPr>
          <w:rFonts w:hint="eastAsia" w:ascii="宋体"/>
          <w:b/>
          <w:color w:val="000000"/>
          <w:kern w:val="0"/>
          <w:sz w:val="24"/>
          <w:szCs w:val="24"/>
        </w:rPr>
        <w:t>其他资产</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本基金本报告期末无其他资产。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7.4.7.7 </w:t>
      </w:r>
      <w:r>
        <w:rPr>
          <w:rFonts w:hint="eastAsia" w:ascii="宋体"/>
          <w:b/>
          <w:color w:val="000000"/>
          <w:kern w:val="0"/>
          <w:sz w:val="24"/>
          <w:szCs w:val="24"/>
        </w:rPr>
        <w:t>应付交易费用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交易所市场应付交易费用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198,373.16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银行间市场应付交易费用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13,757.62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212,130.78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7.4.7.8 </w:t>
      </w:r>
      <w:r>
        <w:rPr>
          <w:rFonts w:hint="eastAsia" w:ascii="宋体"/>
          <w:b/>
          <w:color w:val="000000"/>
          <w:kern w:val="0"/>
          <w:sz w:val="24"/>
          <w:szCs w:val="24"/>
        </w:rPr>
        <w:t>其他负债</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应付券商交易单元保证金</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115.40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预提费用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103,115.40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7.4.7.9 </w:t>
      </w:r>
      <w:r>
        <w:rPr>
          <w:rFonts w:hint="eastAsia" w:ascii="宋体"/>
          <w:b/>
          <w:color w:val="000000"/>
          <w:kern w:val="0"/>
          <w:sz w:val="24"/>
          <w:szCs w:val="24"/>
        </w:rPr>
        <w:t>实收基金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251"/>
        <w:gridCol w:w="2889"/>
        <w:gridCol w:w="2890"/>
      </w:tblGrid>
      <w:tr>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r>
              <w:rPr>
                <w:rFonts w:ascii="宋体"/>
                <w:color w:val="000000"/>
                <w:kern w:val="0"/>
                <w:sz w:val="24"/>
                <w:szCs w:val="24"/>
              </w:rPr>
              <w:t>)</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305,115,514.93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305,115,514.93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8,468,725.89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8,468,725.89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-190,338,645.63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-190,338,645.63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123,245,595.19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123,245,595.19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r>
              <w:rPr>
                <w:rFonts w:ascii="宋体"/>
                <w:color w:val="000000"/>
                <w:kern w:val="0"/>
                <w:sz w:val="24"/>
                <w:szCs w:val="24"/>
              </w:rPr>
              <w:t>)</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80,431,193.25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80,431,193.25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17,968,481.48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17,968,481.48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本期赎回（以“</w:t>
            </w:r>
            <w:r>
              <w:rPr>
                <w:rFonts w:ascii="宋体"/>
                <w:color w:val="000000"/>
                <w:kern w:val="0"/>
                <w:sz w:val="24"/>
                <w:szCs w:val="24"/>
              </w:rPr>
              <w:t>-</w:t>
            </w:r>
            <w:r>
              <w:rPr>
                <w:rFonts w:hint="eastAsia" w:ascii="宋体"/>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-61,180,424.78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-61,180,424.78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37,219,249.95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37,219,249.95</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1.</w:t>
      </w:r>
      <w:r>
        <w:rPr>
          <w:rFonts w:hint="eastAsia" w:ascii="宋体"/>
          <w:color w:val="000000"/>
          <w:kern w:val="0"/>
          <w:szCs w:val="24"/>
        </w:rPr>
        <w:t>申购含红利再投、转换入份（金）额，赎回含转换出份（金）额。</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2.</w:t>
      </w:r>
      <w:r>
        <w:rPr>
          <w:rFonts w:hint="eastAsia" w:ascii="宋体"/>
          <w:color w:val="000000"/>
          <w:kern w:val="0"/>
          <w:szCs w:val="24"/>
        </w:rPr>
        <w:t>本基金自</w:t>
      </w:r>
      <w:r>
        <w:rPr>
          <w:rFonts w:ascii="宋体"/>
          <w:color w:val="000000"/>
          <w:kern w:val="0"/>
          <w:szCs w:val="24"/>
        </w:rPr>
        <w:t>2015</w:t>
      </w:r>
      <w:r>
        <w:rPr>
          <w:rFonts w:hint="eastAsia" w:ascii="宋体"/>
          <w:color w:val="000000"/>
          <w:kern w:val="0"/>
          <w:szCs w:val="24"/>
        </w:rPr>
        <w:t>年</w:t>
      </w:r>
      <w:r>
        <w:rPr>
          <w:rFonts w:ascii="宋体"/>
          <w:color w:val="000000"/>
          <w:kern w:val="0"/>
          <w:szCs w:val="24"/>
        </w:rPr>
        <w:t>4</w:t>
      </w:r>
      <w:r>
        <w:rPr>
          <w:rFonts w:hint="eastAsia" w:ascii="宋体"/>
          <w:color w:val="000000"/>
          <w:kern w:val="0"/>
          <w:szCs w:val="24"/>
        </w:rPr>
        <w:t>月</w:t>
      </w:r>
      <w:r>
        <w:rPr>
          <w:rFonts w:ascii="宋体"/>
          <w:color w:val="000000"/>
          <w:kern w:val="0"/>
          <w:szCs w:val="24"/>
        </w:rPr>
        <w:t>22</w:t>
      </w:r>
      <w:r>
        <w:rPr>
          <w:rFonts w:hint="eastAsia" w:ascii="宋体"/>
          <w:color w:val="000000"/>
          <w:kern w:val="0"/>
          <w:szCs w:val="24"/>
        </w:rPr>
        <w:t>日至</w:t>
      </w:r>
      <w:r>
        <w:rPr>
          <w:rFonts w:ascii="宋体"/>
          <w:color w:val="000000"/>
          <w:kern w:val="0"/>
          <w:szCs w:val="24"/>
        </w:rPr>
        <w:t>2015</w:t>
      </w:r>
      <w:r>
        <w:rPr>
          <w:rFonts w:hint="eastAsia" w:ascii="宋体"/>
          <w:color w:val="000000"/>
          <w:kern w:val="0"/>
          <w:szCs w:val="24"/>
        </w:rPr>
        <w:t>年</w:t>
      </w:r>
      <w:r>
        <w:rPr>
          <w:rFonts w:ascii="宋体"/>
          <w:color w:val="000000"/>
          <w:kern w:val="0"/>
          <w:szCs w:val="24"/>
        </w:rPr>
        <w:t>5</w:t>
      </w:r>
      <w:r>
        <w:rPr>
          <w:rFonts w:hint="eastAsia" w:ascii="宋体"/>
          <w:color w:val="000000"/>
          <w:kern w:val="0"/>
          <w:szCs w:val="24"/>
        </w:rPr>
        <w:t>月</w:t>
      </w:r>
      <w:r>
        <w:rPr>
          <w:rFonts w:ascii="宋体"/>
          <w:color w:val="000000"/>
          <w:kern w:val="0"/>
          <w:szCs w:val="24"/>
        </w:rPr>
        <w:t>8</w:t>
      </w:r>
      <w:r>
        <w:rPr>
          <w:rFonts w:hint="eastAsia" w:ascii="宋体"/>
          <w:color w:val="000000"/>
          <w:kern w:val="0"/>
          <w:szCs w:val="24"/>
        </w:rPr>
        <w:t>日止期间公开发售，共募集有效净认购资金</w:t>
      </w:r>
      <w:r>
        <w:rPr>
          <w:rFonts w:ascii="宋体"/>
          <w:color w:val="000000"/>
          <w:kern w:val="0"/>
          <w:szCs w:val="24"/>
        </w:rPr>
        <w:t>385,473,879.28</w:t>
      </w:r>
      <w:r>
        <w:rPr>
          <w:rFonts w:hint="eastAsia" w:ascii="宋体"/>
          <w:color w:val="000000"/>
          <w:kern w:val="0"/>
          <w:szCs w:val="24"/>
        </w:rPr>
        <w:t>元，其中</w:t>
      </w:r>
      <w:r>
        <w:rPr>
          <w:rFonts w:ascii="宋体"/>
          <w:color w:val="000000"/>
          <w:kern w:val="0"/>
          <w:szCs w:val="24"/>
        </w:rPr>
        <w:t>A</w:t>
      </w:r>
      <w:r>
        <w:rPr>
          <w:rFonts w:hint="eastAsia" w:ascii="宋体"/>
          <w:color w:val="000000"/>
          <w:kern w:val="0"/>
          <w:szCs w:val="24"/>
        </w:rPr>
        <w:t>类基金募集有效净认购资金为</w:t>
      </w:r>
      <w:r>
        <w:rPr>
          <w:rFonts w:ascii="宋体"/>
          <w:color w:val="000000"/>
          <w:kern w:val="0"/>
          <w:szCs w:val="24"/>
        </w:rPr>
        <w:t>305,059,664.28</w:t>
      </w:r>
      <w:r>
        <w:rPr>
          <w:rFonts w:hint="eastAsia" w:ascii="宋体"/>
          <w:color w:val="000000"/>
          <w:kern w:val="0"/>
          <w:szCs w:val="24"/>
        </w:rPr>
        <w:t>元，</w:t>
      </w:r>
      <w:r>
        <w:rPr>
          <w:rFonts w:ascii="宋体"/>
          <w:color w:val="000000"/>
          <w:kern w:val="0"/>
          <w:szCs w:val="24"/>
        </w:rPr>
        <w:t>C</w:t>
      </w:r>
      <w:r>
        <w:rPr>
          <w:rFonts w:hint="eastAsia" w:ascii="宋体"/>
          <w:color w:val="000000"/>
          <w:kern w:val="0"/>
          <w:szCs w:val="24"/>
        </w:rPr>
        <w:t>类基金募集有效净认购资金为</w:t>
      </w:r>
      <w:r>
        <w:rPr>
          <w:rFonts w:ascii="宋体"/>
          <w:color w:val="000000"/>
          <w:kern w:val="0"/>
          <w:szCs w:val="24"/>
        </w:rPr>
        <w:t>80,414,215.00</w:t>
      </w:r>
      <w:r>
        <w:rPr>
          <w:rFonts w:hint="eastAsia" w:ascii="宋体"/>
          <w:color w:val="000000"/>
          <w:kern w:val="0"/>
          <w:szCs w:val="24"/>
        </w:rPr>
        <w:t>元。根据《创金合信聚利债券型证券投资基金招募说明书》的规定，本基金设立募集期内认购资金产生的利息收入</w:t>
      </w:r>
      <w:r>
        <w:rPr>
          <w:rFonts w:ascii="宋体"/>
          <w:color w:val="000000"/>
          <w:kern w:val="0"/>
          <w:szCs w:val="24"/>
        </w:rPr>
        <w:t>72,828.90</w:t>
      </w:r>
      <w:r>
        <w:rPr>
          <w:rFonts w:hint="eastAsia" w:ascii="宋体"/>
          <w:color w:val="000000"/>
          <w:kern w:val="0"/>
          <w:szCs w:val="24"/>
        </w:rPr>
        <w:t>元在本基金成立后，折算为</w:t>
      </w:r>
      <w:r>
        <w:rPr>
          <w:rFonts w:ascii="宋体"/>
          <w:color w:val="000000"/>
          <w:kern w:val="0"/>
          <w:szCs w:val="24"/>
        </w:rPr>
        <w:t>72,828.90</w:t>
      </w:r>
      <w:r>
        <w:rPr>
          <w:rFonts w:hint="eastAsia" w:ascii="宋体"/>
          <w:color w:val="000000"/>
          <w:kern w:val="0"/>
          <w:szCs w:val="24"/>
        </w:rPr>
        <w:t>份基金份额</w:t>
      </w:r>
      <w:r>
        <w:rPr>
          <w:rFonts w:ascii="宋体"/>
          <w:color w:val="000000"/>
          <w:kern w:val="0"/>
          <w:szCs w:val="24"/>
        </w:rPr>
        <w:t>(</w:t>
      </w:r>
      <w:r>
        <w:rPr>
          <w:rFonts w:hint="eastAsia" w:ascii="宋体"/>
          <w:color w:val="000000"/>
          <w:kern w:val="0"/>
          <w:szCs w:val="24"/>
        </w:rPr>
        <w:t>其中</w:t>
      </w:r>
      <w:r>
        <w:rPr>
          <w:rFonts w:ascii="宋体"/>
          <w:color w:val="000000"/>
          <w:kern w:val="0"/>
          <w:szCs w:val="24"/>
        </w:rPr>
        <w:t>A</w:t>
      </w:r>
      <w:r>
        <w:rPr>
          <w:rFonts w:hint="eastAsia" w:ascii="宋体"/>
          <w:color w:val="000000"/>
          <w:kern w:val="0"/>
          <w:szCs w:val="24"/>
        </w:rPr>
        <w:t>类基金募集期内认购资金产生的利息收入为</w:t>
      </w:r>
      <w:r>
        <w:rPr>
          <w:rFonts w:ascii="宋体"/>
          <w:color w:val="000000"/>
          <w:kern w:val="0"/>
          <w:szCs w:val="24"/>
        </w:rPr>
        <w:t>55,850.65</w:t>
      </w:r>
      <w:r>
        <w:rPr>
          <w:rFonts w:hint="eastAsia" w:ascii="宋体"/>
          <w:color w:val="000000"/>
          <w:kern w:val="0"/>
          <w:szCs w:val="24"/>
        </w:rPr>
        <w:t>元，折算为</w:t>
      </w:r>
      <w:r>
        <w:rPr>
          <w:rFonts w:ascii="宋体"/>
          <w:color w:val="000000"/>
          <w:kern w:val="0"/>
          <w:szCs w:val="24"/>
        </w:rPr>
        <w:t>55,850.65</w:t>
      </w:r>
      <w:r>
        <w:rPr>
          <w:rFonts w:hint="eastAsia" w:ascii="宋体"/>
          <w:color w:val="000000"/>
          <w:kern w:val="0"/>
          <w:szCs w:val="24"/>
        </w:rPr>
        <w:t>份基金份额，</w:t>
      </w:r>
      <w:r>
        <w:rPr>
          <w:rFonts w:ascii="宋体"/>
          <w:color w:val="000000"/>
          <w:kern w:val="0"/>
          <w:szCs w:val="24"/>
        </w:rPr>
        <w:t>C</w:t>
      </w:r>
      <w:r>
        <w:rPr>
          <w:rFonts w:hint="eastAsia" w:ascii="宋体"/>
          <w:color w:val="000000"/>
          <w:kern w:val="0"/>
          <w:szCs w:val="24"/>
        </w:rPr>
        <w:t>类基金募集期内认购资金产生的利息收入为</w:t>
      </w:r>
      <w:r>
        <w:rPr>
          <w:rFonts w:ascii="宋体"/>
          <w:color w:val="000000"/>
          <w:kern w:val="0"/>
          <w:szCs w:val="24"/>
        </w:rPr>
        <w:t>16,978.25</w:t>
      </w:r>
      <w:r>
        <w:rPr>
          <w:rFonts w:hint="eastAsia" w:ascii="宋体"/>
          <w:color w:val="000000"/>
          <w:kern w:val="0"/>
          <w:szCs w:val="24"/>
        </w:rPr>
        <w:t>元，折算为</w:t>
      </w:r>
      <w:r>
        <w:rPr>
          <w:rFonts w:ascii="宋体"/>
          <w:color w:val="000000"/>
          <w:kern w:val="0"/>
          <w:szCs w:val="24"/>
        </w:rPr>
        <w:t>16,978.25</w:t>
      </w:r>
      <w:r>
        <w:rPr>
          <w:rFonts w:hint="eastAsia" w:ascii="宋体"/>
          <w:color w:val="000000"/>
          <w:kern w:val="0"/>
          <w:szCs w:val="24"/>
        </w:rPr>
        <w:t>份基金份额</w:t>
      </w:r>
      <w:r>
        <w:rPr>
          <w:rFonts w:ascii="宋体"/>
          <w:color w:val="000000"/>
          <w:kern w:val="0"/>
          <w:szCs w:val="24"/>
        </w:rPr>
        <w:t>)</w:t>
      </w:r>
      <w:r>
        <w:rPr>
          <w:rFonts w:hint="eastAsia" w:ascii="宋体"/>
          <w:color w:val="000000"/>
          <w:kern w:val="0"/>
          <w:szCs w:val="24"/>
        </w:rPr>
        <w:t>，划入基金份额持有人账户。</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7.4.7.10 </w:t>
      </w:r>
      <w:r>
        <w:rPr>
          <w:rFonts w:hint="eastAsia" w:ascii="宋体"/>
          <w:b/>
          <w:color w:val="000000"/>
          <w:kern w:val="0"/>
          <w:sz w:val="24"/>
          <w:szCs w:val="24"/>
        </w:rPr>
        <w:t>未分配利润</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10,138,275.50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1,821,835.74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11,960,111.24</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-2,865,611.99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-503,245.14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-3,368,857.13</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205,668.86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90,236.10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295,904.96</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-3,071,280.85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-593,481.24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-3,664,762.09</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7,272,663.51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1,318,590.60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8,591,254.11</w:t>
            </w:r>
          </w:p>
        </w:tc>
      </w:tr>
    </w:tbl>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2,665,847.49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636,210.59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3,302,058.08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-567,585.61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-238,543.49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-806,129.10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481,661.48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225,829.72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707,491.20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-1,049,247.09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-464,373.21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-1,513,620.30</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2,098,261.88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397,667.10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2,495,928.98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7.4.7.11 </w:t>
      </w:r>
      <w:r>
        <w:rPr>
          <w:rFonts w:hint="eastAsia" w:ascii="宋体"/>
          <w:b/>
          <w:color w:val="000000"/>
          <w:kern w:val="0"/>
          <w:sz w:val="24"/>
          <w:szCs w:val="24"/>
        </w:rPr>
        <w:t>存款利息收入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活期存款利息收入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169,997.19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定期存款利息收入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其他存款利息收入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结算备付金利息收入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15,008.75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2,085.94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187,091.88</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 </w:t>
      </w:r>
      <w:r>
        <w:rPr>
          <w:rFonts w:hint="eastAsia" w:ascii="宋体"/>
          <w:b/>
          <w:color w:val="000000"/>
          <w:kern w:val="0"/>
          <w:sz w:val="24"/>
          <w:szCs w:val="24"/>
        </w:rPr>
        <w:t>股票投资收益</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7.4.7.12.1 </w:t>
      </w:r>
      <w:r>
        <w:rPr>
          <w:rFonts w:hint="eastAsia" w:ascii="宋体"/>
          <w:b/>
          <w:color w:val="000000"/>
          <w:kern w:val="0"/>
          <w:sz w:val="24"/>
          <w:szCs w:val="24"/>
        </w:rPr>
        <w:t>股票投资收益项目构成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买卖股票差价收入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5,299,429.21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赎回差价收入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股票投资收益</w:t>
            </w:r>
            <w:r>
              <w:rPr>
                <w:rFonts w:ascii="宋体"/>
                <w:color w:val="000000"/>
                <w:kern w:val="0"/>
                <w:sz w:val="24"/>
                <w:szCs w:val="24"/>
              </w:rPr>
              <w:t>——</w:t>
            </w:r>
            <w:r>
              <w:rPr>
                <w:rFonts w:hint="eastAsia" w:ascii="宋体"/>
                <w:color w:val="000000"/>
                <w:kern w:val="0"/>
                <w:sz w:val="24"/>
                <w:szCs w:val="24"/>
              </w:rPr>
              <w:t>申购差价收入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5,299,429.21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7.4.7.12.2 </w:t>
      </w:r>
      <w:r>
        <w:rPr>
          <w:rFonts w:hint="eastAsia" w:ascii="宋体"/>
          <w:b/>
          <w:color w:val="000000"/>
          <w:kern w:val="0"/>
          <w:sz w:val="24"/>
          <w:szCs w:val="24"/>
        </w:rPr>
        <w:t>股票投资收益</w:t>
      </w:r>
      <w:r>
        <w:rPr>
          <w:rFonts w:ascii="宋体"/>
          <w:b/>
          <w:color w:val="000000"/>
          <w:kern w:val="0"/>
          <w:sz w:val="24"/>
          <w:szCs w:val="24"/>
        </w:rPr>
        <w:t>——</w:t>
      </w:r>
      <w:r>
        <w:rPr>
          <w:rFonts w:hint="eastAsia" w:ascii="宋体"/>
          <w:b/>
          <w:color w:val="000000"/>
          <w:kern w:val="0"/>
          <w:sz w:val="24"/>
          <w:szCs w:val="24"/>
        </w:rPr>
        <w:t>买卖股票差价收入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卖出股票成交总额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136,384,031.31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减：卖出股票成本总额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131,084,602.10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买卖股票差价收入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5,299,429.21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 </w:t>
      </w:r>
      <w:r>
        <w:rPr>
          <w:rFonts w:hint="eastAsia" w:ascii="宋体"/>
          <w:b/>
          <w:color w:val="000000"/>
          <w:kern w:val="0"/>
          <w:sz w:val="24"/>
          <w:szCs w:val="24"/>
        </w:rPr>
        <w:t>债券投资收益</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7.4.7.13.1 </w:t>
      </w:r>
      <w:r>
        <w:rPr>
          <w:rFonts w:hint="eastAsia" w:ascii="宋体"/>
          <w:b/>
          <w:color w:val="000000"/>
          <w:kern w:val="0"/>
          <w:sz w:val="24"/>
          <w:szCs w:val="24"/>
        </w:rPr>
        <w:t>债券投资收益项目构成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债券投资收益</w:t>
            </w:r>
            <w:r>
              <w:rPr>
                <w:rFonts w:ascii="宋体"/>
                <w:color w:val="000000"/>
                <w:kern w:val="0"/>
                <w:sz w:val="24"/>
                <w:szCs w:val="24"/>
              </w:rPr>
              <w:t>——</w:t>
            </w:r>
            <w:r>
              <w:rPr>
                <w:rFonts w:hint="eastAsia" w:ascii="宋体"/>
                <w:color w:val="000000"/>
                <w:kern w:val="0"/>
                <w:sz w:val="24"/>
                <w:szCs w:val="24"/>
              </w:rPr>
              <w:t>买卖债券（、债转股及债券到期兑付）差价收入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2,381,426.35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债券投资收益</w:t>
            </w:r>
            <w:r>
              <w:rPr>
                <w:rFonts w:ascii="宋体"/>
                <w:color w:val="000000"/>
                <w:kern w:val="0"/>
                <w:sz w:val="24"/>
                <w:szCs w:val="24"/>
              </w:rPr>
              <w:t>——</w:t>
            </w:r>
            <w:r>
              <w:rPr>
                <w:rFonts w:hint="eastAsia" w:ascii="宋体"/>
                <w:color w:val="000000"/>
                <w:kern w:val="0"/>
                <w:sz w:val="24"/>
                <w:szCs w:val="24"/>
              </w:rPr>
              <w:t>赎回差价收入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债券投资收益</w:t>
            </w:r>
            <w:r>
              <w:rPr>
                <w:rFonts w:ascii="宋体"/>
                <w:color w:val="000000"/>
                <w:kern w:val="0"/>
                <w:sz w:val="24"/>
                <w:szCs w:val="24"/>
              </w:rPr>
              <w:t>——</w:t>
            </w:r>
            <w:r>
              <w:rPr>
                <w:rFonts w:hint="eastAsia" w:ascii="宋体"/>
                <w:color w:val="000000"/>
                <w:kern w:val="0"/>
                <w:sz w:val="24"/>
                <w:szCs w:val="24"/>
              </w:rPr>
              <w:t>申购差价收入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2,381,426.35</w:t>
            </w:r>
          </w:p>
        </w:tc>
      </w:tr>
    </w:tbl>
    <w:p>
      <w:pPr>
        <w:autoSpaceDE w:val="0"/>
        <w:autoSpaceDN w:val="0"/>
        <w:adjustRightInd w:val="0"/>
        <w:spacing w:before="29" w:line="288" w:lineRule="auto"/>
        <w:ind w:left="15"/>
        <w:jc w:val="left"/>
        <w:rPr>
          <w:rFonts w:ascii="宋体"/>
          <w:b/>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7.4.7.13.2 </w:t>
      </w:r>
      <w:r>
        <w:rPr>
          <w:rFonts w:hint="eastAsia" w:ascii="宋体"/>
          <w:b/>
          <w:color w:val="000000"/>
          <w:kern w:val="0"/>
          <w:sz w:val="24"/>
          <w:szCs w:val="24"/>
        </w:rPr>
        <w:t>债券投资收益</w:t>
      </w:r>
      <w:r>
        <w:rPr>
          <w:rFonts w:ascii="宋体"/>
          <w:b/>
          <w:color w:val="000000"/>
          <w:kern w:val="0"/>
          <w:sz w:val="24"/>
          <w:szCs w:val="24"/>
        </w:rPr>
        <w:t>——</w:t>
      </w:r>
      <w:r>
        <w:rPr>
          <w:rFonts w:hint="eastAsia" w:ascii="宋体"/>
          <w:b/>
          <w:color w:val="000000"/>
          <w:kern w:val="0"/>
          <w:sz w:val="24"/>
          <w:szCs w:val="24"/>
        </w:rPr>
        <w:t>买卖债券差价收入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卖出债券（、债转股及债券到期兑付）成交总额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876,336,721.04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减：卖出债券（、债转股及债券到期兑付）成本总额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857,536,069.64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减：应收利息总额</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16,419,225.05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买卖债券差价收入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2,381,426.35</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7.4.7.13.3 </w:t>
      </w:r>
      <w:r>
        <w:rPr>
          <w:rFonts w:hint="eastAsia" w:ascii="宋体"/>
          <w:b/>
          <w:color w:val="000000"/>
          <w:kern w:val="0"/>
          <w:sz w:val="24"/>
          <w:szCs w:val="24"/>
        </w:rPr>
        <w:t>资产支持证券投资收益</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本基金本报告期无资产支持证券投资收益。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7.4.7.14 </w:t>
      </w:r>
      <w:r>
        <w:rPr>
          <w:rFonts w:hint="eastAsia" w:ascii="宋体"/>
          <w:b/>
          <w:color w:val="000000"/>
          <w:kern w:val="0"/>
          <w:sz w:val="24"/>
          <w:szCs w:val="24"/>
        </w:rPr>
        <w:t>衍生工具收益</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本基金于本期未发生衍生工具收益。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7.4.7.15 </w:t>
      </w:r>
      <w:r>
        <w:rPr>
          <w:rFonts w:hint="eastAsia" w:ascii="宋体"/>
          <w:b/>
          <w:color w:val="000000"/>
          <w:kern w:val="0"/>
          <w:sz w:val="24"/>
          <w:szCs w:val="24"/>
        </w:rPr>
        <w:t>股利收益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股票投资产生的股利收益</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376,777.82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基金投资产生的股利收益</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376,777.82</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7.4.7.16 </w:t>
      </w:r>
      <w:r>
        <w:rPr>
          <w:rFonts w:hint="eastAsia" w:ascii="宋体"/>
          <w:b/>
          <w:color w:val="000000"/>
          <w:kern w:val="0"/>
          <w:sz w:val="24"/>
          <w:szCs w:val="24"/>
        </w:rPr>
        <w:t>公允价值变动收益</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项目名称</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交易性金融资产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2,458,046.33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股票投资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396,216.00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债券投资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2,061,830.33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资产支持证券投资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基金投资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贵金属投资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其他</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衍生工具</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权证投资</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其他</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2,458,046.33</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7.4.7.17 </w:t>
      </w:r>
      <w:r>
        <w:rPr>
          <w:rFonts w:hint="eastAsia" w:ascii="宋体"/>
          <w:b/>
          <w:color w:val="000000"/>
          <w:kern w:val="0"/>
          <w:sz w:val="24"/>
          <w:szCs w:val="24"/>
        </w:rPr>
        <w:t>其他收入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基金赎回费收入</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99,080.70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99,080.70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注：本基金的赎回费率按持有期间递减，赎回费总额的</w:t>
      </w:r>
      <w:r>
        <w:rPr>
          <w:rFonts w:ascii="宋体"/>
          <w:color w:val="000000"/>
          <w:kern w:val="0"/>
          <w:szCs w:val="24"/>
        </w:rPr>
        <w:t>25%</w:t>
      </w:r>
      <w:r>
        <w:rPr>
          <w:rFonts w:hint="eastAsia" w:ascii="宋体"/>
          <w:color w:val="000000"/>
          <w:kern w:val="0"/>
          <w:szCs w:val="24"/>
        </w:rPr>
        <w:t>归入基金资产。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7.4.7.18 </w:t>
      </w:r>
      <w:r>
        <w:rPr>
          <w:rFonts w:hint="eastAsia" w:ascii="宋体"/>
          <w:b/>
          <w:color w:val="000000"/>
          <w:kern w:val="0"/>
          <w:sz w:val="24"/>
          <w:szCs w:val="24"/>
        </w:rPr>
        <w:t>交易费用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交易所市场交易费用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372,024.79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银行间市场交易费用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19,275.00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391,299.79</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7.4.7.19 </w:t>
      </w:r>
      <w:r>
        <w:rPr>
          <w:rFonts w:hint="eastAsia" w:ascii="宋体"/>
          <w:b/>
          <w:color w:val="000000"/>
          <w:kern w:val="0"/>
          <w:sz w:val="24"/>
          <w:szCs w:val="24"/>
        </w:rPr>
        <w:t>其他费用</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审计费用</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信息披露费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汇划手续费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22,686.90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帐户维护费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查询服务费</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135,386.90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 </w:t>
      </w:r>
      <w:r>
        <w:rPr>
          <w:rFonts w:hint="eastAsia" w:ascii="宋体"/>
          <w:b/>
          <w:color w:val="000000"/>
          <w:kern w:val="0"/>
          <w:sz w:val="24"/>
          <w:szCs w:val="24"/>
        </w:rPr>
        <w:t>或有事项、资产负债表日后事项的说明</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7.4.8.1 </w:t>
      </w:r>
      <w:r>
        <w:rPr>
          <w:rFonts w:hint="eastAsia" w:ascii="宋体"/>
          <w:b/>
          <w:color w:val="000000"/>
          <w:kern w:val="0"/>
          <w:sz w:val="24"/>
          <w:szCs w:val="24"/>
        </w:rPr>
        <w:t>或有事项</w:t>
      </w:r>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截至资产负债表日，本基金无需作披露的或有事项。</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7.4.8.2 </w:t>
      </w:r>
      <w:r>
        <w:rPr>
          <w:rFonts w:hint="eastAsia" w:ascii="宋体"/>
          <w:b/>
          <w:color w:val="000000"/>
          <w:kern w:val="0"/>
          <w:sz w:val="24"/>
          <w:szCs w:val="24"/>
        </w:rPr>
        <w:t>资产负债表日后事项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截至本财务报表批准报出日，本基金无需作披露的资产负债表日后事项。</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7.4.9 </w:t>
      </w:r>
      <w:r>
        <w:rPr>
          <w:rFonts w:hint="eastAsia" w:ascii="宋体"/>
          <w:b/>
          <w:color w:val="000000"/>
          <w:kern w:val="0"/>
          <w:sz w:val="24"/>
          <w:szCs w:val="24"/>
        </w:rPr>
        <w:t>关联方关系</w:t>
      </w:r>
    </w:p>
    <w:tbl>
      <w:tblPr>
        <w:tblStyle w:val="10"/>
        <w:tblW w:w="0" w:type="auto"/>
        <w:tblInd w:w="108" w:type="dxa"/>
        <w:tblLayout w:type="fixed"/>
        <w:tblCellMar>
          <w:top w:w="0" w:type="dxa"/>
          <w:left w:w="108" w:type="dxa"/>
          <w:bottom w:w="0" w:type="dxa"/>
          <w:right w:w="108" w:type="dxa"/>
        </w:tblCellMar>
      </w:tblPr>
      <w:tblGrid>
        <w:gridCol w:w="4334"/>
        <w:gridCol w:w="4696"/>
      </w:tblGrid>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与本基金的关系</w:t>
            </w:r>
          </w:p>
        </w:tc>
      </w:tr>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中国工商银行股份有限公司</w:t>
            </w:r>
            <w:r>
              <w:rPr>
                <w:rFonts w:ascii="宋体"/>
                <w:color w:val="000000"/>
                <w:kern w:val="0"/>
                <w:sz w:val="24"/>
                <w:szCs w:val="24"/>
              </w:rPr>
              <w:t>(</w:t>
            </w:r>
            <w:r>
              <w:rPr>
                <w:rFonts w:hint="eastAsia" w:ascii="宋体"/>
                <w:color w:val="000000"/>
                <w:kern w:val="0"/>
                <w:sz w:val="24"/>
                <w:szCs w:val="24"/>
              </w:rPr>
              <w:t>“工商银行”</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基金托管人、基金销售机构</w:t>
            </w:r>
          </w:p>
        </w:tc>
      </w:tr>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第一创业证券股份有限公司</w:t>
            </w:r>
            <w:r>
              <w:rPr>
                <w:rFonts w:ascii="宋体"/>
                <w:color w:val="000000"/>
                <w:kern w:val="0"/>
                <w:sz w:val="24"/>
                <w:szCs w:val="24"/>
              </w:rPr>
              <w:t>(</w:t>
            </w:r>
            <w:r>
              <w:rPr>
                <w:rFonts w:hint="eastAsia" w:ascii="宋体"/>
                <w:color w:val="000000"/>
                <w:kern w:val="0"/>
                <w:sz w:val="24"/>
                <w:szCs w:val="24"/>
              </w:rPr>
              <w:t>“第一创业证券”</w:t>
            </w:r>
            <w:r>
              <w:rPr>
                <w:rFonts w:ascii="宋体"/>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基金管理人股东、基金销售机构</w:t>
            </w:r>
          </w:p>
        </w:tc>
      </w:tr>
      <w:tr>
        <w:tblPrEx>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深圳市金合信投资合伙企业（有限合伙）</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基金管理人股东</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 </w:t>
      </w:r>
      <w:r>
        <w:rPr>
          <w:rFonts w:hint="eastAsia" w:ascii="宋体"/>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宋体"/>
          <w:b/>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 </w:t>
      </w:r>
      <w:r>
        <w:rPr>
          <w:rFonts w:hint="eastAsia" w:ascii="宋体"/>
          <w:b/>
          <w:color w:val="000000"/>
          <w:kern w:val="0"/>
          <w:sz w:val="24"/>
          <w:szCs w:val="24"/>
        </w:rPr>
        <w:t>通过关联方交易单元进行的交易</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7.4.10.1.1 </w:t>
      </w:r>
      <w:r>
        <w:rPr>
          <w:rFonts w:hint="eastAsia" w:ascii="宋体"/>
          <w:b/>
          <w:color w:val="000000"/>
          <w:kern w:val="0"/>
          <w:sz w:val="24"/>
          <w:szCs w:val="24"/>
        </w:rPr>
        <w:t>股票交易</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806"/>
        <w:gridCol w:w="3612"/>
        <w:gridCol w:w="3612"/>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成交金额</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占当期股票成交总额的比例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283,892,586.41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7.4.10.1.2 </w:t>
      </w:r>
      <w:r>
        <w:rPr>
          <w:rFonts w:hint="eastAsia" w:ascii="宋体"/>
          <w:b/>
          <w:color w:val="000000"/>
          <w:kern w:val="0"/>
          <w:sz w:val="24"/>
          <w:szCs w:val="24"/>
        </w:rPr>
        <w:t>权证交易</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本基金于本期未通过关联方交易单元进行权证交易。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7.4.10.1.3 </w:t>
      </w:r>
      <w:r>
        <w:rPr>
          <w:rFonts w:hint="eastAsia" w:ascii="宋体"/>
          <w:b/>
          <w:color w:val="000000"/>
          <w:kern w:val="0"/>
          <w:sz w:val="24"/>
          <w:szCs w:val="24"/>
        </w:rPr>
        <w:t>应支付关联方的佣金</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806"/>
        <w:gridCol w:w="2167"/>
        <w:gridCol w:w="1445"/>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198,373.16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198,373.16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w:t>
      </w:r>
      <w:r>
        <w:rPr>
          <w:rFonts w:ascii="宋体"/>
          <w:color w:val="000000"/>
          <w:kern w:val="0"/>
          <w:szCs w:val="24"/>
        </w:rPr>
        <w:t xml:space="preserve">1. </w:t>
      </w:r>
      <w:r>
        <w:rPr>
          <w:rFonts w:hint="eastAsia" w:ascii="宋体"/>
          <w:color w:val="000000"/>
          <w:kern w:val="0"/>
          <w:szCs w:val="24"/>
        </w:rPr>
        <w:t>上述佣金参考市场价格经本基金的基金管理人与对方协商确定。</w:t>
      </w:r>
    </w:p>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2. </w:t>
      </w:r>
      <w:r>
        <w:rPr>
          <w:rFonts w:hint="eastAsia" w:ascii="宋体"/>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 </w:t>
      </w:r>
      <w:r>
        <w:rPr>
          <w:rFonts w:hint="eastAsia" w:ascii="宋体"/>
          <w:b/>
          <w:color w:val="000000"/>
          <w:kern w:val="0"/>
          <w:sz w:val="24"/>
          <w:szCs w:val="24"/>
        </w:rPr>
        <w:t>关联方报酬</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7.4.10.2.1 </w:t>
      </w:r>
      <w:r>
        <w:rPr>
          <w:rFonts w:hint="eastAsia" w:ascii="宋体"/>
          <w:b/>
          <w:color w:val="000000"/>
          <w:kern w:val="0"/>
          <w:sz w:val="24"/>
          <w:szCs w:val="24"/>
        </w:rPr>
        <w:t>基金管理费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8"/>
        <w:gridCol w:w="6558"/>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当期发生的基金应支付的管理费</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1,088,521.63</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其中：支付销售机构的客户维护费</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756,918.30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注：支付基金管理人创金合信基金管理有限公司的管理人报酬按前一日基金资产净值</w:t>
      </w:r>
      <w:r>
        <w:rPr>
          <w:rFonts w:ascii="宋体"/>
          <w:color w:val="000000"/>
          <w:kern w:val="0"/>
          <w:szCs w:val="24"/>
        </w:rPr>
        <w:t>0.70%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日管理人报酬＝前一日基金资产净值</w:t>
      </w:r>
      <w:r>
        <w:rPr>
          <w:rFonts w:ascii="宋体"/>
          <w:color w:val="000000"/>
          <w:kern w:val="0"/>
          <w:szCs w:val="24"/>
        </w:rPr>
        <w:t xml:space="preserve"> x 0.70%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7.4.10.2.2 </w:t>
      </w:r>
      <w:r>
        <w:rPr>
          <w:rFonts w:hint="eastAsia" w:ascii="宋体"/>
          <w:b/>
          <w:color w:val="000000"/>
          <w:kern w:val="0"/>
          <w:sz w:val="24"/>
          <w:szCs w:val="24"/>
        </w:rPr>
        <w:t>基金托管费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8"/>
        <w:gridCol w:w="6558"/>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当期发生的基金应支付的托管费</w:t>
            </w:r>
          </w:p>
        </w:tc>
        <w:tc>
          <w:tcPr>
            <w:tcW w:w="655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311,006.25</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注：支付基金托管人中国工商银行的托管费按前一日基金资产净值</w:t>
      </w:r>
      <w:r>
        <w:rPr>
          <w:rFonts w:ascii="宋体"/>
          <w:color w:val="000000"/>
          <w:kern w:val="0"/>
          <w:szCs w:val="24"/>
        </w:rPr>
        <w:t>0.20%</w:t>
      </w:r>
      <w:r>
        <w:rPr>
          <w:rFonts w:hint="eastAsia" w:ascii="宋体"/>
          <w:color w:val="000000"/>
          <w:kern w:val="0"/>
          <w:szCs w:val="24"/>
        </w:rPr>
        <w:t>的年费率计提，逐日累计至每月月底，按月支付。其计算公式为：</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日托管费＝前一日基金资产净值×</w:t>
      </w:r>
      <w:r>
        <w:rPr>
          <w:rFonts w:ascii="宋体"/>
          <w:color w:val="000000"/>
          <w:kern w:val="0"/>
          <w:szCs w:val="24"/>
        </w:rPr>
        <w:t xml:space="preserve">0.20% /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7.4.10.2.3 </w:t>
      </w:r>
      <w:r>
        <w:rPr>
          <w:rFonts w:hint="eastAsia" w:ascii="宋体"/>
          <w:b/>
          <w:color w:val="000000"/>
          <w:kern w:val="0"/>
          <w:sz w:val="24"/>
          <w:szCs w:val="24"/>
        </w:rPr>
        <w:t>销售服务费</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2528"/>
        <w:gridCol w:w="2168"/>
        <w:gridCol w:w="2167"/>
        <w:gridCol w:w="2167"/>
      </w:tblGrid>
      <w:tr>
        <w:tblPrEx>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获得销售服务费的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工商银行</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126,789.73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126,789.73</w:t>
            </w:r>
          </w:p>
        </w:tc>
      </w:tr>
      <w:tr>
        <w:tblPrEx>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第一创业证券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37.04</w:t>
            </w:r>
          </w:p>
        </w:tc>
      </w:tr>
      <w:tr>
        <w:tblPrEx>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126826.77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126826.77</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注：支付基金销售机构的销售服务费按前一日</w:t>
      </w:r>
      <w:r>
        <w:rPr>
          <w:rFonts w:ascii="宋体"/>
          <w:color w:val="000000"/>
          <w:kern w:val="0"/>
          <w:szCs w:val="24"/>
        </w:rPr>
        <w:t>C</w:t>
      </w:r>
      <w:r>
        <w:rPr>
          <w:rFonts w:hint="eastAsia" w:ascii="宋体"/>
          <w:color w:val="000000"/>
          <w:kern w:val="0"/>
          <w:szCs w:val="24"/>
        </w:rPr>
        <w:t>类基金的基金资产净值</w:t>
      </w:r>
      <w:r>
        <w:rPr>
          <w:rFonts w:ascii="宋体"/>
          <w:color w:val="000000"/>
          <w:kern w:val="0"/>
          <w:szCs w:val="24"/>
        </w:rPr>
        <w:t>0.4%</w:t>
      </w:r>
      <w:r>
        <w:rPr>
          <w:rFonts w:hint="eastAsia" w:ascii="宋体"/>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宋体"/>
          <w:color w:val="000000"/>
          <w:kern w:val="0"/>
          <w:szCs w:val="24"/>
        </w:rPr>
        <w:t>C</w:t>
      </w:r>
      <w:r>
        <w:rPr>
          <w:rFonts w:hint="eastAsia" w:ascii="宋体"/>
          <w:color w:val="000000"/>
          <w:kern w:val="0"/>
          <w:szCs w:val="24"/>
        </w:rPr>
        <w:t>类基金前一日基金资产净值×</w:t>
      </w:r>
      <w:r>
        <w:rPr>
          <w:rFonts w:ascii="宋体"/>
          <w:color w:val="000000"/>
          <w:kern w:val="0"/>
          <w:szCs w:val="24"/>
        </w:rPr>
        <w:t xml:space="preserve"> 0.4%/ </w:t>
      </w:r>
      <w:r>
        <w:rPr>
          <w:rFonts w:hint="eastAsia" w:ascii="宋体"/>
          <w:color w:val="000000"/>
          <w:kern w:val="0"/>
          <w:szCs w:val="24"/>
        </w:rPr>
        <w:t>当年天数。</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7.4.10.3 </w:t>
      </w:r>
      <w:r>
        <w:rPr>
          <w:rFonts w:hint="eastAsia" w:ascii="宋体"/>
          <w:b/>
          <w:color w:val="000000"/>
          <w:kern w:val="0"/>
          <w:sz w:val="24"/>
          <w:szCs w:val="24"/>
        </w:rPr>
        <w:t>与关联方进行银行间同业市场的债券</w:t>
      </w:r>
      <w:r>
        <w:rPr>
          <w:rFonts w:ascii="宋体"/>
          <w:b/>
          <w:color w:val="000000"/>
          <w:kern w:val="0"/>
          <w:sz w:val="24"/>
          <w:szCs w:val="24"/>
        </w:rPr>
        <w:t>(</w:t>
      </w:r>
      <w:r>
        <w:rPr>
          <w:rFonts w:hint="eastAsia" w:ascii="宋体"/>
          <w:b/>
          <w:color w:val="000000"/>
          <w:kern w:val="0"/>
          <w:sz w:val="24"/>
          <w:szCs w:val="24"/>
        </w:rPr>
        <w:t>含回购</w:t>
      </w:r>
      <w:r>
        <w:rPr>
          <w:rFonts w:ascii="宋体"/>
          <w:b/>
          <w:color w:val="000000"/>
          <w:kern w:val="0"/>
          <w:sz w:val="24"/>
          <w:szCs w:val="24"/>
        </w:rPr>
        <w:t>)</w:t>
      </w:r>
      <w:r>
        <w:rPr>
          <w:rFonts w:hint="eastAsia" w:ascii="宋体"/>
          <w:b/>
          <w:color w:val="000000"/>
          <w:kern w:val="0"/>
          <w:sz w:val="24"/>
          <w:szCs w:val="24"/>
        </w:rPr>
        <w:t>交易</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本基金于本期未与关联方进行银行间同业市场的债券</w:t>
      </w:r>
      <w:r>
        <w:rPr>
          <w:rFonts w:ascii="宋体"/>
          <w:color w:val="000000"/>
          <w:kern w:val="0"/>
          <w:sz w:val="24"/>
          <w:szCs w:val="24"/>
        </w:rPr>
        <w:t>(</w:t>
      </w:r>
      <w:r>
        <w:rPr>
          <w:rFonts w:hint="eastAsia" w:ascii="宋体"/>
          <w:color w:val="000000"/>
          <w:kern w:val="0"/>
          <w:sz w:val="24"/>
          <w:szCs w:val="24"/>
        </w:rPr>
        <w:t>含回购</w:t>
      </w:r>
      <w:r>
        <w:rPr>
          <w:rFonts w:ascii="宋体"/>
          <w:color w:val="000000"/>
          <w:kern w:val="0"/>
          <w:sz w:val="24"/>
          <w:szCs w:val="24"/>
        </w:rPr>
        <w:t>)</w:t>
      </w:r>
      <w:r>
        <w:rPr>
          <w:rFonts w:hint="eastAsia" w:ascii="宋体"/>
          <w:color w:val="000000"/>
          <w:kern w:val="0"/>
          <w:sz w:val="24"/>
          <w:szCs w:val="24"/>
        </w:rPr>
        <w:t>交易。</w:t>
      </w:r>
    </w:p>
    <w:p>
      <w:pPr>
        <w:autoSpaceDE w:val="0"/>
        <w:autoSpaceDN w:val="0"/>
        <w:adjustRightInd w:val="0"/>
        <w:spacing w:before="29" w:line="288" w:lineRule="auto"/>
        <w:ind w:left="15"/>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 </w:t>
      </w:r>
      <w:r>
        <w:rPr>
          <w:rFonts w:hint="eastAsia" w:ascii="宋体"/>
          <w:b/>
          <w:color w:val="000000"/>
          <w:kern w:val="0"/>
          <w:sz w:val="24"/>
          <w:szCs w:val="24"/>
        </w:rPr>
        <w:t>各关联方投资本基金的情况</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7.4.10.4.1 </w:t>
      </w:r>
      <w:r>
        <w:rPr>
          <w:rFonts w:hint="eastAsia" w:ascii="宋体"/>
          <w:b/>
          <w:color w:val="000000"/>
          <w:kern w:val="0"/>
          <w:sz w:val="24"/>
          <w:szCs w:val="24"/>
        </w:rPr>
        <w:t>报告期内基金管理人运用固有资金投资本基金的情况</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本报告期内无基金管理人运用固有资金投资本基金的情况。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7.4.10.4.2 </w:t>
      </w:r>
      <w:r>
        <w:rPr>
          <w:rFonts w:hint="eastAsia" w:ascii="宋体"/>
          <w:b/>
          <w:color w:val="000000"/>
          <w:kern w:val="0"/>
          <w:sz w:val="24"/>
          <w:szCs w:val="24"/>
        </w:rPr>
        <w:t>报告期末除基金管理人之外的其他关联方投资本基金的情况</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本报告期末无除管理人之外的其他关联方投资本基金的情况。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7.4.10.5 </w:t>
      </w:r>
      <w:r>
        <w:rPr>
          <w:rFonts w:hint="eastAsia" w:ascii="宋体"/>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806"/>
        <w:gridCol w:w="1806"/>
        <w:gridCol w:w="5474"/>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关联方名称</w:t>
            </w:r>
          </w:p>
        </w:tc>
        <w:tc>
          <w:tcPr>
            <w:tcW w:w="728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日至</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期末余额</w:t>
            </w:r>
          </w:p>
        </w:tc>
        <w:tc>
          <w:tcPr>
            <w:tcW w:w="54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工商银行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28,052,291.07</w:t>
            </w:r>
          </w:p>
        </w:tc>
        <w:tc>
          <w:tcPr>
            <w:tcW w:w="54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169,997.19</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注：本基金的银行存款由基金托管人中国工商银行保管，按</w:t>
      </w:r>
      <w:r>
        <w:rPr>
          <w:rFonts w:hint="eastAsia" w:ascii="宋体"/>
          <w:color w:val="000000"/>
          <w:kern w:val="0"/>
          <w:szCs w:val="24"/>
          <w:highlight w:val="yellow"/>
        </w:rPr>
        <w:t>金融机构同业存款利率</w:t>
      </w:r>
      <w:r>
        <w:rPr>
          <w:rFonts w:hint="eastAsia" w:ascii="宋体"/>
          <w:color w:val="000000"/>
          <w:kern w:val="0"/>
          <w:szCs w:val="24"/>
        </w:rPr>
        <w:t>计息。</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7.4.10.6 </w:t>
      </w:r>
      <w:r>
        <w:rPr>
          <w:rFonts w:hint="eastAsia" w:ascii="宋体"/>
          <w:b/>
          <w:color w:val="000000"/>
          <w:kern w:val="0"/>
          <w:sz w:val="24"/>
          <w:szCs w:val="24"/>
        </w:rPr>
        <w:t>本基金在承销期内参与关联方承销证券的情况</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本基金于本期未发生在承销期内参与关联方承销证券的情况。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7.4.10.7 </w:t>
      </w:r>
      <w:r>
        <w:rPr>
          <w:rFonts w:hint="eastAsia" w:ascii="宋体"/>
          <w:b/>
          <w:color w:val="000000"/>
          <w:kern w:val="0"/>
          <w:sz w:val="24"/>
          <w:szCs w:val="24"/>
        </w:rPr>
        <w:t>其他关联交易事项的说明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本基金本报告期无须作说明的其他关联交易事项。</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7.4.11 </w:t>
      </w:r>
      <w:r>
        <w:rPr>
          <w:rFonts w:hint="eastAsia" w:ascii="宋体"/>
          <w:b/>
          <w:color w:val="000000"/>
          <w:kern w:val="0"/>
          <w:sz w:val="24"/>
          <w:szCs w:val="24"/>
        </w:rPr>
        <w:t>利润分配情况</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本基金于本期未进行利润分配。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 </w:t>
      </w:r>
      <w:r>
        <w:rPr>
          <w:rFonts w:hint="eastAsia" w:ascii="宋体"/>
          <w:b/>
          <w:color w:val="000000"/>
          <w:kern w:val="0"/>
          <w:sz w:val="24"/>
          <w:szCs w:val="24"/>
        </w:rPr>
        <w:t>期末（</w:t>
      </w:r>
      <w:r>
        <w:rPr>
          <w:rFonts w:ascii="宋体"/>
          <w:b/>
          <w:color w:val="000000"/>
          <w:kern w:val="0"/>
          <w:sz w:val="24"/>
          <w:szCs w:val="24"/>
        </w:rPr>
        <w:t>2015</w:t>
      </w:r>
      <w:r>
        <w:rPr>
          <w:rFonts w:hint="eastAsia" w:ascii="宋体"/>
          <w:b/>
          <w:color w:val="000000"/>
          <w:kern w:val="0"/>
          <w:sz w:val="24"/>
          <w:szCs w:val="24"/>
        </w:rPr>
        <w:t>年</w:t>
      </w:r>
      <w:r>
        <w:rPr>
          <w:rFonts w:ascii="宋体"/>
          <w:b/>
          <w:color w:val="000000"/>
          <w:kern w:val="0"/>
          <w:sz w:val="24"/>
          <w:szCs w:val="24"/>
        </w:rPr>
        <w:t>12</w:t>
      </w:r>
      <w:r>
        <w:rPr>
          <w:rFonts w:hint="eastAsia" w:ascii="宋体"/>
          <w:b/>
          <w:color w:val="000000"/>
          <w:kern w:val="0"/>
          <w:sz w:val="24"/>
          <w:szCs w:val="24"/>
        </w:rPr>
        <w:t>月</w:t>
      </w:r>
      <w:r>
        <w:rPr>
          <w:rFonts w:ascii="宋体"/>
          <w:b/>
          <w:color w:val="000000"/>
          <w:kern w:val="0"/>
          <w:sz w:val="24"/>
          <w:szCs w:val="24"/>
        </w:rPr>
        <w:t>31</w:t>
      </w:r>
      <w:r>
        <w:rPr>
          <w:rFonts w:hint="eastAsia" w:ascii="宋体"/>
          <w:b/>
          <w:color w:val="000000"/>
          <w:kern w:val="0"/>
          <w:sz w:val="24"/>
          <w:szCs w:val="24"/>
        </w:rPr>
        <w:t>日）本基金持有的流通受限证券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7.4.12.1 </w:t>
      </w:r>
      <w:r>
        <w:rPr>
          <w:rFonts w:hint="eastAsia" w:ascii="宋体"/>
          <w:b/>
          <w:color w:val="000000"/>
          <w:kern w:val="0"/>
          <w:sz w:val="24"/>
          <w:szCs w:val="24"/>
        </w:rPr>
        <w:t>因认购新发</w:t>
      </w:r>
      <w:r>
        <w:rPr>
          <w:rFonts w:ascii="宋体"/>
          <w:b/>
          <w:color w:val="000000"/>
          <w:kern w:val="0"/>
          <w:sz w:val="24"/>
          <w:szCs w:val="24"/>
        </w:rPr>
        <w:t>/</w:t>
      </w:r>
      <w:r>
        <w:rPr>
          <w:rFonts w:hint="eastAsia" w:ascii="宋体"/>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宋体"/>
          <w:color w:val="000000"/>
          <w:kern w:val="0"/>
          <w:sz w:val="18"/>
          <w:szCs w:val="24"/>
        </w:rPr>
      </w:pPr>
      <w:r>
        <w:rPr>
          <w:rFonts w:hint="eastAsia" w:ascii="宋体"/>
          <w:color w:val="000000"/>
          <w:kern w:val="0"/>
          <w:sz w:val="18"/>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903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宋体"/>
                <w:color w:val="000000"/>
                <w:kern w:val="0"/>
                <w:szCs w:val="24"/>
              </w:rPr>
            </w:pPr>
            <w:r>
              <w:rPr>
                <w:rFonts w:ascii="宋体"/>
                <w:color w:val="000000"/>
                <w:kern w:val="0"/>
                <w:szCs w:val="24"/>
              </w:rPr>
              <w:t xml:space="preserve">7.4.12.1.1 </w:t>
            </w:r>
            <w:r>
              <w:rPr>
                <w:rFonts w:hint="eastAsia" w:ascii="宋体"/>
                <w:color w:val="000000"/>
                <w:kern w:val="0"/>
                <w:szCs w:val="24"/>
              </w:rPr>
              <w:t>受限证券类别：债券</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证券</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证券</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成功</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认购</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数量</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136087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15</w:t>
            </w:r>
            <w:r>
              <w:rPr>
                <w:rFonts w:hint="eastAsia" w:ascii="宋体"/>
                <w:color w:val="000000"/>
                <w:kern w:val="0"/>
                <w:szCs w:val="24"/>
              </w:rPr>
              <w:t>保利</w:t>
            </w:r>
            <w:r>
              <w:rPr>
                <w:rFonts w:ascii="宋体"/>
                <w:color w:val="000000"/>
                <w:kern w:val="0"/>
                <w:szCs w:val="24"/>
              </w:rPr>
              <w:t>01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2015-12-11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2016-01-22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10,000,000.00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7.4.12.2 </w:t>
      </w:r>
      <w:r>
        <w:rPr>
          <w:rFonts w:hint="eastAsia" w:ascii="宋体"/>
          <w:b/>
          <w:color w:val="000000"/>
          <w:kern w:val="0"/>
          <w:sz w:val="24"/>
          <w:szCs w:val="24"/>
        </w:rPr>
        <w:t>期末持有的暂时停牌等流通受限股票</w:t>
      </w:r>
    </w:p>
    <w:p>
      <w:pPr>
        <w:autoSpaceDE w:val="0"/>
        <w:autoSpaceDN w:val="0"/>
        <w:adjustRightInd w:val="0"/>
        <w:spacing w:before="29" w:line="288" w:lineRule="auto"/>
        <w:ind w:left="15"/>
        <w:jc w:val="right"/>
        <w:rPr>
          <w:rFonts w:ascii="宋体"/>
          <w:color w:val="000000"/>
          <w:kern w:val="0"/>
          <w:sz w:val="18"/>
          <w:szCs w:val="24"/>
        </w:rPr>
      </w:pPr>
      <w:r>
        <w:rPr>
          <w:rFonts w:hint="eastAsia" w:ascii="宋体"/>
          <w:color w:val="000000"/>
          <w:kern w:val="0"/>
          <w:sz w:val="18"/>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复牌</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数量</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期末</w:t>
            </w:r>
          </w:p>
          <w:p>
            <w:pPr>
              <w:autoSpaceDE w:val="0"/>
              <w:autoSpaceDN w:val="0"/>
              <w:adjustRightInd w:val="0"/>
              <w:spacing w:before="29" w:line="288" w:lineRule="auto"/>
              <w:ind w:left="15"/>
              <w:jc w:val="center"/>
              <w:rPr>
                <w:rFonts w:ascii="宋体"/>
                <w:color w:val="000000"/>
                <w:kern w:val="0"/>
                <w:szCs w:val="24"/>
              </w:rPr>
            </w:pPr>
            <w:r>
              <w:rPr>
                <w:rFonts w:hint="eastAsia" w:ascii="宋体"/>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002065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东华软件</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2015-12-21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重大事项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25.10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22,250.00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25,100.00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600572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康恩贝</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2015-12-28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重大事项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13.36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2016-01-04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13.18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15,000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189,000.00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200,400.00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600859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王府井</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2015-12-21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hint="eastAsia" w:ascii="宋体"/>
                <w:color w:val="000000"/>
                <w:kern w:val="0"/>
                <w:szCs w:val="24"/>
              </w:rPr>
              <w:t>重大事项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27.22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Cs w:val="24"/>
              </w:rPr>
            </w:pPr>
            <w:r>
              <w:rPr>
                <w:rFonts w:ascii="宋体"/>
                <w:color w:val="000000"/>
                <w:kern w:val="0"/>
                <w:szCs w:val="24"/>
              </w:rPr>
              <w:t>2016-01-04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27.22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11,000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279,400.00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Cs w:val="24"/>
              </w:rPr>
            </w:pPr>
            <w:r>
              <w:rPr>
                <w:rFonts w:ascii="宋体"/>
                <w:color w:val="000000"/>
                <w:kern w:val="0"/>
                <w:szCs w:val="24"/>
              </w:rPr>
              <w:t>299,420.00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注：本基金截至</w:t>
      </w:r>
      <w:r>
        <w:rPr>
          <w:rFonts w:ascii="宋体"/>
          <w:color w:val="000000"/>
          <w:kern w:val="0"/>
          <w:szCs w:val="24"/>
        </w:rPr>
        <w:t>2015</w:t>
      </w:r>
      <w:r>
        <w:rPr>
          <w:rFonts w:hint="eastAsia" w:ascii="宋体"/>
          <w:color w:val="000000"/>
          <w:kern w:val="0"/>
          <w:szCs w:val="24"/>
        </w:rPr>
        <w:t>年</w:t>
      </w:r>
      <w:r>
        <w:rPr>
          <w:rFonts w:ascii="宋体"/>
          <w:color w:val="000000"/>
          <w:kern w:val="0"/>
          <w:szCs w:val="24"/>
        </w:rPr>
        <w:t>12</w:t>
      </w:r>
      <w:r>
        <w:rPr>
          <w:rFonts w:hint="eastAsia" w:ascii="宋体"/>
          <w:color w:val="000000"/>
          <w:kern w:val="0"/>
          <w:szCs w:val="24"/>
        </w:rPr>
        <w:t>月</w:t>
      </w:r>
      <w:r>
        <w:rPr>
          <w:rFonts w:ascii="宋体"/>
          <w:color w:val="000000"/>
          <w:kern w:val="0"/>
          <w:szCs w:val="24"/>
        </w:rPr>
        <w:t>31</w:t>
      </w:r>
      <w:r>
        <w:rPr>
          <w:rFonts w:hint="eastAsia" w:ascii="宋体"/>
          <w:color w:val="000000"/>
          <w:kern w:val="0"/>
          <w:szCs w:val="24"/>
        </w:rPr>
        <w:t>日止持有以上因重大事项可能产生重大影响被暂时停牌的股票，该类股票将在所公布事项的重大影响消除后，经交易所批准复牌。</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 </w:t>
      </w:r>
      <w:r>
        <w:rPr>
          <w:rFonts w:hint="eastAsia" w:ascii="宋体"/>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7.4.12.3.1 </w:t>
      </w:r>
      <w:r>
        <w:rPr>
          <w:rFonts w:hint="eastAsia" w:ascii="宋体"/>
          <w:b/>
          <w:color w:val="000000"/>
          <w:kern w:val="0"/>
          <w:sz w:val="24"/>
          <w:szCs w:val="24"/>
        </w:rPr>
        <w:t>银行间市场债券正回购</w:t>
      </w:r>
    </w:p>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 xml:space="preserve">    截至本报告期末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日止，本基金从事银行间市场债券正回购交易形成的卖出回购证券款余额</w:t>
      </w:r>
      <w:r>
        <w:rPr>
          <w:rFonts w:ascii="宋体"/>
          <w:color w:val="000000"/>
          <w:kern w:val="0"/>
          <w:sz w:val="24"/>
          <w:szCs w:val="24"/>
        </w:rPr>
        <w:t xml:space="preserve">48,099,327.85 </w:t>
      </w:r>
      <w:r>
        <w:rPr>
          <w:rFonts w:hint="eastAsia" w:ascii="宋体"/>
          <w:color w:val="000000"/>
          <w:kern w:val="0"/>
          <w:sz w:val="24"/>
          <w:szCs w:val="24"/>
        </w:rPr>
        <w:t>元，是以如下债券作为抵押：</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445"/>
        <w:gridCol w:w="1083"/>
        <w:gridCol w:w="1445"/>
        <w:gridCol w:w="1806"/>
        <w:gridCol w:w="1445"/>
        <w:gridCol w:w="1806"/>
      </w:tblGrid>
      <w:tr>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期末估值总额</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1382056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w:t>
            </w:r>
            <w:r>
              <w:rPr>
                <w:rFonts w:hint="eastAsia" w:ascii="宋体"/>
                <w:color w:val="000000"/>
                <w:kern w:val="0"/>
                <w:sz w:val="24"/>
                <w:szCs w:val="24"/>
              </w:rPr>
              <w:t>北车集</w:t>
            </w:r>
            <w:r>
              <w:rPr>
                <w:rFonts w:ascii="宋体"/>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104.87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10,487,000.00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1382086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w:t>
            </w:r>
            <w:r>
              <w:rPr>
                <w:rFonts w:hint="eastAsia" w:ascii="宋体"/>
                <w:color w:val="000000"/>
                <w:kern w:val="0"/>
                <w:sz w:val="24"/>
                <w:szCs w:val="24"/>
              </w:rPr>
              <w:t>粤机场</w:t>
            </w:r>
            <w:r>
              <w:rPr>
                <w:rFonts w:ascii="宋体"/>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104.56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10,456,000.00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1282156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w:t>
            </w:r>
            <w:r>
              <w:rPr>
                <w:rFonts w:hint="eastAsia" w:ascii="宋体"/>
                <w:color w:val="000000"/>
                <w:kern w:val="0"/>
                <w:sz w:val="24"/>
                <w:szCs w:val="24"/>
              </w:rPr>
              <w:t>中石油</w:t>
            </w:r>
            <w:r>
              <w:rPr>
                <w:rFonts w:ascii="宋体"/>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102.51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10,251,000.00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041552045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黄山股</w:t>
            </w:r>
            <w:r>
              <w:rPr>
                <w:rFonts w:ascii="宋体"/>
                <w:color w:val="000000"/>
                <w:kern w:val="0"/>
                <w:sz w:val="24"/>
                <w:szCs w:val="24"/>
              </w:rPr>
              <w:t>CP001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10,019,000.00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041556052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大秦铁路</w:t>
            </w:r>
            <w:r>
              <w:rPr>
                <w:rFonts w:ascii="宋体"/>
                <w:color w:val="000000"/>
                <w:kern w:val="0"/>
                <w:sz w:val="24"/>
                <w:szCs w:val="24"/>
              </w:rPr>
              <w:t>CP001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2016-01-07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10,041,000.00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宋体"/>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51,254,000.00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7.4.12.3.2 </w:t>
      </w:r>
      <w:r>
        <w:rPr>
          <w:rFonts w:hint="eastAsia" w:ascii="宋体"/>
          <w:b/>
          <w:color w:val="000000"/>
          <w:kern w:val="0"/>
          <w:sz w:val="24"/>
          <w:szCs w:val="24"/>
        </w:rPr>
        <w:t>交易所市场债券正回购</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本基金于本期末未持有交易所市场债券正回购。</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 </w:t>
      </w:r>
      <w:r>
        <w:rPr>
          <w:rFonts w:hint="eastAsia" w:ascii="宋体"/>
          <w:b/>
          <w:color w:val="000000"/>
          <w:kern w:val="0"/>
          <w:sz w:val="24"/>
          <w:szCs w:val="24"/>
        </w:rPr>
        <w:t>金融工具风险及管理</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color w:val="000000"/>
          <w:kern w:val="0"/>
          <w:sz w:val="24"/>
          <w:szCs w:val="24"/>
        </w:rPr>
      </w:pPr>
      <w:r>
        <w:rPr>
          <w:rFonts w:ascii="宋体"/>
          <w:b/>
          <w:color w:val="000000"/>
          <w:kern w:val="0"/>
          <w:sz w:val="24"/>
          <w:szCs w:val="24"/>
        </w:rPr>
        <w:t xml:space="preserve">7.4.13.1 </w:t>
      </w:r>
      <w:r>
        <w:rPr>
          <w:rFonts w:hint="eastAsia" w:ascii="宋体"/>
          <w:b/>
          <w:color w:val="000000"/>
          <w:kern w:val="0"/>
          <w:sz w:val="24"/>
          <w:szCs w:val="24"/>
        </w:rPr>
        <w:t>风险管理政策和组织架构</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本基金的基金管理人奉行全面风险管理体系的建设，建立了以风险控制委员会为核心的、由督察长、风险管理委员会、监察稽核部和相关业务部门构成的四级风险管理架构体系。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 </w:t>
      </w:r>
      <w:r>
        <w:rPr>
          <w:rFonts w:hint="eastAsia" w:ascii="宋体"/>
          <w:b/>
          <w:color w:val="000000"/>
          <w:kern w:val="0"/>
          <w:sz w:val="24"/>
          <w:szCs w:val="24"/>
        </w:rPr>
        <w:t>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交易前对交易对手的资信状况进行了充分的评估。本基金的活期银行存款存放在本基金的托管行中国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7.4.13.2.1 </w:t>
      </w:r>
      <w:r>
        <w:rPr>
          <w:rFonts w:hint="eastAsia" w:ascii="宋体"/>
          <w:b/>
          <w:color w:val="000000"/>
          <w:kern w:val="0"/>
          <w:sz w:val="24"/>
          <w:szCs w:val="24"/>
        </w:rPr>
        <w:t>按短期信用评级列示的债券投资</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短期信用评级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A-1</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20,060,000.00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A-1</w:t>
            </w:r>
            <w:r>
              <w:rPr>
                <w:rFonts w:hint="eastAsia" w:ascii="宋体"/>
                <w:color w:val="000000"/>
                <w:kern w:val="0"/>
                <w:sz w:val="24"/>
                <w:szCs w:val="24"/>
              </w:rPr>
              <w:t>以下</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未评级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20,060,000.00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7.4.13.2.2 </w:t>
      </w:r>
      <w:r>
        <w:rPr>
          <w:rFonts w:hint="eastAsia" w:ascii="宋体"/>
          <w:b/>
          <w:color w:val="000000"/>
          <w:kern w:val="0"/>
          <w:sz w:val="24"/>
          <w:szCs w:val="24"/>
        </w:rPr>
        <w:t>按长期信用评级列示的债券投资</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3251"/>
        <w:gridCol w:w="5835"/>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长期信用评级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AAA</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66,557,000.00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AAA</w:t>
            </w:r>
            <w:r>
              <w:rPr>
                <w:rFonts w:hint="eastAsia" w:ascii="宋体"/>
                <w:color w:val="000000"/>
                <w:kern w:val="0"/>
                <w:sz w:val="24"/>
                <w:szCs w:val="24"/>
              </w:rPr>
              <w:t>以下</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11,145,000.00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未评级</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79,347,776.70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58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157,049,776.70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注：以上未评级的债券投资为超级短期融资券、国债、政策性金融债及央行票据等。</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7.4.13.3 </w:t>
      </w:r>
      <w:r>
        <w:rPr>
          <w:rFonts w:hint="eastAsia" w:ascii="宋体"/>
          <w:b/>
          <w:color w:val="000000"/>
          <w:kern w:val="0"/>
          <w:sz w:val="24"/>
          <w:szCs w:val="24"/>
        </w:rPr>
        <w:t>流动性风险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宋体"/>
          <w:color w:val="000000"/>
          <w:kern w:val="0"/>
          <w:sz w:val="24"/>
          <w:szCs w:val="24"/>
        </w:rPr>
        <w:t>10%</w:t>
      </w:r>
      <w:r>
        <w:rPr>
          <w:rFonts w:hint="eastAsia" w:ascii="宋体"/>
          <w:color w:val="000000"/>
          <w:kern w:val="0"/>
          <w:sz w:val="24"/>
          <w:szCs w:val="24"/>
        </w:rPr>
        <w:t>，且本基金与由本基金的基金管理人管理的其他基金共同持有一家公司发行的证券不得超过该证券的</w:t>
      </w:r>
      <w:r>
        <w:rPr>
          <w:rFonts w:ascii="宋体"/>
          <w:color w:val="000000"/>
          <w:kern w:val="0"/>
          <w:sz w:val="24"/>
          <w:szCs w:val="24"/>
        </w:rPr>
        <w:t>10%</w:t>
      </w:r>
      <w:r>
        <w:rPr>
          <w:rFonts w:hint="eastAsia" w:ascii="宋体"/>
          <w:color w:val="000000"/>
          <w:kern w:val="0"/>
          <w:sz w:val="24"/>
          <w:szCs w:val="24"/>
        </w:rPr>
        <w:t>。本基金所持大部分证券在证券交易所上市，其余亦可在银行间同业市场交易，因此除附注</w:t>
      </w:r>
      <w:r>
        <w:rPr>
          <w:rFonts w:ascii="宋体"/>
          <w:color w:val="000000"/>
          <w:kern w:val="0"/>
          <w:sz w:val="24"/>
          <w:szCs w:val="24"/>
        </w:rPr>
        <w:t>7.4.12</w:t>
      </w:r>
      <w:r>
        <w:rPr>
          <w:rFonts w:hint="eastAsia" w:ascii="宋体"/>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日，本基金所承担的全部金融负债的合约约定到期日均较短且不计息，可赎回基金份额净值</w:t>
      </w:r>
      <w:r>
        <w:rPr>
          <w:rFonts w:ascii="宋体"/>
          <w:color w:val="000000"/>
          <w:kern w:val="0"/>
          <w:sz w:val="24"/>
          <w:szCs w:val="24"/>
        </w:rPr>
        <w:t>(</w:t>
      </w:r>
      <w:r>
        <w:rPr>
          <w:rFonts w:hint="eastAsia" w:ascii="宋体"/>
          <w:color w:val="000000"/>
          <w:kern w:val="0"/>
          <w:sz w:val="24"/>
          <w:szCs w:val="24"/>
        </w:rPr>
        <w:t>所有者权益</w:t>
      </w:r>
      <w:r>
        <w:rPr>
          <w:rFonts w:ascii="宋体"/>
          <w:color w:val="000000"/>
          <w:kern w:val="0"/>
          <w:sz w:val="24"/>
          <w:szCs w:val="24"/>
        </w:rPr>
        <w:t>)</w:t>
      </w:r>
      <w:r>
        <w:rPr>
          <w:rFonts w:hint="eastAsia" w:ascii="宋体"/>
          <w:color w:val="000000"/>
          <w:kern w:val="0"/>
          <w:sz w:val="24"/>
          <w:szCs w:val="24"/>
        </w:rPr>
        <w:t>无固定到期日且不计息，因此账面余额即为约为未折现的合约到期现金流量。</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 </w:t>
      </w:r>
      <w:r>
        <w:rPr>
          <w:rFonts w:hint="eastAsia" w:ascii="宋体"/>
          <w:b/>
          <w:color w:val="000000"/>
          <w:kern w:val="0"/>
          <w:sz w:val="24"/>
          <w:szCs w:val="24"/>
        </w:rPr>
        <w:t>市场风险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 </w:t>
      </w:r>
      <w:r>
        <w:rPr>
          <w:rFonts w:hint="eastAsia" w:ascii="宋体"/>
          <w:b/>
          <w:color w:val="000000"/>
          <w:kern w:val="0"/>
          <w:sz w:val="24"/>
          <w:szCs w:val="24"/>
        </w:rPr>
        <w:t>利率风险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本基金主要投资于交易所及银行间市场交易的固定收益品种，因此存在相应的利率风险。</w:t>
      </w:r>
    </w:p>
    <w:p>
      <w:pPr>
        <w:autoSpaceDE w:val="0"/>
        <w:autoSpaceDN w:val="0"/>
        <w:adjustRightInd w:val="0"/>
        <w:spacing w:before="29" w:line="288" w:lineRule="auto"/>
        <w:ind w:left="15" w:firstLine="482"/>
        <w:jc w:val="left"/>
        <w:rPr>
          <w:rFonts w:ascii="宋体"/>
          <w:color w:val="000000"/>
          <w:kern w:val="0"/>
          <w:sz w:val="24"/>
          <w:szCs w:val="24"/>
        </w:rPr>
      </w:pPr>
    </w:p>
    <w:p>
      <w:pPr>
        <w:autoSpaceDE w:val="0"/>
        <w:autoSpaceDN w:val="0"/>
        <w:adjustRightInd w:val="0"/>
        <w:spacing w:before="145" w:line="288" w:lineRule="auto"/>
        <w:ind w:left="15"/>
        <w:jc w:val="left"/>
        <w:rPr>
          <w:rFonts w:ascii="宋体"/>
          <w:b/>
          <w:color w:val="000000"/>
          <w:kern w:val="0"/>
          <w:sz w:val="24"/>
          <w:szCs w:val="24"/>
        </w:rPr>
      </w:pPr>
      <w:r>
        <w:rPr>
          <w:rFonts w:ascii="宋体"/>
          <w:b/>
          <w:color w:val="000000"/>
          <w:kern w:val="0"/>
          <w:sz w:val="24"/>
          <w:szCs w:val="24"/>
        </w:rPr>
        <w:t xml:space="preserve">7.4.13.4.1.1 </w:t>
      </w:r>
      <w:r>
        <w:rPr>
          <w:rFonts w:hint="eastAsia" w:ascii="宋体"/>
          <w:b/>
          <w:color w:val="000000"/>
          <w:kern w:val="0"/>
          <w:sz w:val="24"/>
          <w:szCs w:val="24"/>
        </w:rPr>
        <w:t>利率风险敞口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701"/>
        <w:gridCol w:w="1843"/>
        <w:gridCol w:w="1152"/>
        <w:gridCol w:w="1444"/>
        <w:gridCol w:w="1090"/>
        <w:gridCol w:w="1800"/>
      </w:tblGrid>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年以内</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r>
              <w:rPr>
                <w:rFonts w:hint="eastAsia" w:ascii="宋体"/>
                <w:color w:val="000000"/>
                <w:kern w:val="0"/>
                <w:sz w:val="24"/>
                <w:szCs w:val="24"/>
              </w:rPr>
              <w:t>年以上</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不计息</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28,052,291.07</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28,052,291.07</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结算备付金</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237,678.66</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237,678.66</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57,925.15</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57,925.15</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37,851,776.70</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66,557,000.00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72,701,000.00</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193,936,600.70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2,964,542.02</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2,964,542.02</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资产总计</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66,199,671.58</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66,557,000.00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72,701,000.00</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19,791,866.02</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225,249,537.60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宋体"/>
                <w:color w:val="000000"/>
                <w:kern w:val="0"/>
                <w:sz w:val="23"/>
                <w:szCs w:val="24"/>
              </w:rPr>
            </w:pP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卖出回购金融资产款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48,099,327.85</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48,099,327.85</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应付证券清算款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4,836,227.92</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4,836,227.92</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应付赎回款</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291,485.77</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291,485.77</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应付管理人报酬</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103,541.64</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103,541.64</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应付托管费</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29,583.33</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29,583.33</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应付销售服务费</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12,980.63</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12,980.63</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应付交易费用</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212,130.78</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212,130.78</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应付利息</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9,116.05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9,116.05</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其他负债</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103,115.40</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103,115.40</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负债总计</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48,099,327.85</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5,598,181.52</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53,697,509.37</w:t>
            </w:r>
          </w:p>
        </w:tc>
      </w:tr>
      <w:tr>
        <w:tblPrEx>
          <w:tblCellMar>
            <w:top w:w="0" w:type="dxa"/>
            <w:left w:w="108" w:type="dxa"/>
            <w:bottom w:w="0" w:type="dxa"/>
            <w:right w:w="108" w:type="dxa"/>
          </w:tblCellMar>
        </w:tblPrEx>
        <w:trPr>
          <w:wBefore w:w="0" w:type="dxa"/>
          <w:wAfter w:w="0" w:type="dxa"/>
        </w:trPr>
        <w:tc>
          <w:tcPr>
            <w:tcW w:w="170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利率敏感度缺口</w:t>
            </w:r>
          </w:p>
        </w:tc>
        <w:tc>
          <w:tcPr>
            <w:tcW w:w="184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18,100,343.73</w:t>
            </w:r>
          </w:p>
        </w:tc>
        <w:tc>
          <w:tcPr>
            <w:tcW w:w="115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66,557,000.00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72,701,000.00</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7.4.13.4.1.2 </w:t>
      </w:r>
      <w:r>
        <w:rPr>
          <w:rFonts w:hint="eastAsia" w:ascii="宋体"/>
          <w:b/>
          <w:color w:val="000000"/>
          <w:kern w:val="0"/>
          <w:sz w:val="24"/>
          <w:szCs w:val="24"/>
        </w:rPr>
        <w:t>利率风险的敏感性分析</w:t>
      </w:r>
    </w:p>
    <w:tbl>
      <w:tblPr>
        <w:tblStyle w:val="10"/>
        <w:tblW w:w="0" w:type="auto"/>
        <w:tblInd w:w="108" w:type="dxa"/>
        <w:tblLayout w:type="fixed"/>
        <w:tblCellMar>
          <w:top w:w="0" w:type="dxa"/>
          <w:left w:w="108" w:type="dxa"/>
          <w:bottom w:w="0" w:type="dxa"/>
          <w:right w:w="108" w:type="dxa"/>
        </w:tblCellMar>
      </w:tblPr>
      <w:tblGrid>
        <w:gridCol w:w="1084"/>
        <w:gridCol w:w="2889"/>
        <w:gridCol w:w="5057"/>
        <w:gridCol w:w="56"/>
      </w:tblGrid>
      <w:tr>
        <w:tblPrEx>
          <w:tblCellMar>
            <w:top w:w="0" w:type="dxa"/>
            <w:left w:w="108" w:type="dxa"/>
            <w:bottom w:w="0" w:type="dxa"/>
            <w:right w:w="108" w:type="dxa"/>
          </w:tblCellMar>
        </w:tblPrEx>
        <w:trPr>
          <w:gridAfter w:val="1"/>
          <w:wBefore w:w="0" w:type="auto"/>
          <w:wAfter w:w="56"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相关风险变量的变动</w:t>
            </w:r>
          </w:p>
        </w:tc>
        <w:tc>
          <w:tcPr>
            <w:tcW w:w="51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对资产负债表日基金资产净值的</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影响金额（单位：人民币元）</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51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市场利率上升</w:t>
            </w:r>
            <w:r>
              <w:rPr>
                <w:rFonts w:ascii="宋体"/>
                <w:color w:val="000000"/>
                <w:kern w:val="0"/>
                <w:sz w:val="24"/>
                <w:szCs w:val="24"/>
              </w:rPr>
              <w:t>25</w:t>
            </w:r>
            <w:r>
              <w:rPr>
                <w:rFonts w:hint="eastAsia" w:ascii="宋体"/>
                <w:color w:val="000000"/>
                <w:kern w:val="0"/>
                <w:sz w:val="24"/>
                <w:szCs w:val="24"/>
              </w:rPr>
              <w:t>个基点</w:t>
            </w:r>
          </w:p>
        </w:tc>
        <w:tc>
          <w:tcPr>
            <w:tcW w:w="51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-1,757,986.11</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市场利率下降</w:t>
            </w:r>
            <w:r>
              <w:rPr>
                <w:rFonts w:ascii="宋体"/>
                <w:color w:val="000000"/>
                <w:kern w:val="0"/>
                <w:sz w:val="24"/>
                <w:szCs w:val="24"/>
              </w:rPr>
              <w:t>25</w:t>
            </w:r>
            <w:r>
              <w:rPr>
                <w:rFonts w:hint="eastAsia" w:ascii="宋体"/>
                <w:color w:val="000000"/>
                <w:kern w:val="0"/>
                <w:sz w:val="24"/>
                <w:szCs w:val="24"/>
              </w:rPr>
              <w:t>个基点</w:t>
            </w:r>
          </w:p>
        </w:tc>
        <w:tc>
          <w:tcPr>
            <w:tcW w:w="5113"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1,793,064.91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7.4.13.4.2 </w:t>
      </w:r>
      <w:r>
        <w:rPr>
          <w:rFonts w:hint="eastAsia" w:ascii="宋体"/>
          <w:b/>
          <w:color w:val="000000"/>
          <w:kern w:val="0"/>
          <w:sz w:val="24"/>
          <w:szCs w:val="24"/>
        </w:rPr>
        <w:t>外汇风险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 </w:t>
      </w:r>
      <w:r>
        <w:rPr>
          <w:rFonts w:hint="eastAsia" w:ascii="宋体"/>
          <w:b/>
          <w:color w:val="000000"/>
          <w:kern w:val="0"/>
          <w:sz w:val="24"/>
          <w:szCs w:val="24"/>
        </w:rPr>
        <w:t>其他价格风险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本基金的基金管理人在构建和管理投资组合的过程中，采用</w:t>
      </w:r>
      <w:r>
        <w:rPr>
          <w:rFonts w:ascii="宋体"/>
          <w:color w:val="000000"/>
          <w:kern w:val="0"/>
          <w:sz w:val="24"/>
          <w:szCs w:val="24"/>
        </w:rPr>
        <w:t>"</w:t>
      </w:r>
      <w:r>
        <w:rPr>
          <w:rFonts w:hint="eastAsia" w:ascii="宋体"/>
          <w:color w:val="000000"/>
          <w:kern w:val="0"/>
          <w:sz w:val="24"/>
          <w:szCs w:val="24"/>
        </w:rPr>
        <w:t>自上而下</w:t>
      </w:r>
      <w:r>
        <w:rPr>
          <w:rFonts w:ascii="宋体"/>
          <w:color w:val="000000"/>
          <w:kern w:val="0"/>
          <w:sz w:val="24"/>
          <w:szCs w:val="24"/>
        </w:rPr>
        <w:t>"</w:t>
      </w:r>
      <w:r>
        <w:rPr>
          <w:rFonts w:hint="eastAsia" w:ascii="宋体"/>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本基金通过投资组合的分散化降低其他价格风险。本基金投资组合中债券投资的比例不低于基金资产的</w:t>
      </w:r>
      <w:r>
        <w:rPr>
          <w:rFonts w:ascii="宋体"/>
          <w:color w:val="000000"/>
          <w:kern w:val="0"/>
          <w:sz w:val="24"/>
          <w:szCs w:val="24"/>
        </w:rPr>
        <w:t>80%</w:t>
      </w:r>
      <w:r>
        <w:rPr>
          <w:rFonts w:hint="eastAsia" w:ascii="宋体"/>
          <w:color w:val="000000"/>
          <w:kern w:val="0"/>
          <w:sz w:val="24"/>
          <w:szCs w:val="24"/>
        </w:rPr>
        <w:t>；股票、权证等权益类资产的投资比例合计不超过基金资产的</w:t>
      </w:r>
      <w:r>
        <w:rPr>
          <w:rFonts w:ascii="宋体"/>
          <w:color w:val="000000"/>
          <w:kern w:val="0"/>
          <w:sz w:val="24"/>
          <w:szCs w:val="24"/>
        </w:rPr>
        <w:t>20%</w:t>
      </w:r>
      <w:r>
        <w:rPr>
          <w:rFonts w:hint="eastAsia" w:ascii="宋体"/>
          <w:color w:val="000000"/>
          <w:kern w:val="0"/>
          <w:sz w:val="24"/>
          <w:szCs w:val="24"/>
        </w:rPr>
        <w:t>，其中基金持有的全部权证的市值不超过基金资产净值的</w:t>
      </w:r>
      <w:r>
        <w:rPr>
          <w:rFonts w:ascii="宋体"/>
          <w:color w:val="000000"/>
          <w:kern w:val="0"/>
          <w:sz w:val="24"/>
          <w:szCs w:val="24"/>
        </w:rPr>
        <w:t>3%</w:t>
      </w:r>
      <w:r>
        <w:rPr>
          <w:rFonts w:hint="eastAsia" w:ascii="宋体"/>
          <w:color w:val="000000"/>
          <w:kern w:val="0"/>
          <w:sz w:val="24"/>
          <w:szCs w:val="24"/>
        </w:rPr>
        <w:t>；现金或者到期日在一年以内的政府债券不低于基金资产净值的</w:t>
      </w:r>
      <w:r>
        <w:rPr>
          <w:rFonts w:ascii="宋体"/>
          <w:color w:val="000000"/>
          <w:kern w:val="0"/>
          <w:sz w:val="24"/>
          <w:szCs w:val="24"/>
        </w:rPr>
        <w:t>5%</w:t>
      </w:r>
      <w:r>
        <w:rPr>
          <w:rFonts w:hint="eastAsia" w:ascii="宋体"/>
          <w:color w:val="000000"/>
          <w:kern w:val="0"/>
          <w:sz w:val="24"/>
          <w:szCs w:val="24"/>
        </w:rPr>
        <w:t>。此外，本基金的基金管理人每日对本基金所持有的证券价格实施监控，定期运用多种定量方法对基金进行风险度量，包括</w:t>
      </w:r>
      <w:r>
        <w:rPr>
          <w:rFonts w:ascii="宋体"/>
          <w:color w:val="000000"/>
          <w:kern w:val="0"/>
          <w:sz w:val="24"/>
          <w:szCs w:val="24"/>
        </w:rPr>
        <w:t>VaR(Value at Risk)</w:t>
      </w:r>
      <w:r>
        <w:rPr>
          <w:rFonts w:hint="eastAsia" w:ascii="宋体"/>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7.4.13.4.3.1 </w:t>
      </w:r>
      <w:r>
        <w:rPr>
          <w:rFonts w:hint="eastAsia" w:ascii="宋体"/>
          <w:b/>
          <w:color w:val="000000"/>
          <w:kern w:val="0"/>
          <w:sz w:val="24"/>
          <w:szCs w:val="24"/>
        </w:rPr>
        <w:t>其他价格风险敞口</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1806"/>
        <w:gridCol w:w="3014"/>
        <w:gridCol w:w="4266"/>
      </w:tblGrid>
      <w:tr>
        <w:tblPrEx>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728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本期末</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w:t>
            </w:r>
          </w:p>
        </w:tc>
      </w:tr>
      <w:tr>
        <w:tblPrEx>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公允价值</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股票投资</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9.81</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基金投资</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交易性金融资产</w:t>
            </w:r>
            <w:r>
              <w:rPr>
                <w:rFonts w:ascii="宋体"/>
                <w:color w:val="000000"/>
                <w:kern w:val="0"/>
                <w:sz w:val="24"/>
                <w:szCs w:val="24"/>
              </w:rPr>
              <w:t>-</w:t>
            </w:r>
            <w:r>
              <w:rPr>
                <w:rFonts w:hint="eastAsia" w:ascii="宋体"/>
                <w:color w:val="000000"/>
                <w:kern w:val="0"/>
                <w:sz w:val="24"/>
                <w:szCs w:val="24"/>
              </w:rPr>
              <w:t>贵金属投资</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衍生金融资产－权证投资</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301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426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9.81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7.4.13.4.3.2 </w:t>
      </w:r>
      <w:r>
        <w:rPr>
          <w:rFonts w:hint="eastAsia" w:ascii="宋体"/>
          <w:b/>
          <w:color w:val="000000"/>
          <w:kern w:val="0"/>
          <w:sz w:val="24"/>
          <w:szCs w:val="24"/>
        </w:rPr>
        <w:t>其他价格风险的敏感性分析</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日，本基金持有的交易性权益类投资公允价值占基金资产净值的比例为</w:t>
      </w:r>
      <w:r>
        <w:rPr>
          <w:rFonts w:ascii="宋体"/>
          <w:color w:val="000000"/>
          <w:kern w:val="0"/>
          <w:sz w:val="24"/>
          <w:szCs w:val="24"/>
        </w:rPr>
        <w:t>9.81%</w:t>
      </w:r>
      <w:r>
        <w:rPr>
          <w:rFonts w:hint="eastAsia" w:ascii="宋体"/>
          <w:color w:val="000000"/>
          <w:kern w:val="0"/>
          <w:sz w:val="24"/>
          <w:szCs w:val="24"/>
        </w:rPr>
        <w:t>，因此除市场利率和外汇汇率以外的市场价格因素的变动对于本基金资产净值无重大影响。</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7.4.14 </w:t>
      </w:r>
      <w:r>
        <w:rPr>
          <w:rFonts w:hint="eastAsia" w:ascii="宋体"/>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(1)</w:t>
      </w:r>
      <w:r>
        <w:rPr>
          <w:rFonts w:hint="eastAsia" w:ascii="宋体"/>
          <w:color w:val="000000"/>
          <w:kern w:val="0"/>
          <w:sz w:val="24"/>
          <w:szCs w:val="24"/>
        </w:rPr>
        <w:t>公允价值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(a)</w:t>
      </w:r>
      <w:r>
        <w:rPr>
          <w:rFonts w:hint="eastAsia" w:ascii="宋体"/>
          <w:color w:val="000000"/>
          <w:kern w:val="0"/>
          <w:sz w:val="24"/>
          <w:szCs w:val="24"/>
        </w:rPr>
        <w:t>金融工具公允价值计量的方法</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第一层次：相同资产或负债在活跃市场上未经调整的报价。</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第三层次：相关资产或负债的不可观察输入值。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(b)</w:t>
      </w:r>
      <w:r>
        <w:rPr>
          <w:rFonts w:hint="eastAsia" w:ascii="宋体"/>
          <w:color w:val="000000"/>
          <w:kern w:val="0"/>
          <w:sz w:val="24"/>
          <w:szCs w:val="24"/>
        </w:rPr>
        <w:t>持续的以公允价值计量的金融工具</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(i)</w:t>
      </w:r>
      <w:r>
        <w:rPr>
          <w:rFonts w:hint="eastAsia" w:ascii="宋体"/>
          <w:color w:val="000000"/>
          <w:kern w:val="0"/>
          <w:sz w:val="24"/>
          <w:szCs w:val="24"/>
        </w:rPr>
        <w:t>各层次金融工具公允价值</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日，本基金持有的以公允价值计量且其变动计入当期损益的金融资产中属于第一层次的余额为</w:t>
      </w:r>
      <w:r>
        <w:rPr>
          <w:rFonts w:ascii="宋体"/>
          <w:color w:val="000000"/>
          <w:kern w:val="0"/>
          <w:sz w:val="24"/>
          <w:szCs w:val="24"/>
        </w:rPr>
        <w:t xml:space="preserve">16,301,904.00 </w:t>
      </w:r>
      <w:r>
        <w:rPr>
          <w:rFonts w:hint="eastAsia" w:ascii="宋体"/>
          <w:color w:val="000000"/>
          <w:kern w:val="0"/>
          <w:sz w:val="24"/>
          <w:szCs w:val="24"/>
        </w:rPr>
        <w:t>元，属于第二层次的余额为</w:t>
      </w:r>
      <w:r>
        <w:rPr>
          <w:rFonts w:ascii="宋体"/>
          <w:color w:val="000000"/>
          <w:kern w:val="0"/>
          <w:sz w:val="24"/>
          <w:szCs w:val="24"/>
        </w:rPr>
        <w:t xml:space="preserve">177,634,696.70 </w:t>
      </w:r>
      <w:r>
        <w:rPr>
          <w:rFonts w:hint="eastAsia" w:ascii="宋体"/>
          <w:color w:val="000000"/>
          <w:kern w:val="0"/>
          <w:sz w:val="24"/>
          <w:szCs w:val="24"/>
        </w:rPr>
        <w:t>元，无属于第三层次的余额。</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(ii)</w:t>
      </w:r>
      <w:r>
        <w:rPr>
          <w:rFonts w:hint="eastAsia" w:ascii="宋体"/>
          <w:color w:val="000000"/>
          <w:kern w:val="0"/>
          <w:sz w:val="24"/>
          <w:szCs w:val="24"/>
        </w:rPr>
        <w:t>公允价值所属层次间的重大变动</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对于证券交易所上市的股票和债券，若出现重大事项停牌、交易不活跃</w:t>
      </w:r>
      <w:r>
        <w:rPr>
          <w:rFonts w:ascii="宋体"/>
          <w:color w:val="000000"/>
          <w:kern w:val="0"/>
          <w:sz w:val="24"/>
          <w:szCs w:val="24"/>
        </w:rPr>
        <w:t>(</w:t>
      </w:r>
      <w:r>
        <w:rPr>
          <w:rFonts w:hint="eastAsia" w:ascii="宋体"/>
          <w:color w:val="000000"/>
          <w:kern w:val="0"/>
          <w:sz w:val="24"/>
          <w:szCs w:val="24"/>
        </w:rPr>
        <w:t>包括涨跌停时的交易不活跃</w:t>
      </w:r>
      <w:r>
        <w:rPr>
          <w:rFonts w:ascii="宋体"/>
          <w:color w:val="000000"/>
          <w:kern w:val="0"/>
          <w:sz w:val="24"/>
          <w:szCs w:val="24"/>
        </w:rPr>
        <w:t>)</w:t>
      </w:r>
      <w:r>
        <w:rPr>
          <w:rFonts w:hint="eastAsia" w:ascii="宋体"/>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本基金本期持有的以公允价值计量的金融工具的公允价值所属层次未发生重大变动。</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(iii)</w:t>
      </w:r>
      <w:r>
        <w:rPr>
          <w:rFonts w:hint="eastAsia" w:ascii="宋体"/>
          <w:color w:val="000000"/>
          <w:kern w:val="0"/>
          <w:sz w:val="24"/>
          <w:szCs w:val="24"/>
        </w:rPr>
        <w:t>第三层次公允价值余额和本期变动金额</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无。</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(c)</w:t>
      </w:r>
      <w:r>
        <w:rPr>
          <w:rFonts w:hint="eastAsia" w:ascii="宋体"/>
          <w:color w:val="000000"/>
          <w:kern w:val="0"/>
          <w:sz w:val="24"/>
          <w:szCs w:val="24"/>
        </w:rPr>
        <w:t>非持续的以公允价值计量的金融工具</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于</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12</w:t>
      </w:r>
      <w:r>
        <w:rPr>
          <w:rFonts w:hint="eastAsia" w:ascii="宋体"/>
          <w:color w:val="000000"/>
          <w:kern w:val="0"/>
          <w:sz w:val="24"/>
          <w:szCs w:val="24"/>
        </w:rPr>
        <w:t>月</w:t>
      </w:r>
      <w:r>
        <w:rPr>
          <w:rFonts w:ascii="宋体"/>
          <w:color w:val="000000"/>
          <w:kern w:val="0"/>
          <w:sz w:val="24"/>
          <w:szCs w:val="24"/>
        </w:rPr>
        <w:t>31</w:t>
      </w:r>
      <w:r>
        <w:rPr>
          <w:rFonts w:hint="eastAsia" w:ascii="宋体"/>
          <w:color w:val="000000"/>
          <w:kern w:val="0"/>
          <w:sz w:val="24"/>
          <w:szCs w:val="24"/>
        </w:rPr>
        <w:t>日，本基金未持有非持续的以公允价值计量的金融资产。</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(d)</w:t>
      </w:r>
      <w:r>
        <w:rPr>
          <w:rFonts w:hint="eastAsia" w:ascii="宋体"/>
          <w:color w:val="000000"/>
          <w:kern w:val="0"/>
          <w:sz w:val="24"/>
          <w:szCs w:val="24"/>
        </w:rPr>
        <w:t>不以公允价值计量的金融工具</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37" w:name="_Toc446321382"/>
      <w:r>
        <w:rPr>
          <w:rFonts w:hint="eastAsia" w:ascii="宋体"/>
          <w:b/>
          <w:color w:val="000000"/>
          <w:kern w:val="0"/>
          <w:sz w:val="24"/>
          <w:szCs w:val="24"/>
        </w:rPr>
        <w:t>§</w:t>
      </w:r>
      <w:r>
        <w:rPr>
          <w:rFonts w:ascii="宋体"/>
          <w:b/>
          <w:color w:val="000000"/>
          <w:kern w:val="0"/>
          <w:sz w:val="24"/>
          <w:szCs w:val="24"/>
        </w:rPr>
        <w:t xml:space="preserve">8  </w:t>
      </w:r>
      <w:r>
        <w:rPr>
          <w:rFonts w:hint="eastAsia" w:ascii="宋体"/>
          <w:b/>
          <w:color w:val="000000"/>
          <w:kern w:val="0"/>
          <w:sz w:val="24"/>
          <w:szCs w:val="24"/>
        </w:rPr>
        <w:t>投资组合报告</w:t>
      </w:r>
      <w:bookmarkEnd w:id="37"/>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8" w:name="_Toc446321383"/>
      <w:r>
        <w:rPr>
          <w:rFonts w:ascii="宋体"/>
          <w:b/>
          <w:color w:val="000000"/>
          <w:kern w:val="0"/>
          <w:sz w:val="24"/>
          <w:szCs w:val="24"/>
        </w:rPr>
        <w:t xml:space="preserve">8.1 </w:t>
      </w:r>
      <w:r>
        <w:rPr>
          <w:rFonts w:hint="eastAsia" w:ascii="宋体"/>
          <w:b/>
          <w:color w:val="000000"/>
          <w:kern w:val="0"/>
          <w:sz w:val="24"/>
          <w:szCs w:val="24"/>
        </w:rPr>
        <w:t>期末基金资产组合情况</w:t>
      </w:r>
      <w:bookmarkEnd w:id="38"/>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占基金总资产的比例（</w:t>
            </w:r>
            <w:r>
              <w:rPr>
                <w:rFonts w:ascii="宋体"/>
                <w:color w:val="000000"/>
                <w:kern w:val="0"/>
                <w:sz w:val="24"/>
                <w:szCs w:val="24"/>
              </w:rPr>
              <w:t>%</w:t>
            </w: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16,826,824.00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177,109,776.70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177,109,776.70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78.63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28,289,969.73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12.56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3,022,967.17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225,249,537.60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8.2 </w:t>
      </w:r>
      <w:r>
        <w:rPr>
          <w:rFonts w:hint="eastAsia" w:ascii="宋体"/>
          <w:b/>
          <w:color w:val="000000"/>
          <w:kern w:val="0"/>
          <w:sz w:val="24"/>
          <w:szCs w:val="24"/>
        </w:rPr>
        <w:t>报告期末按行业分类的股票投资组合</w:t>
      </w:r>
    </w:p>
    <w:p>
      <w:pPr>
        <w:autoSpaceDE w:val="0"/>
        <w:autoSpaceDN w:val="0"/>
        <w:adjustRightInd w:val="0"/>
        <w:spacing w:line="288" w:lineRule="auto"/>
        <w:jc w:val="left"/>
        <w:rPr>
          <w:rFonts w:ascii="MS Sans Serif" w:hAnsi="MS Sans Serif"/>
          <w:color w:val="000000"/>
          <w:kern w:val="0"/>
          <w:sz w:val="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39" w:name="_Toc446321384"/>
      <w:r>
        <w:rPr>
          <w:rFonts w:ascii="宋体"/>
          <w:b/>
          <w:color w:val="000000"/>
          <w:kern w:val="0"/>
          <w:sz w:val="24"/>
          <w:szCs w:val="24"/>
        </w:rPr>
        <w:t xml:space="preserve">8.2.1 </w:t>
      </w:r>
      <w:r>
        <w:rPr>
          <w:rFonts w:hint="eastAsia" w:ascii="宋体"/>
          <w:b/>
          <w:color w:val="000000"/>
          <w:kern w:val="0"/>
          <w:sz w:val="24"/>
          <w:szCs w:val="24"/>
        </w:rPr>
        <w:t>报告期末按行业分类的境内股票投资组合</w:t>
      </w:r>
      <w:bookmarkEnd w:id="39"/>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3974"/>
        <w:gridCol w:w="2167"/>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565,936.00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13,218,180.00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1,089,975.00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467,070.00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296,868.00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887,110.00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16,826,824.00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0" w:name="_Toc446321385"/>
      <w:r>
        <w:rPr>
          <w:rFonts w:ascii="宋体"/>
          <w:b/>
          <w:color w:val="000000"/>
          <w:kern w:val="0"/>
          <w:sz w:val="24"/>
          <w:szCs w:val="24"/>
        </w:rPr>
        <w:t xml:space="preserve">8.3 </w:t>
      </w:r>
      <w:r>
        <w:rPr>
          <w:rFonts w:hint="eastAsia" w:ascii="宋体"/>
          <w:b/>
          <w:color w:val="000000"/>
          <w:kern w:val="0"/>
          <w:sz w:val="24"/>
          <w:szCs w:val="24"/>
        </w:rPr>
        <w:t>期末按公允价值占基金资产净值比例大小排序的所有股票投资明细</w:t>
      </w:r>
      <w:bookmarkEnd w:id="40"/>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1084"/>
        <w:gridCol w:w="1806"/>
        <w:gridCol w:w="144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七</w:t>
            </w:r>
            <w:r>
              <w:rPr>
                <w:rFonts w:ascii="宋体"/>
                <w:color w:val="000000"/>
                <w:kern w:val="0"/>
                <w:sz w:val="24"/>
                <w:szCs w:val="24"/>
              </w:rPr>
              <w:t xml:space="preserve"> </w:t>
            </w:r>
            <w:r>
              <w:rPr>
                <w:rFonts w:hint="eastAsia" w:ascii="宋体"/>
                <w:color w:val="000000"/>
                <w:kern w:val="0"/>
                <w:sz w:val="24"/>
                <w:szCs w:val="24"/>
              </w:rPr>
              <w:t>匹</w:t>
            </w:r>
            <w:r>
              <w:rPr>
                <w:rFonts w:ascii="宋体"/>
                <w:color w:val="000000"/>
                <w:kern w:val="0"/>
                <w:sz w:val="24"/>
                <w:szCs w:val="24"/>
              </w:rPr>
              <w:t xml:space="preserve"> </w:t>
            </w:r>
            <w:r>
              <w:rPr>
                <w:rFonts w:hint="eastAsia" w:ascii="宋体"/>
                <w:color w:val="000000"/>
                <w:kern w:val="0"/>
                <w:sz w:val="24"/>
                <w:szCs w:val="24"/>
              </w:rPr>
              <w:t>狼</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519,460.00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446,720.00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益佰制药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402,800.00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登海种业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387,550.00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金正大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378,324.00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002675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东诚药业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347,262.00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天业股份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328,890.00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百大集团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322,050.00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新研股份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315,400.00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中船防务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309,582.00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华海药业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304,680.00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尚荣医疗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303,324.00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王府井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299,420.00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山大华特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8,500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298,860.00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岭南控股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297,450.00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000043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中航地产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288,720.00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日出东方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286,200.00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森马服饰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285,200.00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宋城演艺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得润电子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282,218.00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报</w:t>
            </w:r>
            <w:r>
              <w:rPr>
                <w:rFonts w:ascii="宋体"/>
                <w:color w:val="000000"/>
                <w:kern w:val="0"/>
                <w:sz w:val="24"/>
                <w:szCs w:val="24"/>
              </w:rPr>
              <w:t xml:space="preserve"> </w:t>
            </w:r>
            <w:r>
              <w:rPr>
                <w:rFonts w:hint="eastAsia" w:ascii="宋体"/>
                <w:color w:val="000000"/>
                <w:kern w:val="0"/>
                <w:sz w:val="24"/>
                <w:szCs w:val="24"/>
              </w:rPr>
              <w:t>喜</w:t>
            </w:r>
            <w:r>
              <w:rPr>
                <w:rFonts w:ascii="宋体"/>
                <w:color w:val="000000"/>
                <w:kern w:val="0"/>
                <w:sz w:val="24"/>
                <w:szCs w:val="24"/>
              </w:rPr>
              <w:t xml:space="preserve"> </w:t>
            </w:r>
            <w:r>
              <w:rPr>
                <w:rFonts w:hint="eastAsia" w:ascii="宋体"/>
                <w:color w:val="000000"/>
                <w:kern w:val="0"/>
                <w:sz w:val="24"/>
                <w:szCs w:val="24"/>
              </w:rPr>
              <w:t>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281,570.00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600893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中航动力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279,186.00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沪电股份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277,780.00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长春高新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277,035.00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300397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天和防务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275,740.00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274,390.00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一心堂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271,801.00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信雅达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271,768.00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和佳股份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271,700.00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中国船舶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271,674.00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泸州老窖</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271,200.00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600372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中航电子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270,930.00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翰宇药业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270,930.00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兴森科技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269,500.00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泰禾集团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269,500.00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北方导航</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266,910.00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德赛电池</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266,866.00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601989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中国重工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263,200.00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256,560.00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300147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香雪制药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250,100.00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九牧王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228,600.00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金宇集团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207,032.00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康恩贝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200,400.00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华润万东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198,904.00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古井贡酒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197,100.00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华东医药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196,704.00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三诺生物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194,184.00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五</w:t>
            </w:r>
            <w:r>
              <w:rPr>
                <w:rFonts w:ascii="宋体"/>
                <w:color w:val="000000"/>
                <w:kern w:val="0"/>
                <w:sz w:val="24"/>
                <w:szCs w:val="24"/>
              </w:rPr>
              <w:t xml:space="preserve"> </w:t>
            </w:r>
            <w:r>
              <w:rPr>
                <w:rFonts w:hint="eastAsia" w:ascii="宋体"/>
                <w:color w:val="000000"/>
                <w:kern w:val="0"/>
                <w:sz w:val="24"/>
                <w:szCs w:val="24"/>
              </w:rPr>
              <w:t>粮</w:t>
            </w:r>
            <w:r>
              <w:rPr>
                <w:rFonts w:ascii="宋体"/>
                <w:color w:val="000000"/>
                <w:kern w:val="0"/>
                <w:sz w:val="24"/>
                <w:szCs w:val="24"/>
              </w:rPr>
              <w:t xml:space="preserve"> </w:t>
            </w:r>
            <w:r>
              <w:rPr>
                <w:rFonts w:hint="eastAsia" w:ascii="宋体"/>
                <w:color w:val="000000"/>
                <w:kern w:val="0"/>
                <w:sz w:val="24"/>
                <w:szCs w:val="24"/>
              </w:rPr>
              <w:t>液</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193,688.00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300255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常山药业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192,610.00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金种子酒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000919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金陵药业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安琪酵母</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188,604.00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双汇发展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187,772.00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华邦健康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183,950.00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181,650.00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海大集团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181,610.00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181,080.00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鱼跃医疗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180,715.00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亚太科技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179,640.00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300498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温氏股份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178,386.00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联化科技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9,400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177,378.00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复星医药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171,477.00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金陵饭店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169,620.00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中国卫星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159,525.00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002065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东华软件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002781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奇信股份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18,685.00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1" w:name="_Toc446321386"/>
      <w:r>
        <w:rPr>
          <w:rFonts w:ascii="宋体"/>
          <w:b/>
          <w:color w:val="000000"/>
          <w:kern w:val="0"/>
          <w:sz w:val="24"/>
          <w:szCs w:val="24"/>
        </w:rPr>
        <w:t xml:space="preserve">8.4 </w:t>
      </w:r>
      <w:r>
        <w:rPr>
          <w:rFonts w:hint="eastAsia" w:ascii="宋体"/>
          <w:b/>
          <w:color w:val="000000"/>
          <w:kern w:val="0"/>
          <w:sz w:val="24"/>
          <w:szCs w:val="24"/>
        </w:rPr>
        <w:t>报告期内股票投资组合的重大变动</w:t>
      </w:r>
      <w:bookmarkEnd w:id="41"/>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8.4.1 </w:t>
      </w:r>
      <w:r>
        <w:rPr>
          <w:rFonts w:hint="eastAsia" w:ascii="宋体"/>
          <w:b/>
          <w:color w:val="000000"/>
          <w:kern w:val="0"/>
          <w:sz w:val="24"/>
          <w:szCs w:val="24"/>
        </w:rPr>
        <w:t>累计买入金额超出期末基金资产净值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占期末基金资产净值比例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恒瑞医药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6,583,620.00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承德露露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6,357,620.00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古井贡酒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6,266,938.00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天士力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6,123,835.07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索菲亚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4,200,000.00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双汇发展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3,958,840.00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法拉电子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3,785,628.00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日出东方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3,726,432.00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联化科技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3,548,120.16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云南白药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3,503,945.07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金风科技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3,460,767.76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昆药集团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3,381,600.00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齐峰新材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3,343,847.18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平安银行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3,338,785.43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601318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中国平安</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3,322,560.00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601166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兴业银行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3,321,000.00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600104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上汽集团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3,311,550.00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洋河股份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3,302,745.00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浦发银行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3,280,800.00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西藏矿业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3,251,040.00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注：本期累计买入金额按买卖成交金额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8.4.2 </w:t>
      </w:r>
      <w:r>
        <w:rPr>
          <w:rFonts w:hint="eastAsia" w:ascii="宋体"/>
          <w:b/>
          <w:color w:val="000000"/>
          <w:kern w:val="0"/>
          <w:sz w:val="24"/>
          <w:szCs w:val="24"/>
        </w:rPr>
        <w:t>累计卖出金额超出期末基金资产净值</w:t>
      </w:r>
      <w:r>
        <w:rPr>
          <w:rFonts w:ascii="宋体"/>
          <w:b/>
          <w:color w:val="000000"/>
          <w:kern w:val="0"/>
          <w:sz w:val="24"/>
          <w:szCs w:val="24"/>
        </w:rPr>
        <w:t>2%</w:t>
      </w:r>
      <w:r>
        <w:rPr>
          <w:rFonts w:hint="eastAsia" w:ascii="宋体"/>
          <w:b/>
          <w:color w:val="000000"/>
          <w:kern w:val="0"/>
          <w:sz w:val="24"/>
          <w:szCs w:val="24"/>
        </w:rPr>
        <w:t>或前</w:t>
      </w:r>
      <w:r>
        <w:rPr>
          <w:rFonts w:ascii="宋体"/>
          <w:b/>
          <w:color w:val="000000"/>
          <w:kern w:val="0"/>
          <w:sz w:val="24"/>
          <w:szCs w:val="24"/>
        </w:rPr>
        <w:t>20</w:t>
      </w:r>
      <w:r>
        <w:rPr>
          <w:rFonts w:hint="eastAsia" w:ascii="宋体"/>
          <w:b/>
          <w:color w:val="000000"/>
          <w:kern w:val="0"/>
          <w:sz w:val="24"/>
          <w:szCs w:val="24"/>
        </w:rPr>
        <w:t>名的股票明细</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占期末基金资产净值比例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000848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承德露露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7,323,900.00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天士力</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6,810,845.73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3.97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古井贡酒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6,316,260.00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恒瑞医药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6,162,920.00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昆药集团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4,606,484.00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齐峰新材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4,401,254.00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002250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联化科技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4,320,000.00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603366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日出东方</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4,200,000.00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600778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友好集团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4,121,600.00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2.40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西藏矿业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4,056,000.00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洋河股份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4,001,412.00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云南白药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3,952,207.00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华侨城Ａ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3,852,590.00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2.25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000726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鲁</w:t>
            </w:r>
            <w:r>
              <w:rPr>
                <w:rFonts w:ascii="宋体"/>
                <w:color w:val="000000"/>
                <w:kern w:val="0"/>
                <w:sz w:val="24"/>
                <w:szCs w:val="24"/>
              </w:rPr>
              <w:t xml:space="preserve">  </w:t>
            </w:r>
            <w:r>
              <w:rPr>
                <w:rFonts w:hint="eastAsia" w:ascii="宋体"/>
                <w:color w:val="000000"/>
                <w:kern w:val="0"/>
                <w:sz w:val="24"/>
                <w:szCs w:val="24"/>
              </w:rPr>
              <w:t>泰Ａ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3,805,120.00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000550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江铃汽车</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3,637,200.00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唐人神</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3,552,000.00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法拉电子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3,487,000.00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浦发银行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3,302,400.00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1.93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002568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百润股份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3,235,410.00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000002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万</w:t>
            </w:r>
            <w:r>
              <w:rPr>
                <w:rFonts w:ascii="宋体"/>
                <w:color w:val="000000"/>
                <w:kern w:val="0"/>
                <w:sz w:val="24"/>
                <w:szCs w:val="24"/>
              </w:rPr>
              <w:t xml:space="preserve">  </w:t>
            </w:r>
            <w:r>
              <w:rPr>
                <w:rFonts w:hint="eastAsia" w:ascii="宋体"/>
                <w:color w:val="000000"/>
                <w:kern w:val="0"/>
                <w:sz w:val="24"/>
                <w:szCs w:val="24"/>
              </w:rPr>
              <w:t>科Ａ</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3,203,200.00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1.87</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注：本期累计卖出金额按买卖成交金额</w:t>
      </w:r>
      <w:r>
        <w:rPr>
          <w:rFonts w:ascii="宋体"/>
          <w:color w:val="000000"/>
          <w:kern w:val="0"/>
          <w:szCs w:val="24"/>
        </w:rPr>
        <w:t>,</w:t>
      </w:r>
      <w:r>
        <w:rPr>
          <w:rFonts w:hint="eastAsia" w:ascii="宋体"/>
          <w:color w:val="000000"/>
          <w:kern w:val="0"/>
          <w:szCs w:val="24"/>
        </w:rPr>
        <w:t>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8.4.3 </w:t>
      </w:r>
      <w:r>
        <w:rPr>
          <w:rFonts w:hint="eastAsia" w:ascii="宋体"/>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147,515,210.10</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136,384,031.31</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2" w:name="_Toc446321387"/>
      <w:r>
        <w:rPr>
          <w:rFonts w:ascii="宋体"/>
          <w:b/>
          <w:color w:val="000000"/>
          <w:kern w:val="0"/>
          <w:sz w:val="24"/>
          <w:szCs w:val="24"/>
        </w:rPr>
        <w:t xml:space="preserve">8.5 </w:t>
      </w:r>
      <w:r>
        <w:rPr>
          <w:rFonts w:hint="eastAsia" w:ascii="宋体"/>
          <w:b/>
          <w:color w:val="000000"/>
          <w:kern w:val="0"/>
          <w:sz w:val="24"/>
          <w:szCs w:val="24"/>
        </w:rPr>
        <w:t>期末按债券品种分类的债券投资组合</w:t>
      </w:r>
      <w:bookmarkEnd w:id="42"/>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60,744,000.00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35.41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18,603,776.70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18,603,776.70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10.84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25,149,000.00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14.66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20,060,000.00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11.69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52,553,000.00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30.63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177,109,776.70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103.24</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3" w:name="_Toc446321388"/>
      <w:r>
        <w:rPr>
          <w:rFonts w:ascii="宋体"/>
          <w:b/>
          <w:color w:val="000000"/>
          <w:kern w:val="0"/>
          <w:sz w:val="24"/>
          <w:szCs w:val="24"/>
        </w:rPr>
        <w:t xml:space="preserve">8.6 </w:t>
      </w:r>
      <w:r>
        <w:rPr>
          <w:rFonts w:hint="eastAsia" w:ascii="宋体"/>
          <w:b/>
          <w:color w:val="000000"/>
          <w:kern w:val="0"/>
          <w:sz w:val="24"/>
          <w:szCs w:val="24"/>
        </w:rPr>
        <w:t>期末按公允价值占基金资产净值比例大小排序的前五名债券投资明细</w:t>
      </w:r>
      <w:bookmarkEnd w:id="43"/>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722"/>
        <w:gridCol w:w="1445"/>
        <w:gridCol w:w="1445"/>
        <w:gridCol w:w="1806"/>
        <w:gridCol w:w="1806"/>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占基金资产净值比例</w:t>
            </w:r>
            <w:r>
              <w:rPr>
                <w:rFonts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150023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附息国债</w:t>
            </w:r>
            <w:r>
              <w:rPr>
                <w:rFonts w:ascii="宋体"/>
                <w:color w:val="000000"/>
                <w:kern w:val="0"/>
                <w:sz w:val="24"/>
                <w:szCs w:val="24"/>
              </w:rPr>
              <w:t>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50,720,000.00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29.57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1480042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14</w:t>
            </w:r>
            <w:r>
              <w:rPr>
                <w:rFonts w:hint="eastAsia" w:ascii="宋体"/>
                <w:color w:val="000000"/>
                <w:kern w:val="0"/>
                <w:sz w:val="24"/>
                <w:szCs w:val="24"/>
              </w:rPr>
              <w:t>泉州高新债</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11,145,000.00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6.50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101354013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r>
              <w:rPr>
                <w:rFonts w:hint="eastAsia" w:ascii="宋体"/>
                <w:color w:val="000000"/>
                <w:kern w:val="0"/>
                <w:sz w:val="24"/>
                <w:szCs w:val="24"/>
              </w:rPr>
              <w:t>浙能源</w:t>
            </w:r>
            <w:r>
              <w:rPr>
                <w:rFonts w:ascii="宋体"/>
                <w:color w:val="000000"/>
                <w:kern w:val="0"/>
                <w:sz w:val="24"/>
                <w:szCs w:val="24"/>
              </w:rPr>
              <w:t>MTN002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11,025,000.00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6.43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150210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15</w:t>
            </w:r>
            <w:r>
              <w:rPr>
                <w:rFonts w:hint="eastAsia" w:ascii="宋体"/>
                <w:color w:val="000000"/>
                <w:kern w:val="0"/>
                <w:sz w:val="24"/>
                <w:szCs w:val="24"/>
              </w:rPr>
              <w:t>国开</w:t>
            </w:r>
            <w:r>
              <w:rPr>
                <w:rFonts w:ascii="宋体"/>
                <w:color w:val="000000"/>
                <w:kern w:val="0"/>
                <w:sz w:val="24"/>
                <w:szCs w:val="24"/>
              </w:rPr>
              <w:t>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10,836,000.00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6.32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1382056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13</w:t>
            </w:r>
            <w:r>
              <w:rPr>
                <w:rFonts w:hint="eastAsia" w:ascii="宋体"/>
                <w:color w:val="000000"/>
                <w:kern w:val="0"/>
                <w:sz w:val="24"/>
                <w:szCs w:val="24"/>
              </w:rPr>
              <w:t>北车集</w:t>
            </w:r>
            <w:r>
              <w:rPr>
                <w:rFonts w:ascii="宋体"/>
                <w:color w:val="000000"/>
                <w:kern w:val="0"/>
                <w:sz w:val="24"/>
                <w:szCs w:val="24"/>
              </w:rPr>
              <w:t>MTN1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10,487,000.00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6.11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4" w:name="_Toc446321389"/>
      <w:r>
        <w:rPr>
          <w:rFonts w:ascii="宋体"/>
          <w:b/>
          <w:color w:val="000000"/>
          <w:kern w:val="0"/>
          <w:sz w:val="24"/>
          <w:szCs w:val="24"/>
        </w:rPr>
        <w:t xml:space="preserve">8.7 </w:t>
      </w:r>
      <w:r>
        <w:rPr>
          <w:rFonts w:hint="eastAsia" w:ascii="宋体"/>
          <w:b/>
          <w:color w:val="000000"/>
          <w:kern w:val="0"/>
          <w:sz w:val="24"/>
          <w:szCs w:val="24"/>
        </w:rPr>
        <w:t>期末按公允价值占基金资产净值比例大小排序的所有资产支持证券投资明细</w:t>
      </w:r>
      <w:bookmarkEnd w:id="44"/>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本基金本报告期末未持有资产支持证券。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5" w:name="_Toc446321390"/>
      <w:r>
        <w:rPr>
          <w:rFonts w:ascii="宋体"/>
          <w:b/>
          <w:color w:val="000000"/>
          <w:kern w:val="0"/>
          <w:sz w:val="24"/>
          <w:szCs w:val="24"/>
        </w:rPr>
        <w:t xml:space="preserve">8.8 </w:t>
      </w:r>
      <w:r>
        <w:rPr>
          <w:rFonts w:hint="eastAsia" w:ascii="宋体"/>
          <w:b/>
          <w:color w:val="000000"/>
          <w:kern w:val="0"/>
          <w:sz w:val="24"/>
          <w:szCs w:val="24"/>
        </w:rPr>
        <w:t>报告期末按公允价值占基金资产净值比例大小排序的前五名贵金属投资明细</w:t>
      </w:r>
      <w:bookmarkEnd w:id="45"/>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本基金本报告期末未持有贵金属。</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6" w:name="_Toc446321391"/>
      <w:r>
        <w:rPr>
          <w:rFonts w:ascii="宋体"/>
          <w:b/>
          <w:color w:val="000000"/>
          <w:kern w:val="0"/>
          <w:sz w:val="24"/>
          <w:szCs w:val="24"/>
        </w:rPr>
        <w:t xml:space="preserve">8.9 </w:t>
      </w:r>
      <w:r>
        <w:rPr>
          <w:rFonts w:hint="eastAsia" w:ascii="宋体"/>
          <w:b/>
          <w:color w:val="000000"/>
          <w:kern w:val="0"/>
          <w:sz w:val="24"/>
          <w:szCs w:val="24"/>
        </w:rPr>
        <w:t>期末按公允价值占基金资产净值比例大小排序的前五名权证投资明细</w:t>
      </w:r>
      <w:bookmarkEnd w:id="46"/>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本基金本报告期末未持有权证。</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7" w:name="_Toc446321392"/>
      <w:r>
        <w:rPr>
          <w:rFonts w:ascii="宋体"/>
          <w:b/>
          <w:color w:val="000000"/>
          <w:kern w:val="0"/>
          <w:sz w:val="24"/>
          <w:szCs w:val="24"/>
        </w:rPr>
        <w:t xml:space="preserve">8.10 </w:t>
      </w:r>
      <w:r>
        <w:rPr>
          <w:rFonts w:hint="eastAsia" w:ascii="宋体"/>
          <w:b/>
          <w:color w:val="000000"/>
          <w:kern w:val="0"/>
          <w:sz w:val="24"/>
          <w:szCs w:val="24"/>
        </w:rPr>
        <w:t>报告期末本基金投资的股指期货交易情况说明</w:t>
      </w:r>
      <w:bookmarkEnd w:id="47"/>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8.10.1 </w:t>
      </w:r>
      <w:r>
        <w:rPr>
          <w:rFonts w:hint="eastAsia" w:ascii="宋体"/>
          <w:b/>
          <w:color w:val="000000"/>
          <w:kern w:val="0"/>
          <w:sz w:val="24"/>
          <w:szCs w:val="24"/>
        </w:rPr>
        <w:t>报告期末本基金投资的股指期货持仓和损益明细</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本基金本报告期未投资股指期货。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8" w:name="_Toc446321393"/>
      <w:r>
        <w:rPr>
          <w:rFonts w:ascii="宋体"/>
          <w:b/>
          <w:color w:val="000000"/>
          <w:kern w:val="0"/>
          <w:sz w:val="24"/>
          <w:szCs w:val="24"/>
        </w:rPr>
        <w:t xml:space="preserve">8.11 </w:t>
      </w:r>
      <w:r>
        <w:rPr>
          <w:rFonts w:hint="eastAsia" w:ascii="宋体"/>
          <w:b/>
          <w:color w:val="000000"/>
          <w:kern w:val="0"/>
          <w:sz w:val="24"/>
          <w:szCs w:val="24"/>
        </w:rPr>
        <w:t>报告期末本基金投资的国债期货交易情况说明</w:t>
      </w:r>
      <w:bookmarkEnd w:id="48"/>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8.11.1 </w:t>
      </w:r>
      <w:r>
        <w:rPr>
          <w:rFonts w:hint="eastAsia" w:ascii="宋体"/>
          <w:b/>
          <w:color w:val="000000"/>
          <w:kern w:val="0"/>
          <w:sz w:val="24"/>
          <w:szCs w:val="24"/>
        </w:rPr>
        <w:t>报告期末本基金投资的国债期货持仓和损益明细</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本基金本报告期未投资国债期货。</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49" w:name="_Toc446321394"/>
      <w:r>
        <w:rPr>
          <w:rFonts w:ascii="宋体"/>
          <w:b/>
          <w:color w:val="000000"/>
          <w:kern w:val="0"/>
          <w:sz w:val="24"/>
          <w:szCs w:val="24"/>
        </w:rPr>
        <w:t xml:space="preserve">8.12 </w:t>
      </w:r>
      <w:r>
        <w:rPr>
          <w:rFonts w:hint="eastAsia" w:ascii="宋体"/>
          <w:b/>
          <w:color w:val="000000"/>
          <w:kern w:val="0"/>
          <w:sz w:val="24"/>
          <w:szCs w:val="24"/>
        </w:rPr>
        <w:t>投资组合报告附注</w:t>
      </w:r>
      <w:bookmarkEnd w:id="49"/>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8.12.1</w:t>
      </w:r>
      <w:r>
        <w:rPr>
          <w:rFonts w:hint="eastAsia" w:ascii="宋体"/>
          <w:b/>
          <w:color w:val="000000"/>
          <w:kern w:val="0"/>
          <w:sz w:val="24"/>
          <w:szCs w:val="24"/>
        </w:rPr>
        <w:t xml:space="preserve"> 基金投资前十名证券的发行主体被监管部门立案调查或编制日前一年内受到公开谴责、处罚的投资决策程序说明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本基金投资的前十名证券的发行主体本期没有出现被监管部门立案调查，或在报告编制日前一年内受到公开谴责、处罚的情形。</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8.12.2</w:t>
      </w:r>
      <w:r>
        <w:rPr>
          <w:rFonts w:hint="eastAsia" w:ascii="宋体"/>
          <w:b/>
          <w:color w:val="000000"/>
          <w:kern w:val="0"/>
          <w:sz w:val="24"/>
          <w:szCs w:val="24"/>
        </w:rPr>
        <w:t xml:space="preserve"> 基金投资前十名股票中投资于超出基金合同规定备选股票库之外的投资决策程序说明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本基金投资的前十名股票没有超出基金合同规定的备选股票库。</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8.12.3 </w:t>
      </w:r>
      <w:r>
        <w:rPr>
          <w:rFonts w:hint="eastAsia" w:ascii="宋体"/>
          <w:b/>
          <w:color w:val="000000"/>
          <w:kern w:val="0"/>
          <w:sz w:val="24"/>
          <w:szCs w:val="24"/>
        </w:rPr>
        <w:t>期末其他各项资产构成</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单位：人民币元</w:t>
      </w:r>
    </w:p>
    <w:tbl>
      <w:tblPr>
        <w:tblStyle w:val="10"/>
        <w:tblW w:w="0" w:type="auto"/>
        <w:tblInd w:w="108" w:type="dxa"/>
        <w:tblLayout w:type="fixed"/>
        <w:tblCellMar>
          <w:top w:w="0" w:type="dxa"/>
          <w:left w:w="108" w:type="dxa"/>
          <w:bottom w:w="0" w:type="dxa"/>
          <w:right w:w="108" w:type="dxa"/>
        </w:tblCellMar>
      </w:tblPr>
      <w:tblGrid>
        <w:gridCol w:w="722"/>
        <w:gridCol w:w="4335"/>
        <w:gridCol w:w="3973"/>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金额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57,925.15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2,964,542.02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500.00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3,022,967.17</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8.12.4 </w:t>
      </w:r>
      <w:r>
        <w:rPr>
          <w:rFonts w:hint="eastAsia" w:ascii="宋体"/>
          <w:b/>
          <w:color w:val="000000"/>
          <w:kern w:val="0"/>
          <w:sz w:val="24"/>
          <w:szCs w:val="24"/>
        </w:rPr>
        <w:t>期末持有的处于转股期的可转换债券明细</w:t>
      </w:r>
    </w:p>
    <w:p>
      <w:pPr>
        <w:autoSpaceDE w:val="0"/>
        <w:autoSpaceDN w:val="0"/>
        <w:adjustRightInd w:val="0"/>
        <w:spacing w:before="29" w:line="288" w:lineRule="auto"/>
        <w:ind w:left="15" w:leftChars="7" w:firstLine="480" w:firstLineChars="200"/>
        <w:jc w:val="left"/>
        <w:rPr>
          <w:rFonts w:ascii="宋体"/>
          <w:color w:val="000000"/>
          <w:kern w:val="0"/>
          <w:szCs w:val="24"/>
        </w:rPr>
      </w:pPr>
      <w:r>
        <w:rPr>
          <w:rFonts w:hint="eastAsia" w:ascii="宋体"/>
          <w:color w:val="000000"/>
          <w:kern w:val="0"/>
          <w:sz w:val="24"/>
          <w:szCs w:val="24"/>
        </w:rPr>
        <w:t>本基金本报告期末未持有处于转股期的可转换债券。</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8.12.5 </w:t>
      </w:r>
      <w:r>
        <w:rPr>
          <w:rFonts w:hint="eastAsia" w:ascii="宋体"/>
          <w:b/>
          <w:color w:val="000000"/>
          <w:kern w:val="0"/>
          <w:sz w:val="24"/>
          <w:szCs w:val="24"/>
        </w:rPr>
        <w:t>期末前十名股票中存在流通受限情况的说明</w:t>
      </w:r>
    </w:p>
    <w:p>
      <w:pPr>
        <w:autoSpaceDE w:val="0"/>
        <w:autoSpaceDN w:val="0"/>
        <w:adjustRightInd w:val="0"/>
        <w:spacing w:before="29" w:line="288" w:lineRule="auto"/>
        <w:ind w:left="15" w:leftChars="7" w:firstLine="480" w:firstLineChars="200"/>
        <w:jc w:val="left"/>
        <w:rPr>
          <w:rFonts w:ascii="宋体"/>
          <w:color w:val="000000"/>
          <w:kern w:val="0"/>
          <w:sz w:val="24"/>
          <w:szCs w:val="24"/>
        </w:rPr>
      </w:pPr>
      <w:r>
        <w:rPr>
          <w:rFonts w:hint="eastAsia" w:ascii="宋体"/>
          <w:color w:val="000000"/>
          <w:kern w:val="0"/>
          <w:sz w:val="24"/>
          <w:szCs w:val="24"/>
        </w:rPr>
        <w:t>本基金本报告期末前十名股票不存在流通受限的情况。</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0" w:name="_Toc446321395"/>
      <w:r>
        <w:rPr>
          <w:rFonts w:hint="eastAsia" w:ascii="宋体"/>
          <w:b/>
          <w:color w:val="000000"/>
          <w:kern w:val="0"/>
          <w:sz w:val="24"/>
          <w:szCs w:val="24"/>
        </w:rPr>
        <w:t>§</w:t>
      </w:r>
      <w:r>
        <w:rPr>
          <w:rFonts w:ascii="宋体"/>
          <w:b/>
          <w:color w:val="000000"/>
          <w:kern w:val="0"/>
          <w:sz w:val="24"/>
          <w:szCs w:val="24"/>
        </w:rPr>
        <w:t xml:space="preserve">9 </w:t>
      </w:r>
      <w:r>
        <w:rPr>
          <w:rFonts w:hint="eastAsia" w:ascii="宋体"/>
          <w:b/>
          <w:color w:val="000000"/>
          <w:kern w:val="0"/>
          <w:sz w:val="24"/>
          <w:szCs w:val="24"/>
        </w:rPr>
        <w:t>基金份额持有人信息</w:t>
      </w:r>
      <w:bookmarkEnd w:id="50"/>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1" w:name="_Toc446321396"/>
      <w:r>
        <w:rPr>
          <w:rFonts w:ascii="宋体"/>
          <w:b/>
          <w:color w:val="000000"/>
          <w:kern w:val="0"/>
          <w:sz w:val="24"/>
          <w:szCs w:val="24"/>
        </w:rPr>
        <w:t xml:space="preserve">9.1 </w:t>
      </w:r>
      <w:r>
        <w:rPr>
          <w:rFonts w:hint="eastAsia" w:ascii="宋体"/>
          <w:b/>
          <w:color w:val="000000"/>
          <w:kern w:val="0"/>
          <w:sz w:val="24"/>
          <w:szCs w:val="24"/>
        </w:rPr>
        <w:t>期末基金份额持有人户数及持有人结构</w:t>
      </w:r>
      <w:bookmarkEnd w:id="51"/>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份额单位：份</w:t>
      </w:r>
    </w:p>
    <w:tbl>
      <w:tblPr>
        <w:tblStyle w:val="10"/>
        <w:tblW w:w="0" w:type="auto"/>
        <w:tblInd w:w="108" w:type="dxa"/>
        <w:tblLayout w:type="fixed"/>
        <w:tblCellMar>
          <w:top w:w="0" w:type="dxa"/>
          <w:left w:w="108" w:type="dxa"/>
          <w:bottom w:w="0" w:type="dxa"/>
          <w:right w:w="108" w:type="dxa"/>
        </w:tblCellMar>
      </w:tblPr>
      <w:tblGrid>
        <w:gridCol w:w="1084"/>
        <w:gridCol w:w="1444"/>
        <w:gridCol w:w="1445"/>
        <w:gridCol w:w="847"/>
        <w:gridCol w:w="1134"/>
        <w:gridCol w:w="1992"/>
        <w:gridCol w:w="1084"/>
      </w:tblGrid>
      <w:tr>
        <w:tblPrEx>
          <w:tblCellMar>
            <w:top w:w="0" w:type="dxa"/>
            <w:left w:w="108" w:type="dxa"/>
            <w:bottom w:w="0" w:type="dxa"/>
            <w:right w:w="108" w:type="dxa"/>
          </w:tblCellMar>
        </w:tblPrEx>
        <w:trPr>
          <w:wBefore w:w="0" w:type="dxa"/>
          <w:wAfter w:w="0" w:type="dxa"/>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级别</w:t>
            </w:r>
          </w:p>
        </w:tc>
        <w:tc>
          <w:tcPr>
            <w:tcW w:w="144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持有人户数</w:t>
            </w:r>
          </w:p>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w:t>
            </w:r>
            <w:r>
              <w:rPr>
                <w:rFonts w:hint="eastAsia" w:ascii="宋体"/>
                <w:color w:val="000000"/>
                <w:kern w:val="0"/>
                <w:sz w:val="24"/>
                <w:szCs w:val="24"/>
              </w:rPr>
              <w:t>户</w:t>
            </w:r>
            <w:r>
              <w:rPr>
                <w:rFonts w:ascii="宋体"/>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持有人结构</w:t>
            </w:r>
          </w:p>
        </w:tc>
      </w:tr>
      <w:tr>
        <w:tblPrEx>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98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机构投资者</w:t>
            </w:r>
          </w:p>
        </w:tc>
        <w:tc>
          <w:tcPr>
            <w:tcW w:w="3076"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个人投资者</w:t>
            </w:r>
          </w:p>
        </w:tc>
      </w:tr>
      <w:tr>
        <w:tblPrEx>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84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1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c>
          <w:tcPr>
            <w:tcW w:w="199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占总份额</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比例</w:t>
            </w:r>
          </w:p>
        </w:tc>
      </w:tr>
      <w:tr>
        <w:tblPrEx>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121,</w:t>
            </w:r>
            <w:r>
              <w:rPr>
                <w:rFonts w:hint="eastAsia" w:ascii="宋体"/>
                <w:color w:val="000000"/>
                <w:kern w:val="0"/>
                <w:sz w:val="24"/>
                <w:szCs w:val="24"/>
              </w:rPr>
              <w:t>304</w:t>
            </w:r>
            <w:r>
              <w:rPr>
                <w:rFonts w:ascii="宋体"/>
                <w:color w:val="000000"/>
                <w:kern w:val="0"/>
                <w:sz w:val="24"/>
                <w:szCs w:val="24"/>
              </w:rPr>
              <w:t>.</w:t>
            </w:r>
            <w:r>
              <w:rPr>
                <w:rFonts w:hint="eastAsia" w:ascii="宋体"/>
                <w:color w:val="000000"/>
                <w:kern w:val="0"/>
                <w:sz w:val="24"/>
                <w:szCs w:val="24"/>
              </w:rPr>
              <w:t>72</w:t>
            </w:r>
          </w:p>
        </w:tc>
        <w:tc>
          <w:tcPr>
            <w:tcW w:w="84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1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99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123,245,595.19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r>
      <w:tr>
        <w:tblPrEx>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435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85,</w:t>
            </w:r>
            <w:r>
              <w:rPr>
                <w:rFonts w:hint="eastAsia" w:ascii="宋体"/>
                <w:color w:val="000000"/>
                <w:kern w:val="0"/>
                <w:sz w:val="24"/>
                <w:szCs w:val="24"/>
              </w:rPr>
              <w:t>561</w:t>
            </w:r>
            <w:r>
              <w:rPr>
                <w:rFonts w:ascii="宋体"/>
                <w:color w:val="000000"/>
                <w:kern w:val="0"/>
                <w:sz w:val="24"/>
                <w:szCs w:val="24"/>
              </w:rPr>
              <w:t>.</w:t>
            </w:r>
            <w:r>
              <w:rPr>
                <w:rFonts w:hint="eastAsia" w:ascii="宋体"/>
                <w:color w:val="000000"/>
                <w:kern w:val="0"/>
                <w:sz w:val="24"/>
                <w:szCs w:val="24"/>
              </w:rPr>
              <w:t>49</w:t>
            </w:r>
          </w:p>
        </w:tc>
        <w:tc>
          <w:tcPr>
            <w:tcW w:w="84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1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99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37,219,249.95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r>
      <w:tr>
        <w:tblPrEx>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1,451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110</w:t>
            </w:r>
            <w:r>
              <w:rPr>
                <w:rFonts w:ascii="宋体"/>
                <w:color w:val="000000"/>
                <w:kern w:val="0"/>
                <w:sz w:val="24"/>
                <w:szCs w:val="24"/>
              </w:rPr>
              <w:t>,</w:t>
            </w:r>
            <w:r>
              <w:rPr>
                <w:rFonts w:hint="eastAsia" w:ascii="宋体"/>
                <w:color w:val="000000"/>
                <w:kern w:val="0"/>
                <w:sz w:val="24"/>
                <w:szCs w:val="24"/>
              </w:rPr>
              <w:t>589</w:t>
            </w:r>
            <w:r>
              <w:rPr>
                <w:rFonts w:ascii="宋体"/>
                <w:color w:val="000000"/>
                <w:kern w:val="0"/>
                <w:sz w:val="24"/>
                <w:szCs w:val="24"/>
              </w:rPr>
              <w:t>.</w:t>
            </w:r>
            <w:r>
              <w:rPr>
                <w:rFonts w:hint="eastAsia" w:ascii="宋体"/>
                <w:color w:val="000000"/>
                <w:kern w:val="0"/>
                <w:sz w:val="24"/>
                <w:szCs w:val="24"/>
              </w:rPr>
              <w:t>14</w:t>
            </w:r>
          </w:p>
        </w:tc>
        <w:tc>
          <w:tcPr>
            <w:tcW w:w="84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w:t>
            </w:r>
          </w:p>
        </w:tc>
        <w:tc>
          <w:tcPr>
            <w:tcW w:w="11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w:t>
            </w:r>
          </w:p>
        </w:tc>
        <w:tc>
          <w:tcPr>
            <w:tcW w:w="199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ascii="宋体"/>
                <w:color w:val="000000"/>
                <w:kern w:val="0"/>
                <w:sz w:val="24"/>
                <w:szCs w:val="24"/>
              </w:rPr>
              <w:t>160,464,845.14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100.00%</w:t>
            </w: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注：本报告期内未召开基金份额持有人大会。</w:t>
      </w:r>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2" w:name="_Toc446321397"/>
      <w:r>
        <w:rPr>
          <w:rFonts w:ascii="宋体"/>
          <w:b/>
          <w:color w:val="000000"/>
          <w:kern w:val="0"/>
          <w:sz w:val="24"/>
          <w:szCs w:val="24"/>
        </w:rPr>
        <w:t xml:space="preserve">9.2 </w:t>
      </w:r>
      <w:r>
        <w:rPr>
          <w:rFonts w:hint="eastAsia" w:ascii="宋体"/>
          <w:b/>
          <w:color w:val="000000"/>
          <w:kern w:val="0"/>
          <w:sz w:val="24"/>
          <w:szCs w:val="24"/>
        </w:rPr>
        <w:t>期末基金管理人的从业人员持有本基金的情况</w:t>
      </w:r>
      <w:bookmarkEnd w:id="52"/>
    </w:p>
    <w:tbl>
      <w:tblPr>
        <w:tblStyle w:val="10"/>
        <w:tblW w:w="0" w:type="auto"/>
        <w:tblInd w:w="108" w:type="dxa"/>
        <w:tblLayout w:type="fixed"/>
        <w:tblCellMar>
          <w:top w:w="0" w:type="dxa"/>
          <w:left w:w="108" w:type="dxa"/>
          <w:bottom w:w="0" w:type="dxa"/>
          <w:right w:w="108" w:type="dxa"/>
        </w:tblCellMar>
      </w:tblPr>
      <w:tblGrid>
        <w:gridCol w:w="3251"/>
        <w:gridCol w:w="1445"/>
        <w:gridCol w:w="2167"/>
        <w:gridCol w:w="2167"/>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0.000000%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2,879.08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0.007700%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2,879.08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0.00</w:t>
            </w:r>
            <w:r>
              <w:rPr>
                <w:rFonts w:hint="eastAsia" w:ascii="宋体"/>
                <w:color w:val="000000"/>
                <w:kern w:val="0"/>
                <w:sz w:val="24"/>
                <w:szCs w:val="24"/>
              </w:rPr>
              <w:t>18</w:t>
            </w:r>
            <w:r>
              <w:rPr>
                <w:rFonts w:ascii="宋体"/>
                <w:color w:val="000000"/>
                <w:kern w:val="0"/>
                <w:sz w:val="24"/>
                <w:szCs w:val="24"/>
              </w:rPr>
              <w:t>00%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3" w:name="_Toc446321398"/>
      <w:r>
        <w:rPr>
          <w:rFonts w:ascii="宋体"/>
          <w:b/>
          <w:color w:val="000000"/>
          <w:kern w:val="0"/>
          <w:sz w:val="24"/>
          <w:szCs w:val="24"/>
        </w:rPr>
        <w:t xml:space="preserve">9.3 </w:t>
      </w:r>
      <w:r>
        <w:rPr>
          <w:rFonts w:hint="eastAsia" w:ascii="宋体"/>
          <w:b/>
          <w:color w:val="000000"/>
          <w:kern w:val="0"/>
          <w:sz w:val="24"/>
          <w:szCs w:val="24"/>
        </w:rPr>
        <w:t>期末基金管理人的从业人员持有本开放式基金份额总量区间情况</w:t>
      </w:r>
      <w:bookmarkEnd w:id="53"/>
    </w:p>
    <w:tbl>
      <w:tblPr>
        <w:tblStyle w:val="10"/>
        <w:tblW w:w="0" w:type="auto"/>
        <w:tblInd w:w="108" w:type="dxa"/>
        <w:tblLayout w:type="fixed"/>
        <w:tblCellMar>
          <w:top w:w="0" w:type="dxa"/>
          <w:left w:w="108" w:type="dxa"/>
          <w:bottom w:w="0" w:type="dxa"/>
          <w:right w:w="108" w:type="dxa"/>
        </w:tblCellMar>
      </w:tblPr>
      <w:tblGrid>
        <w:gridCol w:w="3251"/>
        <w:gridCol w:w="2167"/>
        <w:gridCol w:w="361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持有基金份额总量的数量区间</w:t>
            </w:r>
          </w:p>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（万份）</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A</w:t>
            </w:r>
            <w:r>
              <w:rPr>
                <w:rFonts w:hint="eastAsia" w:ascii="宋体"/>
                <w:color w:val="000000"/>
                <w:kern w:val="0"/>
                <w:sz w:val="24"/>
                <w:szCs w:val="24"/>
              </w:rPr>
              <w:t>级</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创金聚利</w:t>
            </w:r>
            <w:r>
              <w:rPr>
                <w:rFonts w:ascii="宋体"/>
                <w:color w:val="000000"/>
                <w:kern w:val="0"/>
                <w:sz w:val="24"/>
                <w:szCs w:val="24"/>
              </w:rPr>
              <w:t>C</w:t>
            </w:r>
            <w:r>
              <w:rPr>
                <w:rFonts w:hint="eastAsia" w:ascii="宋体"/>
                <w:color w:val="000000"/>
                <w:kern w:val="0"/>
                <w:sz w:val="24"/>
                <w:szCs w:val="24"/>
              </w:rPr>
              <w:t>级</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24"/>
                <w:szCs w:val="24"/>
              </w:rPr>
            </w:pPr>
            <w:r>
              <w:rPr>
                <w:rFonts w:hint="eastAsia" w:ascii="宋体"/>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宋体"/>
                <w:color w:val="000000"/>
                <w:kern w:val="0"/>
                <w:sz w:val="24"/>
                <w:szCs w:val="24"/>
              </w:rPr>
            </w:pPr>
            <w:r>
              <w:rPr>
                <w:rFonts w:ascii="宋体"/>
                <w:color w:val="000000"/>
                <w:kern w:val="0"/>
                <w:sz w:val="24"/>
                <w:szCs w:val="24"/>
              </w:rPr>
              <w:t>0</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4" w:name="_Toc446321399"/>
      <w:r>
        <w:rPr>
          <w:rFonts w:hint="eastAsia" w:ascii="宋体"/>
          <w:b/>
          <w:color w:val="000000"/>
          <w:kern w:val="0"/>
          <w:sz w:val="24"/>
          <w:szCs w:val="24"/>
        </w:rPr>
        <w:t>§</w:t>
      </w:r>
      <w:r>
        <w:rPr>
          <w:rFonts w:ascii="宋体"/>
          <w:b/>
          <w:color w:val="000000"/>
          <w:kern w:val="0"/>
          <w:sz w:val="24"/>
          <w:szCs w:val="24"/>
        </w:rPr>
        <w:t xml:space="preserve">10 </w:t>
      </w:r>
      <w:r>
        <w:rPr>
          <w:rFonts w:hint="eastAsia" w:ascii="宋体"/>
          <w:b/>
          <w:color w:val="000000"/>
          <w:kern w:val="0"/>
          <w:sz w:val="24"/>
          <w:szCs w:val="24"/>
        </w:rPr>
        <w:t>开放式基金份额变动</w:t>
      </w:r>
      <w:bookmarkEnd w:id="54"/>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单位：份</w:t>
      </w:r>
    </w:p>
    <w:tbl>
      <w:tblPr>
        <w:tblStyle w:val="10"/>
        <w:tblW w:w="0" w:type="auto"/>
        <w:tblInd w:w="108" w:type="dxa"/>
        <w:tblLayout w:type="fixed"/>
        <w:tblCellMar>
          <w:top w:w="0" w:type="dxa"/>
          <w:left w:w="108" w:type="dxa"/>
          <w:bottom w:w="0" w:type="dxa"/>
          <w:right w:w="108" w:type="dxa"/>
        </w:tblCellMar>
      </w:tblPr>
      <w:tblGrid>
        <w:gridCol w:w="3973"/>
        <w:gridCol w:w="2529"/>
        <w:gridCol w:w="2528"/>
      </w:tblGrid>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A</w:t>
            </w:r>
            <w:r>
              <w:rPr>
                <w:rFonts w:hint="eastAsia" w:ascii="Times New Roman" w:hAnsi="Times New Roman"/>
                <w:color w:val="000000"/>
                <w:kern w:val="0"/>
                <w:sz w:val="24"/>
                <w:szCs w:val="24"/>
              </w:rPr>
              <w:t>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创金聚利</w:t>
            </w:r>
            <w:r>
              <w:rPr>
                <w:rFonts w:ascii="Times New Roman" w:hAnsi="Times New Roman"/>
                <w:color w:val="000000"/>
                <w:kern w:val="0"/>
                <w:sz w:val="24"/>
                <w:szCs w:val="24"/>
              </w:rPr>
              <w:t>C</w:t>
            </w:r>
            <w:r>
              <w:rPr>
                <w:rFonts w:hint="eastAsia" w:ascii="Times New Roman" w:hAnsi="Times New Roman"/>
                <w:color w:val="000000"/>
                <w:kern w:val="0"/>
                <w:sz w:val="24"/>
                <w:szCs w:val="24"/>
              </w:rPr>
              <w:t>级</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基金合同生效日</w:t>
            </w:r>
            <w:r>
              <w:rPr>
                <w:rFonts w:ascii="宋体"/>
                <w:color w:val="000000"/>
                <w:kern w:val="0"/>
                <w:sz w:val="24"/>
                <w:szCs w:val="24"/>
              </w:rPr>
              <w:t>(2015</w:t>
            </w:r>
            <w:r>
              <w:rPr>
                <w:rFonts w:hint="eastAsia" w:ascii="宋体"/>
                <w:color w:val="000000"/>
                <w:kern w:val="0"/>
                <w:sz w:val="24"/>
                <w:szCs w:val="24"/>
              </w:rPr>
              <w:t>年</w:t>
            </w:r>
            <w:r>
              <w:rPr>
                <w:rFonts w:ascii="宋体"/>
                <w:color w:val="000000"/>
                <w:kern w:val="0"/>
                <w:sz w:val="24"/>
                <w:szCs w:val="24"/>
              </w:rPr>
              <w:t>05</w:t>
            </w:r>
            <w:r>
              <w:rPr>
                <w:rFonts w:hint="eastAsia" w:ascii="宋体"/>
                <w:color w:val="000000"/>
                <w:kern w:val="0"/>
                <w:sz w:val="24"/>
                <w:szCs w:val="24"/>
              </w:rPr>
              <w:t>月</w:t>
            </w:r>
            <w:r>
              <w:rPr>
                <w:rFonts w:ascii="宋体"/>
                <w:color w:val="000000"/>
                <w:kern w:val="0"/>
                <w:sz w:val="24"/>
                <w:szCs w:val="24"/>
              </w:rPr>
              <w:t>15</w:t>
            </w:r>
            <w:r>
              <w:rPr>
                <w:rFonts w:hint="eastAsia" w:ascii="宋体"/>
                <w:color w:val="000000"/>
                <w:kern w:val="0"/>
                <w:sz w:val="24"/>
                <w:szCs w:val="24"/>
              </w:rPr>
              <w:t>日</w:t>
            </w:r>
            <w:r>
              <w:rPr>
                <w:rFonts w:ascii="宋体"/>
                <w:color w:val="000000"/>
                <w:kern w:val="0"/>
                <w:sz w:val="24"/>
                <w:szCs w:val="24"/>
              </w:rPr>
              <w:t>)</w:t>
            </w:r>
            <w:r>
              <w:rPr>
                <w:rFonts w:hint="eastAsia" w:ascii="宋体"/>
                <w:color w:val="000000"/>
                <w:kern w:val="0"/>
                <w:sz w:val="24"/>
                <w:szCs w:val="24"/>
              </w:rPr>
              <w:t>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305,115,514.93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80,431,193.25</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本报告期基金总申购份额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8,468,725.89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17,968,481.48</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190,338,645.63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61,180,424.78</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宋体"/>
                <w:color w:val="000000"/>
                <w:kern w:val="0"/>
                <w:sz w:val="24"/>
                <w:szCs w:val="24"/>
              </w:rPr>
            </w:pPr>
            <w:r>
              <w:rPr>
                <w:rFonts w:hint="eastAsia" w:ascii="宋体"/>
                <w:color w:val="000000"/>
                <w:kern w:val="0"/>
                <w:sz w:val="24"/>
                <w:szCs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123,245,595.19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37,219,249.95</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55" w:name="_Toc446321400"/>
      <w:r>
        <w:rPr>
          <w:rFonts w:hint="eastAsia" w:ascii="宋体"/>
          <w:b/>
          <w:color w:val="000000"/>
          <w:kern w:val="0"/>
          <w:sz w:val="24"/>
          <w:szCs w:val="24"/>
        </w:rPr>
        <w:t>§</w:t>
      </w:r>
      <w:r>
        <w:rPr>
          <w:rFonts w:ascii="宋体"/>
          <w:b/>
          <w:color w:val="000000"/>
          <w:kern w:val="0"/>
          <w:sz w:val="24"/>
          <w:szCs w:val="24"/>
        </w:rPr>
        <w:t xml:space="preserve">11 </w:t>
      </w:r>
      <w:r>
        <w:rPr>
          <w:rFonts w:hint="eastAsia" w:ascii="宋体"/>
          <w:b/>
          <w:color w:val="000000"/>
          <w:kern w:val="0"/>
          <w:sz w:val="24"/>
          <w:szCs w:val="24"/>
        </w:rPr>
        <w:t>重大事件揭示</w:t>
      </w:r>
      <w:bookmarkEnd w:id="55"/>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6" w:name="_Toc446321401"/>
      <w:r>
        <w:rPr>
          <w:rFonts w:ascii="宋体"/>
          <w:b/>
          <w:color w:val="000000"/>
          <w:kern w:val="0"/>
          <w:sz w:val="24"/>
          <w:szCs w:val="24"/>
        </w:rPr>
        <w:t xml:space="preserve">11.1 </w:t>
      </w:r>
      <w:r>
        <w:rPr>
          <w:rFonts w:hint="eastAsia" w:ascii="宋体"/>
          <w:b/>
          <w:color w:val="000000"/>
          <w:kern w:val="0"/>
          <w:sz w:val="24"/>
          <w:szCs w:val="24"/>
        </w:rPr>
        <w:t>基金份额持有人大会决议</w:t>
      </w:r>
      <w:bookmarkEnd w:id="56"/>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报告期内无基金份额持有人大会决议。</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7" w:name="_Toc446321402"/>
      <w:r>
        <w:rPr>
          <w:rFonts w:ascii="宋体"/>
          <w:b/>
          <w:color w:val="000000"/>
          <w:kern w:val="0"/>
          <w:sz w:val="24"/>
          <w:szCs w:val="24"/>
        </w:rPr>
        <w:t xml:space="preserve">11.2 </w:t>
      </w:r>
      <w:r>
        <w:rPr>
          <w:rFonts w:hint="eastAsia" w:ascii="宋体"/>
          <w:b/>
          <w:color w:val="000000"/>
          <w:kern w:val="0"/>
          <w:sz w:val="24"/>
          <w:szCs w:val="24"/>
        </w:rPr>
        <w:t>基金管理人、基金托管人的专门基金托管部门的重大人事变动</w:t>
      </w:r>
      <w:bookmarkEnd w:id="57"/>
    </w:p>
    <w:p>
      <w:pPr>
        <w:autoSpaceDE w:val="0"/>
        <w:autoSpaceDN w:val="0"/>
        <w:adjustRightInd w:val="0"/>
        <w:spacing w:before="29" w:line="288" w:lineRule="auto"/>
        <w:ind w:left="15" w:firstLine="465"/>
        <w:jc w:val="left"/>
        <w:rPr>
          <w:rFonts w:hint="eastAsia" w:ascii="宋体"/>
          <w:color w:val="000000"/>
          <w:kern w:val="0"/>
          <w:sz w:val="24"/>
          <w:szCs w:val="24"/>
        </w:rPr>
      </w:pPr>
      <w:r>
        <w:rPr>
          <w:rFonts w:hint="eastAsia" w:ascii="宋体"/>
          <w:color w:val="000000"/>
          <w:kern w:val="0"/>
          <w:sz w:val="24"/>
          <w:szCs w:val="24"/>
        </w:rPr>
        <w:t>本报告期内，基金管理人未发生重大人事变动。</w:t>
      </w:r>
    </w:p>
    <w:p>
      <w:pPr>
        <w:autoSpaceDE w:val="0"/>
        <w:autoSpaceDN w:val="0"/>
        <w:adjustRightInd w:val="0"/>
        <w:spacing w:line="288" w:lineRule="auto"/>
        <w:ind w:left="15" w:firstLine="465"/>
        <w:jc w:val="left"/>
        <w:rPr>
          <w:rFonts w:ascii="宋体"/>
          <w:kern w:val="0"/>
          <w:sz w:val="24"/>
        </w:rPr>
      </w:pPr>
      <w:r>
        <w:rPr>
          <w:rFonts w:ascii="宋体"/>
          <w:kern w:val="0"/>
          <w:sz w:val="24"/>
        </w:rPr>
        <w:t>本报告期内，基金托管人的专门基金托管部门未发生重大人事变动。</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8" w:name="_Toc446321403"/>
      <w:r>
        <w:rPr>
          <w:rFonts w:ascii="宋体"/>
          <w:b/>
          <w:color w:val="000000"/>
          <w:kern w:val="0"/>
          <w:sz w:val="24"/>
          <w:szCs w:val="24"/>
        </w:rPr>
        <w:t xml:space="preserve">11.3 </w:t>
      </w:r>
      <w:r>
        <w:rPr>
          <w:rFonts w:hint="eastAsia" w:ascii="宋体"/>
          <w:b/>
          <w:color w:val="000000"/>
          <w:kern w:val="0"/>
          <w:sz w:val="24"/>
          <w:szCs w:val="24"/>
        </w:rPr>
        <w:t>涉及基金管理人、基金财产、基金托管业务的诉讼</w:t>
      </w:r>
      <w:bookmarkEnd w:id="58"/>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59" w:name="_Toc446321404"/>
      <w:r>
        <w:rPr>
          <w:rFonts w:ascii="宋体"/>
          <w:b/>
          <w:color w:val="000000"/>
          <w:kern w:val="0"/>
          <w:sz w:val="24"/>
          <w:szCs w:val="24"/>
        </w:rPr>
        <w:t xml:space="preserve">11.4 </w:t>
      </w:r>
      <w:r>
        <w:rPr>
          <w:rFonts w:hint="eastAsia" w:ascii="宋体"/>
          <w:b/>
          <w:color w:val="000000"/>
          <w:kern w:val="0"/>
          <w:sz w:val="24"/>
          <w:szCs w:val="24"/>
        </w:rPr>
        <w:t>基金投资策略的改变</w:t>
      </w:r>
      <w:bookmarkEnd w:id="59"/>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 xml:space="preserve">    </w:t>
      </w:r>
      <w:r>
        <w:rPr>
          <w:rFonts w:hint="eastAsia" w:ascii="宋体"/>
          <w:color w:val="000000"/>
          <w:kern w:val="0"/>
          <w:sz w:val="24"/>
          <w:szCs w:val="24"/>
        </w:rPr>
        <w:t>本报告期本基金主要操作是经历了二季度城投为主，到三季度之后逐步卖出城投债，换入利率长债以及高评级中票，提升组合整体久期和评级水平。</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hint="eastAsia" w:ascii="宋体"/>
          <w:b/>
          <w:color w:val="000000"/>
          <w:kern w:val="0"/>
          <w:sz w:val="24"/>
          <w:szCs w:val="24"/>
        </w:rPr>
      </w:pPr>
      <w:bookmarkStart w:id="60" w:name="_Toc446321405"/>
      <w:r>
        <w:rPr>
          <w:rFonts w:ascii="宋体"/>
          <w:b/>
          <w:color w:val="000000"/>
          <w:kern w:val="0"/>
          <w:sz w:val="24"/>
          <w:szCs w:val="24"/>
        </w:rPr>
        <w:t xml:space="preserve">11.5 </w:t>
      </w:r>
      <w:r>
        <w:rPr>
          <w:rFonts w:hint="eastAsia" w:ascii="宋体"/>
          <w:b/>
          <w:color w:val="000000"/>
          <w:kern w:val="0"/>
          <w:sz w:val="24"/>
          <w:szCs w:val="24"/>
        </w:rPr>
        <w:t>为基金进行审计的会计师事务所情况</w:t>
      </w:r>
      <w:bookmarkEnd w:id="60"/>
    </w:p>
    <w:p>
      <w:pPr>
        <w:autoSpaceDE w:val="0"/>
        <w:autoSpaceDN w:val="0"/>
        <w:adjustRightInd w:val="0"/>
        <w:spacing w:before="29" w:line="288" w:lineRule="auto"/>
        <w:ind w:left="15" w:firstLine="480" w:firstLineChars="200"/>
        <w:jc w:val="left"/>
        <w:outlineLvl w:val="1"/>
        <w:rPr>
          <w:rFonts w:ascii="宋体"/>
          <w:b/>
          <w:color w:val="000000"/>
          <w:kern w:val="0"/>
          <w:sz w:val="24"/>
          <w:szCs w:val="24"/>
        </w:rPr>
      </w:pPr>
      <w:bookmarkStart w:id="61" w:name="_Toc446318217"/>
      <w:bookmarkStart w:id="62" w:name="_Toc446321406"/>
      <w:r>
        <w:rPr>
          <w:rFonts w:ascii="宋体"/>
          <w:kern w:val="0"/>
          <w:sz w:val="24"/>
        </w:rPr>
        <w:t>本报告期内本基金未更换会计师事务所，本年度支付给普华永道中天会计师事务所(特殊普通合伙)审计费用53,000.00元，该审计机构连续提供审计服务的年限为1年。</w:t>
      </w:r>
      <w:bookmarkEnd w:id="61"/>
      <w:bookmarkEnd w:id="62"/>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3" w:name="_Toc446321407"/>
      <w:r>
        <w:rPr>
          <w:rFonts w:ascii="宋体"/>
          <w:b/>
          <w:color w:val="000000"/>
          <w:kern w:val="0"/>
          <w:sz w:val="24"/>
          <w:szCs w:val="24"/>
        </w:rPr>
        <w:t xml:space="preserve">11.6 </w:t>
      </w:r>
      <w:r>
        <w:rPr>
          <w:rFonts w:hint="eastAsia" w:ascii="宋体"/>
          <w:b/>
          <w:color w:val="000000"/>
          <w:kern w:val="0"/>
          <w:sz w:val="24"/>
          <w:szCs w:val="24"/>
        </w:rPr>
        <w:t>管理人、托管人及其高级管理人员受稽查或处罚等情况</w:t>
      </w:r>
      <w:bookmarkEnd w:id="63"/>
    </w:p>
    <w:p>
      <w:pPr>
        <w:autoSpaceDE w:val="0"/>
        <w:autoSpaceDN w:val="0"/>
        <w:adjustRightInd w:val="0"/>
        <w:spacing w:before="29" w:line="288" w:lineRule="auto"/>
        <w:ind w:left="15" w:firstLine="465"/>
        <w:jc w:val="left"/>
        <w:rPr>
          <w:rFonts w:ascii="宋体"/>
          <w:color w:val="000000"/>
          <w:kern w:val="0"/>
          <w:sz w:val="24"/>
          <w:szCs w:val="24"/>
        </w:rPr>
      </w:pPr>
      <w:r>
        <w:rPr>
          <w:rFonts w:hint="eastAsia" w:ascii="宋体"/>
          <w:color w:val="000000"/>
          <w:kern w:val="0"/>
          <w:sz w:val="24"/>
          <w:szCs w:val="24"/>
        </w:rPr>
        <w:t>本报告期内，</w:t>
      </w:r>
      <w:r>
        <w:rPr>
          <w:rFonts w:ascii="宋体"/>
          <w:kern w:val="0"/>
          <w:sz w:val="24"/>
        </w:rPr>
        <w:t>基金管理人、基金托管人及其高级管理人员没有受到监管部门稽查或处罚等情况。</w:t>
      </w:r>
    </w:p>
    <w:p>
      <w:pPr>
        <w:autoSpaceDE w:val="0"/>
        <w:autoSpaceDN w:val="0"/>
        <w:adjustRightInd w:val="0"/>
        <w:spacing w:before="29" w:line="288" w:lineRule="auto"/>
        <w:ind w:left="15" w:firstLine="465"/>
        <w:jc w:val="left"/>
        <w:rPr>
          <w:rFonts w:ascii="宋体"/>
          <w:color w:val="000000"/>
          <w:kern w:val="0"/>
          <w:sz w:val="24"/>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4" w:name="_Toc446321408"/>
      <w:r>
        <w:rPr>
          <w:rFonts w:ascii="宋体"/>
          <w:b/>
          <w:color w:val="000000"/>
          <w:kern w:val="0"/>
          <w:sz w:val="24"/>
          <w:szCs w:val="24"/>
        </w:rPr>
        <w:t xml:space="preserve">11.7 </w:t>
      </w:r>
      <w:r>
        <w:rPr>
          <w:rFonts w:hint="eastAsia" w:ascii="宋体"/>
          <w:b/>
          <w:color w:val="000000"/>
          <w:kern w:val="0"/>
          <w:sz w:val="24"/>
          <w:szCs w:val="24"/>
        </w:rPr>
        <w:t>基金租用证券公司交易单元的有关情况</w:t>
      </w:r>
      <w:bookmarkEnd w:id="64"/>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11.7.1 </w:t>
      </w:r>
      <w:r>
        <w:rPr>
          <w:rFonts w:hint="eastAsia" w:ascii="宋体"/>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交易单元</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备注</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宋体"/>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占股票</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占当期佣金</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283,892,586.41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198,373.16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宋体"/>
                <w:color w:val="000000"/>
                <w:kern w:val="0"/>
                <w:sz w:val="24"/>
                <w:szCs w:val="24"/>
              </w:rPr>
            </w:pPr>
          </w:p>
        </w:tc>
      </w:tr>
    </w:tbl>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注：交易单元的选择标准和程序：</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1</w:t>
      </w:r>
      <w:r>
        <w:rPr>
          <w:rFonts w:hint="eastAsia" w:ascii="宋体"/>
          <w:color w:val="000000"/>
          <w:kern w:val="0"/>
          <w:szCs w:val="24"/>
        </w:rPr>
        <w:t>）实力雄厚，信誉良好，注册资本不少于</w:t>
      </w:r>
      <w:r>
        <w:rPr>
          <w:rFonts w:ascii="宋体"/>
          <w:color w:val="000000"/>
          <w:kern w:val="0"/>
          <w:szCs w:val="24"/>
        </w:rPr>
        <w:t>5</w:t>
      </w:r>
      <w:r>
        <w:rPr>
          <w:rFonts w:hint="eastAsia" w:ascii="宋体"/>
          <w:color w:val="000000"/>
          <w:kern w:val="0"/>
          <w:szCs w:val="24"/>
        </w:rPr>
        <w:t>亿元人民币；</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2</w:t>
      </w:r>
      <w:r>
        <w:rPr>
          <w:rFonts w:hint="eastAsia" w:ascii="宋体"/>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3</w:t>
      </w:r>
      <w:r>
        <w:rPr>
          <w:rFonts w:hint="eastAsia" w:ascii="宋体"/>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4</w:t>
      </w:r>
      <w:r>
        <w:rPr>
          <w:rFonts w:hint="eastAsia" w:ascii="宋体"/>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w:t>
      </w:r>
      <w:r>
        <w:rPr>
          <w:rFonts w:ascii="宋体"/>
          <w:color w:val="000000"/>
          <w:kern w:val="0"/>
          <w:szCs w:val="24"/>
        </w:rPr>
        <w:t>5</w:t>
      </w:r>
      <w:r>
        <w:rPr>
          <w:rFonts w:hint="eastAsia" w:ascii="宋体"/>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宋体"/>
          <w:color w:val="000000"/>
          <w:kern w:val="0"/>
          <w:szCs w:val="24"/>
        </w:rPr>
      </w:pPr>
      <w:r>
        <w:rPr>
          <w:rFonts w:hint="eastAsia" w:ascii="宋体"/>
          <w:color w:val="000000"/>
          <w:kern w:val="0"/>
          <w:szCs w:val="24"/>
        </w:rPr>
        <w:t>本基金在报告期内成立，交易单元均于本期内新增。</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rPr>
          <w:rFonts w:ascii="宋体"/>
          <w:b/>
          <w:color w:val="000000"/>
          <w:kern w:val="0"/>
          <w:sz w:val="24"/>
          <w:szCs w:val="24"/>
        </w:rPr>
      </w:pPr>
      <w:r>
        <w:rPr>
          <w:rFonts w:ascii="宋体"/>
          <w:b/>
          <w:color w:val="000000"/>
          <w:kern w:val="0"/>
          <w:sz w:val="24"/>
          <w:szCs w:val="24"/>
        </w:rPr>
        <w:t xml:space="preserve">11.7.2 </w:t>
      </w:r>
      <w:r>
        <w:rPr>
          <w:rFonts w:hint="eastAsia" w:ascii="宋体"/>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宋体"/>
          <w:color w:val="000000"/>
          <w:kern w:val="0"/>
          <w:sz w:val="24"/>
          <w:szCs w:val="24"/>
        </w:rPr>
      </w:pPr>
      <w:r>
        <w:rPr>
          <w:rFonts w:hint="eastAsia" w:ascii="宋体"/>
          <w:color w:val="000000"/>
          <w:kern w:val="0"/>
          <w:sz w:val="24"/>
          <w:szCs w:val="24"/>
        </w:rPr>
        <w:t>金额单位：人民币元</w:t>
      </w:r>
    </w:p>
    <w:tbl>
      <w:tblPr>
        <w:tblStyle w:val="10"/>
        <w:tblW w:w="0" w:type="auto"/>
        <w:tblInd w:w="108" w:type="dxa"/>
        <w:tblLayout w:type="fixed"/>
        <w:tblCellMar>
          <w:top w:w="0" w:type="dxa"/>
          <w:left w:w="108" w:type="dxa"/>
          <w:bottom w:w="0" w:type="dxa"/>
          <w:right w:w="108" w:type="dxa"/>
        </w:tblCellMar>
      </w:tblPr>
      <w:tblGrid>
        <w:gridCol w:w="1445"/>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权证交易</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宋体"/>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占债券</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占债券回购</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占权证</w:t>
            </w:r>
          </w:p>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成交总额比例</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宋体"/>
                <w:color w:val="000000"/>
                <w:kern w:val="0"/>
                <w:sz w:val="18"/>
                <w:szCs w:val="24"/>
              </w:rPr>
            </w:pPr>
            <w:r>
              <w:rPr>
                <w:rFonts w:hint="eastAsia" w:ascii="宋体"/>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422,427,853.27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3,498,200,000.00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ascii="Times New Roman" w:hAnsi="Times New Roman"/>
                <w:color w:val="000000"/>
                <w:kern w:val="0"/>
                <w:sz w:val="18"/>
                <w:szCs w:val="24"/>
              </w:rPr>
              <w:t>100.00%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hint="eastAsia" w:ascii="MS Sans Serif" w:hAnsi="MS Sans Serif"/>
          <w:color w:val="000000"/>
          <w:kern w:val="0"/>
          <w:sz w:val="23"/>
          <w:szCs w:val="24"/>
        </w:rPr>
      </w:pPr>
    </w:p>
    <w:p>
      <w:pPr>
        <w:spacing w:before="29" w:line="288" w:lineRule="auto"/>
        <w:ind w:left="15"/>
        <w:jc w:val="left"/>
        <w:outlineLvl w:val="1"/>
        <w:rPr>
          <w:rFonts w:ascii="宋体" w:cs="宋体"/>
          <w:b/>
          <w:bCs/>
          <w:color w:val="000000"/>
          <w:sz w:val="24"/>
          <w:szCs w:val="24"/>
        </w:rPr>
      </w:pPr>
      <w:bookmarkStart w:id="65" w:name="_Toc446321409"/>
      <w:r>
        <w:rPr>
          <w:rFonts w:ascii="宋体" w:cs="宋体"/>
          <w:b/>
          <w:bCs/>
          <w:color w:val="000000"/>
          <w:sz w:val="24"/>
          <w:szCs w:val="24"/>
        </w:rPr>
        <w:t xml:space="preserve">11.8 </w:t>
      </w:r>
      <w:r>
        <w:rPr>
          <w:rFonts w:hint="eastAsia" w:ascii="宋体" w:cs="宋体"/>
          <w:b/>
          <w:bCs/>
          <w:color w:val="000000"/>
          <w:sz w:val="24"/>
          <w:szCs w:val="24"/>
        </w:rPr>
        <w:t>其他重大事件</w:t>
      </w:r>
      <w:bookmarkEnd w:id="65"/>
    </w:p>
    <w:tbl>
      <w:tblPr>
        <w:tblStyle w:val="10"/>
        <w:tblW w:w="0" w:type="auto"/>
        <w:tblInd w:w="108" w:type="dxa"/>
        <w:tblLayout w:type="fixed"/>
        <w:tblCellMar>
          <w:top w:w="0" w:type="dxa"/>
          <w:left w:w="108" w:type="dxa"/>
          <w:bottom w:w="0" w:type="dxa"/>
          <w:right w:w="108" w:type="dxa"/>
        </w:tblCellMar>
      </w:tblPr>
      <w:tblGrid>
        <w:gridCol w:w="722"/>
        <w:gridCol w:w="3612"/>
        <w:gridCol w:w="2890"/>
        <w:gridCol w:w="1806"/>
      </w:tblGrid>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hint="eastAsia" w:ascii="宋体" w:cs="宋体"/>
                <w:color w:val="00000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hint="eastAsia" w:ascii="宋体" w:cs="宋体"/>
                <w:color w:val="00000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hint="eastAsia" w:ascii="宋体" w:cs="宋体"/>
                <w:color w:val="00000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hint="eastAsia" w:ascii="宋体" w:cs="宋体"/>
                <w:color w:val="000000"/>
                <w:sz w:val="24"/>
                <w:szCs w:val="24"/>
              </w:rPr>
              <w:t>法定披露日期</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创金合信聚利债券型证券投资基金基金合同生效公告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2015-05-16</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创金合信聚利债券型证券投资基金基金开放日常申购（赎回、转换、定期定额投资）业务公告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2015-05-28</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关于参加中国工商银行个人电子银行基金申购费费率优惠活动的公告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2015-06-03</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创金合信聚利债券型证券投资基金基金经理变更公告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2015-06-12</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创金合信聚利债券型证券投资基金基金份额发售公告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2015-04-16</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创金合信基金管理有限公司关于增加天天基金为创金合信聚利债券型证券投资基金代销机构及参加天天基金网费率优惠的公告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2015-08-25</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关于创金合信基金管理有限公司旗下基金参与天天基金费率优惠活动的公告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2015-09-02</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创金合信聚利债券型证券投资基金开放定期定额投资业务的公告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2015-10-15</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创金合信聚利债券型证券投资基金</w:t>
            </w:r>
            <w:r>
              <w:rPr>
                <w:rFonts w:ascii="宋体" w:cs="宋体"/>
                <w:color w:val="000000"/>
                <w:sz w:val="24"/>
                <w:szCs w:val="24"/>
              </w:rPr>
              <w:t>2015</w:t>
            </w:r>
            <w:r>
              <w:rPr>
                <w:rFonts w:hint="eastAsia" w:ascii="宋体" w:cs="宋体"/>
                <w:color w:val="000000"/>
                <w:sz w:val="24"/>
                <w:szCs w:val="24"/>
              </w:rPr>
              <w:t>年第</w:t>
            </w:r>
            <w:r>
              <w:rPr>
                <w:rFonts w:ascii="宋体" w:cs="宋体"/>
                <w:color w:val="000000"/>
                <w:sz w:val="24"/>
                <w:szCs w:val="24"/>
              </w:rPr>
              <w:t>3</w:t>
            </w:r>
            <w:r>
              <w:rPr>
                <w:rFonts w:hint="eastAsia" w:ascii="宋体" w:cs="宋体"/>
                <w:color w:val="00000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2015-10-26</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创金合信基金管理有限公司关于增加上海陆金所资产管理有限公司为旗下基金代销机构并参与其费率优惠活动的公告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2015-10-29</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创金合信基金管理有限公司关于增加浙江同花顺基金销售有限公司为旗下基金代销机构并参与其费率优惠活动的公告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2015-11-25</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创金合信基金管理有限公司关于旗下基金增加定期定额投资业务代销机构的公告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2015-12-02</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创金合信基金管理有限公司关于增加兴业银行股份有限公司为旗下基金代销机构并参与其费率优惠活动的公告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2015-12-09</w:t>
            </w:r>
          </w:p>
        </w:tc>
      </w:tr>
      <w:tr>
        <w:tblPrEx>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center"/>
              <w:rPr>
                <w:rFonts w:ascii="宋体" w:cs="宋体"/>
                <w:color w:val="000000"/>
                <w:sz w:val="24"/>
                <w:szCs w:val="24"/>
              </w:rPr>
            </w:pPr>
            <w:r>
              <w:rPr>
                <w:rFonts w:ascii="宋体" w:cs="宋体"/>
                <w:color w:val="00000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left"/>
              <w:rPr>
                <w:rFonts w:ascii="宋体" w:cs="宋体"/>
                <w:color w:val="000000"/>
                <w:sz w:val="24"/>
                <w:szCs w:val="24"/>
              </w:rPr>
            </w:pPr>
            <w:r>
              <w:rPr>
                <w:rFonts w:hint="eastAsia" w:ascii="宋体" w:cs="宋体"/>
                <w:color w:val="000000"/>
                <w:sz w:val="24"/>
                <w:szCs w:val="24"/>
              </w:rPr>
              <w:t>关于指数熔断机制实施后对创金合信基金管理有限公司旗下公募基金业务规则影响的公告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hint="eastAsia" w:ascii="宋体" w:cs="宋体"/>
                <w:color w:val="000000"/>
                <w:sz w:val="24"/>
                <w:szCs w:val="24"/>
              </w:rPr>
              <w:t>上海证券报、公司网站</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spacing w:before="29" w:line="288" w:lineRule="auto"/>
              <w:ind w:left="15"/>
              <w:jc w:val="right"/>
              <w:rPr>
                <w:rFonts w:ascii="宋体" w:cs="宋体"/>
                <w:color w:val="000000"/>
                <w:sz w:val="24"/>
                <w:szCs w:val="24"/>
              </w:rPr>
            </w:pPr>
            <w:r>
              <w:rPr>
                <w:rFonts w:ascii="宋体" w:cs="宋体"/>
                <w:color w:val="000000"/>
                <w:sz w:val="24"/>
                <w:szCs w:val="24"/>
              </w:rPr>
              <w:t>2015-12-31</w:t>
            </w:r>
          </w:p>
        </w:tc>
      </w:tr>
    </w:tbl>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66" w:name="_Toc446321410"/>
      <w:r>
        <w:rPr>
          <w:rFonts w:hint="eastAsia" w:ascii="宋体"/>
          <w:b/>
          <w:color w:val="000000"/>
          <w:kern w:val="0"/>
          <w:sz w:val="24"/>
          <w:szCs w:val="24"/>
        </w:rPr>
        <w:t>§</w:t>
      </w:r>
      <w:r>
        <w:rPr>
          <w:rFonts w:ascii="宋体"/>
          <w:b/>
          <w:color w:val="000000"/>
          <w:kern w:val="0"/>
          <w:sz w:val="24"/>
          <w:szCs w:val="24"/>
        </w:rPr>
        <w:t xml:space="preserve">12 </w:t>
      </w:r>
      <w:r>
        <w:rPr>
          <w:rFonts w:hint="eastAsia" w:ascii="宋体"/>
          <w:b/>
          <w:color w:val="000000"/>
          <w:kern w:val="0"/>
          <w:sz w:val="24"/>
          <w:szCs w:val="24"/>
        </w:rPr>
        <w:t>影响投资者决策的其他重要信息</w:t>
      </w:r>
      <w:bookmarkEnd w:id="66"/>
    </w:p>
    <w:p>
      <w:pPr>
        <w:autoSpaceDE w:val="0"/>
        <w:autoSpaceDN w:val="0"/>
        <w:adjustRightInd w:val="0"/>
        <w:spacing w:line="288" w:lineRule="auto"/>
        <w:jc w:val="left"/>
        <w:rPr>
          <w:rFonts w:ascii="MS Sans Serif" w:hAnsi="MS Sans Serif"/>
          <w:color w:val="000000"/>
          <w:kern w:val="0"/>
          <w:sz w:val="24"/>
          <w:szCs w:val="24"/>
        </w:rPr>
      </w:pPr>
    </w:p>
    <w:p>
      <w:pPr>
        <w:autoSpaceDE w:val="0"/>
        <w:autoSpaceDN w:val="0"/>
        <w:adjustRightInd w:val="0"/>
        <w:spacing w:before="29" w:line="288" w:lineRule="auto"/>
        <w:ind w:left="15"/>
        <w:jc w:val="center"/>
        <w:outlineLvl w:val="0"/>
        <w:rPr>
          <w:rFonts w:ascii="宋体"/>
          <w:b/>
          <w:color w:val="000000"/>
          <w:kern w:val="0"/>
          <w:sz w:val="24"/>
          <w:szCs w:val="24"/>
        </w:rPr>
      </w:pPr>
      <w:bookmarkStart w:id="67" w:name="_Toc446321411"/>
      <w:r>
        <w:rPr>
          <w:rFonts w:hint="eastAsia" w:ascii="宋体"/>
          <w:b/>
          <w:color w:val="000000"/>
          <w:kern w:val="0"/>
          <w:sz w:val="24"/>
          <w:szCs w:val="24"/>
        </w:rPr>
        <w:t>§</w:t>
      </w:r>
      <w:r>
        <w:rPr>
          <w:rFonts w:ascii="宋体"/>
          <w:b/>
          <w:color w:val="000000"/>
          <w:kern w:val="0"/>
          <w:sz w:val="24"/>
          <w:szCs w:val="24"/>
        </w:rPr>
        <w:t xml:space="preserve">13 </w:t>
      </w:r>
      <w:r>
        <w:rPr>
          <w:rFonts w:hint="eastAsia" w:ascii="宋体"/>
          <w:b/>
          <w:color w:val="000000"/>
          <w:kern w:val="0"/>
          <w:sz w:val="24"/>
          <w:szCs w:val="24"/>
        </w:rPr>
        <w:t>备查文件目录</w:t>
      </w:r>
      <w:bookmarkEnd w:id="67"/>
    </w:p>
    <w:p>
      <w:pPr>
        <w:autoSpaceDE w:val="0"/>
        <w:autoSpaceDN w:val="0"/>
        <w:adjustRightInd w:val="0"/>
        <w:spacing w:before="29" w:line="288" w:lineRule="auto"/>
        <w:ind w:left="15"/>
        <w:jc w:val="left"/>
        <w:outlineLvl w:val="1"/>
        <w:rPr>
          <w:rFonts w:ascii="宋体"/>
          <w:b/>
          <w:color w:val="000000"/>
          <w:kern w:val="0"/>
          <w:sz w:val="24"/>
          <w:szCs w:val="24"/>
        </w:rPr>
      </w:pPr>
      <w:bookmarkStart w:id="68" w:name="_Toc446321412"/>
      <w:r>
        <w:rPr>
          <w:rFonts w:ascii="宋体"/>
          <w:b/>
          <w:color w:val="000000"/>
          <w:kern w:val="0"/>
          <w:sz w:val="24"/>
          <w:szCs w:val="24"/>
        </w:rPr>
        <w:t xml:space="preserve">13.1 </w:t>
      </w:r>
      <w:r>
        <w:rPr>
          <w:rFonts w:hint="eastAsia" w:ascii="宋体"/>
          <w:b/>
          <w:color w:val="000000"/>
          <w:kern w:val="0"/>
          <w:sz w:val="24"/>
          <w:szCs w:val="24"/>
        </w:rPr>
        <w:t>备查文件目录</w:t>
      </w:r>
      <w:bookmarkEnd w:id="68"/>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1</w:t>
      </w:r>
      <w:r>
        <w:rPr>
          <w:rFonts w:hint="eastAsia" w:ascii="宋体"/>
          <w:color w:val="000000"/>
          <w:kern w:val="0"/>
          <w:sz w:val="24"/>
          <w:szCs w:val="24"/>
        </w:rPr>
        <w:t>、《创金合信聚利债券型证券投资基金基金合同》</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2</w:t>
      </w:r>
      <w:r>
        <w:rPr>
          <w:rFonts w:hint="eastAsia" w:ascii="宋体"/>
          <w:color w:val="000000"/>
          <w:kern w:val="0"/>
          <w:sz w:val="24"/>
          <w:szCs w:val="24"/>
        </w:rPr>
        <w:t>、《创金合信聚利债券型证券投资基金托管协议》</w:t>
      </w:r>
    </w:p>
    <w:p>
      <w:pPr>
        <w:autoSpaceDE w:val="0"/>
        <w:autoSpaceDN w:val="0"/>
        <w:adjustRightInd w:val="0"/>
        <w:spacing w:before="29" w:line="288" w:lineRule="auto"/>
        <w:ind w:left="15"/>
        <w:jc w:val="left"/>
        <w:rPr>
          <w:rFonts w:ascii="宋体"/>
          <w:color w:val="000000"/>
          <w:kern w:val="0"/>
          <w:sz w:val="24"/>
          <w:szCs w:val="24"/>
        </w:rPr>
      </w:pPr>
      <w:r>
        <w:rPr>
          <w:rFonts w:ascii="宋体"/>
          <w:color w:val="000000"/>
          <w:kern w:val="0"/>
          <w:sz w:val="24"/>
          <w:szCs w:val="24"/>
        </w:rPr>
        <w:t>3</w:t>
      </w:r>
      <w:r>
        <w:rPr>
          <w:rFonts w:hint="eastAsia" w:ascii="宋体"/>
          <w:color w:val="000000"/>
          <w:kern w:val="0"/>
          <w:sz w:val="24"/>
          <w:szCs w:val="24"/>
        </w:rPr>
        <w:t>、《创金合信聚利债券型证券投资基金</w:t>
      </w:r>
      <w:r>
        <w:rPr>
          <w:rFonts w:ascii="宋体"/>
          <w:color w:val="000000"/>
          <w:kern w:val="0"/>
          <w:sz w:val="24"/>
          <w:szCs w:val="24"/>
        </w:rPr>
        <w:t>2015</w:t>
      </w:r>
      <w:r>
        <w:rPr>
          <w:rFonts w:hint="eastAsia" w:ascii="宋体"/>
          <w:color w:val="000000"/>
          <w:kern w:val="0"/>
          <w:sz w:val="24"/>
          <w:szCs w:val="24"/>
        </w:rPr>
        <w:t>年年度报告》</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69" w:name="_Toc446321413"/>
      <w:r>
        <w:rPr>
          <w:rFonts w:ascii="宋体"/>
          <w:b/>
          <w:color w:val="000000"/>
          <w:kern w:val="0"/>
          <w:sz w:val="24"/>
          <w:szCs w:val="24"/>
        </w:rPr>
        <w:t xml:space="preserve">13.2 </w:t>
      </w:r>
      <w:r>
        <w:rPr>
          <w:rFonts w:hint="eastAsia" w:ascii="宋体"/>
          <w:b/>
          <w:color w:val="000000"/>
          <w:kern w:val="0"/>
          <w:sz w:val="24"/>
          <w:szCs w:val="24"/>
        </w:rPr>
        <w:t>存放地点</w:t>
      </w:r>
      <w:bookmarkEnd w:id="69"/>
    </w:p>
    <w:p>
      <w:pPr>
        <w:autoSpaceDE w:val="0"/>
        <w:autoSpaceDN w:val="0"/>
        <w:adjustRightInd w:val="0"/>
        <w:spacing w:before="29" w:line="288" w:lineRule="auto"/>
        <w:ind w:left="15" w:firstLine="482"/>
        <w:jc w:val="left"/>
        <w:rPr>
          <w:rFonts w:ascii="宋体"/>
          <w:color w:val="000000"/>
          <w:kern w:val="0"/>
          <w:sz w:val="24"/>
          <w:szCs w:val="24"/>
        </w:rPr>
      </w:pPr>
      <w:r>
        <w:rPr>
          <w:rFonts w:hint="eastAsia" w:ascii="宋体"/>
          <w:color w:val="000000"/>
          <w:kern w:val="0"/>
          <w:sz w:val="24"/>
          <w:szCs w:val="24"/>
        </w:rPr>
        <w:t>深圳市福田中心区福华一路</w:t>
      </w:r>
      <w:r>
        <w:rPr>
          <w:rFonts w:ascii="宋体"/>
          <w:color w:val="000000"/>
          <w:kern w:val="0"/>
          <w:sz w:val="24"/>
          <w:szCs w:val="24"/>
        </w:rPr>
        <w:t>115</w:t>
      </w:r>
      <w:r>
        <w:rPr>
          <w:rFonts w:hint="eastAsia" w:ascii="宋体"/>
          <w:color w:val="000000"/>
          <w:kern w:val="0"/>
          <w:sz w:val="24"/>
          <w:szCs w:val="24"/>
        </w:rPr>
        <w:t>号投行大厦</w:t>
      </w:r>
      <w:r>
        <w:rPr>
          <w:rFonts w:ascii="宋体"/>
          <w:color w:val="000000"/>
          <w:kern w:val="0"/>
          <w:sz w:val="24"/>
          <w:szCs w:val="24"/>
        </w:rPr>
        <w:t>15</w:t>
      </w:r>
      <w:r>
        <w:rPr>
          <w:rFonts w:hint="eastAsia" w:ascii="宋体"/>
          <w:color w:val="000000"/>
          <w:kern w:val="0"/>
          <w:sz w:val="24"/>
          <w:szCs w:val="24"/>
        </w:rPr>
        <w:t>楼</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jc w:val="left"/>
        <w:outlineLvl w:val="1"/>
        <w:rPr>
          <w:rFonts w:ascii="宋体"/>
          <w:b/>
          <w:color w:val="000000"/>
          <w:kern w:val="0"/>
          <w:sz w:val="24"/>
          <w:szCs w:val="24"/>
        </w:rPr>
      </w:pPr>
      <w:bookmarkStart w:id="70" w:name="_Toc446321414"/>
      <w:r>
        <w:rPr>
          <w:rFonts w:ascii="宋体"/>
          <w:b/>
          <w:color w:val="000000"/>
          <w:kern w:val="0"/>
          <w:sz w:val="24"/>
          <w:szCs w:val="24"/>
        </w:rPr>
        <w:t xml:space="preserve">13.3 </w:t>
      </w:r>
      <w:r>
        <w:rPr>
          <w:rFonts w:hint="eastAsia" w:ascii="宋体"/>
          <w:b/>
          <w:color w:val="000000"/>
          <w:kern w:val="0"/>
          <w:sz w:val="24"/>
          <w:szCs w:val="24"/>
        </w:rPr>
        <w:t>查阅方式</w:t>
      </w:r>
      <w:bookmarkEnd w:id="70"/>
    </w:p>
    <w:p>
      <w:pPr>
        <w:autoSpaceDE w:val="0"/>
        <w:autoSpaceDN w:val="0"/>
        <w:adjustRightInd w:val="0"/>
        <w:spacing w:before="29" w:line="288" w:lineRule="auto"/>
        <w:ind w:left="15" w:firstLine="482"/>
        <w:jc w:val="left"/>
        <w:rPr>
          <w:rFonts w:ascii="宋体"/>
          <w:color w:val="000000"/>
          <w:kern w:val="0"/>
          <w:sz w:val="24"/>
          <w:szCs w:val="24"/>
        </w:rPr>
      </w:pPr>
      <w:r>
        <w:rPr>
          <w:rFonts w:ascii="宋体"/>
          <w:color w:val="000000"/>
          <w:kern w:val="0"/>
          <w:sz w:val="24"/>
          <w:szCs w:val="24"/>
        </w:rPr>
        <w:t>www.cjhxfund.com</w:t>
      </w:r>
    </w:p>
    <w:p>
      <w:pPr>
        <w:autoSpaceDE w:val="0"/>
        <w:autoSpaceDN w:val="0"/>
        <w:adjustRightInd w:val="0"/>
        <w:spacing w:line="288" w:lineRule="auto"/>
        <w:jc w:val="left"/>
        <w:rPr>
          <w:rFonts w:ascii="MS Sans Serif" w:hAnsi="MS Sans Serif"/>
          <w:color w:val="000000"/>
          <w:kern w:val="0"/>
          <w:sz w:val="23"/>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创金合信基金管理有限公司</w:t>
      </w:r>
    </w:p>
    <w:p>
      <w:pPr>
        <w:autoSpaceDE w:val="0"/>
        <w:autoSpaceDN w:val="0"/>
        <w:adjustRightInd w:val="0"/>
        <w:spacing w:line="288" w:lineRule="auto"/>
        <w:jc w:val="left"/>
        <w:rPr>
          <w:rFonts w:ascii="MS Sans Serif" w:hAnsi="MS Sans Serif"/>
          <w:color w:val="000000"/>
          <w:kern w:val="0"/>
          <w:sz w:val="2"/>
          <w:szCs w:val="24"/>
        </w:rPr>
      </w:pPr>
    </w:p>
    <w:p>
      <w:pPr>
        <w:autoSpaceDE w:val="0"/>
        <w:autoSpaceDN w:val="0"/>
        <w:adjustRightInd w:val="0"/>
        <w:spacing w:before="29" w:line="288" w:lineRule="auto"/>
        <w:ind w:left="15" w:firstLine="482"/>
        <w:jc w:val="right"/>
        <w:rPr>
          <w:rFonts w:ascii="宋体"/>
          <w:b/>
          <w:color w:val="000000"/>
          <w:kern w:val="0"/>
          <w:sz w:val="24"/>
          <w:szCs w:val="24"/>
        </w:rPr>
      </w:pPr>
      <w:r>
        <w:rPr>
          <w:rFonts w:hint="eastAsia" w:ascii="宋体"/>
          <w:b/>
          <w:color w:val="000000"/>
          <w:kern w:val="0"/>
          <w:sz w:val="24"/>
          <w:szCs w:val="24"/>
        </w:rPr>
        <w:t>二〇一六年三月二十六日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S Sans Serif">
    <w:altName w:val="Times New Roman"/>
    <w:panose1 w:val="000000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58</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59</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108" w:type="dxa"/>
      <w:tblLayout w:type="fixed"/>
      <w:tblCellMar>
        <w:top w:w="0" w:type="dxa"/>
        <w:left w:w="108" w:type="dxa"/>
        <w:bottom w:w="0" w:type="dxa"/>
        <w:right w:w="108" w:type="dxa"/>
      </w:tblCellMar>
    </w:tblPr>
    <w:tblGrid>
      <w:gridCol w:w="361"/>
      <w:gridCol w:w="8669"/>
    </w:tblGrid>
    <w:tr>
      <w:tblPrEx>
        <w:tblCellMar>
          <w:top w:w="0" w:type="dxa"/>
          <w:left w:w="108" w:type="dxa"/>
          <w:bottom w:w="0" w:type="dxa"/>
          <w:right w:w="108" w:type="dxa"/>
        </w:tblCellMar>
      </w:tblPrEx>
      <w:trPr>
        <w:wBefore w:w="0" w:type="auto"/>
      </w:trPr>
      <w:tc>
        <w:tcPr>
          <w:tcW w:w="36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创金合信聚利债券型证券投资基金</w:t>
          </w:r>
          <w:r>
            <w:rPr>
              <w:rFonts w:ascii="宋体" w:cs="宋体"/>
              <w:color w:val="000000"/>
              <w:kern w:val="0"/>
              <w:szCs w:val="21"/>
            </w:rPr>
            <w:t>2015</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3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 w:val="2"/>
              <w:szCs w:val="2"/>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27D5"/>
    <w:rsid w:val="00027D7E"/>
    <w:rsid w:val="00030F3D"/>
    <w:rsid w:val="00052CA4"/>
    <w:rsid w:val="00092D26"/>
    <w:rsid w:val="000D7BD4"/>
    <w:rsid w:val="0010154E"/>
    <w:rsid w:val="00121661"/>
    <w:rsid w:val="00184653"/>
    <w:rsid w:val="001F0C95"/>
    <w:rsid w:val="001F735E"/>
    <w:rsid w:val="00200A4C"/>
    <w:rsid w:val="00204AE6"/>
    <w:rsid w:val="00260D0D"/>
    <w:rsid w:val="00265178"/>
    <w:rsid w:val="00296DEF"/>
    <w:rsid w:val="002E43B5"/>
    <w:rsid w:val="003053A5"/>
    <w:rsid w:val="00321D83"/>
    <w:rsid w:val="0032746E"/>
    <w:rsid w:val="003C1A78"/>
    <w:rsid w:val="00421A3D"/>
    <w:rsid w:val="00453DBB"/>
    <w:rsid w:val="004E3BB3"/>
    <w:rsid w:val="005109CE"/>
    <w:rsid w:val="005C39BE"/>
    <w:rsid w:val="005E3808"/>
    <w:rsid w:val="005F0EC6"/>
    <w:rsid w:val="00625F39"/>
    <w:rsid w:val="00644B05"/>
    <w:rsid w:val="00740AB1"/>
    <w:rsid w:val="007723FD"/>
    <w:rsid w:val="00887AE3"/>
    <w:rsid w:val="008E3F9A"/>
    <w:rsid w:val="00971434"/>
    <w:rsid w:val="00997C4D"/>
    <w:rsid w:val="009E27D5"/>
    <w:rsid w:val="00A01B71"/>
    <w:rsid w:val="00A26A0D"/>
    <w:rsid w:val="00A624A9"/>
    <w:rsid w:val="00A67E43"/>
    <w:rsid w:val="00B31DA6"/>
    <w:rsid w:val="00B42C5B"/>
    <w:rsid w:val="00B50FF3"/>
    <w:rsid w:val="00B72567"/>
    <w:rsid w:val="00BF3F37"/>
    <w:rsid w:val="00C20EE8"/>
    <w:rsid w:val="00C53520"/>
    <w:rsid w:val="00DD3058"/>
    <w:rsid w:val="00E43F05"/>
    <w:rsid w:val="00EF6CCA"/>
    <w:rsid w:val="00F139F5"/>
    <w:rsid w:val="00FC3144"/>
    <w:rsid w:val="00FD32FF"/>
    <w:rsid w:val="1FCE4F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0">
    <w:name w:val="Normal Table"/>
    <w:semiHidden/>
    <w:unhideWhenUsed/>
    <w:qFormat/>
    <w:uiPriority w:val="99"/>
    <w:tblPr>
      <w:tblStyle w:val="10"/>
      <w:tblCellMar>
        <w:top w:w="0" w:type="dxa"/>
        <w:left w:w="108" w:type="dxa"/>
        <w:bottom w:w="0" w:type="dxa"/>
        <w:right w:w="108" w:type="dxa"/>
      </w:tblCellMar>
    </w:tblPr>
    <w:trPr>
      <w:wBefore w:w="0" w:type="dxa"/>
    </w:trPr>
  </w:style>
  <w:style w:type="paragraph" w:styleId="3">
    <w:name w:val="annotation text"/>
    <w:basedOn w:val="1"/>
    <w:link w:val="18"/>
    <w:semiHidden/>
    <w:unhideWhenUsed/>
    <w:uiPriority w:val="99"/>
    <w:pPr>
      <w:jc w:val="left"/>
    </w:pPr>
  </w:style>
  <w:style w:type="paragraph" w:styleId="4">
    <w:name w:val="Balloon Text"/>
    <w:basedOn w:val="1"/>
    <w:link w:val="17"/>
    <w:semiHidden/>
    <w:unhideWhenUsed/>
    <w:uiPriority w:val="99"/>
    <w:rPr>
      <w:sz w:val="18"/>
      <w:szCs w:val="18"/>
    </w:rPr>
  </w:style>
  <w:style w:type="paragraph" w:styleId="5">
    <w:name w:val="footer"/>
    <w:basedOn w:val="1"/>
    <w:link w:val="16"/>
    <w:semiHidden/>
    <w:unhideWhenUsed/>
    <w:uiPriority w:val="99"/>
    <w:pPr>
      <w:tabs>
        <w:tab w:val="center" w:pos="4153"/>
        <w:tab w:val="right" w:pos="8306"/>
      </w:tabs>
      <w:snapToGrid w:val="0"/>
      <w:jc w:val="left"/>
    </w:pPr>
    <w:rPr>
      <w:sz w:val="18"/>
      <w:szCs w:val="18"/>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annotation subject"/>
    <w:basedOn w:val="3"/>
    <w:next w:val="3"/>
    <w:link w:val="19"/>
    <w:semiHidden/>
    <w:unhideWhenUsed/>
    <w:uiPriority w:val="99"/>
    <w:rPr>
      <w:b/>
      <w:bCs/>
    </w:rPr>
  </w:style>
  <w:style w:type="character" w:styleId="12">
    <w:name w:val="Hyperlink"/>
    <w:basedOn w:val="11"/>
    <w:unhideWhenUsed/>
    <w:uiPriority w:val="99"/>
    <w:rPr>
      <w:color w:val="0000FF"/>
      <w:u w:val="single"/>
    </w:rPr>
  </w:style>
  <w:style w:type="character" w:styleId="13">
    <w:name w:val="annotation reference"/>
    <w:basedOn w:val="11"/>
    <w:semiHidden/>
    <w:unhideWhenUsed/>
    <w:uiPriority w:val="99"/>
    <w:rPr>
      <w:rFonts w:cs="Times New Roman"/>
      <w:sz w:val="21"/>
      <w:szCs w:val="21"/>
    </w:rPr>
  </w:style>
  <w:style w:type="paragraph" w:styleId="14">
    <w:name w:val=""/>
    <w:basedOn w:val="2"/>
    <w:next w:val="1"/>
    <w:semiHidden/>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15">
    <w:name w:val="页眉 Char"/>
    <w:basedOn w:val="11"/>
    <w:link w:val="6"/>
    <w:semiHidden/>
    <w:locked/>
    <w:uiPriority w:val="99"/>
    <w:rPr>
      <w:rFonts w:cs="Times New Roman"/>
      <w:sz w:val="18"/>
      <w:szCs w:val="18"/>
    </w:rPr>
  </w:style>
  <w:style w:type="character" w:customStyle="1" w:styleId="16">
    <w:name w:val="页脚 Char"/>
    <w:basedOn w:val="11"/>
    <w:link w:val="5"/>
    <w:semiHidden/>
    <w:locked/>
    <w:uiPriority w:val="99"/>
    <w:rPr>
      <w:rFonts w:cs="Times New Roman"/>
      <w:sz w:val="18"/>
      <w:szCs w:val="18"/>
    </w:rPr>
  </w:style>
  <w:style w:type="character" w:customStyle="1" w:styleId="17">
    <w:name w:val="批注框文本 Char"/>
    <w:basedOn w:val="11"/>
    <w:link w:val="4"/>
    <w:semiHidden/>
    <w:locked/>
    <w:uiPriority w:val="99"/>
    <w:rPr>
      <w:rFonts w:cs="Times New Roman"/>
      <w:sz w:val="18"/>
      <w:szCs w:val="18"/>
    </w:rPr>
  </w:style>
  <w:style w:type="character" w:customStyle="1" w:styleId="18">
    <w:name w:val="批注文字 Char"/>
    <w:basedOn w:val="11"/>
    <w:link w:val="3"/>
    <w:semiHidden/>
    <w:locked/>
    <w:uiPriority w:val="99"/>
    <w:rPr>
      <w:rFonts w:cs="Times New Roman"/>
      <w:sz w:val="22"/>
      <w:szCs w:val="22"/>
    </w:rPr>
  </w:style>
  <w:style w:type="character" w:customStyle="1" w:styleId="19">
    <w:name w:val="批注主题 Char"/>
    <w:basedOn w:val="18"/>
    <w:link w:val="9"/>
    <w:semiHidden/>
    <w:locked/>
    <w:uiPriority w:val="99"/>
    <w:rPr>
      <w:b/>
      <w:bCs/>
    </w:rPr>
  </w:style>
  <w:style w:type="character" w:customStyle="1" w:styleId="20">
    <w:name w:val="标题 1 Char"/>
    <w:basedOn w:val="11"/>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59</Pages>
  <Words>6883</Words>
  <Characters>39237</Characters>
  <Lines>326</Lines>
  <Paragraphs>92</Paragraphs>
  <TotalTime>0</TotalTime>
  <ScaleCrop>false</ScaleCrop>
  <LinksUpToDate>false</LinksUpToDate>
  <CharactersWithSpaces>46028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2016-03-21T02:30:00Z</dcterms:created>
  <dc:creator>FastReport</dc:creator>
  <cp:lastModifiedBy>Administrator</cp:lastModifiedBy>
  <dcterms:modified xsi:type="dcterms:W3CDTF">2019-12-26T14:04:10Z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