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E w:val="0"/>
        <w:autoSpaceDN w:val="0"/>
        <w:adjustRightInd w:val="0"/>
        <w:spacing w:beforeLines="0" w:afterLines="0" w:line="288" w:lineRule="auto"/>
        <w:jc w:val="center"/>
        <w:rPr>
          <w:rFonts w:hint="default" w:ascii="Times New Roman" w:eastAsia="Times New Roman"/>
          <w:color w:val="000000"/>
          <w:kern w:val="0"/>
          <w:sz w:val="24"/>
        </w:rPr>
      </w:pPr>
      <w:bookmarkStart w:id="64" w:name="_GoBack"/>
      <w:bookmarkEnd w:id="64"/>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创金合信聚利债券型证券投资基金</w:t>
      </w:r>
      <w:r>
        <w:rPr>
          <w:rFonts w:hint="default" w:ascii="Times New Roman" w:hAnsi="Times New Roman"/>
          <w:b/>
          <w:color w:val="000000"/>
          <w:kern w:val="0"/>
          <w:sz w:val="24"/>
        </w:rPr>
        <w:t>2016</w:t>
      </w:r>
      <w:r>
        <w:rPr>
          <w:rFonts w:hint="eastAsia" w:ascii="Times New Roman" w:hAnsi="Times New Roman"/>
          <w:b/>
          <w:color w:val="000000"/>
          <w:kern w:val="0"/>
          <w:sz w:val="24"/>
        </w:rPr>
        <w:t>年年度报告</w:t>
      </w:r>
    </w:p>
    <w:p>
      <w:pPr>
        <w:autoSpaceDE w:val="0"/>
        <w:autoSpaceDN w:val="0"/>
        <w:adjustRightInd w:val="0"/>
        <w:spacing w:beforeLines="0" w:afterLines="0" w:line="288" w:lineRule="auto"/>
        <w:jc w:val="center"/>
        <w:rPr>
          <w:rFonts w:hint="default" w:ascii="Times New Roman" w:eastAsia="Times New Roman"/>
          <w:b/>
          <w:color w:val="000000"/>
          <w:kern w:val="0"/>
          <w:sz w:val="24"/>
        </w:rPr>
      </w:pPr>
    </w:p>
    <w:p>
      <w:pPr>
        <w:autoSpaceDE w:val="0"/>
        <w:autoSpaceDN w:val="0"/>
        <w:adjustRightInd w:val="0"/>
        <w:spacing w:before="30" w:beforeLines="0" w:afterLines="0" w:line="288" w:lineRule="auto"/>
        <w:ind w:left="15"/>
        <w:jc w:val="center"/>
        <w:rPr>
          <w:rFonts w:hint="default" w:ascii="Times New Roman" w:eastAsia="Times New Roman"/>
          <w:b/>
          <w:color w:val="000000"/>
          <w:kern w:val="0"/>
          <w:sz w:val="24"/>
        </w:rPr>
      </w:pPr>
      <w:r>
        <w:rPr>
          <w:rFonts w:hint="default" w:ascii="Times New Roman" w:hAnsi="Times New Roman"/>
          <w:b/>
          <w:color w:val="000000"/>
          <w:kern w:val="0"/>
          <w:sz w:val="24"/>
        </w:rPr>
        <w:t>2016</w:t>
      </w:r>
      <w:r>
        <w:rPr>
          <w:rFonts w:hint="eastAsia" w:ascii="Times New Roman" w:hAnsi="Times New Roman"/>
          <w:b/>
          <w:color w:val="000000"/>
          <w:kern w:val="0"/>
          <w:sz w:val="24"/>
        </w:rPr>
        <w:t>年</w:t>
      </w:r>
      <w:r>
        <w:rPr>
          <w:rFonts w:hint="default" w:ascii="Times New Roman" w:hAnsi="Times New Roman"/>
          <w:b/>
          <w:color w:val="000000"/>
          <w:kern w:val="0"/>
          <w:sz w:val="24"/>
        </w:rPr>
        <w:t>12</w:t>
      </w:r>
      <w:r>
        <w:rPr>
          <w:rFonts w:hint="eastAsia" w:ascii="Times New Roman" w:hAnsi="Times New Roman"/>
          <w:b/>
          <w:color w:val="000000"/>
          <w:kern w:val="0"/>
          <w:sz w:val="24"/>
        </w:rPr>
        <w:t>月</w:t>
      </w:r>
      <w:r>
        <w:rPr>
          <w:rFonts w:hint="default" w:ascii="Times New Roman" w:hAnsi="Times New Roman"/>
          <w:b/>
          <w:color w:val="000000"/>
          <w:kern w:val="0"/>
          <w:sz w:val="24"/>
        </w:rPr>
        <w:t>31</w:t>
      </w:r>
      <w:r>
        <w:rPr>
          <w:rFonts w:hint="eastAsia" w:ascii="Times New Roman" w:hAnsi="Times New Roman"/>
          <w:b/>
          <w:color w:val="000000"/>
          <w:kern w:val="0"/>
          <w:sz w:val="24"/>
        </w:rPr>
        <w:t>日</w:t>
      </w:r>
    </w:p>
    <w:p>
      <w:pPr>
        <w:autoSpaceDE w:val="0"/>
        <w:autoSpaceDN w:val="0"/>
        <w:adjustRightInd w:val="0"/>
        <w:spacing w:beforeLines="0" w:afterLines="0" w:line="288" w:lineRule="auto"/>
        <w:jc w:val="center"/>
        <w:rPr>
          <w:rFonts w:hint="default" w:ascii="Times New Roman" w:eastAsia="Times New Roman"/>
          <w:b/>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eastAsia="Times New Roman"/>
          <w:b/>
          <w:color w:val="000000"/>
          <w:kern w:val="0"/>
          <w:sz w:val="24"/>
        </w:rPr>
      </w:pPr>
      <w:r>
        <w:rPr>
          <w:rFonts w:hint="eastAsia" w:ascii="Times New Roman" w:hAnsi="Times New Roman"/>
          <w:b/>
          <w:color w:val="000000"/>
          <w:kern w:val="0"/>
          <w:sz w:val="24"/>
        </w:rPr>
        <w:t>基金管理人：创金合信基金管理有限公司</w:t>
      </w: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eastAsia="Times New Roman"/>
          <w:b/>
          <w:color w:val="000000"/>
          <w:kern w:val="0"/>
          <w:sz w:val="24"/>
        </w:rPr>
      </w:pPr>
      <w:r>
        <w:rPr>
          <w:rFonts w:hint="eastAsia" w:ascii="Times New Roman" w:hAnsi="Times New Roman"/>
          <w:b/>
          <w:color w:val="000000"/>
          <w:kern w:val="0"/>
          <w:sz w:val="24"/>
        </w:rPr>
        <w:t>基金托管人：中国工商银行股份有限公司</w:t>
      </w: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eastAsia="Times New Roman"/>
          <w:b/>
          <w:color w:val="000000"/>
          <w:kern w:val="0"/>
          <w:sz w:val="24"/>
        </w:rPr>
      </w:pPr>
      <w:r>
        <w:rPr>
          <w:rFonts w:hint="eastAsia" w:ascii="Times New Roman" w:hAnsi="Times New Roman"/>
          <w:b/>
          <w:color w:val="000000"/>
          <w:kern w:val="0"/>
          <w:sz w:val="24"/>
        </w:rPr>
        <w:t>送出日期：</w:t>
      </w:r>
      <w:r>
        <w:rPr>
          <w:rFonts w:hint="default" w:ascii="Times New Roman" w:hAnsi="Times New Roman"/>
          <w:b/>
          <w:color w:val="000000"/>
          <w:kern w:val="0"/>
          <w:sz w:val="24"/>
        </w:rPr>
        <w:t>2017</w:t>
      </w:r>
      <w:r>
        <w:rPr>
          <w:rFonts w:hint="eastAsia" w:ascii="Times New Roman" w:hAnsi="Times New Roman"/>
          <w:b/>
          <w:color w:val="000000"/>
          <w:kern w:val="0"/>
          <w:sz w:val="24"/>
        </w:rPr>
        <w:t>年</w:t>
      </w:r>
      <w:r>
        <w:rPr>
          <w:rFonts w:hint="default" w:ascii="Times New Roman" w:hAnsi="Times New Roman"/>
          <w:b/>
          <w:color w:val="000000"/>
          <w:kern w:val="0"/>
          <w:sz w:val="24"/>
        </w:rPr>
        <w:t>03</w:t>
      </w:r>
      <w:r>
        <w:rPr>
          <w:rFonts w:hint="eastAsia" w:ascii="Times New Roman" w:hAnsi="Times New Roman"/>
          <w:b/>
          <w:color w:val="000000"/>
          <w:kern w:val="0"/>
          <w:sz w:val="24"/>
        </w:rPr>
        <w:t>月</w:t>
      </w:r>
      <w:r>
        <w:rPr>
          <w:rFonts w:hint="default" w:ascii="Times New Roman" w:hAnsi="Times New Roman"/>
          <w:b/>
          <w:color w:val="000000"/>
          <w:kern w:val="0"/>
          <w:sz w:val="24"/>
        </w:rPr>
        <w:t>27</w:t>
      </w:r>
      <w:r>
        <w:rPr>
          <w:rFonts w:hint="eastAsia" w:ascii="Times New Roman" w:hAnsi="Times New Roman"/>
          <w:b/>
          <w:color w:val="000000"/>
          <w:kern w:val="0"/>
          <w:sz w:val="24"/>
        </w:rPr>
        <w:t>日</w:t>
      </w:r>
    </w:p>
    <w:p>
      <w:pPr>
        <w:autoSpaceDE w:val="0"/>
        <w:autoSpaceDN w:val="0"/>
        <w:adjustRightInd w:val="0"/>
        <w:spacing w:beforeLines="0" w:afterLines="0" w:line="288" w:lineRule="auto"/>
        <w:jc w:val="left"/>
        <w:rPr>
          <w:rFonts w:hint="default" w:ascii="Times New Roman" w:eastAsia="Times New Roman"/>
          <w:kern w:val="0"/>
          <w:sz w:val="24"/>
        </w:rPr>
        <w:sectPr>
          <w:headerReference r:id="rId3" w:type="default"/>
          <w:footerReference r:id="rId4" w:type="default"/>
          <w:pgSz w:w="11926" w:h="16867"/>
          <w:pgMar w:top="1420" w:right="1420" w:bottom="852" w:left="1420" w:header="851" w:footer="992" w:gutter="0"/>
          <w:cols w:space="720" w:num="1"/>
        </w:sectPr>
      </w:pPr>
    </w:p>
    <w:p>
      <w:pPr>
        <w:autoSpaceDE w:val="0"/>
        <w:autoSpaceDN w:val="0"/>
        <w:adjustRightInd w:val="0"/>
        <w:spacing w:before="30" w:beforeLines="0" w:afterLines="0" w:line="288" w:lineRule="auto"/>
        <w:ind w:left="15"/>
        <w:jc w:val="center"/>
        <w:outlineLvl w:val="0"/>
        <w:rPr>
          <w:rFonts w:hint="default" w:ascii="Times New Roman" w:eastAsia="Times New Roman"/>
          <w:b/>
          <w:color w:val="000000"/>
          <w:kern w:val="0"/>
          <w:sz w:val="24"/>
        </w:rPr>
      </w:pPr>
      <w:bookmarkStart w:id="0" w:name="_Toc477960770"/>
      <w:r>
        <w:rPr>
          <w:rFonts w:hint="eastAsia" w:ascii="Times New Roman" w:hAnsi="Times New Roman"/>
          <w:b/>
          <w:color w:val="000000"/>
          <w:kern w:val="0"/>
          <w:sz w:val="24"/>
        </w:rPr>
        <w:t>§</w:t>
      </w:r>
      <w:r>
        <w:rPr>
          <w:rFonts w:hint="default" w:ascii="Times New Roman" w:hAnsi="Times New Roman"/>
          <w:b/>
          <w:color w:val="000000"/>
          <w:kern w:val="0"/>
          <w:sz w:val="24"/>
        </w:rPr>
        <w:t xml:space="preserve">1  </w:t>
      </w:r>
      <w:r>
        <w:rPr>
          <w:rFonts w:hint="eastAsia" w:ascii="Times New Roman" w:hAnsi="Times New Roman"/>
          <w:b/>
          <w:color w:val="000000"/>
          <w:kern w:val="0"/>
          <w:sz w:val="24"/>
        </w:rPr>
        <w:t>重要提示及目录</w:t>
      </w:r>
      <w:bookmarkEnd w:id="0"/>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30" w:beforeLines="0" w:afterLines="0" w:line="288" w:lineRule="auto"/>
        <w:ind w:left="15"/>
        <w:jc w:val="left"/>
        <w:outlineLvl w:val="1"/>
        <w:rPr>
          <w:rFonts w:hint="default" w:ascii="Times New Roman" w:eastAsia="Times New Roman"/>
          <w:b/>
          <w:color w:val="000000"/>
          <w:kern w:val="0"/>
          <w:sz w:val="24"/>
        </w:rPr>
      </w:pPr>
      <w:bookmarkStart w:id="1" w:name="_Toc477960771"/>
      <w:r>
        <w:rPr>
          <w:rFonts w:hint="default" w:ascii="Times New Roman" w:hAnsi="Times New Roman"/>
          <w:b/>
          <w:color w:val="000000"/>
          <w:kern w:val="0"/>
          <w:sz w:val="24"/>
        </w:rPr>
        <w:t xml:space="preserve">1.1 </w:t>
      </w:r>
      <w:r>
        <w:rPr>
          <w:rFonts w:hint="eastAsia" w:ascii="Times New Roman" w:hAnsi="Times New Roman"/>
          <w:b/>
          <w:color w:val="000000"/>
          <w:kern w:val="0"/>
          <w:sz w:val="24"/>
        </w:rPr>
        <w:t>重要提示</w:t>
      </w:r>
      <w:bookmarkEnd w:id="1"/>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903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30"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基金托管人中国工商银行股份有限公司根据本基金合同规定，于</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基金管理人承诺以诚实信用、勤勉尽责的原则管理和运用基金资产，但不保证基金一定盈利。</w:t>
            </w:r>
          </w:p>
          <w:p>
            <w:pPr>
              <w:autoSpaceDE w:val="0"/>
              <w:autoSpaceDN w:val="0"/>
              <w:adjustRightInd w:val="0"/>
              <w:spacing w:before="30"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基金的过往业绩并不代表其未来表现。投资有风险，投资者在作出投资决策前应仔细阅读本基金的招募说明书及其更新。</w:t>
            </w:r>
            <w:r>
              <w:rPr>
                <w:rFonts w:hint="default" w:ascii="Times New Roman" w:hAnsi="Times New Roman"/>
                <w:color w:val="000000"/>
                <w:kern w:val="0"/>
                <w:sz w:val="24"/>
              </w:rPr>
              <w:t xml:space="preserve"> </w:t>
            </w:r>
          </w:p>
          <w:p>
            <w:pPr>
              <w:autoSpaceDE w:val="0"/>
              <w:autoSpaceDN w:val="0"/>
              <w:adjustRightInd w:val="0"/>
              <w:spacing w:before="30"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日起至</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w:t>
            </w:r>
          </w:p>
        </w:tc>
      </w:tr>
    </w:tbl>
    <w:p>
      <w:pPr>
        <w:autoSpaceDE w:val="0"/>
        <w:autoSpaceDN w:val="0"/>
        <w:adjustRightInd w:val="0"/>
        <w:spacing w:beforeLines="0" w:afterLines="0" w:line="288" w:lineRule="auto"/>
        <w:jc w:val="left"/>
        <w:rPr>
          <w:rFonts w:hint="default" w:ascii="Times New Roman" w:eastAsia="Times New Roman"/>
          <w:kern w:val="0"/>
          <w:sz w:val="24"/>
        </w:rPr>
        <w:sectPr>
          <w:pgSz w:w="11926" w:h="16867"/>
          <w:pgMar w:top="1420" w:right="1420" w:bottom="852" w:left="1420" w:header="851" w:footer="992" w:gutter="0"/>
          <w:cols w:space="720" w:num="1"/>
        </w:sectPr>
      </w:pPr>
    </w:p>
    <w:p>
      <w:pPr>
        <w:autoSpaceDE w:val="0"/>
        <w:autoSpaceDN w:val="0"/>
        <w:adjustRightInd w:val="0"/>
        <w:spacing w:before="30" w:beforeLines="0" w:afterLines="0" w:line="288" w:lineRule="auto"/>
        <w:ind w:left="15"/>
        <w:jc w:val="left"/>
        <w:outlineLvl w:val="1"/>
        <w:rPr>
          <w:rFonts w:hint="default" w:ascii="Times New Roman" w:eastAsia="Times New Roman"/>
          <w:b/>
          <w:color w:val="000000"/>
          <w:kern w:val="0"/>
          <w:sz w:val="24"/>
        </w:rPr>
      </w:pPr>
      <w:bookmarkStart w:id="2" w:name="_Toc477960772"/>
      <w:r>
        <w:rPr>
          <w:rFonts w:hint="default" w:ascii="Times New Roman" w:hAnsi="Times New Roman"/>
          <w:b/>
          <w:color w:val="000000"/>
          <w:kern w:val="0"/>
          <w:sz w:val="24"/>
        </w:rPr>
        <w:t xml:space="preserve">1.2  </w:t>
      </w:r>
      <w:r>
        <w:rPr>
          <w:rFonts w:hint="eastAsia" w:ascii="Times New Roman" w:hAnsi="Times New Roman"/>
          <w:b/>
          <w:color w:val="000000"/>
          <w:kern w:val="0"/>
          <w:sz w:val="24"/>
        </w:rPr>
        <w:t>目录</w:t>
      </w:r>
      <w:bookmarkEnd w:id="2"/>
    </w:p>
    <w:p>
      <w:pPr>
        <w:pStyle w:val="6"/>
        <w:tabs>
          <w:tab w:val="right" w:leader="dot" w:pos="9076"/>
        </w:tabs>
        <w:spacing w:beforeLines="0" w:afterLines="0"/>
        <w:rPr>
          <w:rFonts w:hint="default" w:ascii="Calibri" w:hAnsi="Calibri"/>
          <w:sz w:val="21"/>
          <w:lang/>
        </w:rPr>
      </w:pPr>
      <w:r>
        <w:rPr>
          <w:rFonts w:hint="default" w:ascii="Times New Roman" w:hAnsi="Times New Roman"/>
          <w:b/>
          <w:color w:val="000000"/>
          <w:kern w:val="0"/>
          <w:sz w:val="24"/>
        </w:rPr>
        <w:fldChar w:fldCharType="begin"/>
      </w:r>
      <w:r>
        <w:rPr>
          <w:rFonts w:hint="default" w:ascii="Times New Roman" w:hAnsi="Times New Roman"/>
          <w:b/>
          <w:color w:val="000000"/>
          <w:kern w:val="0"/>
          <w:sz w:val="24"/>
        </w:rPr>
        <w:instrText xml:space="preserve"> TOC \o "1-2" \h \z \u </w:instrText>
      </w:r>
      <w:r>
        <w:rPr>
          <w:rFonts w:hint="default" w:ascii="Times New Roman" w:hAnsi="Times New Roman"/>
          <w:b/>
          <w:color w:val="000000"/>
          <w:kern w:val="0"/>
          <w:sz w:val="24"/>
        </w:rPr>
        <w:fldChar w:fldCharType="separate"/>
      </w: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"_Toc477960770"</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  </w:t>
      </w:r>
      <w:r>
        <w:rPr>
          <w:rStyle w:val="10"/>
          <w:rFonts w:hint="eastAsia" w:ascii="Times New Roman" w:hAnsi="Times New Roman" w:eastAsia="宋体"/>
          <w:b/>
          <w:kern w:val="0"/>
          <w:sz w:val="21"/>
          <w:lang/>
        </w:rPr>
        <w:t>重要提示及目录</w:t>
      </w:r>
      <w:r>
        <w:rPr>
          <w:rFonts w:hint="default"/>
          <w:sz w:val="21"/>
          <w:lang/>
        </w:rPr>
        <w:tab/>
      </w:r>
      <w:r>
        <w:rPr>
          <w:rFonts w:hint="default"/>
          <w:sz w:val="21"/>
          <w:lang/>
        </w:rPr>
        <w:fldChar w:fldCharType="begin"/>
      </w:r>
      <w:r>
        <w:rPr>
          <w:rFonts w:hint="default"/>
          <w:sz w:val="21"/>
          <w:lang/>
        </w:rPr>
        <w:instrText xml:space="preserve"> PAGEREF _Toc477960770 \h </w:instrText>
      </w:r>
      <w:r>
        <w:rPr>
          <w:rFonts w:hint="default"/>
          <w:sz w:val="21"/>
          <w:lang/>
        </w:rPr>
        <w:fldChar w:fldCharType="separate"/>
      </w:r>
      <w:r>
        <w:rPr>
          <w:rFonts w:hint="default"/>
          <w:sz w:val="21"/>
          <w:lang/>
        </w:rPr>
        <w:t>2</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"_Toc477960771"</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 </w:t>
      </w:r>
      <w:r>
        <w:rPr>
          <w:rStyle w:val="10"/>
          <w:rFonts w:hint="eastAsia" w:ascii="Times New Roman" w:hAnsi="Times New Roman" w:eastAsia="宋体"/>
          <w:b/>
          <w:kern w:val="0"/>
          <w:sz w:val="21"/>
          <w:lang/>
        </w:rPr>
        <w:t>重要提示</w:t>
      </w:r>
      <w:r>
        <w:rPr>
          <w:rFonts w:hint="default"/>
          <w:sz w:val="21"/>
          <w:lang/>
        </w:rPr>
        <w:tab/>
      </w:r>
      <w:r>
        <w:rPr>
          <w:rFonts w:hint="default"/>
          <w:sz w:val="21"/>
          <w:lang/>
        </w:rPr>
        <w:fldChar w:fldCharType="begin"/>
      </w:r>
      <w:r>
        <w:rPr>
          <w:rFonts w:hint="default"/>
          <w:sz w:val="21"/>
          <w:lang/>
        </w:rPr>
        <w:instrText xml:space="preserve"> PAGEREF _Toc477960771 \h </w:instrText>
      </w:r>
      <w:r>
        <w:rPr>
          <w:rFonts w:hint="default"/>
          <w:sz w:val="21"/>
          <w:lang/>
        </w:rPr>
        <w:fldChar w:fldCharType="separate"/>
      </w:r>
      <w:r>
        <w:rPr>
          <w:rFonts w:hint="default"/>
          <w:sz w:val="21"/>
          <w:lang/>
        </w:rPr>
        <w:t>2</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"_Toc477960772"</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1.2  </w:t>
      </w:r>
      <w:r>
        <w:rPr>
          <w:rStyle w:val="10"/>
          <w:rFonts w:hint="eastAsia" w:ascii="Times New Roman" w:hAnsi="Times New Roman" w:eastAsia="宋体"/>
          <w:b/>
          <w:kern w:val="0"/>
          <w:sz w:val="21"/>
          <w:lang/>
        </w:rPr>
        <w:t>目录</w:t>
      </w:r>
      <w:r>
        <w:rPr>
          <w:rFonts w:hint="default"/>
          <w:sz w:val="21"/>
          <w:lang/>
        </w:rPr>
        <w:tab/>
      </w:r>
      <w:r>
        <w:rPr>
          <w:rFonts w:hint="default"/>
          <w:sz w:val="21"/>
          <w:lang/>
        </w:rPr>
        <w:fldChar w:fldCharType="begin"/>
      </w:r>
      <w:r>
        <w:rPr>
          <w:rFonts w:hint="default"/>
          <w:sz w:val="21"/>
          <w:lang/>
        </w:rPr>
        <w:instrText xml:space="preserve"> PAGEREF _Toc477960772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"_Toc477960773"</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§2  </w:t>
      </w:r>
      <w:r>
        <w:rPr>
          <w:rStyle w:val="10"/>
          <w:rFonts w:hint="eastAsia" w:ascii="Times New Roman" w:hAnsi="Times New Roman" w:eastAsia="宋体"/>
          <w:b/>
          <w:kern w:val="0"/>
          <w:sz w:val="21"/>
          <w:lang/>
        </w:rPr>
        <w:t>基金简介</w:t>
      </w:r>
      <w:r>
        <w:rPr>
          <w:rFonts w:hint="default"/>
          <w:sz w:val="21"/>
          <w:lang/>
        </w:rPr>
        <w:tab/>
      </w:r>
      <w:r>
        <w:rPr>
          <w:rFonts w:hint="default"/>
          <w:sz w:val="21"/>
          <w:lang/>
        </w:rPr>
        <w:fldChar w:fldCharType="begin"/>
      </w:r>
      <w:r>
        <w:rPr>
          <w:rFonts w:hint="default"/>
          <w:sz w:val="21"/>
          <w:lang/>
        </w:rPr>
        <w:instrText xml:space="preserve"> PAGEREF _Toc477960773 \h </w:instrText>
      </w:r>
      <w:r>
        <w:rPr>
          <w:rFonts w:hint="default"/>
          <w:sz w:val="21"/>
          <w:lang/>
        </w:rPr>
        <w:fldChar w:fldCharType="separate"/>
      </w:r>
      <w:r>
        <w:rPr>
          <w:rFonts w:hint="default"/>
          <w:sz w:val="21"/>
          <w:lang/>
        </w:rPr>
        <w:t>5</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"_Toc477960774"</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2.1 </w:t>
      </w:r>
      <w:r>
        <w:rPr>
          <w:rStyle w:val="10"/>
          <w:rFonts w:hint="eastAsia" w:ascii="Times New Roman" w:hAnsi="Times New Roman" w:eastAsia="宋体"/>
          <w:b/>
          <w:kern w:val="0"/>
          <w:sz w:val="21"/>
          <w:lang/>
        </w:rPr>
        <w:t>基金基本情况</w:t>
      </w:r>
      <w:r>
        <w:rPr>
          <w:rFonts w:hint="default"/>
          <w:sz w:val="21"/>
          <w:lang/>
        </w:rPr>
        <w:tab/>
      </w:r>
      <w:r>
        <w:rPr>
          <w:rFonts w:hint="default"/>
          <w:sz w:val="21"/>
          <w:lang/>
        </w:rPr>
        <w:fldChar w:fldCharType="begin"/>
      </w:r>
      <w:r>
        <w:rPr>
          <w:rFonts w:hint="default"/>
          <w:sz w:val="21"/>
          <w:lang/>
        </w:rPr>
        <w:instrText xml:space="preserve"> PAGEREF _Toc477960774 \h </w:instrText>
      </w:r>
      <w:r>
        <w:rPr>
          <w:rFonts w:hint="default"/>
          <w:sz w:val="21"/>
          <w:lang/>
        </w:rPr>
        <w:fldChar w:fldCharType="separate"/>
      </w:r>
      <w:r>
        <w:rPr>
          <w:rFonts w:hint="default"/>
          <w:sz w:val="21"/>
          <w:lang/>
        </w:rPr>
        <w:t>5</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"_Toc477960775"</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2.2 </w:t>
      </w:r>
      <w:r>
        <w:rPr>
          <w:rStyle w:val="10"/>
          <w:rFonts w:hint="eastAsia" w:ascii="Times New Roman" w:hAnsi="Times New Roman" w:eastAsia="宋体"/>
          <w:b/>
          <w:kern w:val="0"/>
          <w:sz w:val="21"/>
          <w:lang/>
        </w:rPr>
        <w:t>基金产品说明</w:t>
      </w:r>
      <w:r>
        <w:rPr>
          <w:rFonts w:hint="default"/>
          <w:sz w:val="21"/>
          <w:lang/>
        </w:rPr>
        <w:tab/>
      </w:r>
      <w:r>
        <w:rPr>
          <w:rFonts w:hint="default"/>
          <w:sz w:val="21"/>
          <w:lang/>
        </w:rPr>
        <w:fldChar w:fldCharType="begin"/>
      </w:r>
      <w:r>
        <w:rPr>
          <w:rFonts w:hint="default"/>
          <w:sz w:val="21"/>
          <w:lang/>
        </w:rPr>
        <w:instrText xml:space="preserve"> PAGEREF _Toc477960775 \h </w:instrText>
      </w:r>
      <w:r>
        <w:rPr>
          <w:rFonts w:hint="default"/>
          <w:sz w:val="21"/>
          <w:lang/>
        </w:rPr>
        <w:fldChar w:fldCharType="separate"/>
      </w:r>
      <w:r>
        <w:rPr>
          <w:rFonts w:hint="default"/>
          <w:sz w:val="21"/>
          <w:lang/>
        </w:rPr>
        <w:t>5</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"_Toc477960776"</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2.3 </w:t>
      </w:r>
      <w:r>
        <w:rPr>
          <w:rStyle w:val="10"/>
          <w:rFonts w:hint="eastAsia" w:ascii="Times New Roman" w:hAnsi="Times New Roman" w:eastAsia="宋体"/>
          <w:b/>
          <w:kern w:val="0"/>
          <w:sz w:val="21"/>
          <w:lang/>
        </w:rPr>
        <w:t>基金管理人和基金托管人</w:t>
      </w:r>
      <w:r>
        <w:rPr>
          <w:rFonts w:hint="default"/>
          <w:sz w:val="21"/>
          <w:lang/>
        </w:rPr>
        <w:tab/>
      </w:r>
      <w:r>
        <w:rPr>
          <w:rFonts w:hint="default"/>
          <w:sz w:val="21"/>
          <w:lang/>
        </w:rPr>
        <w:fldChar w:fldCharType="begin"/>
      </w:r>
      <w:r>
        <w:rPr>
          <w:rFonts w:hint="default"/>
          <w:sz w:val="21"/>
          <w:lang/>
        </w:rPr>
        <w:instrText xml:space="preserve"> PAGEREF _Toc477960776 \h </w:instrText>
      </w:r>
      <w:r>
        <w:rPr>
          <w:rFonts w:hint="default"/>
          <w:sz w:val="21"/>
          <w:lang/>
        </w:rPr>
        <w:fldChar w:fldCharType="separate"/>
      </w:r>
      <w:r>
        <w:rPr>
          <w:rFonts w:hint="default"/>
          <w:sz w:val="21"/>
          <w:lang/>
        </w:rPr>
        <w:t>6</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"_Toc477960777"</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2.4 </w:t>
      </w:r>
      <w:r>
        <w:rPr>
          <w:rStyle w:val="10"/>
          <w:rFonts w:hint="eastAsia" w:ascii="Times New Roman" w:hAnsi="Times New Roman" w:eastAsia="宋体"/>
          <w:b/>
          <w:kern w:val="0"/>
          <w:sz w:val="21"/>
          <w:lang/>
        </w:rPr>
        <w:t>信息披露方式</w:t>
      </w:r>
      <w:r>
        <w:rPr>
          <w:rFonts w:hint="default"/>
          <w:sz w:val="21"/>
          <w:lang/>
        </w:rPr>
        <w:tab/>
      </w:r>
      <w:r>
        <w:rPr>
          <w:rFonts w:hint="default"/>
          <w:sz w:val="21"/>
          <w:lang/>
        </w:rPr>
        <w:fldChar w:fldCharType="begin"/>
      </w:r>
      <w:r>
        <w:rPr>
          <w:rFonts w:hint="default"/>
          <w:sz w:val="21"/>
          <w:lang/>
        </w:rPr>
        <w:instrText xml:space="preserve"> PAGEREF _Toc477960777 \h </w:instrText>
      </w:r>
      <w:r>
        <w:rPr>
          <w:rFonts w:hint="default"/>
          <w:sz w:val="21"/>
          <w:lang/>
        </w:rPr>
        <w:fldChar w:fldCharType="separate"/>
      </w:r>
      <w:r>
        <w:rPr>
          <w:rFonts w:hint="default"/>
          <w:sz w:val="21"/>
          <w:lang/>
        </w:rPr>
        <w:t>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"_Toc477960778"</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2.5 </w:t>
      </w:r>
      <w:r>
        <w:rPr>
          <w:rStyle w:val="10"/>
          <w:rFonts w:hint="eastAsia" w:ascii="Times New Roman" w:hAnsi="Times New Roman" w:eastAsia="宋体"/>
          <w:b/>
          <w:kern w:val="0"/>
          <w:sz w:val="21"/>
          <w:lang/>
        </w:rPr>
        <w:t>其他相关资料</w:t>
      </w:r>
      <w:r>
        <w:rPr>
          <w:rFonts w:hint="default"/>
          <w:sz w:val="21"/>
          <w:lang/>
        </w:rPr>
        <w:tab/>
      </w:r>
      <w:r>
        <w:rPr>
          <w:rFonts w:hint="default"/>
          <w:sz w:val="21"/>
          <w:lang/>
        </w:rPr>
        <w:fldChar w:fldCharType="begin"/>
      </w:r>
      <w:r>
        <w:rPr>
          <w:rFonts w:hint="default"/>
          <w:sz w:val="21"/>
          <w:lang/>
        </w:rPr>
        <w:instrText xml:space="preserve"> PAGEREF _Toc477960778 \h </w:instrText>
      </w:r>
      <w:r>
        <w:rPr>
          <w:rFonts w:hint="default"/>
          <w:sz w:val="21"/>
          <w:lang/>
        </w:rPr>
        <w:fldChar w:fldCharType="separate"/>
      </w:r>
      <w:r>
        <w:rPr>
          <w:rFonts w:hint="default"/>
          <w:sz w:val="21"/>
          <w:lang/>
        </w:rPr>
        <w:t>7</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"_Toc477960779"</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§3  </w:t>
      </w:r>
      <w:r>
        <w:rPr>
          <w:rStyle w:val="10"/>
          <w:rFonts w:hint="eastAsia" w:ascii="Times New Roman" w:hAnsi="Times New Roman" w:eastAsia="宋体"/>
          <w:b/>
          <w:kern w:val="0"/>
          <w:sz w:val="21"/>
          <w:lang/>
        </w:rPr>
        <w:t>主要财务指标、基金净值表现及利润分配情况</w:t>
      </w:r>
      <w:r>
        <w:rPr>
          <w:rFonts w:hint="default"/>
          <w:sz w:val="21"/>
          <w:lang/>
        </w:rPr>
        <w:tab/>
      </w:r>
      <w:r>
        <w:rPr>
          <w:rFonts w:hint="default"/>
          <w:sz w:val="21"/>
          <w:lang/>
        </w:rPr>
        <w:fldChar w:fldCharType="begin"/>
      </w:r>
      <w:r>
        <w:rPr>
          <w:rFonts w:hint="default"/>
          <w:sz w:val="21"/>
          <w:lang/>
        </w:rPr>
        <w:instrText xml:space="preserve"> PAGEREF _Toc477960779 \h </w:instrText>
      </w:r>
      <w:r>
        <w:rPr>
          <w:rFonts w:hint="default"/>
          <w:sz w:val="21"/>
          <w:lang/>
        </w:rPr>
        <w:fldChar w:fldCharType="separate"/>
      </w:r>
      <w:r>
        <w:rPr>
          <w:rFonts w:hint="default"/>
          <w:sz w:val="21"/>
          <w:lang/>
        </w:rPr>
        <w:t>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"_Toc477960780"</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3.1 </w:t>
      </w:r>
      <w:r>
        <w:rPr>
          <w:rStyle w:val="10"/>
          <w:rFonts w:hint="eastAsia" w:ascii="Times New Roman" w:hAnsi="Times New Roman" w:eastAsia="宋体"/>
          <w:b/>
          <w:kern w:val="0"/>
          <w:sz w:val="21"/>
          <w:lang/>
        </w:rPr>
        <w:t>主要会计数据和财务指标</w:t>
      </w:r>
      <w:r>
        <w:rPr>
          <w:rFonts w:hint="default"/>
          <w:sz w:val="21"/>
          <w:lang/>
        </w:rPr>
        <w:tab/>
      </w:r>
      <w:r>
        <w:rPr>
          <w:rFonts w:hint="default"/>
          <w:sz w:val="21"/>
          <w:lang/>
        </w:rPr>
        <w:fldChar w:fldCharType="begin"/>
      </w:r>
      <w:r>
        <w:rPr>
          <w:rFonts w:hint="default"/>
          <w:sz w:val="21"/>
          <w:lang/>
        </w:rPr>
        <w:instrText xml:space="preserve"> PAGEREF _Toc477960780 \h </w:instrText>
      </w:r>
      <w:r>
        <w:rPr>
          <w:rFonts w:hint="default"/>
          <w:sz w:val="21"/>
          <w:lang/>
        </w:rPr>
        <w:fldChar w:fldCharType="separate"/>
      </w:r>
      <w:r>
        <w:rPr>
          <w:rFonts w:hint="default"/>
          <w:sz w:val="21"/>
          <w:lang/>
        </w:rPr>
        <w:t>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"_Toc477960781"</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3.2 </w:t>
      </w:r>
      <w:r>
        <w:rPr>
          <w:rStyle w:val="10"/>
          <w:rFonts w:hint="eastAsia" w:ascii="Times New Roman" w:hAnsi="Times New Roman" w:eastAsia="宋体"/>
          <w:b/>
          <w:kern w:val="0"/>
          <w:sz w:val="21"/>
          <w:lang/>
        </w:rPr>
        <w:t>基金净值表现</w:t>
      </w:r>
      <w:r>
        <w:rPr>
          <w:rFonts w:hint="default"/>
          <w:sz w:val="21"/>
          <w:lang/>
        </w:rPr>
        <w:tab/>
      </w:r>
      <w:r>
        <w:rPr>
          <w:rFonts w:hint="default"/>
          <w:sz w:val="21"/>
          <w:lang/>
        </w:rPr>
        <w:fldChar w:fldCharType="begin"/>
      </w:r>
      <w:r>
        <w:rPr>
          <w:rFonts w:hint="default"/>
          <w:sz w:val="21"/>
          <w:lang/>
        </w:rPr>
        <w:instrText xml:space="preserve"> PAGEREF _Toc477960781 \h </w:instrText>
      </w:r>
      <w:r>
        <w:rPr>
          <w:rFonts w:hint="default"/>
          <w:sz w:val="21"/>
          <w:lang/>
        </w:rPr>
        <w:fldChar w:fldCharType="separate"/>
      </w:r>
      <w:r>
        <w:rPr>
          <w:rFonts w:hint="default"/>
          <w:sz w:val="21"/>
          <w:lang/>
        </w:rPr>
        <w:t>8</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"_Toc477960782"</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  </w:t>
      </w:r>
      <w:r>
        <w:rPr>
          <w:rStyle w:val="10"/>
          <w:rFonts w:hint="eastAsia" w:ascii="Times New Roman" w:hAnsi="Times New Roman" w:eastAsia="宋体"/>
          <w:b/>
          <w:kern w:val="0"/>
          <w:sz w:val="21"/>
          <w:lang/>
        </w:rPr>
        <w:t>管理人报告</w:t>
      </w:r>
      <w:r>
        <w:rPr>
          <w:rFonts w:hint="default"/>
          <w:sz w:val="21"/>
          <w:lang/>
        </w:rPr>
        <w:tab/>
      </w:r>
      <w:r>
        <w:rPr>
          <w:rFonts w:hint="default"/>
          <w:sz w:val="21"/>
          <w:lang/>
        </w:rPr>
        <w:fldChar w:fldCharType="begin"/>
      </w:r>
      <w:r>
        <w:rPr>
          <w:rFonts w:hint="default"/>
          <w:sz w:val="21"/>
          <w:lang/>
        </w:rPr>
        <w:instrText xml:space="preserve"> PAGEREF _Toc477960782 \h </w:instrText>
      </w:r>
      <w:r>
        <w:rPr>
          <w:rFonts w:hint="default"/>
          <w:sz w:val="21"/>
          <w:lang/>
        </w:rPr>
        <w:fldChar w:fldCharType="separate"/>
      </w:r>
      <w:r>
        <w:rPr>
          <w:rFonts w:hint="default"/>
          <w:sz w:val="21"/>
          <w:lang/>
        </w:rPr>
        <w:t>11</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"_Toc477960783"</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4.1 </w:t>
      </w:r>
      <w:r>
        <w:rPr>
          <w:rStyle w:val="10"/>
          <w:rFonts w:hint="eastAsia" w:ascii="Times New Roman" w:hAnsi="Times New Roman" w:eastAsia="宋体"/>
          <w:b/>
          <w:kern w:val="0"/>
          <w:sz w:val="21"/>
          <w:lang/>
        </w:rPr>
        <w:t>基金管理人及基金经理情况</w:t>
      </w:r>
      <w:r>
        <w:rPr>
          <w:rFonts w:hint="default"/>
          <w:sz w:val="21"/>
          <w:lang/>
        </w:rPr>
        <w:tab/>
      </w:r>
      <w:r>
        <w:rPr>
          <w:rFonts w:hint="default"/>
          <w:sz w:val="21"/>
          <w:lang/>
        </w:rPr>
        <w:fldChar w:fldCharType="begin"/>
      </w:r>
      <w:r>
        <w:rPr>
          <w:rFonts w:hint="default"/>
          <w:sz w:val="21"/>
          <w:lang/>
        </w:rPr>
        <w:instrText xml:space="preserve"> PAGEREF _Toc477960783 \h </w:instrText>
      </w:r>
      <w:r>
        <w:rPr>
          <w:rFonts w:hint="default"/>
          <w:sz w:val="21"/>
          <w:lang/>
        </w:rPr>
        <w:fldChar w:fldCharType="separate"/>
      </w:r>
      <w:r>
        <w:rPr>
          <w:rFonts w:hint="default"/>
          <w:sz w:val="21"/>
          <w:lang/>
        </w:rPr>
        <w:t>11</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"_Toc477960784"</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4.2 </w:t>
      </w:r>
      <w:r>
        <w:rPr>
          <w:rStyle w:val="10"/>
          <w:rFonts w:hint="eastAsia" w:ascii="Times New Roman" w:hAnsi="Times New Roman" w:eastAsia="宋体"/>
          <w:b/>
          <w:kern w:val="0"/>
          <w:sz w:val="21"/>
          <w:lang/>
        </w:rPr>
        <w:t>管理人对报告期内本基金运作遵规守信情况的说明</w:t>
      </w:r>
      <w:r>
        <w:rPr>
          <w:rFonts w:hint="default"/>
          <w:sz w:val="21"/>
          <w:lang/>
        </w:rPr>
        <w:tab/>
      </w:r>
      <w:r>
        <w:rPr>
          <w:rFonts w:hint="default"/>
          <w:sz w:val="21"/>
          <w:lang/>
        </w:rPr>
        <w:fldChar w:fldCharType="begin"/>
      </w:r>
      <w:r>
        <w:rPr>
          <w:rFonts w:hint="default"/>
          <w:sz w:val="21"/>
          <w:lang/>
        </w:rPr>
        <w:instrText xml:space="preserve"> PAGEREF _Toc477960784 \h </w:instrText>
      </w:r>
      <w:r>
        <w:rPr>
          <w:rFonts w:hint="default"/>
          <w:sz w:val="21"/>
          <w:lang/>
        </w:rPr>
        <w:fldChar w:fldCharType="separate"/>
      </w:r>
      <w:r>
        <w:rPr>
          <w:rFonts w:hint="default"/>
          <w:sz w:val="21"/>
          <w:lang/>
        </w:rPr>
        <w:t>13</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"_Toc477960785"</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4.3 </w:t>
      </w:r>
      <w:r>
        <w:rPr>
          <w:rStyle w:val="10"/>
          <w:rFonts w:hint="eastAsia" w:ascii="Times New Roman" w:hAnsi="Times New Roman" w:eastAsia="宋体"/>
          <w:b/>
          <w:kern w:val="0"/>
          <w:sz w:val="21"/>
          <w:lang/>
        </w:rPr>
        <w:t>管理人对报告期内公平交易情况的专项说明</w:t>
      </w:r>
      <w:r>
        <w:rPr>
          <w:rFonts w:hint="default"/>
          <w:sz w:val="21"/>
          <w:lang/>
        </w:rPr>
        <w:tab/>
      </w:r>
      <w:r>
        <w:rPr>
          <w:rFonts w:hint="default"/>
          <w:sz w:val="21"/>
          <w:lang/>
        </w:rPr>
        <w:fldChar w:fldCharType="begin"/>
      </w:r>
      <w:r>
        <w:rPr>
          <w:rFonts w:hint="default"/>
          <w:sz w:val="21"/>
          <w:lang/>
        </w:rPr>
        <w:instrText xml:space="preserve"> PAGEREF _Toc477960785 \h </w:instrText>
      </w:r>
      <w:r>
        <w:rPr>
          <w:rFonts w:hint="default"/>
          <w:sz w:val="21"/>
          <w:lang/>
        </w:rPr>
        <w:fldChar w:fldCharType="separate"/>
      </w:r>
      <w:r>
        <w:rPr>
          <w:rFonts w:hint="default"/>
          <w:sz w:val="21"/>
          <w:lang/>
        </w:rPr>
        <w:t>13</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"_Toc477960786"</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4.4 </w:t>
      </w:r>
      <w:r>
        <w:rPr>
          <w:rStyle w:val="10"/>
          <w:rFonts w:hint="eastAsia" w:ascii="Times New Roman" w:hAnsi="Times New Roman" w:eastAsia="宋体"/>
          <w:b/>
          <w:kern w:val="0"/>
          <w:sz w:val="21"/>
          <w:lang/>
        </w:rPr>
        <w:t>管理人对报告期内基金的投资策略和业绩表现说明</w:t>
      </w:r>
      <w:r>
        <w:rPr>
          <w:rFonts w:hint="default"/>
          <w:sz w:val="21"/>
          <w:lang/>
        </w:rPr>
        <w:tab/>
      </w:r>
      <w:r>
        <w:rPr>
          <w:rFonts w:hint="default"/>
          <w:sz w:val="21"/>
          <w:lang/>
        </w:rPr>
        <w:fldChar w:fldCharType="begin"/>
      </w:r>
      <w:r>
        <w:rPr>
          <w:rFonts w:hint="default"/>
          <w:sz w:val="21"/>
          <w:lang/>
        </w:rPr>
        <w:instrText xml:space="preserve"> PAGEREF _Toc477960786 \h </w:instrText>
      </w:r>
      <w:r>
        <w:rPr>
          <w:rFonts w:hint="default"/>
          <w:sz w:val="21"/>
          <w:lang/>
        </w:rPr>
        <w:fldChar w:fldCharType="separate"/>
      </w:r>
      <w:r>
        <w:rPr>
          <w:rFonts w:hint="default"/>
          <w:sz w:val="21"/>
          <w:lang/>
        </w:rPr>
        <w:t>15</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"_Toc477960787"</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4.5 </w:t>
      </w:r>
      <w:r>
        <w:rPr>
          <w:rStyle w:val="10"/>
          <w:rFonts w:hint="eastAsia" w:ascii="Times New Roman" w:hAnsi="Times New Roman" w:eastAsia="宋体"/>
          <w:b/>
          <w:kern w:val="0"/>
          <w:sz w:val="21"/>
          <w:lang/>
        </w:rPr>
        <w:t>管理人对宏观经济、证券市场及行业走势的简要展望</w:t>
      </w:r>
      <w:r>
        <w:rPr>
          <w:rFonts w:hint="default"/>
          <w:sz w:val="21"/>
          <w:lang/>
        </w:rPr>
        <w:tab/>
      </w:r>
      <w:r>
        <w:rPr>
          <w:rFonts w:hint="default"/>
          <w:sz w:val="21"/>
          <w:lang/>
        </w:rPr>
        <w:fldChar w:fldCharType="begin"/>
      </w:r>
      <w:r>
        <w:rPr>
          <w:rFonts w:hint="default"/>
          <w:sz w:val="21"/>
          <w:lang/>
        </w:rPr>
        <w:instrText xml:space="preserve"> PAGEREF _Toc477960787 \h </w:instrText>
      </w:r>
      <w:r>
        <w:rPr>
          <w:rFonts w:hint="default"/>
          <w:sz w:val="21"/>
          <w:lang/>
        </w:rPr>
        <w:fldChar w:fldCharType="separate"/>
      </w:r>
      <w:r>
        <w:rPr>
          <w:rFonts w:hint="default"/>
          <w:sz w:val="21"/>
          <w:lang/>
        </w:rPr>
        <w:t>15</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"_Toc477960788"</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4.6 </w:t>
      </w:r>
      <w:r>
        <w:rPr>
          <w:rStyle w:val="10"/>
          <w:rFonts w:hint="eastAsia" w:ascii="Times New Roman" w:hAnsi="Times New Roman" w:eastAsia="宋体"/>
          <w:b/>
          <w:kern w:val="0"/>
          <w:sz w:val="21"/>
          <w:lang/>
        </w:rPr>
        <w:t>管理人内部有关本基金的监察稽核工作情况</w:t>
      </w:r>
      <w:r>
        <w:rPr>
          <w:rFonts w:hint="default"/>
          <w:sz w:val="21"/>
          <w:lang/>
        </w:rPr>
        <w:tab/>
      </w:r>
      <w:r>
        <w:rPr>
          <w:rFonts w:hint="default"/>
          <w:sz w:val="21"/>
          <w:lang/>
        </w:rPr>
        <w:fldChar w:fldCharType="begin"/>
      </w:r>
      <w:r>
        <w:rPr>
          <w:rFonts w:hint="default"/>
          <w:sz w:val="21"/>
          <w:lang/>
        </w:rPr>
        <w:instrText xml:space="preserve"> PAGEREF _Toc477960788 \h </w:instrText>
      </w:r>
      <w:r>
        <w:rPr>
          <w:rFonts w:hint="default"/>
          <w:sz w:val="21"/>
          <w:lang/>
        </w:rPr>
        <w:fldChar w:fldCharType="separate"/>
      </w:r>
      <w:r>
        <w:rPr>
          <w:rFonts w:hint="default"/>
          <w:sz w:val="21"/>
          <w:lang/>
        </w:rPr>
        <w:t>15</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"_Toc477960789"</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4.7 </w:t>
      </w:r>
      <w:r>
        <w:rPr>
          <w:rStyle w:val="10"/>
          <w:rFonts w:hint="eastAsia" w:ascii="Times New Roman" w:hAnsi="Times New Roman" w:eastAsia="宋体"/>
          <w:b/>
          <w:kern w:val="0"/>
          <w:sz w:val="21"/>
          <w:lang/>
        </w:rPr>
        <w:t>管理人对报告期内基金估值程序等事项的说明</w:t>
      </w:r>
      <w:r>
        <w:rPr>
          <w:rFonts w:hint="default"/>
          <w:sz w:val="21"/>
          <w:lang/>
        </w:rPr>
        <w:tab/>
      </w:r>
      <w:r>
        <w:rPr>
          <w:rFonts w:hint="default"/>
          <w:sz w:val="21"/>
          <w:lang/>
        </w:rPr>
        <w:fldChar w:fldCharType="begin"/>
      </w:r>
      <w:r>
        <w:rPr>
          <w:rFonts w:hint="default"/>
          <w:sz w:val="21"/>
          <w:lang/>
        </w:rPr>
        <w:instrText xml:space="preserve"> PAGEREF _Toc477960789 \h </w:instrText>
      </w:r>
      <w:r>
        <w:rPr>
          <w:rFonts w:hint="default"/>
          <w:sz w:val="21"/>
          <w:lang/>
        </w:rPr>
        <w:fldChar w:fldCharType="separate"/>
      </w:r>
      <w:r>
        <w:rPr>
          <w:rFonts w:hint="default"/>
          <w:sz w:val="21"/>
          <w:lang/>
        </w:rPr>
        <w:t>16</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"_Toc477960790"</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4.8 </w:t>
      </w:r>
      <w:r>
        <w:rPr>
          <w:rStyle w:val="10"/>
          <w:rFonts w:hint="eastAsia" w:ascii="Times New Roman" w:hAnsi="Times New Roman" w:eastAsia="宋体"/>
          <w:b/>
          <w:kern w:val="0"/>
          <w:sz w:val="21"/>
          <w:lang/>
        </w:rPr>
        <w:t>管理人对报告期内基金利润分配情况的说明</w:t>
      </w:r>
      <w:r>
        <w:rPr>
          <w:rFonts w:hint="default"/>
          <w:sz w:val="21"/>
          <w:lang/>
        </w:rPr>
        <w:tab/>
      </w:r>
      <w:r>
        <w:rPr>
          <w:rFonts w:hint="default"/>
          <w:sz w:val="21"/>
          <w:lang/>
        </w:rPr>
        <w:fldChar w:fldCharType="begin"/>
      </w:r>
      <w:r>
        <w:rPr>
          <w:rFonts w:hint="default"/>
          <w:sz w:val="21"/>
          <w:lang/>
        </w:rPr>
        <w:instrText xml:space="preserve"> PAGEREF _Toc477960790 \h </w:instrText>
      </w:r>
      <w:r>
        <w:rPr>
          <w:rFonts w:hint="default"/>
          <w:sz w:val="21"/>
          <w:lang/>
        </w:rPr>
        <w:fldChar w:fldCharType="separate"/>
      </w:r>
      <w:r>
        <w:rPr>
          <w:rFonts w:hint="default"/>
          <w:sz w:val="21"/>
          <w:lang/>
        </w:rPr>
        <w:t>17</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"_Toc477960791"</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§5  </w:t>
      </w:r>
      <w:r>
        <w:rPr>
          <w:rStyle w:val="10"/>
          <w:rFonts w:hint="eastAsia" w:ascii="Times New Roman" w:hAnsi="Times New Roman" w:eastAsia="宋体"/>
          <w:b/>
          <w:kern w:val="0"/>
          <w:sz w:val="21"/>
          <w:lang/>
        </w:rPr>
        <w:t>托管人报告</w:t>
      </w:r>
      <w:r>
        <w:rPr>
          <w:rFonts w:hint="default"/>
          <w:sz w:val="21"/>
          <w:lang/>
        </w:rPr>
        <w:tab/>
      </w:r>
      <w:r>
        <w:rPr>
          <w:rFonts w:hint="default"/>
          <w:sz w:val="21"/>
          <w:lang/>
        </w:rPr>
        <w:fldChar w:fldCharType="begin"/>
      </w:r>
      <w:r>
        <w:rPr>
          <w:rFonts w:hint="default"/>
          <w:sz w:val="21"/>
          <w:lang/>
        </w:rPr>
        <w:instrText xml:space="preserve"> PAGEREF _Toc477960791 \h </w:instrText>
      </w:r>
      <w:r>
        <w:rPr>
          <w:rFonts w:hint="default"/>
          <w:sz w:val="21"/>
          <w:lang/>
        </w:rPr>
        <w:fldChar w:fldCharType="separate"/>
      </w:r>
      <w:r>
        <w:rPr>
          <w:rFonts w:hint="default"/>
          <w:sz w:val="21"/>
          <w:lang/>
        </w:rPr>
        <w:t>17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"_Toc477960792"</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5.1 </w:t>
      </w:r>
      <w:r>
        <w:rPr>
          <w:rStyle w:val="10"/>
          <w:rFonts w:hint="eastAsia" w:ascii="Times New Roman" w:hAnsi="Times New Roman" w:eastAsia="宋体"/>
          <w:b/>
          <w:kern w:val="0"/>
          <w:sz w:val="21"/>
          <w:lang/>
        </w:rPr>
        <w:t>报告期内本基金托管人遵规守信情况声明</w:t>
      </w:r>
      <w:r>
        <w:rPr>
          <w:rFonts w:hint="default"/>
          <w:sz w:val="21"/>
          <w:lang/>
        </w:rPr>
        <w:tab/>
      </w:r>
      <w:r>
        <w:rPr>
          <w:rFonts w:hint="default"/>
          <w:sz w:val="21"/>
          <w:lang/>
        </w:rPr>
        <w:fldChar w:fldCharType="begin"/>
      </w:r>
      <w:r>
        <w:rPr>
          <w:rFonts w:hint="default"/>
          <w:sz w:val="21"/>
          <w:lang/>
        </w:rPr>
        <w:instrText xml:space="preserve"> PAGEREF _Toc477960792 \h </w:instrText>
      </w:r>
      <w:r>
        <w:rPr>
          <w:rFonts w:hint="default"/>
          <w:sz w:val="21"/>
          <w:lang/>
        </w:rPr>
        <w:fldChar w:fldCharType="separate"/>
      </w:r>
      <w:r>
        <w:rPr>
          <w:rFonts w:hint="default"/>
          <w:sz w:val="21"/>
          <w:lang/>
        </w:rPr>
        <w:t>17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"_Toc477960793"</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5.2 </w:t>
      </w:r>
      <w:r>
        <w:rPr>
          <w:rStyle w:val="10"/>
          <w:rFonts w:hint="eastAsia" w:ascii="Times New Roman" w:hAnsi="Times New Roman" w:eastAsia="宋体"/>
          <w:b/>
          <w:kern w:val="0"/>
          <w:sz w:val="21"/>
          <w:lang/>
        </w:rPr>
        <w:t>托管人对报告期内本基金投资运作遵规守信、净值计算、利润分配等情况的说明</w:t>
      </w:r>
      <w:r>
        <w:rPr>
          <w:rFonts w:hint="default"/>
          <w:sz w:val="21"/>
          <w:lang/>
        </w:rPr>
        <w:tab/>
      </w:r>
      <w:r>
        <w:rPr>
          <w:rFonts w:hint="default"/>
          <w:sz w:val="21"/>
          <w:lang/>
        </w:rPr>
        <w:fldChar w:fldCharType="begin"/>
      </w:r>
      <w:r>
        <w:rPr>
          <w:rFonts w:hint="default"/>
          <w:sz w:val="21"/>
          <w:lang/>
        </w:rPr>
        <w:instrText xml:space="preserve"> PAGEREF _Toc477960793 \h </w:instrText>
      </w:r>
      <w:r>
        <w:rPr>
          <w:rFonts w:hint="default"/>
          <w:sz w:val="21"/>
          <w:lang/>
        </w:rPr>
        <w:fldChar w:fldCharType="separate"/>
      </w:r>
      <w:r>
        <w:rPr>
          <w:rFonts w:hint="default"/>
          <w:sz w:val="21"/>
          <w:lang/>
        </w:rPr>
        <w:t>17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"_Toc477960794"</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5.3 </w:t>
      </w:r>
      <w:r>
        <w:rPr>
          <w:rStyle w:val="10"/>
          <w:rFonts w:hint="eastAsia" w:ascii="Times New Roman" w:hAnsi="Times New Roman" w:eastAsia="宋体"/>
          <w:b/>
          <w:kern w:val="0"/>
          <w:sz w:val="21"/>
          <w:lang/>
        </w:rPr>
        <w:t>托管人对本年度报告中财务信息等内容的真实、准确和完整发表意见</w:t>
      </w:r>
      <w:r>
        <w:rPr>
          <w:rFonts w:hint="default"/>
          <w:sz w:val="21"/>
          <w:lang/>
        </w:rPr>
        <w:tab/>
      </w:r>
      <w:r>
        <w:rPr>
          <w:rFonts w:hint="default"/>
          <w:sz w:val="21"/>
          <w:lang/>
        </w:rPr>
        <w:fldChar w:fldCharType="begin"/>
      </w:r>
      <w:r>
        <w:rPr>
          <w:rFonts w:hint="default"/>
          <w:sz w:val="21"/>
          <w:lang/>
        </w:rPr>
        <w:instrText xml:space="preserve"> PAGEREF _Toc477960794 \h </w:instrText>
      </w:r>
      <w:r>
        <w:rPr>
          <w:rFonts w:hint="default"/>
          <w:sz w:val="21"/>
          <w:lang/>
        </w:rPr>
        <w:fldChar w:fldCharType="separate"/>
      </w:r>
      <w:r>
        <w:rPr>
          <w:rFonts w:hint="default"/>
          <w:sz w:val="21"/>
          <w:lang/>
        </w:rPr>
        <w:t>17</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"_Toc477960795"</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§6 </w:t>
      </w:r>
      <w:r>
        <w:rPr>
          <w:rStyle w:val="10"/>
          <w:rFonts w:hint="eastAsia" w:ascii="Times New Roman" w:hAnsi="Times New Roman" w:eastAsia="宋体"/>
          <w:b/>
          <w:kern w:val="0"/>
          <w:sz w:val="21"/>
          <w:lang/>
        </w:rPr>
        <w:t>审计报告</w:t>
      </w:r>
      <w:r>
        <w:rPr>
          <w:rFonts w:hint="default"/>
          <w:sz w:val="21"/>
          <w:lang/>
        </w:rPr>
        <w:tab/>
      </w:r>
      <w:r>
        <w:rPr>
          <w:rFonts w:hint="default"/>
          <w:sz w:val="21"/>
          <w:lang/>
        </w:rPr>
        <w:fldChar w:fldCharType="begin"/>
      </w:r>
      <w:r>
        <w:rPr>
          <w:rFonts w:hint="default"/>
          <w:sz w:val="21"/>
          <w:lang/>
        </w:rPr>
        <w:instrText xml:space="preserve"> PAGEREF _Toc477960795 \h </w:instrText>
      </w:r>
      <w:r>
        <w:rPr>
          <w:rFonts w:hint="default"/>
          <w:sz w:val="21"/>
          <w:lang/>
        </w:rPr>
        <w:fldChar w:fldCharType="separate"/>
      </w:r>
      <w:r>
        <w:rPr>
          <w:rFonts w:hint="default"/>
          <w:sz w:val="21"/>
          <w:lang/>
        </w:rPr>
        <w:t>17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"_Toc477960796"</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6.1 </w:t>
      </w:r>
      <w:r>
        <w:rPr>
          <w:rStyle w:val="10"/>
          <w:rFonts w:hint="eastAsia" w:ascii="Times New Roman" w:hAnsi="Times New Roman" w:eastAsia="宋体"/>
          <w:b/>
          <w:kern w:val="0"/>
          <w:sz w:val="21"/>
          <w:lang/>
        </w:rPr>
        <w:t>审计报告基本信息</w:t>
      </w:r>
      <w:r>
        <w:rPr>
          <w:rFonts w:hint="default"/>
          <w:sz w:val="21"/>
          <w:lang/>
        </w:rPr>
        <w:tab/>
      </w:r>
      <w:r>
        <w:rPr>
          <w:rFonts w:hint="default"/>
          <w:sz w:val="21"/>
          <w:lang/>
        </w:rPr>
        <w:fldChar w:fldCharType="begin"/>
      </w:r>
      <w:r>
        <w:rPr>
          <w:rFonts w:hint="default"/>
          <w:sz w:val="21"/>
          <w:lang/>
        </w:rPr>
        <w:instrText xml:space="preserve"> PAGEREF _Toc477960796 \h </w:instrText>
      </w:r>
      <w:r>
        <w:rPr>
          <w:rFonts w:hint="default"/>
          <w:sz w:val="21"/>
          <w:lang/>
        </w:rPr>
        <w:fldChar w:fldCharType="separate"/>
      </w:r>
      <w:r>
        <w:rPr>
          <w:rFonts w:hint="default"/>
          <w:sz w:val="21"/>
          <w:lang/>
        </w:rPr>
        <w:t>18</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"_Toc477960797"</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6.2 </w:t>
      </w:r>
      <w:r>
        <w:rPr>
          <w:rStyle w:val="10"/>
          <w:rFonts w:hint="eastAsia" w:ascii="Times New Roman" w:hAnsi="Times New Roman" w:eastAsia="宋体"/>
          <w:b/>
          <w:kern w:val="0"/>
          <w:sz w:val="21"/>
          <w:lang/>
        </w:rPr>
        <w:t>审计报告的基本内容</w:t>
      </w:r>
      <w:r>
        <w:rPr>
          <w:rFonts w:hint="default"/>
          <w:sz w:val="21"/>
          <w:lang/>
        </w:rPr>
        <w:tab/>
      </w:r>
      <w:r>
        <w:rPr>
          <w:rFonts w:hint="default"/>
          <w:sz w:val="21"/>
          <w:lang/>
        </w:rPr>
        <w:fldChar w:fldCharType="begin"/>
      </w:r>
      <w:r>
        <w:rPr>
          <w:rFonts w:hint="default"/>
          <w:sz w:val="21"/>
          <w:lang/>
        </w:rPr>
        <w:instrText xml:space="preserve"> PAGEREF _Toc477960797 \h </w:instrText>
      </w:r>
      <w:r>
        <w:rPr>
          <w:rFonts w:hint="default"/>
          <w:sz w:val="21"/>
          <w:lang/>
        </w:rPr>
        <w:fldChar w:fldCharType="separate"/>
      </w:r>
      <w:r>
        <w:rPr>
          <w:rFonts w:hint="default"/>
          <w:sz w:val="21"/>
          <w:lang/>
        </w:rPr>
        <w:t>18</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"_Toc477960798"</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§7 </w:t>
      </w:r>
      <w:r>
        <w:rPr>
          <w:rStyle w:val="10"/>
          <w:rFonts w:hint="eastAsia" w:ascii="Times New Roman" w:hAnsi="Times New Roman" w:eastAsia="宋体"/>
          <w:b/>
          <w:kern w:val="0"/>
          <w:sz w:val="21"/>
          <w:lang/>
        </w:rPr>
        <w:t>年度财务报表</w:t>
      </w:r>
      <w:r>
        <w:rPr>
          <w:rFonts w:hint="default"/>
          <w:sz w:val="21"/>
          <w:lang/>
        </w:rPr>
        <w:tab/>
      </w:r>
      <w:r>
        <w:rPr>
          <w:rFonts w:hint="default"/>
          <w:sz w:val="21"/>
          <w:lang/>
        </w:rPr>
        <w:fldChar w:fldCharType="begin"/>
      </w:r>
      <w:r>
        <w:rPr>
          <w:rFonts w:hint="default"/>
          <w:sz w:val="21"/>
          <w:lang/>
        </w:rPr>
        <w:instrText xml:space="preserve"> PAGEREF _Toc477960798 \h </w:instrText>
      </w:r>
      <w:r>
        <w:rPr>
          <w:rFonts w:hint="default"/>
          <w:sz w:val="21"/>
          <w:lang/>
        </w:rPr>
        <w:fldChar w:fldCharType="separate"/>
      </w:r>
      <w:r>
        <w:rPr>
          <w:rFonts w:hint="default"/>
          <w:sz w:val="21"/>
          <w:lang/>
        </w:rPr>
        <w:t>19</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"_Toc477960799"</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7.1 </w:t>
      </w:r>
      <w:r>
        <w:rPr>
          <w:rStyle w:val="10"/>
          <w:rFonts w:hint="eastAsia" w:ascii="Times New Roman" w:hAnsi="Times New Roman" w:eastAsia="宋体"/>
          <w:b/>
          <w:kern w:val="0"/>
          <w:sz w:val="21"/>
          <w:lang/>
        </w:rPr>
        <w:t>资产负债表</w:t>
      </w:r>
      <w:r>
        <w:rPr>
          <w:rFonts w:hint="default"/>
          <w:sz w:val="21"/>
          <w:lang/>
        </w:rPr>
        <w:tab/>
      </w:r>
      <w:r>
        <w:rPr>
          <w:rFonts w:hint="default"/>
          <w:sz w:val="21"/>
          <w:lang/>
        </w:rPr>
        <w:fldChar w:fldCharType="begin"/>
      </w:r>
      <w:r>
        <w:rPr>
          <w:rFonts w:hint="default"/>
          <w:sz w:val="21"/>
          <w:lang/>
        </w:rPr>
        <w:instrText xml:space="preserve"> PAGEREF _Toc477960799 \h </w:instrText>
      </w:r>
      <w:r>
        <w:rPr>
          <w:rFonts w:hint="default"/>
          <w:sz w:val="21"/>
          <w:lang/>
        </w:rPr>
        <w:fldChar w:fldCharType="separate"/>
      </w:r>
      <w:r>
        <w:rPr>
          <w:rFonts w:hint="default"/>
          <w:sz w:val="21"/>
          <w:lang/>
        </w:rPr>
        <w:t>19</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"_Toc477960800"</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7.2 </w:t>
      </w:r>
      <w:r>
        <w:rPr>
          <w:rStyle w:val="10"/>
          <w:rFonts w:hint="eastAsia" w:ascii="Times New Roman" w:hAnsi="Times New Roman" w:eastAsia="宋体"/>
          <w:b/>
          <w:kern w:val="0"/>
          <w:sz w:val="21"/>
          <w:lang/>
        </w:rPr>
        <w:t>利润表</w:t>
      </w:r>
      <w:r>
        <w:rPr>
          <w:rFonts w:hint="default"/>
          <w:sz w:val="21"/>
          <w:lang/>
        </w:rPr>
        <w:tab/>
      </w:r>
      <w:r>
        <w:rPr>
          <w:rFonts w:hint="default"/>
          <w:sz w:val="21"/>
          <w:lang/>
        </w:rPr>
        <w:fldChar w:fldCharType="begin"/>
      </w:r>
      <w:r>
        <w:rPr>
          <w:rFonts w:hint="default"/>
          <w:sz w:val="21"/>
          <w:lang/>
        </w:rPr>
        <w:instrText xml:space="preserve"> PAGEREF _Toc477960800 \h </w:instrText>
      </w:r>
      <w:r>
        <w:rPr>
          <w:rFonts w:hint="default"/>
          <w:sz w:val="21"/>
          <w:lang/>
        </w:rPr>
        <w:fldChar w:fldCharType="separate"/>
      </w:r>
      <w:r>
        <w:rPr>
          <w:rFonts w:hint="default"/>
          <w:sz w:val="21"/>
          <w:lang/>
        </w:rPr>
        <w:t>21</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"_Toc477960801"</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7.3 </w:t>
      </w:r>
      <w:r>
        <w:rPr>
          <w:rStyle w:val="10"/>
          <w:rFonts w:hint="eastAsia" w:ascii="Times New Roman" w:hAnsi="Times New Roman" w:eastAsia="宋体"/>
          <w:b/>
          <w:kern w:val="0"/>
          <w:sz w:val="21"/>
          <w:lang/>
        </w:rPr>
        <w:t>所有者权益（基金净值）变动表</w:t>
      </w:r>
      <w:r>
        <w:rPr>
          <w:rFonts w:hint="default"/>
          <w:sz w:val="21"/>
          <w:lang/>
        </w:rPr>
        <w:tab/>
      </w:r>
      <w:r>
        <w:rPr>
          <w:rFonts w:hint="default"/>
          <w:sz w:val="21"/>
          <w:lang/>
        </w:rPr>
        <w:fldChar w:fldCharType="begin"/>
      </w:r>
      <w:r>
        <w:rPr>
          <w:rFonts w:hint="default"/>
          <w:sz w:val="21"/>
          <w:lang/>
        </w:rPr>
        <w:instrText xml:space="preserve"> PAGEREF _Toc477960801 \h </w:instrText>
      </w:r>
      <w:r>
        <w:rPr>
          <w:rFonts w:hint="default"/>
          <w:sz w:val="21"/>
          <w:lang/>
        </w:rPr>
        <w:fldChar w:fldCharType="separate"/>
      </w:r>
      <w:r>
        <w:rPr>
          <w:rFonts w:hint="default"/>
          <w:sz w:val="21"/>
          <w:lang/>
        </w:rPr>
        <w:t>23</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"_Toc477960802"</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7.4 </w:t>
      </w:r>
      <w:r>
        <w:rPr>
          <w:rStyle w:val="10"/>
          <w:rFonts w:hint="eastAsia" w:ascii="Times New Roman" w:hAnsi="Times New Roman" w:eastAsia="宋体"/>
          <w:b/>
          <w:kern w:val="0"/>
          <w:sz w:val="21"/>
          <w:lang/>
        </w:rPr>
        <w:t>报表附注</w:t>
      </w:r>
      <w:r>
        <w:rPr>
          <w:rFonts w:hint="default"/>
          <w:sz w:val="21"/>
          <w:lang/>
        </w:rPr>
        <w:tab/>
      </w:r>
      <w:r>
        <w:rPr>
          <w:rFonts w:hint="default"/>
          <w:sz w:val="21"/>
          <w:lang/>
        </w:rPr>
        <w:fldChar w:fldCharType="begin"/>
      </w:r>
      <w:r>
        <w:rPr>
          <w:rFonts w:hint="default"/>
          <w:sz w:val="21"/>
          <w:lang/>
        </w:rPr>
        <w:instrText xml:space="preserve"> PAGEREF _Toc477960802 \h </w:instrText>
      </w:r>
      <w:r>
        <w:rPr>
          <w:rFonts w:hint="default"/>
          <w:sz w:val="21"/>
          <w:lang/>
        </w:rPr>
        <w:fldChar w:fldCharType="separate"/>
      </w:r>
      <w:r>
        <w:rPr>
          <w:rFonts w:hint="default"/>
          <w:sz w:val="21"/>
          <w:lang/>
        </w:rPr>
        <w:t>24</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"_Toc477960803"</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  </w:t>
      </w:r>
      <w:r>
        <w:rPr>
          <w:rStyle w:val="10"/>
          <w:rFonts w:hint="eastAsia" w:ascii="Times New Roman" w:hAnsi="Times New Roman" w:eastAsia="宋体"/>
          <w:b/>
          <w:kern w:val="0"/>
          <w:sz w:val="21"/>
          <w:lang/>
        </w:rPr>
        <w:t>投资组合报告</w:t>
      </w:r>
      <w:r>
        <w:rPr>
          <w:rFonts w:hint="default"/>
          <w:sz w:val="21"/>
          <w:lang/>
        </w:rPr>
        <w:tab/>
      </w:r>
      <w:r>
        <w:rPr>
          <w:rFonts w:hint="default"/>
          <w:sz w:val="21"/>
          <w:lang/>
        </w:rPr>
        <w:fldChar w:fldCharType="begin"/>
      </w:r>
      <w:r>
        <w:rPr>
          <w:rFonts w:hint="default"/>
          <w:sz w:val="21"/>
          <w:lang/>
        </w:rPr>
        <w:instrText xml:space="preserve"> PAGEREF _Toc477960803 \h </w:instrText>
      </w:r>
      <w:r>
        <w:rPr>
          <w:rFonts w:hint="default"/>
          <w:sz w:val="21"/>
          <w:lang/>
        </w:rPr>
        <w:fldChar w:fldCharType="separate"/>
      </w:r>
      <w:r>
        <w:rPr>
          <w:rFonts w:hint="default"/>
          <w:sz w:val="21"/>
          <w:lang/>
        </w:rPr>
        <w:t>51</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"_Toc477960804"</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8.1 </w:t>
      </w:r>
      <w:r>
        <w:rPr>
          <w:rStyle w:val="10"/>
          <w:rFonts w:hint="eastAsia" w:ascii="Times New Roman" w:hAnsi="Times New Roman" w:eastAsia="宋体"/>
          <w:b/>
          <w:kern w:val="0"/>
          <w:sz w:val="21"/>
          <w:lang/>
        </w:rPr>
        <w:t>期末基金资产组合情况</w:t>
      </w:r>
      <w:r>
        <w:rPr>
          <w:rFonts w:hint="default"/>
          <w:sz w:val="21"/>
          <w:lang/>
        </w:rPr>
        <w:tab/>
      </w:r>
      <w:r>
        <w:rPr>
          <w:rFonts w:hint="default"/>
          <w:sz w:val="21"/>
          <w:lang/>
        </w:rPr>
        <w:fldChar w:fldCharType="begin"/>
      </w:r>
      <w:r>
        <w:rPr>
          <w:rFonts w:hint="default"/>
          <w:sz w:val="21"/>
          <w:lang/>
        </w:rPr>
        <w:instrText xml:space="preserve"> PAGEREF _Toc477960804 \h </w:instrText>
      </w:r>
      <w:r>
        <w:rPr>
          <w:rFonts w:hint="default"/>
          <w:sz w:val="21"/>
          <w:lang/>
        </w:rPr>
        <w:fldChar w:fldCharType="separate"/>
      </w:r>
      <w:r>
        <w:rPr>
          <w:rFonts w:hint="default"/>
          <w:sz w:val="21"/>
          <w:lang/>
        </w:rPr>
        <w:t>51</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"_Toc477960805"</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8.3 </w:t>
      </w:r>
      <w:r>
        <w:rPr>
          <w:rStyle w:val="10"/>
          <w:rFonts w:hint="eastAsia" w:ascii="Times New Roman" w:hAnsi="Times New Roman" w:eastAsia="宋体"/>
          <w:b/>
          <w:kern w:val="0"/>
          <w:sz w:val="21"/>
          <w:lang/>
        </w:rPr>
        <w:t>期末按公允价值占基金资产净值比例大小排序的所有股票投资明细</w:t>
      </w:r>
      <w:r>
        <w:rPr>
          <w:rFonts w:hint="default"/>
          <w:sz w:val="21"/>
          <w:lang/>
        </w:rPr>
        <w:tab/>
      </w:r>
      <w:r>
        <w:rPr>
          <w:rFonts w:hint="default"/>
          <w:sz w:val="21"/>
          <w:lang/>
        </w:rPr>
        <w:fldChar w:fldCharType="begin"/>
      </w:r>
      <w:r>
        <w:rPr>
          <w:rFonts w:hint="default"/>
          <w:sz w:val="21"/>
          <w:lang/>
        </w:rPr>
        <w:instrText xml:space="preserve"> PAGEREF _Toc477960805 \h </w:instrText>
      </w:r>
      <w:r>
        <w:rPr>
          <w:rFonts w:hint="default"/>
          <w:sz w:val="21"/>
          <w:lang/>
        </w:rPr>
        <w:fldChar w:fldCharType="separate"/>
      </w:r>
      <w:r>
        <w:rPr>
          <w:rFonts w:hint="default"/>
          <w:sz w:val="21"/>
          <w:lang/>
        </w:rPr>
        <w:t>52</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"_Toc477960806"</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8.4 </w:t>
      </w:r>
      <w:r>
        <w:rPr>
          <w:rStyle w:val="10"/>
          <w:rFonts w:hint="eastAsia" w:ascii="Times New Roman" w:hAnsi="Times New Roman" w:eastAsia="宋体"/>
          <w:b/>
          <w:kern w:val="0"/>
          <w:sz w:val="21"/>
          <w:lang/>
        </w:rPr>
        <w:t>报告期内股票投资组合的重大变动</w:t>
      </w:r>
      <w:r>
        <w:rPr>
          <w:rFonts w:hint="default"/>
          <w:sz w:val="21"/>
          <w:lang/>
        </w:rPr>
        <w:tab/>
      </w:r>
      <w:r>
        <w:rPr>
          <w:rFonts w:hint="default"/>
          <w:sz w:val="21"/>
          <w:lang/>
        </w:rPr>
        <w:fldChar w:fldCharType="begin"/>
      </w:r>
      <w:r>
        <w:rPr>
          <w:rFonts w:hint="default"/>
          <w:sz w:val="21"/>
          <w:lang/>
        </w:rPr>
        <w:instrText xml:space="preserve"> PAGEREF _Toc477960806 \h </w:instrText>
      </w:r>
      <w:r>
        <w:rPr>
          <w:rFonts w:hint="default"/>
          <w:sz w:val="21"/>
          <w:lang/>
        </w:rPr>
        <w:fldChar w:fldCharType="separate"/>
      </w:r>
      <w:r>
        <w:rPr>
          <w:rFonts w:hint="default"/>
          <w:sz w:val="21"/>
          <w:lang/>
        </w:rPr>
        <w:t>54</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"_Toc477960807"</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8.5 </w:t>
      </w:r>
      <w:r>
        <w:rPr>
          <w:rStyle w:val="10"/>
          <w:rFonts w:hint="eastAsia" w:ascii="Times New Roman" w:hAnsi="Times New Roman" w:eastAsia="宋体"/>
          <w:b/>
          <w:kern w:val="0"/>
          <w:sz w:val="21"/>
          <w:lang/>
        </w:rPr>
        <w:t>期末按债券品种分类的债券投资组合</w:t>
      </w:r>
      <w:r>
        <w:rPr>
          <w:rFonts w:hint="default"/>
          <w:sz w:val="21"/>
          <w:lang/>
        </w:rPr>
        <w:tab/>
      </w:r>
      <w:r>
        <w:rPr>
          <w:rFonts w:hint="default"/>
          <w:sz w:val="21"/>
          <w:lang/>
        </w:rPr>
        <w:fldChar w:fldCharType="begin"/>
      </w:r>
      <w:r>
        <w:rPr>
          <w:rFonts w:hint="default"/>
          <w:sz w:val="21"/>
          <w:lang/>
        </w:rPr>
        <w:instrText xml:space="preserve"> PAGEREF _Toc477960807 \h </w:instrText>
      </w:r>
      <w:r>
        <w:rPr>
          <w:rFonts w:hint="default"/>
          <w:sz w:val="21"/>
          <w:lang/>
        </w:rPr>
        <w:fldChar w:fldCharType="separate"/>
      </w:r>
      <w:r>
        <w:rPr>
          <w:rFonts w:hint="default"/>
          <w:sz w:val="21"/>
          <w:lang/>
        </w:rPr>
        <w:t>56</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"_Toc477960808"</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8.6 </w:t>
      </w:r>
      <w:r>
        <w:rPr>
          <w:rStyle w:val="10"/>
          <w:rFonts w:hint="eastAsia" w:ascii="Times New Roman" w:hAnsi="Times New Roman" w:eastAsia="宋体"/>
          <w:b/>
          <w:kern w:val="0"/>
          <w:sz w:val="21"/>
          <w:lang/>
        </w:rPr>
        <w:t>期末按公允价值占基金资产净值比例大小排序的前五名债券投资明细</w:t>
      </w:r>
      <w:r>
        <w:rPr>
          <w:rFonts w:hint="default"/>
          <w:sz w:val="21"/>
          <w:lang/>
        </w:rPr>
        <w:tab/>
      </w:r>
      <w:r>
        <w:rPr>
          <w:rFonts w:hint="default"/>
          <w:sz w:val="21"/>
          <w:lang/>
        </w:rPr>
        <w:fldChar w:fldCharType="begin"/>
      </w:r>
      <w:r>
        <w:rPr>
          <w:rFonts w:hint="default"/>
          <w:sz w:val="21"/>
          <w:lang/>
        </w:rPr>
        <w:instrText xml:space="preserve"> PAGEREF _Toc477960808 \h </w:instrText>
      </w:r>
      <w:r>
        <w:rPr>
          <w:rFonts w:hint="default"/>
          <w:sz w:val="21"/>
          <w:lang/>
        </w:rPr>
        <w:fldChar w:fldCharType="separate"/>
      </w:r>
      <w:r>
        <w:rPr>
          <w:rFonts w:hint="default"/>
          <w:sz w:val="21"/>
          <w:lang/>
        </w:rPr>
        <w:t>57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"_Toc477960809"</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8.7 </w:t>
      </w:r>
      <w:r>
        <w:rPr>
          <w:rStyle w:val="10"/>
          <w:rFonts w:hint="eastAsia" w:ascii="Times New Roman" w:hAnsi="Times New Roman" w:eastAsia="宋体"/>
          <w:b/>
          <w:kern w:val="0"/>
          <w:sz w:val="21"/>
          <w:lang/>
        </w:rPr>
        <w:t>期末按公允价值占基金资产净值比例大小排序的所有资产支持证券投资明细</w:t>
      </w:r>
      <w:r>
        <w:rPr>
          <w:rFonts w:hint="default"/>
          <w:sz w:val="21"/>
          <w:lang/>
        </w:rPr>
        <w:tab/>
      </w:r>
      <w:r>
        <w:rPr>
          <w:rFonts w:hint="default"/>
          <w:sz w:val="21"/>
          <w:lang/>
        </w:rPr>
        <w:fldChar w:fldCharType="begin"/>
      </w:r>
      <w:r>
        <w:rPr>
          <w:rFonts w:hint="default"/>
          <w:sz w:val="21"/>
          <w:lang/>
        </w:rPr>
        <w:instrText xml:space="preserve"> PAGEREF _Toc477960809 \h </w:instrText>
      </w:r>
      <w:r>
        <w:rPr>
          <w:rFonts w:hint="default"/>
          <w:sz w:val="21"/>
          <w:lang/>
        </w:rPr>
        <w:fldChar w:fldCharType="separate"/>
      </w:r>
      <w:r>
        <w:rPr>
          <w:rFonts w:hint="default"/>
          <w:sz w:val="21"/>
          <w:lang/>
        </w:rPr>
        <w:t>57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"_Toc477960810"</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8.8 </w:t>
      </w:r>
      <w:r>
        <w:rPr>
          <w:rStyle w:val="10"/>
          <w:rFonts w:hint="eastAsia" w:ascii="Times New Roman" w:hAnsi="Times New Roman" w:eastAsia="宋体"/>
          <w:b/>
          <w:kern w:val="0"/>
          <w:sz w:val="21"/>
          <w:lang/>
        </w:rPr>
        <w:t>报告期末按公允价值占基金资产净值比例大小排序的前五名贵金属投资明细</w:t>
      </w:r>
      <w:r>
        <w:rPr>
          <w:rFonts w:hint="default"/>
          <w:sz w:val="21"/>
          <w:lang/>
        </w:rPr>
        <w:tab/>
      </w:r>
      <w:r>
        <w:rPr>
          <w:rFonts w:hint="default"/>
          <w:sz w:val="21"/>
          <w:lang/>
        </w:rPr>
        <w:fldChar w:fldCharType="begin"/>
      </w:r>
      <w:r>
        <w:rPr>
          <w:rFonts w:hint="default"/>
          <w:sz w:val="21"/>
          <w:lang/>
        </w:rPr>
        <w:instrText xml:space="preserve"> PAGEREF _Toc477960810 \h </w:instrText>
      </w:r>
      <w:r>
        <w:rPr>
          <w:rFonts w:hint="default"/>
          <w:sz w:val="21"/>
          <w:lang/>
        </w:rPr>
        <w:fldChar w:fldCharType="separate"/>
      </w:r>
      <w:r>
        <w:rPr>
          <w:rFonts w:hint="default"/>
          <w:sz w:val="21"/>
          <w:lang/>
        </w:rPr>
        <w:t>57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"_Toc477960811"</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8.9 </w:t>
      </w:r>
      <w:r>
        <w:rPr>
          <w:rStyle w:val="10"/>
          <w:rFonts w:hint="eastAsia" w:ascii="Times New Roman" w:hAnsi="Times New Roman" w:eastAsia="宋体"/>
          <w:b/>
          <w:kern w:val="0"/>
          <w:sz w:val="21"/>
          <w:lang/>
        </w:rPr>
        <w:t>期末按公允价值占基金资产净值比例大小排序的前五名权证投资明细</w:t>
      </w:r>
      <w:r>
        <w:rPr>
          <w:rFonts w:hint="default"/>
          <w:sz w:val="21"/>
          <w:lang/>
        </w:rPr>
        <w:tab/>
      </w:r>
      <w:r>
        <w:rPr>
          <w:rFonts w:hint="default"/>
          <w:sz w:val="21"/>
          <w:lang/>
        </w:rPr>
        <w:fldChar w:fldCharType="begin"/>
      </w:r>
      <w:r>
        <w:rPr>
          <w:rFonts w:hint="default"/>
          <w:sz w:val="21"/>
          <w:lang/>
        </w:rPr>
        <w:instrText xml:space="preserve"> PAGEREF _Toc477960811 \h </w:instrText>
      </w:r>
      <w:r>
        <w:rPr>
          <w:rFonts w:hint="default"/>
          <w:sz w:val="21"/>
          <w:lang/>
        </w:rPr>
        <w:fldChar w:fldCharType="separate"/>
      </w:r>
      <w:r>
        <w:rPr>
          <w:rFonts w:hint="default"/>
          <w:sz w:val="21"/>
          <w:lang/>
        </w:rPr>
        <w:t>57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"_Toc477960812"</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8.10 </w:t>
      </w:r>
      <w:r>
        <w:rPr>
          <w:rStyle w:val="10"/>
          <w:rFonts w:hint="eastAsia" w:ascii="Times New Roman" w:hAnsi="Times New Roman" w:eastAsia="宋体"/>
          <w:b/>
          <w:kern w:val="0"/>
          <w:sz w:val="21"/>
          <w:lang/>
        </w:rPr>
        <w:t>报告期末本基金投资的股指期货交易情况说明</w:t>
      </w:r>
      <w:r>
        <w:rPr>
          <w:rFonts w:hint="default"/>
          <w:sz w:val="21"/>
          <w:lang/>
        </w:rPr>
        <w:tab/>
      </w:r>
      <w:r>
        <w:rPr>
          <w:rFonts w:hint="default"/>
          <w:sz w:val="21"/>
          <w:lang/>
        </w:rPr>
        <w:fldChar w:fldCharType="begin"/>
      </w:r>
      <w:r>
        <w:rPr>
          <w:rFonts w:hint="default"/>
          <w:sz w:val="21"/>
          <w:lang/>
        </w:rPr>
        <w:instrText xml:space="preserve"> PAGEREF _Toc477960812 \h </w:instrText>
      </w:r>
      <w:r>
        <w:rPr>
          <w:rFonts w:hint="default"/>
          <w:sz w:val="21"/>
          <w:lang/>
        </w:rPr>
        <w:fldChar w:fldCharType="separate"/>
      </w:r>
      <w:r>
        <w:rPr>
          <w:rFonts w:hint="default"/>
          <w:sz w:val="21"/>
          <w:lang/>
        </w:rPr>
        <w:t>57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"_Toc477960813"</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8.11 </w:t>
      </w:r>
      <w:r>
        <w:rPr>
          <w:rStyle w:val="10"/>
          <w:rFonts w:hint="eastAsia" w:ascii="Times New Roman" w:hAnsi="Times New Roman" w:eastAsia="宋体"/>
          <w:b/>
          <w:kern w:val="0"/>
          <w:sz w:val="21"/>
          <w:lang/>
        </w:rPr>
        <w:t>报告期末本基金投资的国债期货交易情况说明</w:t>
      </w:r>
      <w:r>
        <w:rPr>
          <w:rFonts w:hint="default"/>
          <w:sz w:val="21"/>
          <w:lang/>
        </w:rPr>
        <w:tab/>
      </w:r>
      <w:r>
        <w:rPr>
          <w:rFonts w:hint="default"/>
          <w:sz w:val="21"/>
          <w:lang/>
        </w:rPr>
        <w:fldChar w:fldCharType="begin"/>
      </w:r>
      <w:r>
        <w:rPr>
          <w:rFonts w:hint="default"/>
          <w:sz w:val="21"/>
          <w:lang/>
        </w:rPr>
        <w:instrText xml:space="preserve"> PAGEREF _Toc477960813 \h </w:instrText>
      </w:r>
      <w:r>
        <w:rPr>
          <w:rFonts w:hint="default"/>
          <w:sz w:val="21"/>
          <w:lang/>
        </w:rPr>
        <w:fldChar w:fldCharType="separate"/>
      </w:r>
      <w:r>
        <w:rPr>
          <w:rFonts w:hint="default"/>
          <w:sz w:val="21"/>
          <w:lang/>
        </w:rPr>
        <w:t>57</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"_Toc477960814"</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8.12 </w:t>
      </w:r>
      <w:r>
        <w:rPr>
          <w:rStyle w:val="10"/>
          <w:rFonts w:hint="eastAsia" w:ascii="Times New Roman" w:hAnsi="Times New Roman" w:eastAsia="宋体"/>
          <w:b/>
          <w:kern w:val="0"/>
          <w:sz w:val="21"/>
          <w:lang/>
        </w:rPr>
        <w:t>投资组合报告附注</w:t>
      </w:r>
      <w:r>
        <w:rPr>
          <w:rFonts w:hint="default"/>
          <w:sz w:val="21"/>
          <w:lang/>
        </w:rPr>
        <w:tab/>
      </w:r>
      <w:r>
        <w:rPr>
          <w:rFonts w:hint="default"/>
          <w:sz w:val="21"/>
          <w:lang/>
        </w:rPr>
        <w:fldChar w:fldCharType="begin"/>
      </w:r>
      <w:r>
        <w:rPr>
          <w:rFonts w:hint="default"/>
          <w:sz w:val="21"/>
          <w:lang/>
        </w:rPr>
        <w:instrText xml:space="preserve"> PAGEREF _Toc477960814 \h </w:instrText>
      </w:r>
      <w:r>
        <w:rPr>
          <w:rFonts w:hint="default"/>
          <w:sz w:val="21"/>
          <w:lang/>
        </w:rPr>
        <w:fldChar w:fldCharType="separate"/>
      </w:r>
      <w:r>
        <w:rPr>
          <w:rFonts w:hint="default"/>
          <w:sz w:val="21"/>
          <w:lang/>
        </w:rPr>
        <w:t>57</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"_Toc477960815"</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§9 </w:t>
      </w:r>
      <w:r>
        <w:rPr>
          <w:rStyle w:val="10"/>
          <w:rFonts w:hint="eastAsia" w:ascii="Times New Roman" w:hAnsi="Times New Roman" w:eastAsia="宋体"/>
          <w:b/>
          <w:kern w:val="0"/>
          <w:sz w:val="21"/>
          <w:lang/>
        </w:rPr>
        <w:t>基金份额持有人信息</w:t>
      </w:r>
      <w:r>
        <w:rPr>
          <w:rFonts w:hint="default"/>
          <w:sz w:val="21"/>
          <w:lang/>
        </w:rPr>
        <w:tab/>
      </w:r>
      <w:r>
        <w:rPr>
          <w:rFonts w:hint="default"/>
          <w:sz w:val="21"/>
          <w:lang/>
        </w:rPr>
        <w:fldChar w:fldCharType="begin"/>
      </w:r>
      <w:r>
        <w:rPr>
          <w:rFonts w:hint="default"/>
          <w:sz w:val="21"/>
          <w:lang/>
        </w:rPr>
        <w:instrText xml:space="preserve"> PAGEREF _Toc477960815 \h </w:instrText>
      </w:r>
      <w:r>
        <w:rPr>
          <w:rFonts w:hint="default"/>
          <w:sz w:val="21"/>
          <w:lang/>
        </w:rPr>
        <w:fldChar w:fldCharType="separate"/>
      </w:r>
      <w:r>
        <w:rPr>
          <w:rFonts w:hint="default"/>
          <w:sz w:val="21"/>
          <w:lang/>
        </w:rPr>
        <w:t>59</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"_Toc477960816"</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9.1 </w:t>
      </w:r>
      <w:r>
        <w:rPr>
          <w:rStyle w:val="10"/>
          <w:rFonts w:hint="eastAsia" w:ascii="Times New Roman" w:hAnsi="Times New Roman" w:eastAsia="宋体"/>
          <w:b/>
          <w:kern w:val="0"/>
          <w:sz w:val="21"/>
          <w:lang/>
        </w:rPr>
        <w:t>期末基金份额持有人户数及持有人结构</w:t>
      </w:r>
      <w:r>
        <w:rPr>
          <w:rFonts w:hint="default"/>
          <w:sz w:val="21"/>
          <w:lang/>
        </w:rPr>
        <w:tab/>
      </w:r>
      <w:r>
        <w:rPr>
          <w:rFonts w:hint="default"/>
          <w:sz w:val="21"/>
          <w:lang/>
        </w:rPr>
        <w:fldChar w:fldCharType="begin"/>
      </w:r>
      <w:r>
        <w:rPr>
          <w:rFonts w:hint="default"/>
          <w:sz w:val="21"/>
          <w:lang/>
        </w:rPr>
        <w:instrText xml:space="preserve"> PAGEREF _Toc477960816 \h </w:instrText>
      </w:r>
      <w:r>
        <w:rPr>
          <w:rFonts w:hint="default"/>
          <w:sz w:val="21"/>
          <w:lang/>
        </w:rPr>
        <w:fldChar w:fldCharType="separate"/>
      </w:r>
      <w:r>
        <w:rPr>
          <w:rFonts w:hint="default"/>
          <w:sz w:val="21"/>
          <w:lang/>
        </w:rPr>
        <w:t>59</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"_Toc477960817"</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9.2 </w:t>
      </w:r>
      <w:r>
        <w:rPr>
          <w:rStyle w:val="10"/>
          <w:rFonts w:hint="eastAsia" w:ascii="Times New Roman" w:hAnsi="Times New Roman" w:eastAsia="宋体"/>
          <w:b/>
          <w:kern w:val="0"/>
          <w:sz w:val="21"/>
          <w:lang/>
        </w:rPr>
        <w:t>期末基金管理人的从业人员持有本基金的情况</w:t>
      </w:r>
      <w:r>
        <w:rPr>
          <w:rFonts w:hint="default"/>
          <w:sz w:val="21"/>
          <w:lang/>
        </w:rPr>
        <w:tab/>
      </w:r>
      <w:r>
        <w:rPr>
          <w:rFonts w:hint="default"/>
          <w:sz w:val="21"/>
          <w:lang/>
        </w:rPr>
        <w:fldChar w:fldCharType="begin"/>
      </w:r>
      <w:r>
        <w:rPr>
          <w:rFonts w:hint="default"/>
          <w:sz w:val="21"/>
          <w:lang/>
        </w:rPr>
        <w:instrText xml:space="preserve"> PAGEREF _Toc477960817 \h </w:instrText>
      </w:r>
      <w:r>
        <w:rPr>
          <w:rFonts w:hint="default"/>
          <w:sz w:val="21"/>
          <w:lang/>
        </w:rPr>
        <w:fldChar w:fldCharType="separate"/>
      </w:r>
      <w:r>
        <w:rPr>
          <w:rFonts w:hint="default"/>
          <w:sz w:val="21"/>
          <w:lang/>
        </w:rPr>
        <w:t>59</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"_Toc477960818"</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9.3 </w:t>
      </w:r>
      <w:r>
        <w:rPr>
          <w:rStyle w:val="10"/>
          <w:rFonts w:hint="eastAsia" w:ascii="Times New Roman" w:hAnsi="Times New Roman" w:eastAsia="宋体"/>
          <w:b/>
          <w:kern w:val="0"/>
          <w:sz w:val="21"/>
          <w:lang/>
        </w:rPr>
        <w:t>期末基金管理人的从业人员持有本开放式基金份额总量区间情况</w:t>
      </w:r>
      <w:r>
        <w:rPr>
          <w:rFonts w:hint="default"/>
          <w:sz w:val="21"/>
          <w:lang/>
        </w:rPr>
        <w:tab/>
      </w:r>
      <w:r>
        <w:rPr>
          <w:rFonts w:hint="default"/>
          <w:sz w:val="21"/>
          <w:lang/>
        </w:rPr>
        <w:fldChar w:fldCharType="begin"/>
      </w:r>
      <w:r>
        <w:rPr>
          <w:rFonts w:hint="default"/>
          <w:sz w:val="21"/>
          <w:lang/>
        </w:rPr>
        <w:instrText xml:space="preserve"> PAGEREF _Toc477960818 \h </w:instrText>
      </w:r>
      <w:r>
        <w:rPr>
          <w:rFonts w:hint="default"/>
          <w:sz w:val="21"/>
          <w:lang/>
        </w:rPr>
        <w:fldChar w:fldCharType="separate"/>
      </w:r>
      <w:r>
        <w:rPr>
          <w:rFonts w:hint="default"/>
          <w:sz w:val="21"/>
          <w:lang/>
        </w:rPr>
        <w:t>59</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"_Toc477960819"</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§10 </w:t>
      </w:r>
      <w:r>
        <w:rPr>
          <w:rStyle w:val="10"/>
          <w:rFonts w:hint="eastAsia" w:ascii="Times New Roman" w:hAnsi="Times New Roman" w:eastAsia="宋体"/>
          <w:b/>
          <w:kern w:val="0"/>
          <w:sz w:val="21"/>
          <w:lang/>
        </w:rPr>
        <w:t>开放式基金份额变动</w:t>
      </w:r>
      <w:r>
        <w:rPr>
          <w:rFonts w:hint="default"/>
          <w:sz w:val="21"/>
          <w:lang/>
        </w:rPr>
        <w:tab/>
      </w:r>
      <w:r>
        <w:rPr>
          <w:rFonts w:hint="default"/>
          <w:sz w:val="21"/>
          <w:lang/>
        </w:rPr>
        <w:fldChar w:fldCharType="begin"/>
      </w:r>
      <w:r>
        <w:rPr>
          <w:rFonts w:hint="default"/>
          <w:sz w:val="21"/>
          <w:lang/>
        </w:rPr>
        <w:instrText xml:space="preserve"> PAGEREF _Toc477960819 \h </w:instrText>
      </w:r>
      <w:r>
        <w:rPr>
          <w:rFonts w:hint="default"/>
          <w:sz w:val="21"/>
          <w:lang/>
        </w:rPr>
        <w:fldChar w:fldCharType="separate"/>
      </w:r>
      <w:r>
        <w:rPr>
          <w:rFonts w:hint="default"/>
          <w:sz w:val="21"/>
          <w:lang/>
        </w:rPr>
        <w:t>60</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"_Toc477960820"</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 </w:t>
      </w:r>
      <w:r>
        <w:rPr>
          <w:rStyle w:val="10"/>
          <w:rFonts w:hint="eastAsia" w:ascii="Times New Roman" w:hAnsi="Times New Roman" w:eastAsia="宋体"/>
          <w:b/>
          <w:kern w:val="0"/>
          <w:sz w:val="21"/>
          <w:lang/>
        </w:rPr>
        <w:t>重大事件揭示</w:t>
      </w:r>
      <w:r>
        <w:rPr>
          <w:rFonts w:hint="default"/>
          <w:sz w:val="21"/>
          <w:lang/>
        </w:rPr>
        <w:tab/>
      </w:r>
      <w:r>
        <w:rPr>
          <w:rFonts w:hint="default"/>
          <w:sz w:val="21"/>
          <w:lang/>
        </w:rPr>
        <w:fldChar w:fldCharType="begin"/>
      </w:r>
      <w:r>
        <w:rPr>
          <w:rFonts w:hint="default"/>
          <w:sz w:val="21"/>
          <w:lang/>
        </w:rPr>
        <w:instrText xml:space="preserve"> PAGEREF _Toc477960820 \h </w:instrText>
      </w:r>
      <w:r>
        <w:rPr>
          <w:rFonts w:hint="default"/>
          <w:sz w:val="21"/>
          <w:lang/>
        </w:rPr>
        <w:fldChar w:fldCharType="separate"/>
      </w:r>
      <w:r>
        <w:rPr>
          <w:rFonts w:hint="default"/>
          <w:sz w:val="21"/>
          <w:lang/>
        </w:rPr>
        <w:t>60</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"_Toc477960821"</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11.1 </w:t>
      </w:r>
      <w:r>
        <w:rPr>
          <w:rStyle w:val="10"/>
          <w:rFonts w:hint="eastAsia" w:ascii="Times New Roman" w:hAnsi="Times New Roman" w:eastAsia="宋体"/>
          <w:b/>
          <w:kern w:val="0"/>
          <w:sz w:val="21"/>
          <w:lang/>
        </w:rPr>
        <w:t>基金份额持有人大会决议</w:t>
      </w:r>
      <w:r>
        <w:rPr>
          <w:rFonts w:hint="default"/>
          <w:sz w:val="21"/>
          <w:lang/>
        </w:rPr>
        <w:tab/>
      </w:r>
      <w:r>
        <w:rPr>
          <w:rFonts w:hint="default"/>
          <w:sz w:val="21"/>
          <w:lang/>
        </w:rPr>
        <w:fldChar w:fldCharType="begin"/>
      </w:r>
      <w:r>
        <w:rPr>
          <w:rFonts w:hint="default"/>
          <w:sz w:val="21"/>
          <w:lang/>
        </w:rPr>
        <w:instrText xml:space="preserve"> PAGEREF _Toc477960821 \h </w:instrText>
      </w:r>
      <w:r>
        <w:rPr>
          <w:rFonts w:hint="default"/>
          <w:sz w:val="21"/>
          <w:lang/>
        </w:rPr>
        <w:fldChar w:fldCharType="separate"/>
      </w:r>
      <w:r>
        <w:rPr>
          <w:rFonts w:hint="default"/>
          <w:sz w:val="21"/>
          <w:lang/>
        </w:rPr>
        <w:t>60</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"_Toc477960822"</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11.2 </w:t>
      </w:r>
      <w:r>
        <w:rPr>
          <w:rStyle w:val="10"/>
          <w:rFonts w:hint="eastAsia" w:ascii="Times New Roman" w:hAnsi="Times New Roman" w:eastAsia="宋体"/>
          <w:b/>
          <w:kern w:val="0"/>
          <w:sz w:val="21"/>
          <w:lang/>
        </w:rPr>
        <w:t>基金管理人、基金托管人的专门基金托管部门的重大人事变动</w:t>
      </w:r>
      <w:r>
        <w:rPr>
          <w:rFonts w:hint="default"/>
          <w:sz w:val="21"/>
          <w:lang/>
        </w:rPr>
        <w:tab/>
      </w:r>
      <w:r>
        <w:rPr>
          <w:rFonts w:hint="default"/>
          <w:sz w:val="21"/>
          <w:lang/>
        </w:rPr>
        <w:fldChar w:fldCharType="begin"/>
      </w:r>
      <w:r>
        <w:rPr>
          <w:rFonts w:hint="default"/>
          <w:sz w:val="21"/>
          <w:lang/>
        </w:rPr>
        <w:instrText xml:space="preserve"> PAGEREF _Toc477960822 \h </w:instrText>
      </w:r>
      <w:r>
        <w:rPr>
          <w:rFonts w:hint="default"/>
          <w:sz w:val="21"/>
          <w:lang/>
        </w:rPr>
        <w:fldChar w:fldCharType="separate"/>
      </w:r>
      <w:r>
        <w:rPr>
          <w:rFonts w:hint="default"/>
          <w:sz w:val="21"/>
          <w:lang/>
        </w:rPr>
        <w:t>60</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"_Toc477960823"</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11.3 </w:t>
      </w:r>
      <w:r>
        <w:rPr>
          <w:rStyle w:val="10"/>
          <w:rFonts w:hint="eastAsia" w:ascii="Times New Roman" w:hAnsi="Times New Roman" w:eastAsia="宋体"/>
          <w:b/>
          <w:kern w:val="0"/>
          <w:sz w:val="21"/>
          <w:lang/>
        </w:rPr>
        <w:t>涉及基金管理人、基金财产、基金托管业务的诉讼</w:t>
      </w:r>
      <w:r>
        <w:rPr>
          <w:rFonts w:hint="default"/>
          <w:sz w:val="21"/>
          <w:lang/>
        </w:rPr>
        <w:tab/>
      </w:r>
      <w:r>
        <w:rPr>
          <w:rFonts w:hint="default"/>
          <w:sz w:val="21"/>
          <w:lang/>
        </w:rPr>
        <w:fldChar w:fldCharType="begin"/>
      </w:r>
      <w:r>
        <w:rPr>
          <w:rFonts w:hint="default"/>
          <w:sz w:val="21"/>
          <w:lang/>
        </w:rPr>
        <w:instrText xml:space="preserve"> PAGEREF _Toc477960823 \h </w:instrText>
      </w:r>
      <w:r>
        <w:rPr>
          <w:rFonts w:hint="default"/>
          <w:sz w:val="21"/>
          <w:lang/>
        </w:rPr>
        <w:fldChar w:fldCharType="separate"/>
      </w:r>
      <w:r>
        <w:rPr>
          <w:rFonts w:hint="default"/>
          <w:sz w:val="21"/>
          <w:lang/>
        </w:rPr>
        <w:t>60</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"_Toc477960824"</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11.4 </w:t>
      </w:r>
      <w:r>
        <w:rPr>
          <w:rStyle w:val="10"/>
          <w:rFonts w:hint="eastAsia" w:ascii="Times New Roman" w:hAnsi="Times New Roman" w:eastAsia="宋体"/>
          <w:b/>
          <w:kern w:val="0"/>
          <w:sz w:val="21"/>
          <w:lang/>
        </w:rPr>
        <w:t>基金投资策略的改变</w:t>
      </w:r>
      <w:r>
        <w:rPr>
          <w:rFonts w:hint="default"/>
          <w:sz w:val="21"/>
          <w:lang/>
        </w:rPr>
        <w:tab/>
      </w:r>
      <w:r>
        <w:rPr>
          <w:rFonts w:hint="default"/>
          <w:sz w:val="21"/>
          <w:lang/>
        </w:rPr>
        <w:fldChar w:fldCharType="begin"/>
      </w:r>
      <w:r>
        <w:rPr>
          <w:rFonts w:hint="default"/>
          <w:sz w:val="21"/>
          <w:lang/>
        </w:rPr>
        <w:instrText xml:space="preserve"> PAGEREF _Toc477960824 \h </w:instrText>
      </w:r>
      <w:r>
        <w:rPr>
          <w:rFonts w:hint="default"/>
          <w:sz w:val="21"/>
          <w:lang/>
        </w:rPr>
        <w:fldChar w:fldCharType="separate"/>
      </w:r>
      <w:r>
        <w:rPr>
          <w:rFonts w:hint="default"/>
          <w:sz w:val="21"/>
          <w:lang/>
        </w:rPr>
        <w:t>60</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"_Toc477960825"</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11.5 </w:t>
      </w:r>
      <w:r>
        <w:rPr>
          <w:rStyle w:val="10"/>
          <w:rFonts w:hint="eastAsia" w:ascii="Times New Roman" w:hAnsi="Times New Roman" w:eastAsia="宋体"/>
          <w:b/>
          <w:kern w:val="0"/>
          <w:sz w:val="21"/>
          <w:lang/>
        </w:rPr>
        <w:t>为基金进行审计的会计师事务所情况</w:t>
      </w:r>
      <w:r>
        <w:rPr>
          <w:rFonts w:hint="default"/>
          <w:sz w:val="21"/>
          <w:lang/>
        </w:rPr>
        <w:tab/>
      </w:r>
      <w:r>
        <w:rPr>
          <w:rFonts w:hint="default"/>
          <w:sz w:val="21"/>
          <w:lang/>
        </w:rPr>
        <w:fldChar w:fldCharType="begin"/>
      </w:r>
      <w:r>
        <w:rPr>
          <w:rFonts w:hint="default"/>
          <w:sz w:val="21"/>
          <w:lang/>
        </w:rPr>
        <w:instrText xml:space="preserve"> PAGEREF _Toc477960825 \h </w:instrText>
      </w:r>
      <w:r>
        <w:rPr>
          <w:rFonts w:hint="default"/>
          <w:sz w:val="21"/>
          <w:lang/>
        </w:rPr>
        <w:fldChar w:fldCharType="separate"/>
      </w:r>
      <w:r>
        <w:rPr>
          <w:rFonts w:hint="default"/>
          <w:sz w:val="21"/>
          <w:lang/>
        </w:rPr>
        <w:t>61</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"_Toc477960826"</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11.6 </w:t>
      </w:r>
      <w:r>
        <w:rPr>
          <w:rStyle w:val="10"/>
          <w:rFonts w:hint="eastAsia" w:ascii="Times New Roman" w:hAnsi="Times New Roman" w:eastAsia="宋体"/>
          <w:b/>
          <w:kern w:val="0"/>
          <w:sz w:val="21"/>
          <w:lang/>
        </w:rPr>
        <w:t>管理人、托管人及其高级管理人员受稽查或处罚等情况</w:t>
      </w:r>
      <w:r>
        <w:rPr>
          <w:rFonts w:hint="default"/>
          <w:sz w:val="21"/>
          <w:lang/>
        </w:rPr>
        <w:tab/>
      </w:r>
      <w:r>
        <w:rPr>
          <w:rFonts w:hint="default"/>
          <w:sz w:val="21"/>
          <w:lang/>
        </w:rPr>
        <w:fldChar w:fldCharType="begin"/>
      </w:r>
      <w:r>
        <w:rPr>
          <w:rFonts w:hint="default"/>
          <w:sz w:val="21"/>
          <w:lang/>
        </w:rPr>
        <w:instrText xml:space="preserve"> PAGEREF _Toc477960826 \h </w:instrText>
      </w:r>
      <w:r>
        <w:rPr>
          <w:rFonts w:hint="default"/>
          <w:sz w:val="21"/>
          <w:lang/>
        </w:rPr>
        <w:fldChar w:fldCharType="separate"/>
      </w:r>
      <w:r>
        <w:rPr>
          <w:rFonts w:hint="default"/>
          <w:sz w:val="21"/>
          <w:lang/>
        </w:rPr>
        <w:t>61</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"_Toc477960827"</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11.7 </w:t>
      </w:r>
      <w:r>
        <w:rPr>
          <w:rStyle w:val="10"/>
          <w:rFonts w:hint="eastAsia" w:ascii="Times New Roman" w:hAnsi="Times New Roman" w:eastAsia="宋体"/>
          <w:b/>
          <w:kern w:val="0"/>
          <w:sz w:val="21"/>
          <w:lang/>
        </w:rPr>
        <w:t>基金租用证券公司交易单元的有关情况</w:t>
      </w:r>
      <w:r>
        <w:rPr>
          <w:rFonts w:hint="default"/>
          <w:sz w:val="21"/>
          <w:lang/>
        </w:rPr>
        <w:tab/>
      </w:r>
      <w:r>
        <w:rPr>
          <w:rFonts w:hint="default"/>
          <w:sz w:val="21"/>
          <w:lang/>
        </w:rPr>
        <w:fldChar w:fldCharType="begin"/>
      </w:r>
      <w:r>
        <w:rPr>
          <w:rFonts w:hint="default"/>
          <w:sz w:val="21"/>
          <w:lang/>
        </w:rPr>
        <w:instrText xml:space="preserve"> PAGEREF _Toc477960827 \h </w:instrText>
      </w:r>
      <w:r>
        <w:rPr>
          <w:rFonts w:hint="default"/>
          <w:sz w:val="21"/>
          <w:lang/>
        </w:rPr>
        <w:fldChar w:fldCharType="separate"/>
      </w:r>
      <w:r>
        <w:rPr>
          <w:rFonts w:hint="default"/>
          <w:sz w:val="21"/>
          <w:lang/>
        </w:rPr>
        <w:t>61</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"_Toc477960828"</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11.8 </w:t>
      </w:r>
      <w:r>
        <w:rPr>
          <w:rStyle w:val="10"/>
          <w:rFonts w:hint="eastAsia" w:ascii="Times New Roman" w:hAnsi="Times New Roman" w:eastAsia="宋体"/>
          <w:b/>
          <w:kern w:val="0"/>
          <w:sz w:val="21"/>
          <w:lang/>
        </w:rPr>
        <w:t>其他重大事件</w:t>
      </w:r>
      <w:r>
        <w:rPr>
          <w:rFonts w:hint="default"/>
          <w:sz w:val="21"/>
          <w:lang/>
        </w:rPr>
        <w:tab/>
      </w:r>
      <w:r>
        <w:rPr>
          <w:rFonts w:hint="default"/>
          <w:sz w:val="21"/>
          <w:lang/>
        </w:rPr>
        <w:fldChar w:fldCharType="begin"/>
      </w:r>
      <w:r>
        <w:rPr>
          <w:rFonts w:hint="default"/>
          <w:sz w:val="21"/>
          <w:lang/>
        </w:rPr>
        <w:instrText xml:space="preserve"> PAGEREF _Toc477960828 \h </w:instrText>
      </w:r>
      <w:r>
        <w:rPr>
          <w:rFonts w:hint="default"/>
          <w:sz w:val="21"/>
          <w:lang/>
        </w:rPr>
        <w:fldChar w:fldCharType="separate"/>
      </w:r>
      <w:r>
        <w:rPr>
          <w:rFonts w:hint="default"/>
          <w:sz w:val="21"/>
          <w:lang/>
        </w:rPr>
        <w:t>62</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"_Toc477960829"</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§12 </w:t>
      </w:r>
      <w:r>
        <w:rPr>
          <w:rStyle w:val="10"/>
          <w:rFonts w:hint="eastAsia" w:ascii="Times New Roman" w:hAnsi="Times New Roman" w:eastAsia="宋体"/>
          <w:b/>
          <w:kern w:val="0"/>
          <w:sz w:val="21"/>
          <w:lang/>
        </w:rPr>
        <w:t>影响投资者决策的其他重要信息</w:t>
      </w:r>
      <w:r>
        <w:rPr>
          <w:rFonts w:hint="default"/>
          <w:sz w:val="21"/>
          <w:lang/>
        </w:rPr>
        <w:tab/>
      </w:r>
      <w:r>
        <w:rPr>
          <w:rFonts w:hint="default"/>
          <w:sz w:val="21"/>
          <w:lang/>
        </w:rPr>
        <w:fldChar w:fldCharType="begin"/>
      </w:r>
      <w:r>
        <w:rPr>
          <w:rFonts w:hint="default"/>
          <w:sz w:val="21"/>
          <w:lang/>
        </w:rPr>
        <w:instrText xml:space="preserve"> PAGEREF _Toc477960829 \h </w:instrText>
      </w:r>
      <w:r>
        <w:rPr>
          <w:rFonts w:hint="default"/>
          <w:sz w:val="21"/>
          <w:lang/>
        </w:rPr>
        <w:fldChar w:fldCharType="separate"/>
      </w:r>
      <w:r>
        <w:rPr>
          <w:rFonts w:hint="default"/>
          <w:sz w:val="21"/>
          <w:lang/>
        </w:rPr>
        <w:t>66</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"_Toc477960830"</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§13 </w:t>
      </w:r>
      <w:r>
        <w:rPr>
          <w:rStyle w:val="10"/>
          <w:rFonts w:hint="eastAsia" w:ascii="Times New Roman" w:hAnsi="Times New Roman" w:eastAsia="宋体"/>
          <w:b/>
          <w:kern w:val="0"/>
          <w:sz w:val="21"/>
          <w:lang/>
        </w:rPr>
        <w:t>备查文件目录</w:t>
      </w:r>
      <w:r>
        <w:rPr>
          <w:rFonts w:hint="default"/>
          <w:sz w:val="21"/>
          <w:lang/>
        </w:rPr>
        <w:tab/>
      </w:r>
      <w:r>
        <w:rPr>
          <w:rFonts w:hint="default"/>
          <w:sz w:val="21"/>
          <w:lang/>
        </w:rPr>
        <w:fldChar w:fldCharType="begin"/>
      </w:r>
      <w:r>
        <w:rPr>
          <w:rFonts w:hint="default"/>
          <w:sz w:val="21"/>
          <w:lang/>
        </w:rPr>
        <w:instrText xml:space="preserve"> PAGEREF _Toc477960830 \h </w:instrText>
      </w:r>
      <w:r>
        <w:rPr>
          <w:rFonts w:hint="default"/>
          <w:sz w:val="21"/>
          <w:lang/>
        </w:rPr>
        <w:fldChar w:fldCharType="separate"/>
      </w:r>
      <w:r>
        <w:rPr>
          <w:rFonts w:hint="default"/>
          <w:sz w:val="21"/>
          <w:lang/>
        </w:rPr>
        <w:t>66</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"_Toc477960831"</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13.1 </w:t>
      </w:r>
      <w:r>
        <w:rPr>
          <w:rStyle w:val="10"/>
          <w:rFonts w:hint="eastAsia" w:ascii="Times New Roman" w:hAnsi="Times New Roman" w:eastAsia="宋体"/>
          <w:b/>
          <w:kern w:val="0"/>
          <w:sz w:val="21"/>
          <w:lang/>
        </w:rPr>
        <w:t>备查文件目录</w:t>
      </w:r>
      <w:r>
        <w:rPr>
          <w:rFonts w:hint="default"/>
          <w:sz w:val="21"/>
          <w:lang/>
        </w:rPr>
        <w:tab/>
      </w:r>
      <w:r>
        <w:rPr>
          <w:rFonts w:hint="default"/>
          <w:sz w:val="21"/>
          <w:lang/>
        </w:rPr>
        <w:fldChar w:fldCharType="begin"/>
      </w:r>
      <w:r>
        <w:rPr>
          <w:rFonts w:hint="default"/>
          <w:sz w:val="21"/>
          <w:lang/>
        </w:rPr>
        <w:instrText xml:space="preserve"> PAGEREF _Toc477960831 \h </w:instrText>
      </w:r>
      <w:r>
        <w:rPr>
          <w:rFonts w:hint="default"/>
          <w:sz w:val="21"/>
          <w:lang/>
        </w:rPr>
        <w:fldChar w:fldCharType="separate"/>
      </w:r>
      <w:r>
        <w:rPr>
          <w:rFonts w:hint="default"/>
          <w:sz w:val="21"/>
          <w:lang/>
        </w:rPr>
        <w:t>66</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"_Toc477960832"</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13.2 </w:t>
      </w:r>
      <w:r>
        <w:rPr>
          <w:rStyle w:val="10"/>
          <w:rFonts w:hint="eastAsia" w:ascii="Times New Roman" w:hAnsi="Times New Roman" w:eastAsia="宋体"/>
          <w:b/>
          <w:kern w:val="0"/>
          <w:sz w:val="21"/>
          <w:lang/>
        </w:rPr>
        <w:t>存放地点</w:t>
      </w:r>
      <w:r>
        <w:rPr>
          <w:rFonts w:hint="default"/>
          <w:sz w:val="21"/>
          <w:lang/>
        </w:rPr>
        <w:tab/>
      </w:r>
      <w:r>
        <w:rPr>
          <w:rFonts w:hint="default"/>
          <w:sz w:val="21"/>
          <w:lang/>
        </w:rPr>
        <w:fldChar w:fldCharType="begin"/>
      </w:r>
      <w:r>
        <w:rPr>
          <w:rFonts w:hint="default"/>
          <w:sz w:val="21"/>
          <w:lang/>
        </w:rPr>
        <w:instrText xml:space="preserve"> PAGEREF _Toc477960832 \h </w:instrText>
      </w:r>
      <w:r>
        <w:rPr>
          <w:rFonts w:hint="default"/>
          <w:sz w:val="21"/>
          <w:lang/>
        </w:rPr>
        <w:fldChar w:fldCharType="separate"/>
      </w:r>
      <w:r>
        <w:rPr>
          <w:rFonts w:hint="default"/>
          <w:sz w:val="21"/>
          <w:lang/>
        </w:rPr>
        <w:t>66</w:t>
      </w:r>
      <w:r>
        <w:rPr>
          <w:rFonts w:hint="default"/>
          <w:sz w:val="21"/>
          <w:lang/>
        </w:rPr>
        <w:fldChar w:fldCharType="end"/>
      </w:r>
      <w:r>
        <w:rPr>
          <w:rFonts w:hint="default"/>
          <w:sz w:val="21"/>
          <w:lang/>
        </w:rPr>
        <w:fldChar w:fldCharType="end"/>
      </w:r>
    </w:p>
    <w:p>
      <w:pPr>
        <w:pStyle w:val="7"/>
        <w:tabs>
          <w:tab w:val="right" w:leader="dot" w:pos="9076"/>
        </w:tabs>
        <w:spacing w:beforeLines="0" w:afterLines="0"/>
        <w:rPr>
          <w:rFonts w:hint="default" w:ascii="Calibri" w:hAnsi="Calibri"/>
          <w:sz w:val="21"/>
          <w:lang/>
        </w:rPr>
      </w:pPr>
      <w:r>
        <w:rPr>
          <w:rStyle w:val="10"/>
          <w:rFonts w:hint="default" w:eastAsia="宋体"/>
          <w:sz w:val="21"/>
          <w:lang/>
        </w:rPr>
        <w:fldChar w:fldCharType="begin"/>
      </w:r>
      <w:r>
        <w:rPr>
          <w:rStyle w:val="10"/>
          <w:rFonts w:hint="default" w:eastAsia="宋体"/>
          <w:sz w:val="21"/>
          <w:lang/>
        </w:rPr>
        <w:instrText xml:space="preserve"> </w:instrText>
      </w:r>
      <w:r>
        <w:rPr>
          <w:rFonts w:hint="default"/>
          <w:sz w:val="21"/>
          <w:lang/>
        </w:rPr>
        <w:instrText xml:space="preserve">HYPERLINK \l "_Toc477960833"</w:instrText>
      </w:r>
      <w:r>
        <w:rPr>
          <w:rStyle w:val="10"/>
          <w:rFonts w:hint="default" w:eastAsia="宋体"/>
          <w:sz w:val="21"/>
          <w:lang/>
        </w:rPr>
        <w:instrText xml:space="preserve"> </w:instrText>
      </w:r>
      <w:r>
        <w:rPr>
          <w:rStyle w:val="10"/>
          <w:rFonts w:hint="default" w:eastAsia="宋体"/>
          <w:sz w:val="21"/>
          <w:lang/>
        </w:rPr>
        <w:fldChar w:fldCharType="separate"/>
      </w:r>
      <w:r>
        <w:rPr>
          <w:rStyle w:val="10"/>
          <w:rFonts w:hint="default" w:ascii="Times New Roman" w:hAnsi="Times New Roman" w:eastAsia="宋体"/>
          <w:b/>
          <w:kern w:val="0"/>
          <w:sz w:val="21"/>
          <w:lang/>
        </w:rPr>
        <w:t xml:space="preserve">13.3 </w:t>
      </w:r>
      <w:r>
        <w:rPr>
          <w:rStyle w:val="10"/>
          <w:rFonts w:hint="eastAsia" w:ascii="Times New Roman" w:hAnsi="Times New Roman" w:eastAsia="宋体"/>
          <w:b/>
          <w:kern w:val="0"/>
          <w:sz w:val="21"/>
          <w:lang/>
        </w:rPr>
        <w:t>查阅方式</w:t>
      </w:r>
      <w:r>
        <w:rPr>
          <w:rFonts w:hint="default"/>
          <w:sz w:val="21"/>
          <w:lang/>
        </w:rPr>
        <w:tab/>
      </w:r>
      <w:r>
        <w:rPr>
          <w:rFonts w:hint="default"/>
          <w:sz w:val="21"/>
          <w:lang/>
        </w:rPr>
        <w:fldChar w:fldCharType="begin"/>
      </w:r>
      <w:r>
        <w:rPr>
          <w:rFonts w:hint="default"/>
          <w:sz w:val="21"/>
          <w:lang/>
        </w:rPr>
        <w:instrText xml:space="preserve"> PAGEREF _Toc477960833 \h </w:instrText>
      </w:r>
      <w:r>
        <w:rPr>
          <w:rFonts w:hint="default"/>
          <w:sz w:val="21"/>
          <w:lang/>
        </w:rPr>
        <w:fldChar w:fldCharType="separate"/>
      </w:r>
      <w:r>
        <w:rPr>
          <w:rFonts w:hint="default"/>
          <w:sz w:val="21"/>
          <w:lang/>
        </w:rPr>
        <w:t>66</w:t>
      </w:r>
      <w:r>
        <w:rPr>
          <w:rFonts w:hint="default"/>
          <w:sz w:val="21"/>
          <w:lang/>
        </w:rPr>
        <w:fldChar w:fldCharType="end"/>
      </w:r>
      <w:r>
        <w:rPr>
          <w:rFonts w:hint="default"/>
          <w:sz w:val="21"/>
          <w:lang/>
        </w:rPr>
        <w:fldChar w:fldCharType="end"/>
      </w:r>
    </w:p>
    <w:p>
      <w:pPr>
        <w:pStyle w:val="6"/>
        <w:tabs>
          <w:tab w:val="right" w:leader="dot" w:pos="9076"/>
        </w:tabs>
        <w:spacing w:beforeLines="0" w:afterLines="0"/>
        <w:rPr>
          <w:rFonts w:hint="default" w:ascii="Times New Roman" w:eastAsia="Times New Roman"/>
          <w:b/>
          <w:color w:val="000000"/>
          <w:kern w:val="0"/>
          <w:sz w:val="24"/>
        </w:rPr>
      </w:pPr>
      <w:r>
        <w:rPr>
          <w:rFonts w:hint="default" w:ascii="Calibri" w:hAnsi="Calibri"/>
          <w:sz w:val="21"/>
          <w:lang/>
        </w:rPr>
        <w:fldChar w:fldCharType="end"/>
      </w:r>
    </w:p>
    <w:p>
      <w:pPr>
        <w:autoSpaceDE w:val="0"/>
        <w:autoSpaceDN w:val="0"/>
        <w:adjustRightInd w:val="0"/>
        <w:spacing w:beforeLines="0" w:afterLines="0" w:line="288" w:lineRule="auto"/>
        <w:jc w:val="left"/>
        <w:rPr>
          <w:rFonts w:hint="default" w:ascii="Times New Roman" w:eastAsia="Times New Roman"/>
          <w:kern w:val="0"/>
          <w:sz w:val="24"/>
        </w:rPr>
        <w:sectPr>
          <w:pgSz w:w="11926" w:h="16867"/>
          <w:pgMar w:top="1420" w:right="1420" w:bottom="852" w:left="1420" w:header="851" w:footer="992" w:gutter="0"/>
          <w:cols w:space="720" w:num="1"/>
        </w:sect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3" w:name="_Toc477960773"/>
      <w:r>
        <w:rPr>
          <w:rFonts w:hint="eastAsia" w:ascii="Times New Roman" w:hAnsi="Times New Roman"/>
          <w:b/>
          <w:color w:val="000000"/>
          <w:kern w:val="0"/>
          <w:sz w:val="24"/>
        </w:rPr>
        <w:t>§</w:t>
      </w:r>
      <w:r>
        <w:rPr>
          <w:rFonts w:hint="default" w:ascii="Times New Roman" w:hAnsi="Times New Roman"/>
          <w:b/>
          <w:color w:val="000000"/>
          <w:kern w:val="0"/>
          <w:sz w:val="24"/>
        </w:rPr>
        <w:t xml:space="preserve">2  </w:t>
      </w:r>
      <w:r>
        <w:rPr>
          <w:rFonts w:hint="eastAsia" w:ascii="Times New Roman" w:hAnsi="Times New Roman"/>
          <w:b/>
          <w:color w:val="000000"/>
          <w:kern w:val="0"/>
          <w:sz w:val="24"/>
        </w:rPr>
        <w:t>基金简介</w:t>
      </w:r>
      <w:bookmarkEnd w:id="3"/>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 w:name="_Toc477960774"/>
      <w:r>
        <w:rPr>
          <w:rFonts w:hint="default" w:ascii="Times New Roman" w:hAnsi="Times New Roman"/>
          <w:b/>
          <w:color w:val="000000"/>
          <w:kern w:val="0"/>
          <w:sz w:val="24"/>
        </w:rPr>
        <w:t xml:space="preserve">2.1 </w:t>
      </w:r>
      <w:r>
        <w:rPr>
          <w:rFonts w:hint="eastAsia" w:ascii="Times New Roman" w:hAnsi="Times New Roman"/>
          <w:b/>
          <w:color w:val="000000"/>
          <w:kern w:val="0"/>
          <w:sz w:val="24"/>
        </w:rPr>
        <w:t>基金基本情况</w:t>
      </w:r>
      <w:bookmarkEnd w:id="4"/>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基金名称</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基金简称</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聚利债券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基金主代码</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001199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基金运作方式</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契约型开放式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基金托管人</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中国工商银行股份有限公司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报告期末基金份额总额</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100,737,449.93</w:t>
            </w:r>
            <w:r>
              <w:rPr>
                <w:rFonts w:hint="eastAsia" w:ascii="Times New Roman" w:hAnsi="Times New Roman"/>
                <w:color w:val="000000"/>
                <w:kern w:val="0"/>
                <w:sz w:val="24"/>
              </w:rPr>
              <w:t>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基金合同存续期</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不定期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下属分级基金的基金简称</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下属分级基金的交易代码</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001199</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001200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报告期末下属分级基金的份额总额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84,422,593.58</w:t>
            </w:r>
            <w:r>
              <w:rPr>
                <w:rFonts w:hint="eastAsia" w:ascii="Times New Roman" w:hAnsi="Times New Roman"/>
                <w:color w:val="000000"/>
                <w:kern w:val="0"/>
                <w:sz w:val="24"/>
              </w:rPr>
              <w:t>份</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16,314,856.35</w:t>
            </w:r>
            <w:r>
              <w:rPr>
                <w:rFonts w:hint="eastAsia" w:ascii="Times New Roman" w:hAnsi="Times New Roman"/>
                <w:color w:val="000000"/>
                <w:kern w:val="0"/>
                <w:sz w:val="24"/>
              </w:rPr>
              <w:t>份</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 w:name="_Toc477960775"/>
      <w:r>
        <w:rPr>
          <w:rFonts w:hint="default" w:ascii="Times New Roman" w:hAnsi="Times New Roman"/>
          <w:b/>
          <w:color w:val="000000"/>
          <w:kern w:val="0"/>
          <w:sz w:val="24"/>
        </w:rPr>
        <w:t xml:space="preserve">2.2 </w:t>
      </w:r>
      <w:r>
        <w:rPr>
          <w:rFonts w:hint="eastAsia" w:ascii="Times New Roman" w:hAnsi="Times New Roman"/>
          <w:b/>
          <w:color w:val="000000"/>
          <w:kern w:val="0"/>
          <w:sz w:val="24"/>
        </w:rPr>
        <w:t>基金产品说明</w:t>
      </w:r>
      <w:bookmarkEnd w:id="5"/>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57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投资目标</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本基金在追求本金安全、保持资产流动性以及有效控制风险的基础上，通过积极主动的投资管理，力争为持有人提供较高的当期收益以及长期稳定的投资回报。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投资策略</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在普通债券的投资中主要基于对国家财政政策、货币政策的深入分析以及对宏观经济的动态跟踪，采用久期控制下的主动性投资策略，主要包括：久期控制、期限结构配置、信用风险控制、跨市场套利和相对价值判断等管理手段，对债券市场、债券收益率曲线以及各种债券价格的变化进行预测，相机而动、积极调整。</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回购套利策略是本基金重要的操作策略之一，把信用产品投资和回购交易结合起来，管理人根据信用产品的特征，在信用风险和流动性风险可控的前提下，或者通过回购融资来博取超额收益，或者通过回购的不断滚动来套取信用债收益率和资金成本的利差。</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当本基金管理人判断市场出现明显的趋势性投资机会时，本基金可以直接参与股票市场投资，努力获取超额收益。在股市场投资过程中，本基金主要采取自下而上的投资策略，利用数量化投资技术与基本面研究相结合的研究方法，对以下三类上市公司进行投资：</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1</w:t>
            </w:r>
            <w:r>
              <w:rPr>
                <w:rFonts w:hint="eastAsia" w:ascii="Times New Roman" w:hAnsi="Times New Roman"/>
                <w:color w:val="000000"/>
                <w:kern w:val="0"/>
                <w:sz w:val="24"/>
              </w:rPr>
              <w:t>）现金流充沛、行业竞争优势明显、具有良好的现金分红记录或现金分红潜力的优质上市公司；</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2</w:t>
            </w:r>
            <w:r>
              <w:rPr>
                <w:rFonts w:hint="eastAsia" w:ascii="Times New Roman" w:hAnsi="Times New Roman"/>
                <w:color w:val="000000"/>
                <w:kern w:val="0"/>
                <w:sz w:val="24"/>
              </w:rPr>
              <w:t>）投资价值明显被市场低估的上市公司；</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3</w:t>
            </w:r>
            <w:r>
              <w:rPr>
                <w:rFonts w:hint="eastAsia" w:ascii="Times New Roman" w:hAnsi="Times New Roman"/>
                <w:color w:val="000000"/>
                <w:kern w:val="0"/>
                <w:sz w:val="24"/>
              </w:rPr>
              <w:t>）未来盈利水平具有明显增长潜力且估值合理的上市公司。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业绩比较基准</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中债综合（全价）指数收益率×</w:t>
            </w:r>
            <w:r>
              <w:rPr>
                <w:rFonts w:hint="default" w:ascii="Times New Roman" w:hAnsi="Times New Roman"/>
                <w:color w:val="000000"/>
                <w:kern w:val="0"/>
                <w:sz w:val="24"/>
              </w:rPr>
              <w:t>90%+</w:t>
            </w:r>
            <w:r>
              <w:rPr>
                <w:rFonts w:hint="eastAsia" w:ascii="Times New Roman" w:hAnsi="Times New Roman"/>
                <w:color w:val="000000"/>
                <w:kern w:val="0"/>
                <w:sz w:val="24"/>
              </w:rPr>
              <w:t>沪深</w:t>
            </w:r>
            <w:r>
              <w:rPr>
                <w:rFonts w:hint="default" w:ascii="Times New Roman" w:hAnsi="Times New Roman"/>
                <w:color w:val="000000"/>
                <w:kern w:val="0"/>
                <w:sz w:val="24"/>
              </w:rPr>
              <w:t>300</w:t>
            </w:r>
            <w:r>
              <w:rPr>
                <w:rFonts w:hint="eastAsia" w:ascii="Times New Roman" w:hAnsi="Times New Roman"/>
                <w:color w:val="000000"/>
                <w:kern w:val="0"/>
                <w:sz w:val="24"/>
              </w:rPr>
              <w:t>指数收益率×</w:t>
            </w:r>
            <w:r>
              <w:rPr>
                <w:rFonts w:hint="default" w:ascii="Times New Roman" w:hAnsi="Times New Roman"/>
                <w:color w:val="000000"/>
                <w:kern w:val="0"/>
                <w:sz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风险收益特征</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本基金为债券型基金，其长期平均预期风险和预期收益率低于股票基金、混合基金，高于货币市场基金。</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 w:name="_Toc477960776"/>
      <w:r>
        <w:rPr>
          <w:rFonts w:hint="default" w:ascii="Times New Roman" w:hAnsi="Times New Roman"/>
          <w:b/>
          <w:color w:val="000000"/>
          <w:kern w:val="0"/>
          <w:sz w:val="24"/>
        </w:rPr>
        <w:t xml:space="preserve">2.3 </w:t>
      </w:r>
      <w:r>
        <w:rPr>
          <w:rFonts w:hint="eastAsia" w:ascii="Times New Roman" w:hAnsi="Times New Roman"/>
          <w:b/>
          <w:color w:val="000000"/>
          <w:kern w:val="0"/>
          <w:sz w:val="24"/>
        </w:rPr>
        <w:t>基金管理人和基金托管人</w:t>
      </w:r>
      <w:bookmarkEnd w:id="6"/>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6"/>
        <w:gridCol w:w="1445"/>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基金管理人</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基金托管人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名称</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中国工商银行股份有限公司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信息披露负责人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姓名</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梁绍锋</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郭明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联系电话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0755-23838908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010-66105799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电子邮箱</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liangshaofeng@cjhxfund.com</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custody@icbc.com.cn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客户服务电话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400-868-0666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95588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传真</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0755-25832571</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010-66105798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注册地址</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深圳市前海深港合作区前湾一路</w:t>
            </w:r>
            <w:r>
              <w:rPr>
                <w:rFonts w:hint="default" w:ascii="Times New Roman" w:hAnsi="Times New Roman"/>
                <w:color w:val="000000"/>
                <w:kern w:val="0"/>
                <w:sz w:val="24"/>
              </w:rPr>
              <w:t xml:space="preserve"> 1</w:t>
            </w:r>
            <w:r>
              <w:rPr>
                <w:rFonts w:hint="eastAsia" w:ascii="Times New Roman" w:hAnsi="Times New Roman"/>
                <w:color w:val="000000"/>
                <w:kern w:val="0"/>
                <w:sz w:val="24"/>
              </w:rPr>
              <w:t>号</w:t>
            </w:r>
            <w:r>
              <w:rPr>
                <w:rFonts w:hint="default" w:ascii="Times New Roman" w:hAnsi="Times New Roman"/>
                <w:color w:val="000000"/>
                <w:kern w:val="0"/>
                <w:sz w:val="24"/>
              </w:rPr>
              <w:t>A</w:t>
            </w:r>
            <w:r>
              <w:rPr>
                <w:rFonts w:hint="eastAsia" w:ascii="Times New Roman" w:hAnsi="Times New Roman"/>
                <w:color w:val="000000"/>
                <w:kern w:val="0"/>
                <w:sz w:val="24"/>
              </w:rPr>
              <w:t>栋</w:t>
            </w:r>
            <w:r>
              <w:rPr>
                <w:rFonts w:hint="default" w:ascii="Times New Roman" w:hAnsi="Times New Roman"/>
                <w:color w:val="000000"/>
                <w:kern w:val="0"/>
                <w:sz w:val="24"/>
              </w:rPr>
              <w:t xml:space="preserve">201 </w:t>
            </w:r>
            <w:r>
              <w:rPr>
                <w:rFonts w:hint="eastAsia" w:ascii="Times New Roman" w:hAnsi="Times New Roman"/>
                <w:color w:val="000000"/>
                <w:kern w:val="0"/>
                <w:sz w:val="24"/>
              </w:rPr>
              <w:t>室</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北京市西城区复兴门内大街</w:t>
            </w:r>
            <w:r>
              <w:rPr>
                <w:rFonts w:hint="default" w:ascii="Times New Roman" w:hAnsi="Times New Roman"/>
                <w:color w:val="000000"/>
                <w:kern w:val="0"/>
                <w:sz w:val="24"/>
              </w:rPr>
              <w:t>55</w:t>
            </w:r>
            <w:r>
              <w:rPr>
                <w:rFonts w:hint="eastAsia" w:ascii="Times New Roman" w:hAnsi="Times New Roman"/>
                <w:color w:val="000000"/>
                <w:kern w:val="0"/>
                <w:sz w:val="24"/>
              </w:rPr>
              <w:t>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办公地址</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深圳市福田中心区福华一路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层</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北京市西城区复兴门内大街</w:t>
            </w:r>
            <w:r>
              <w:rPr>
                <w:rFonts w:hint="default" w:ascii="Times New Roman" w:hAnsi="Times New Roman"/>
                <w:color w:val="000000"/>
                <w:kern w:val="0"/>
                <w:sz w:val="24"/>
              </w:rPr>
              <w:t>55</w:t>
            </w:r>
            <w:r>
              <w:rPr>
                <w:rFonts w:hint="eastAsia" w:ascii="Times New Roman" w:hAnsi="Times New Roman"/>
                <w:color w:val="000000"/>
                <w:kern w:val="0"/>
                <w:sz w:val="24"/>
              </w:rPr>
              <w:t>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邮政编码</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518000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100140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法定代表人</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刘学民</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易会满</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7" w:name="_Toc477960777"/>
      <w:r>
        <w:rPr>
          <w:rFonts w:hint="default" w:ascii="Times New Roman" w:hAnsi="Times New Roman"/>
          <w:b/>
          <w:color w:val="000000"/>
          <w:kern w:val="0"/>
          <w:sz w:val="24"/>
        </w:rPr>
        <w:t xml:space="preserve">2.4 </w:t>
      </w:r>
      <w:r>
        <w:rPr>
          <w:rFonts w:hint="eastAsia" w:ascii="Times New Roman" w:hAnsi="Times New Roman"/>
          <w:b/>
          <w:color w:val="000000"/>
          <w:kern w:val="0"/>
          <w:sz w:val="24"/>
        </w:rPr>
        <w:t>信息披露方式</w:t>
      </w:r>
      <w:bookmarkEnd w:id="7"/>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57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本基金选定的信息披露报纸名称</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上海证券报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登载基金年度报告正文的管理人互联网网址</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www.cjhxfund.com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基金年度报告备置地点</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深圳市福田区福华一路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层</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8" w:name="_Toc477960778"/>
      <w:r>
        <w:rPr>
          <w:rFonts w:hint="default" w:ascii="Times New Roman" w:hAnsi="Times New Roman"/>
          <w:b/>
          <w:color w:val="000000"/>
          <w:kern w:val="0"/>
          <w:sz w:val="24"/>
        </w:rPr>
        <w:t xml:space="preserve">2.5 </w:t>
      </w:r>
      <w:r>
        <w:rPr>
          <w:rFonts w:hint="eastAsia" w:ascii="Times New Roman" w:hAnsi="Times New Roman"/>
          <w:b/>
          <w:color w:val="000000"/>
          <w:kern w:val="0"/>
          <w:sz w:val="24"/>
        </w:rPr>
        <w:t>其他相关资料</w:t>
      </w:r>
      <w:bookmarkEnd w:id="8"/>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6"/>
        <w:gridCol w:w="3612"/>
        <w:gridCol w:w="3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名称</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办公地址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会计师事务所</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上海市黄浦区湖滨路</w:t>
            </w:r>
            <w:r>
              <w:rPr>
                <w:rFonts w:hint="default" w:ascii="Times New Roman" w:hAnsi="Times New Roman"/>
                <w:color w:val="000000"/>
                <w:kern w:val="0"/>
                <w:sz w:val="24"/>
              </w:rPr>
              <w:t>202</w:t>
            </w:r>
            <w:r>
              <w:rPr>
                <w:rFonts w:hint="eastAsia" w:ascii="Times New Roman" w:hAnsi="Times New Roman"/>
                <w:color w:val="000000"/>
                <w:kern w:val="0"/>
                <w:sz w:val="24"/>
              </w:rPr>
              <w:t>号普华永道中心</w:t>
            </w:r>
            <w:r>
              <w:rPr>
                <w:rFonts w:hint="default" w:ascii="Times New Roman" w:hAnsi="Times New Roman"/>
                <w:color w:val="000000"/>
                <w:kern w:val="0"/>
                <w:sz w:val="24"/>
              </w:rPr>
              <w:t>11</w:t>
            </w:r>
            <w:r>
              <w:rPr>
                <w:rFonts w:hint="eastAsia" w:ascii="Times New Roman" w:hAnsi="Times New Roman"/>
                <w:color w:val="000000"/>
                <w:kern w:val="0"/>
                <w:sz w:val="24"/>
              </w:rPr>
              <w:t>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注册登记机构</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深圳市福田区福华一路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楼</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9" w:name="_Toc477960779"/>
      <w:r>
        <w:rPr>
          <w:rFonts w:hint="eastAsia" w:ascii="Times New Roman" w:hAnsi="Times New Roman"/>
          <w:b/>
          <w:color w:val="000000"/>
          <w:kern w:val="0"/>
          <w:sz w:val="24"/>
        </w:rPr>
        <w:t>§</w:t>
      </w:r>
      <w:r>
        <w:rPr>
          <w:rFonts w:hint="default" w:ascii="Times New Roman" w:hAnsi="Times New Roman"/>
          <w:b/>
          <w:color w:val="000000"/>
          <w:kern w:val="0"/>
          <w:sz w:val="24"/>
        </w:rPr>
        <w:t xml:space="preserve">3  </w:t>
      </w:r>
      <w:r>
        <w:rPr>
          <w:rFonts w:hint="eastAsia" w:ascii="Times New Roman" w:hAnsi="Times New Roman"/>
          <w:b/>
          <w:color w:val="000000"/>
          <w:kern w:val="0"/>
          <w:sz w:val="24"/>
        </w:rPr>
        <w:t>主要财务指标、基金净值表现及利润分配情况</w:t>
      </w:r>
      <w:bookmarkEnd w:id="9"/>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0" w:name="_Toc477960780"/>
      <w:r>
        <w:rPr>
          <w:rFonts w:hint="default" w:ascii="Times New Roman" w:hAnsi="Times New Roman"/>
          <w:b/>
          <w:color w:val="000000"/>
          <w:kern w:val="0"/>
          <w:sz w:val="24"/>
        </w:rPr>
        <w:t xml:space="preserve">3.1 </w:t>
      </w:r>
      <w:r>
        <w:rPr>
          <w:rFonts w:hint="eastAsia" w:ascii="Times New Roman" w:hAnsi="Times New Roman"/>
          <w:b/>
          <w:color w:val="000000"/>
          <w:kern w:val="0"/>
          <w:sz w:val="24"/>
        </w:rPr>
        <w:t>主要会计数据和财务指标</w:t>
      </w:r>
      <w:bookmarkEnd w:id="10"/>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default" w:ascii="Times New Roman" w:hAnsi="Times New Roman"/>
                <w:b/>
                <w:color w:val="000000"/>
                <w:kern w:val="0"/>
                <w:sz w:val="24"/>
              </w:rPr>
              <w:t xml:space="preserve">3.1.1 </w:t>
            </w:r>
            <w:r>
              <w:rPr>
                <w:rFonts w:hint="eastAsia" w:ascii="Times New Roman" w:hAnsi="Times New Roman"/>
                <w:b/>
                <w:color w:val="000000"/>
                <w:kern w:val="0"/>
                <w:sz w:val="24"/>
              </w:rPr>
              <w:t>期间数据和指标</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本期已实现收益</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-3,351,300.27</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10,138,275.50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本期利润</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-8,947,742.06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11,960,111.24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-0.0860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本期加权平均净值利润率</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本期基金份额净值增长率</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1.31%</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default" w:ascii="Times New Roman" w:hAnsi="Times New Roman"/>
                <w:b/>
                <w:color w:val="000000"/>
                <w:kern w:val="0"/>
                <w:sz w:val="24"/>
              </w:rPr>
              <w:t xml:space="preserve">3.1.2 </w:t>
            </w:r>
            <w:r>
              <w:rPr>
                <w:rFonts w:hint="eastAsia" w:ascii="Times New Roman" w:hAnsi="Times New Roman"/>
                <w:b/>
                <w:color w:val="000000"/>
                <w:kern w:val="0"/>
                <w:sz w:val="24"/>
              </w:rPr>
              <w:t>期末数据和指标</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年末</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期末可供分配利润</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4,187,305.07</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7,272,663.51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0.0496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0.0590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期末基金资产净值</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91,520,118.77</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131,836,849.30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期末基金份额净值</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1.084</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default" w:ascii="Times New Roman" w:hAnsi="Times New Roman"/>
                <w:b/>
                <w:color w:val="000000"/>
                <w:kern w:val="0"/>
                <w:sz w:val="24"/>
              </w:rPr>
              <w:t xml:space="preserve">3.1.3 </w:t>
            </w:r>
            <w:r>
              <w:rPr>
                <w:rFonts w:hint="eastAsia" w:ascii="Times New Roman" w:hAnsi="Times New Roman"/>
                <w:b/>
                <w:color w:val="000000"/>
                <w:kern w:val="0"/>
                <w:sz w:val="24"/>
              </w:rPr>
              <w:t>累计期末指标</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年末</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基金份额累计净值增长率</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default" w:ascii="Times New Roman" w:hAnsi="Times New Roman"/>
                <w:b/>
                <w:color w:val="000000"/>
                <w:kern w:val="0"/>
                <w:sz w:val="24"/>
              </w:rPr>
              <w:t xml:space="preserve">3.1.4 </w:t>
            </w:r>
            <w:r>
              <w:rPr>
                <w:rFonts w:hint="eastAsia" w:ascii="Times New Roman" w:hAnsi="Times New Roman"/>
                <w:b/>
                <w:color w:val="000000"/>
                <w:kern w:val="0"/>
                <w:sz w:val="24"/>
              </w:rPr>
              <w:t>期间数据和指标</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本期已实现收益</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64,340.75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2,665,847.49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本期利润</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-163,876.48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3,302,058.08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加权平均基金份额本期利润</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-0.0073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0.0643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本期加权平均净值利润率</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-0.69%</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本期基金份额净值增长率</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0.66%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default" w:ascii="Times New Roman" w:hAnsi="Times New Roman"/>
                <w:b/>
                <w:color w:val="000000"/>
                <w:kern w:val="0"/>
                <w:sz w:val="24"/>
              </w:rPr>
              <w:t xml:space="preserve">3.1.5 </w:t>
            </w:r>
            <w:r>
              <w:rPr>
                <w:rFonts w:hint="eastAsia" w:ascii="Times New Roman" w:hAnsi="Times New Roman"/>
                <w:b/>
                <w:color w:val="000000"/>
                <w:kern w:val="0"/>
                <w:sz w:val="24"/>
              </w:rPr>
              <w:t>期末数据和指标</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年末</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期末可供分配利润</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657,760.74</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2,098,261.88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期末可供分配基金份额利润</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0.0403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0.0564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期末基金资产净值</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17,529,516.91</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39,715,178.93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期末基金份额净值</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1.074</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default" w:ascii="Times New Roman" w:hAnsi="Times New Roman"/>
                <w:b/>
                <w:color w:val="000000"/>
                <w:kern w:val="0"/>
                <w:sz w:val="24"/>
              </w:rPr>
              <w:t xml:space="preserve">3.1.6 </w:t>
            </w:r>
            <w:r>
              <w:rPr>
                <w:rFonts w:hint="eastAsia" w:ascii="Times New Roman" w:hAnsi="Times New Roman"/>
                <w:b/>
                <w:color w:val="000000"/>
                <w:kern w:val="0"/>
                <w:sz w:val="24"/>
              </w:rPr>
              <w:t>累计期末指标</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年末</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基金份额累计净值增长率</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6.70%</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上述基金业绩指标不包括持有人认购或交易基金的各项费用</w:t>
      </w:r>
      <w:r>
        <w:rPr>
          <w:rFonts w:hint="default" w:ascii="Times New Roman" w:eastAsia="Times New Roman"/>
          <w:color w:val="000000"/>
          <w:kern w:val="0"/>
          <w:sz w:val="21"/>
        </w:rPr>
        <w:t>,</w:t>
      </w:r>
      <w:r>
        <w:rPr>
          <w:rFonts w:hint="eastAsia" w:ascii="Times New Roman" w:hAnsi="Times New Roman"/>
          <w:color w:val="000000"/>
          <w:kern w:val="0"/>
          <w:sz w:val="21"/>
        </w:rPr>
        <w:t>计入费用后实际收益水平要低于所列数字。</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本期已实现收益指基金本期利息收入、投资收益、其他收入</w:t>
      </w:r>
      <w:r>
        <w:rPr>
          <w:rFonts w:hint="default" w:ascii="Times New Roman" w:hAnsi="Times New Roman"/>
          <w:color w:val="000000"/>
          <w:kern w:val="0"/>
          <w:sz w:val="21"/>
        </w:rPr>
        <w:t>(</w:t>
      </w:r>
      <w:r>
        <w:rPr>
          <w:rFonts w:hint="eastAsia" w:ascii="Times New Roman" w:hAnsi="Times New Roman"/>
          <w:color w:val="000000"/>
          <w:kern w:val="0"/>
          <w:sz w:val="21"/>
        </w:rPr>
        <w:t>不含公允价值变动收益</w:t>
      </w:r>
      <w:r>
        <w:rPr>
          <w:rFonts w:hint="default" w:ascii="Times New Roman" w:hAnsi="Times New Roman"/>
          <w:color w:val="000000"/>
          <w:kern w:val="0"/>
          <w:sz w:val="21"/>
        </w:rPr>
        <w:t>)</w:t>
      </w:r>
      <w:r>
        <w:rPr>
          <w:rFonts w:hint="eastAsia" w:ascii="Times New Roman" w:hAnsi="Times New Roman"/>
          <w:color w:val="000000"/>
          <w:kern w:val="0"/>
          <w:sz w:val="21"/>
        </w:rPr>
        <w:t>扣除相关费用后的余额</w:t>
      </w:r>
      <w:r>
        <w:rPr>
          <w:rFonts w:hint="default" w:ascii="Times New Roman" w:eastAsia="Times New Roman"/>
          <w:color w:val="000000"/>
          <w:kern w:val="0"/>
          <w:sz w:val="21"/>
        </w:rPr>
        <w:t>,</w:t>
      </w:r>
      <w:r>
        <w:rPr>
          <w:rFonts w:hint="eastAsia" w:ascii="Times New Roman" w:hAnsi="Times New Roman"/>
          <w:color w:val="000000"/>
          <w:kern w:val="0"/>
          <w:sz w:val="21"/>
        </w:rPr>
        <w:t>本期利润为本期已实现收益加上本期公允价值变动收益。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3.</w:t>
      </w:r>
      <w:r>
        <w:rPr>
          <w:rFonts w:hint="eastAsia" w:ascii="Times New Roman" w:hAnsi="Times New Roman"/>
          <w:color w:val="000000"/>
          <w:kern w:val="0"/>
          <w:sz w:val="21"/>
        </w:rPr>
        <w:t>期末可供分配利润是采用期末资产负债表中未分配利润与未分配利润中已实现部分的孰低数，表中的</w:t>
      </w:r>
      <w:r>
        <w:rPr>
          <w:rFonts w:hint="default" w:ascii="Times New Roman" w:hAnsi="Times New Roman"/>
          <w:color w:val="000000"/>
          <w:kern w:val="0"/>
          <w:sz w:val="21"/>
        </w:rPr>
        <w:t>"</w:t>
      </w:r>
      <w:r>
        <w:rPr>
          <w:rFonts w:hint="eastAsia" w:ascii="Times New Roman" w:hAnsi="Times New Roman"/>
          <w:color w:val="000000"/>
          <w:kern w:val="0"/>
          <w:sz w:val="21"/>
        </w:rPr>
        <w:t>期末</w:t>
      </w:r>
      <w:r>
        <w:rPr>
          <w:rFonts w:hint="default" w:ascii="Times New Roman" w:hAnsi="Times New Roman"/>
          <w:color w:val="000000"/>
          <w:kern w:val="0"/>
          <w:sz w:val="21"/>
        </w:rPr>
        <w:t>"</w:t>
      </w:r>
      <w:r>
        <w:rPr>
          <w:rFonts w:hint="eastAsia" w:ascii="Times New Roman" w:hAnsi="Times New Roman"/>
          <w:color w:val="000000"/>
          <w:kern w:val="0"/>
          <w:sz w:val="21"/>
        </w:rPr>
        <w:t>均指报告期最后一日，即</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1" w:name="_Toc477960781"/>
      <w:r>
        <w:rPr>
          <w:rFonts w:hint="default" w:ascii="Times New Roman" w:hAnsi="Times New Roman"/>
          <w:b/>
          <w:color w:val="000000"/>
          <w:kern w:val="0"/>
          <w:sz w:val="24"/>
        </w:rPr>
        <w:t xml:space="preserve">3.2 </w:t>
      </w:r>
      <w:r>
        <w:rPr>
          <w:rFonts w:hint="eastAsia" w:ascii="Times New Roman" w:hAnsi="Times New Roman"/>
          <w:b/>
          <w:color w:val="000000"/>
          <w:kern w:val="0"/>
          <w:sz w:val="24"/>
        </w:rPr>
        <w:t>基金净值表现</w:t>
      </w:r>
      <w:bookmarkEnd w:id="11"/>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3.2.1 </w:t>
      </w:r>
      <w:r>
        <w:rPr>
          <w:rFonts w:hint="eastAsia" w:ascii="Times New Roman" w:hAnsi="Times New Roman"/>
          <w:b/>
          <w:color w:val="000000"/>
          <w:kern w:val="0"/>
          <w:sz w:val="24"/>
        </w:rPr>
        <w:t>基金份额净值增长率及其与同期业绩比较基准收益率的比较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8"/>
        <w:gridCol w:w="1084"/>
        <w:gridCol w:w="1084"/>
        <w:gridCol w:w="1083"/>
        <w:gridCol w:w="1084"/>
        <w:gridCol w:w="1083"/>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阶段</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r>
              <w:rPr>
                <w:rFonts w:hint="default"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份额净值增长率①</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份额净值增长率标准差②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业绩比较基准收益率③</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①</w:t>
            </w:r>
            <w:r>
              <w:rPr>
                <w:rFonts w:hint="default" w:ascii="Times New Roman" w:eastAsia="Times New Roman"/>
                <w:color w:val="000000"/>
                <w:kern w:val="0"/>
                <w:sz w:val="24"/>
              </w:rPr>
              <w:t>-</w:t>
            </w:r>
            <w:r>
              <w:rPr>
                <w:rFonts w:hint="eastAsia" w:ascii="Times New Roman" w:hAnsi="Times New Roman"/>
                <w:color w:val="000000"/>
                <w:kern w:val="0"/>
                <w:sz w:val="24"/>
              </w:rPr>
              <w:t>③</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②</w:t>
            </w:r>
            <w:r>
              <w:rPr>
                <w:rFonts w:hint="default" w:ascii="Times New Roman" w:eastAsia="Times New Roman"/>
                <w:color w:val="000000"/>
                <w:kern w:val="0"/>
                <w:sz w:val="24"/>
              </w:rPr>
              <w:t>-</w:t>
            </w:r>
            <w:r>
              <w:rPr>
                <w:rFonts w:hint="eastAsia" w:ascii="Times New Roman" w:hAnsi="Times New Roman"/>
                <w:color w:val="000000"/>
                <w:kern w:val="0"/>
                <w:sz w:val="24"/>
              </w:rPr>
              <w:t>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过去三个月</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过去六个月</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-0.77%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过去一年</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自基金合同生效日起至今（</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0.06%</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8"/>
        <w:gridCol w:w="1084"/>
        <w:gridCol w:w="1084"/>
        <w:gridCol w:w="1083"/>
        <w:gridCol w:w="1084"/>
        <w:gridCol w:w="1083"/>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阶段</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r>
              <w:rPr>
                <w:rFonts w:hint="default"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份额净值增长率①</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份额净值增长率标准差②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业绩比较基准收益率③</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①</w:t>
            </w:r>
            <w:r>
              <w:rPr>
                <w:rFonts w:hint="default" w:ascii="Times New Roman" w:eastAsia="Times New Roman"/>
                <w:color w:val="000000"/>
                <w:kern w:val="0"/>
                <w:sz w:val="24"/>
              </w:rPr>
              <w:t>-</w:t>
            </w:r>
            <w:r>
              <w:rPr>
                <w:rFonts w:hint="eastAsia" w:ascii="Times New Roman" w:hAnsi="Times New Roman"/>
                <w:color w:val="000000"/>
                <w:kern w:val="0"/>
                <w:sz w:val="24"/>
              </w:rPr>
              <w:t>③</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②</w:t>
            </w:r>
            <w:r>
              <w:rPr>
                <w:rFonts w:hint="default" w:ascii="Times New Roman" w:eastAsia="Times New Roman"/>
                <w:color w:val="000000"/>
                <w:kern w:val="0"/>
                <w:sz w:val="24"/>
              </w:rPr>
              <w:t>-</w:t>
            </w:r>
            <w:r>
              <w:rPr>
                <w:rFonts w:hint="eastAsia" w:ascii="Times New Roman" w:hAnsi="Times New Roman"/>
                <w:color w:val="000000"/>
                <w:kern w:val="0"/>
                <w:sz w:val="24"/>
              </w:rPr>
              <w:t>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过去三个月</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-0.74%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过去六个月</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0.94%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-0.77%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过去一年</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0.66%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自基金合同生效日起至今（</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9.37%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0.05%</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3.2.2 </w:t>
      </w:r>
      <w:r>
        <w:rPr>
          <w:rFonts w:hint="eastAsia" w:ascii="Times New Roman" w:hAnsi="Times New Roman"/>
          <w:b/>
          <w:color w:val="000000"/>
          <w:kern w:val="0"/>
          <w:sz w:val="24"/>
        </w:rPr>
        <w:t>自基金合同生效以来基金份额累计净值增长率变动及其与同期业绩比较基准收益率变动的比较</w:t>
      </w:r>
    </w:p>
    <w:p>
      <w:pPr>
        <w:autoSpaceDE w:val="0"/>
        <w:autoSpaceDN w:val="0"/>
        <w:adjustRightInd w:val="0"/>
        <w:spacing w:beforeLines="0" w:afterLines="0" w:line="288" w:lineRule="auto"/>
        <w:jc w:val="left"/>
        <w:rPr>
          <w:rFonts w:hint="default" w:ascii="Times New Roman" w:eastAsia="Times New Roman"/>
          <w:kern w:val="0"/>
          <w:sz w:val="24"/>
        </w:rPr>
      </w:pPr>
      <w:r>
        <w:rPr>
          <w:rFonts w:hint="default" w:ascii="Times New Roman" w:eastAsia="Times New Roman"/>
          <w:kern w:val="0"/>
          <w:sz w:val="24"/>
        </w:rPr>
        <w:pict>
          <v:shape id="_x0000_i1026" o:spt="75" type="#_x0000_t75" style="height:211.1pt;width:439.2pt;" filled="f" stroked="f" coordsize="21600,21600">
            <v:path/>
            <v:fill on="f" focussize="0,0"/>
            <v:stroke on="f"/>
            <v:imagedata r:id="rId6" o:title=""/>
            <o:lock v:ext="edit" aspectratio="t"/>
            <w10:wrap type="none"/>
            <w10:anchorlock/>
          </v:shape>
        </w:pict>
      </w:r>
    </w:p>
    <w:p>
      <w:pPr>
        <w:autoSpaceDE w:val="0"/>
        <w:autoSpaceDN w:val="0"/>
        <w:adjustRightInd w:val="0"/>
        <w:spacing w:beforeLines="0" w:afterLines="0" w:line="288" w:lineRule="auto"/>
        <w:jc w:val="left"/>
        <w:rPr>
          <w:rFonts w:hint="default" w:ascii="Times New Roman" w:eastAsia="Times New Roman"/>
          <w:kern w:val="0"/>
          <w:sz w:val="24"/>
        </w:rPr>
      </w:pPr>
      <w:r>
        <w:rPr>
          <w:rFonts w:hint="default" w:ascii="Times New Roman" w:eastAsia="Times New Roman"/>
          <w:kern w:val="0"/>
          <w:sz w:val="24"/>
        </w:rPr>
        <w:pict>
          <v:shape id="_x0000_i1027" o:spt="75" type="#_x0000_t75" style="height:211.1pt;width:439.2pt;" filled="f" stroked="f" coordsize="21600,21600">
            <v:path/>
            <v:fill on="f" focussize="0,0"/>
            <v:stroke on="f"/>
            <v:imagedata r:id="rId7" o:title=""/>
            <o:lock v:ext="edit" aspectratio="t"/>
            <w10:wrap type="none"/>
            <w10:anchorlock/>
          </v:shape>
        </w:pic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3.2.3 </w:t>
      </w:r>
      <w:r>
        <w:rPr>
          <w:rFonts w:hint="eastAsia" w:ascii="Times New Roman" w:hAnsi="Times New Roman"/>
          <w:b/>
          <w:color w:val="000000"/>
          <w:kern w:val="0"/>
          <w:sz w:val="24"/>
        </w:rPr>
        <w:t>自基金合同生效以来基金每年净值增长率及其与同期业绩比较基准收益率的比较</w:t>
      </w:r>
    </w:p>
    <w:p>
      <w:pPr>
        <w:autoSpaceDE w:val="0"/>
        <w:autoSpaceDN w:val="0"/>
        <w:adjustRightInd w:val="0"/>
        <w:spacing w:beforeLines="0" w:afterLines="0" w:line="288" w:lineRule="auto"/>
        <w:jc w:val="left"/>
        <w:rPr>
          <w:rFonts w:hint="default" w:ascii="Times New Roman" w:eastAsia="Times New Roman"/>
          <w:kern w:val="0"/>
          <w:sz w:val="24"/>
        </w:rPr>
      </w:pPr>
      <w:r>
        <w:rPr>
          <w:rFonts w:hint="default" w:ascii="Times New Roman" w:eastAsia="Times New Roman"/>
          <w:kern w:val="0"/>
          <w:sz w:val="24"/>
        </w:rPr>
        <w:pict>
          <v:shape id="_x0000_i1028" o:spt="75" type="#_x0000_t75" style="height:211.1pt;width:439.2pt;" filled="f" stroked="f" coordsize="21600,21600">
            <v:path/>
            <v:fill on="f" focussize="0,0"/>
            <v:stroke on="f"/>
            <v:imagedata r:id="rId8" o:title=""/>
            <o:lock v:ext="edit" aspectratio="t"/>
            <w10:wrap type="none"/>
            <w10:anchorlock/>
          </v:shape>
        </w:pict>
      </w:r>
    </w:p>
    <w:p>
      <w:pPr>
        <w:autoSpaceDE w:val="0"/>
        <w:autoSpaceDN w:val="0"/>
        <w:adjustRightInd w:val="0"/>
        <w:spacing w:beforeLines="0" w:afterLines="0" w:line="288" w:lineRule="auto"/>
        <w:jc w:val="left"/>
        <w:rPr>
          <w:rFonts w:hint="default" w:ascii="Times New Roman" w:eastAsia="Times New Roman"/>
          <w:kern w:val="0"/>
          <w:sz w:val="24"/>
        </w:rPr>
      </w:pPr>
      <w:r>
        <w:rPr>
          <w:rFonts w:hint="default" w:ascii="Times New Roman" w:eastAsia="Times New Roman"/>
          <w:kern w:val="0"/>
          <w:sz w:val="24"/>
        </w:rPr>
        <w:pict>
          <v:shape id="_x0000_i1029" o:spt="75" type="#_x0000_t75" style="height:211.1pt;width:439.2pt;" filled="f" stroked="f" coordsize="21600,21600">
            <v:path/>
            <v:fill on="f" focussize="0,0"/>
            <v:stroke on="f"/>
            <v:imagedata r:id="rId9" o:title=""/>
            <o:lock v:ext="edit" aspectratio="t"/>
            <w10:wrap type="none"/>
            <w10:anchorlock/>
          </v:shape>
        </w:pic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3.3 </w:t>
      </w:r>
      <w:r>
        <w:rPr>
          <w:rFonts w:hint="eastAsia" w:ascii="Times New Roman" w:hAnsi="Times New Roman"/>
          <w:b/>
          <w:color w:val="000000"/>
          <w:kern w:val="0"/>
          <w:sz w:val="24"/>
        </w:rPr>
        <w:t>过去三年基金的利润分配情况</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本基金自基金合同生效日（</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日）至本报告期末未发生利润分配。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12" w:name="_Toc477960782"/>
      <w:r>
        <w:rPr>
          <w:rFonts w:hint="eastAsia" w:ascii="Times New Roman" w:hAnsi="Times New Roman"/>
          <w:b/>
          <w:color w:val="000000"/>
          <w:kern w:val="0"/>
          <w:sz w:val="24"/>
        </w:rPr>
        <w:t>§</w:t>
      </w:r>
      <w:r>
        <w:rPr>
          <w:rFonts w:hint="default" w:ascii="Times New Roman" w:hAnsi="Times New Roman"/>
          <w:b/>
          <w:color w:val="000000"/>
          <w:kern w:val="0"/>
          <w:sz w:val="24"/>
        </w:rPr>
        <w:t xml:space="preserve">4  </w:t>
      </w:r>
      <w:r>
        <w:rPr>
          <w:rFonts w:hint="eastAsia" w:ascii="Times New Roman" w:hAnsi="Times New Roman"/>
          <w:b/>
          <w:color w:val="000000"/>
          <w:kern w:val="0"/>
          <w:sz w:val="24"/>
        </w:rPr>
        <w:t>管理人报告</w:t>
      </w:r>
      <w:bookmarkEnd w:id="12"/>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3" w:name="_Toc477960783"/>
      <w:r>
        <w:rPr>
          <w:rFonts w:hint="default" w:ascii="Times New Roman" w:hAnsi="Times New Roman"/>
          <w:b/>
          <w:color w:val="000000"/>
          <w:kern w:val="0"/>
          <w:sz w:val="24"/>
        </w:rPr>
        <w:t xml:space="preserve">4.1 </w:t>
      </w:r>
      <w:r>
        <w:rPr>
          <w:rFonts w:hint="eastAsia" w:ascii="Times New Roman" w:hAnsi="Times New Roman"/>
          <w:b/>
          <w:color w:val="000000"/>
          <w:kern w:val="0"/>
          <w:sz w:val="24"/>
        </w:rPr>
        <w:t>基金管理人及基金经理情况</w:t>
      </w:r>
      <w:bookmarkEnd w:id="13"/>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4.1.1 </w:t>
      </w:r>
      <w:r>
        <w:rPr>
          <w:rFonts w:hint="eastAsia" w:ascii="Times New Roman" w:hAnsi="Times New Roman"/>
          <w:b/>
          <w:color w:val="000000"/>
          <w:kern w:val="0"/>
          <w:sz w:val="24"/>
        </w:rPr>
        <w:t>基金管理人及其管理基金的经验</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创金合信基金管理有限公司于</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3</w:t>
      </w:r>
      <w:r>
        <w:rPr>
          <w:rFonts w:hint="eastAsia" w:ascii="Times New Roman" w:hAnsi="Times New Roman"/>
          <w:color w:val="000000"/>
          <w:kern w:val="0"/>
          <w:sz w:val="24"/>
        </w:rPr>
        <w:t>日获得中国证监会批复，</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9</w:t>
      </w:r>
      <w:r>
        <w:rPr>
          <w:rFonts w:hint="eastAsia" w:ascii="Times New Roman" w:hAnsi="Times New Roman"/>
          <w:color w:val="000000"/>
          <w:kern w:val="0"/>
          <w:sz w:val="24"/>
        </w:rPr>
        <w:t>日正式注册设立，注册地为深圳市。公司由第一创业证券股份有限公司、深圳市金合信投资合伙企业（有限合伙）共同出资设立。公司注册资本</w:t>
      </w:r>
      <w:r>
        <w:rPr>
          <w:rFonts w:hint="default" w:ascii="Times New Roman" w:hAnsi="Times New Roman"/>
          <w:color w:val="000000"/>
          <w:kern w:val="0"/>
          <w:sz w:val="24"/>
        </w:rPr>
        <w:t>1.7</w:t>
      </w:r>
      <w:r>
        <w:rPr>
          <w:rFonts w:hint="eastAsia" w:ascii="Times New Roman" w:hAnsi="Times New Roman"/>
          <w:color w:val="000000"/>
          <w:kern w:val="0"/>
          <w:sz w:val="24"/>
        </w:rPr>
        <w:t>亿元人民币，股东出资情况为：第一创业证券股份有限公司出资</w:t>
      </w:r>
      <w:r>
        <w:rPr>
          <w:rFonts w:hint="default" w:ascii="Times New Roman" w:hAnsi="Times New Roman"/>
          <w:color w:val="000000"/>
          <w:kern w:val="0"/>
          <w:sz w:val="24"/>
        </w:rPr>
        <w:t>11,900</w:t>
      </w:r>
      <w:r>
        <w:rPr>
          <w:rFonts w:hint="eastAsia" w:ascii="Times New Roman" w:hAnsi="Times New Roman"/>
          <w:color w:val="000000"/>
          <w:kern w:val="0"/>
          <w:sz w:val="24"/>
        </w:rPr>
        <w:t>万元，占公司注册资本的</w:t>
      </w:r>
      <w:r>
        <w:rPr>
          <w:rFonts w:hint="default" w:ascii="Times New Roman" w:hAnsi="Times New Roman"/>
          <w:color w:val="000000"/>
          <w:kern w:val="0"/>
          <w:sz w:val="24"/>
        </w:rPr>
        <w:t>70%</w:t>
      </w:r>
      <w:r>
        <w:rPr>
          <w:rFonts w:hint="eastAsia" w:ascii="Times New Roman" w:hAnsi="Times New Roman"/>
          <w:color w:val="000000"/>
          <w:kern w:val="0"/>
          <w:sz w:val="24"/>
        </w:rPr>
        <w:t>；深圳市金合信投资合伙企业（有限合伙）出资</w:t>
      </w:r>
      <w:r>
        <w:rPr>
          <w:rFonts w:hint="default" w:ascii="Times New Roman" w:hAnsi="Times New Roman"/>
          <w:color w:val="000000"/>
          <w:kern w:val="0"/>
          <w:sz w:val="24"/>
        </w:rPr>
        <w:t>5,100</w:t>
      </w:r>
      <w:r>
        <w:rPr>
          <w:rFonts w:hint="eastAsia" w:ascii="Times New Roman" w:hAnsi="Times New Roman"/>
          <w:color w:val="000000"/>
          <w:kern w:val="0"/>
          <w:sz w:val="24"/>
        </w:rPr>
        <w:t>万元，占公司注册资本的</w:t>
      </w:r>
      <w:r>
        <w:rPr>
          <w:rFonts w:hint="default" w:ascii="Times New Roman" w:hAnsi="Times New Roman"/>
          <w:color w:val="000000"/>
          <w:kern w:val="0"/>
          <w:sz w:val="24"/>
        </w:rPr>
        <w:t>30%</w:t>
      </w:r>
      <w:r>
        <w:rPr>
          <w:rFonts w:hint="eastAsia"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公司始终坚持</w:t>
      </w:r>
      <w:r>
        <w:rPr>
          <w:rFonts w:hint="default" w:ascii="Times New Roman" w:hAnsi="Times New Roman"/>
          <w:color w:val="000000"/>
          <w:kern w:val="0"/>
          <w:sz w:val="24"/>
        </w:rPr>
        <w:t>"</w:t>
      </w:r>
      <w:r>
        <w:rPr>
          <w:rFonts w:hint="eastAsia" w:ascii="Times New Roman" w:hAnsi="Times New Roman"/>
          <w:color w:val="000000"/>
          <w:kern w:val="0"/>
          <w:sz w:val="24"/>
        </w:rPr>
        <w:t>客户利益至上</w:t>
      </w:r>
      <w:r>
        <w:rPr>
          <w:rFonts w:hint="default" w:ascii="Times New Roman" w:hAnsi="Times New Roman"/>
          <w:color w:val="000000"/>
          <w:kern w:val="0"/>
          <w:sz w:val="24"/>
        </w:rPr>
        <w:t>"</w:t>
      </w:r>
      <w:r>
        <w:rPr>
          <w:rFonts w:hint="eastAsia" w:ascii="Times New Roman" w:hAnsi="Times New Roman"/>
          <w:color w:val="000000"/>
          <w:kern w:val="0"/>
          <w:sz w:val="24"/>
        </w:rPr>
        <w:t>，致力于为客户实现长期稳定的投资回报，做客户投资理财的亲密伙伴。</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报告期内，本公司共发行</w:t>
      </w:r>
      <w:r>
        <w:rPr>
          <w:rFonts w:hint="default" w:ascii="Times New Roman" w:hAnsi="Times New Roman"/>
          <w:color w:val="000000"/>
          <w:kern w:val="0"/>
          <w:sz w:val="24"/>
        </w:rPr>
        <w:t>17</w:t>
      </w:r>
      <w:r>
        <w:rPr>
          <w:rFonts w:hint="eastAsia" w:ascii="Times New Roman" w:hAnsi="Times New Roman"/>
          <w:color w:val="000000"/>
          <w:kern w:val="0"/>
          <w:sz w:val="24"/>
        </w:rPr>
        <w:t>只公募基金。截至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日，本公司共管理</w:t>
      </w:r>
      <w:r>
        <w:rPr>
          <w:rFonts w:hint="default" w:ascii="Times New Roman" w:hAnsi="Times New Roman"/>
          <w:color w:val="000000"/>
          <w:kern w:val="0"/>
          <w:sz w:val="24"/>
        </w:rPr>
        <w:t>24</w:t>
      </w:r>
      <w:r>
        <w:rPr>
          <w:rFonts w:hint="eastAsia" w:ascii="Times New Roman" w:hAnsi="Times New Roman"/>
          <w:color w:val="000000"/>
          <w:kern w:val="0"/>
          <w:sz w:val="24"/>
        </w:rPr>
        <w:t>只公募基金，其中混合型产品</w:t>
      </w:r>
      <w:r>
        <w:rPr>
          <w:rFonts w:hint="default" w:ascii="Times New Roman" w:hAnsi="Times New Roman"/>
          <w:color w:val="000000"/>
          <w:kern w:val="0"/>
          <w:sz w:val="24"/>
        </w:rPr>
        <w:t>9</w:t>
      </w:r>
      <w:r>
        <w:rPr>
          <w:rFonts w:hint="eastAsia" w:ascii="Times New Roman" w:hAnsi="Times New Roman"/>
          <w:color w:val="000000"/>
          <w:kern w:val="0"/>
          <w:sz w:val="24"/>
        </w:rPr>
        <w:t>只、指数型产品</w:t>
      </w:r>
      <w:r>
        <w:rPr>
          <w:rFonts w:hint="default" w:ascii="Times New Roman" w:hAnsi="Times New Roman"/>
          <w:color w:val="000000"/>
          <w:kern w:val="0"/>
          <w:sz w:val="24"/>
        </w:rPr>
        <w:t>3</w:t>
      </w:r>
      <w:r>
        <w:rPr>
          <w:rFonts w:hint="eastAsia" w:ascii="Times New Roman" w:hAnsi="Times New Roman"/>
          <w:color w:val="000000"/>
          <w:kern w:val="0"/>
          <w:sz w:val="24"/>
        </w:rPr>
        <w:t>只、债券型产品</w:t>
      </w:r>
      <w:r>
        <w:rPr>
          <w:rFonts w:hint="default" w:ascii="Times New Roman" w:hAnsi="Times New Roman"/>
          <w:color w:val="000000"/>
          <w:kern w:val="0"/>
          <w:sz w:val="24"/>
        </w:rPr>
        <w:t>8</w:t>
      </w:r>
      <w:r>
        <w:rPr>
          <w:rFonts w:hint="eastAsia" w:ascii="Times New Roman" w:hAnsi="Times New Roman"/>
          <w:color w:val="000000"/>
          <w:kern w:val="0"/>
          <w:sz w:val="24"/>
        </w:rPr>
        <w:t>只、股票型产品</w:t>
      </w:r>
      <w:r>
        <w:rPr>
          <w:rFonts w:hint="default" w:ascii="Times New Roman" w:hAnsi="Times New Roman"/>
          <w:color w:val="000000"/>
          <w:kern w:val="0"/>
          <w:sz w:val="24"/>
        </w:rPr>
        <w:t>3</w:t>
      </w:r>
      <w:r>
        <w:rPr>
          <w:rFonts w:hint="eastAsia" w:ascii="Times New Roman" w:hAnsi="Times New Roman"/>
          <w:color w:val="000000"/>
          <w:kern w:val="0"/>
          <w:sz w:val="24"/>
        </w:rPr>
        <w:t>只、货币型产品</w:t>
      </w:r>
      <w:r>
        <w:rPr>
          <w:rFonts w:hint="default" w:ascii="Times New Roman" w:hAnsi="Times New Roman"/>
          <w:color w:val="000000"/>
          <w:kern w:val="0"/>
          <w:sz w:val="24"/>
        </w:rPr>
        <w:t>1</w:t>
      </w:r>
      <w:r>
        <w:rPr>
          <w:rFonts w:hint="eastAsia" w:ascii="Times New Roman" w:hAnsi="Times New Roman"/>
          <w:color w:val="000000"/>
          <w:kern w:val="0"/>
          <w:sz w:val="24"/>
        </w:rPr>
        <w:t>只；管理的公募基金规模约</w:t>
      </w:r>
      <w:r>
        <w:rPr>
          <w:rFonts w:hint="default" w:ascii="Times New Roman" w:hAnsi="Times New Roman"/>
          <w:color w:val="000000"/>
          <w:kern w:val="0"/>
          <w:sz w:val="24"/>
        </w:rPr>
        <w:t>142.74</w:t>
      </w:r>
      <w:r>
        <w:rPr>
          <w:rFonts w:hint="eastAsia" w:ascii="Times New Roman" w:hAnsi="Times New Roman"/>
          <w:color w:val="000000"/>
          <w:kern w:val="0"/>
          <w:sz w:val="24"/>
        </w:rPr>
        <w:t>亿元。</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4.1.2 </w:t>
      </w:r>
      <w:r>
        <w:rPr>
          <w:rFonts w:hint="eastAsia" w:ascii="Times New Roman" w:hAnsi="Times New Roman"/>
          <w:b/>
          <w:color w:val="000000"/>
          <w:kern w:val="0"/>
          <w:sz w:val="24"/>
        </w:rPr>
        <w:t>基金经理（或基金经理小组）及基金经理助理简介</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4"/>
        <w:gridCol w:w="1083"/>
        <w:gridCol w:w="1445"/>
        <w:gridCol w:w="1445"/>
        <w:gridCol w:w="1083"/>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姓名</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职务</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任职日期</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离任日期</w:t>
            </w: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eastAsia="Times New Roman"/>
                <w:kern w:val="0"/>
                <w:sz w:val="20"/>
              </w:rPr>
            </w:pPr>
          </w:p>
        </w:tc>
        <w:tc>
          <w:tcPr>
            <w:tcW w:w="289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eastAsia="Times New Roman"/>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王一兵</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基金经理、固定收益部总监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王一兵先生，中国国籍，四川大学</w:t>
            </w:r>
            <w:r>
              <w:rPr>
                <w:rFonts w:hint="default" w:ascii="Times New Roman" w:hAnsi="Times New Roman"/>
                <w:color w:val="000000"/>
                <w:kern w:val="0"/>
                <w:sz w:val="24"/>
              </w:rPr>
              <w:t>MBA</w:t>
            </w:r>
            <w:r>
              <w:rPr>
                <w:rFonts w:hint="eastAsia" w:ascii="Times New Roman" w:hAnsi="Times New Roman"/>
                <w:color w:val="000000"/>
                <w:kern w:val="0"/>
                <w:sz w:val="24"/>
              </w:rPr>
              <w:t>。</w:t>
            </w:r>
            <w:r>
              <w:rPr>
                <w:rFonts w:hint="default" w:ascii="Times New Roman" w:hAnsi="Times New Roman"/>
                <w:color w:val="000000"/>
                <w:kern w:val="0"/>
                <w:sz w:val="24"/>
              </w:rPr>
              <w:t>1994</w:t>
            </w:r>
            <w:r>
              <w:rPr>
                <w:rFonts w:hint="eastAsia" w:ascii="Times New Roman" w:hAnsi="Times New Roman"/>
                <w:color w:val="000000"/>
                <w:kern w:val="0"/>
                <w:sz w:val="24"/>
              </w:rPr>
              <w:t>年即进入证券期货行业，作为公司出市代表任海南中商期货交易所红马甲。</w:t>
            </w:r>
            <w:r>
              <w:rPr>
                <w:rFonts w:hint="default" w:ascii="Times New Roman" w:hAnsi="Times New Roman"/>
                <w:color w:val="000000"/>
                <w:kern w:val="0"/>
                <w:sz w:val="24"/>
              </w:rPr>
              <w:t>1997</w:t>
            </w:r>
            <w:r>
              <w:rPr>
                <w:rFonts w:hint="eastAsia" w:ascii="Times New Roman" w:hAnsi="Times New Roman"/>
                <w:color w:val="000000"/>
                <w:kern w:val="0"/>
                <w:sz w:val="24"/>
              </w:rPr>
              <w:t>年进入股票市场，经历了各种证券市场的大幅涨跌变化，拥有成熟的投资心态和丰富的投资经验。曾历任第一创业证券固定收益部高级交易经理、资产管理部投资经理、固定收益部投资副总监。现任创金合信基金管理有限公司固定收益部负责人。熟悉债券市场和固定收益产品的各种投资技巧，尤其精通近两年发展迅速的信用债，对企业信用分析、定价有深刻独到的见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郑振源</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基金经理</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郑振源先生，中国国籍，中国人民银行研究生部经济学硕士。</w:t>
            </w:r>
            <w:r>
              <w:rPr>
                <w:rFonts w:hint="default" w:ascii="Times New Roman" w:hAnsi="Times New Roman"/>
                <w:color w:val="000000"/>
                <w:kern w:val="0"/>
                <w:sz w:val="24"/>
              </w:rPr>
              <w:t>2009</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月加入第一创业证券研究所，担任宏观债券研究员。</w:t>
            </w:r>
            <w:r>
              <w:rPr>
                <w:rFonts w:hint="default" w:ascii="Times New Roman" w:hAnsi="Times New Roman"/>
                <w:color w:val="000000"/>
                <w:kern w:val="0"/>
                <w:sz w:val="24"/>
              </w:rPr>
              <w:t>2012</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月加入第一创业证券资产管理部，先后担任宏观债券研究员、投资主办等职务。</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月加入创金合信基金管理有限公司，现任基金经理。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张荣</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基金经理</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06</w:t>
            </w:r>
            <w:r>
              <w:rPr>
                <w:rFonts w:hint="eastAsia" w:ascii="Times New Roman" w:hAnsi="Times New Roman"/>
                <w:color w:val="000000"/>
                <w:kern w:val="0"/>
                <w:sz w:val="24"/>
              </w:rPr>
              <w:t>月</w:t>
            </w:r>
            <w:r>
              <w:rPr>
                <w:rFonts w:hint="default" w:ascii="Times New Roman" w:hAnsi="Times New Roman"/>
                <w:color w:val="000000"/>
                <w:kern w:val="0"/>
                <w:sz w:val="24"/>
              </w:rPr>
              <w:t>11</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张荣先生，中国国籍，北京大学金融学硕士，权益投资基金经理。投资中注重宏观研究，自上而下，把握行业趋势；</w:t>
            </w:r>
            <w:r>
              <w:rPr>
                <w:rFonts w:hint="default" w:ascii="Times New Roman" w:hAnsi="Times New Roman"/>
                <w:color w:val="000000"/>
                <w:kern w:val="0"/>
                <w:sz w:val="24"/>
              </w:rPr>
              <w:t>2004</w:t>
            </w:r>
            <w:r>
              <w:rPr>
                <w:rFonts w:hint="eastAsia" w:ascii="Times New Roman" w:hAnsi="Times New Roman"/>
                <w:color w:val="000000"/>
                <w:kern w:val="0"/>
                <w:sz w:val="24"/>
              </w:rPr>
              <w:t>年就职于深圳银监局从事银行监管工作，历任多家银行监管员。</w:t>
            </w:r>
            <w:r>
              <w:rPr>
                <w:rFonts w:hint="default" w:ascii="Times New Roman" w:hAnsi="Times New Roman"/>
                <w:color w:val="000000"/>
                <w:kern w:val="0"/>
                <w:sz w:val="24"/>
              </w:rPr>
              <w:t>2010</w:t>
            </w:r>
            <w:r>
              <w:rPr>
                <w:rFonts w:hint="eastAsia" w:ascii="Times New Roman" w:hAnsi="Times New Roman"/>
                <w:color w:val="000000"/>
                <w:kern w:val="0"/>
                <w:sz w:val="24"/>
              </w:rPr>
              <w:t>年加入第一创业证券资产管理部，历任金融行业研究主管、投资主办等职务。</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月加入创金合信基金管理有限公司担任高级研究员</w:t>
            </w:r>
            <w:r>
              <w:rPr>
                <w:rFonts w:hint="default" w:ascii="Times New Roman" w:eastAsia="Times New Roman"/>
                <w:color w:val="000000"/>
                <w:kern w:val="0"/>
                <w:sz w:val="24"/>
              </w:rPr>
              <w:t>,</w:t>
            </w:r>
            <w:r>
              <w:rPr>
                <w:rFonts w:hint="eastAsia" w:ascii="Times New Roman" w:hAnsi="Times New Roman"/>
                <w:color w:val="000000"/>
                <w:kern w:val="0"/>
                <w:sz w:val="24"/>
              </w:rPr>
              <w:t>现任基金经理。</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、本基金首任基金经理的任职日期为本基金合同生效日，离任日期、后任基金经理的任职日期指公司作出决定的公告（生效）日期；</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、证券从业年限计算的起止时间按照从事证券行业开始时间计算。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4" w:name="_Toc477960784"/>
      <w:r>
        <w:rPr>
          <w:rFonts w:hint="default" w:ascii="Times New Roman" w:hAnsi="Times New Roman"/>
          <w:b/>
          <w:color w:val="000000"/>
          <w:kern w:val="0"/>
          <w:sz w:val="24"/>
        </w:rPr>
        <w:t xml:space="preserve">4.2 </w:t>
      </w:r>
      <w:r>
        <w:rPr>
          <w:rFonts w:hint="eastAsia" w:ascii="Times New Roman" w:hAnsi="Times New Roman"/>
          <w:b/>
          <w:color w:val="000000"/>
          <w:kern w:val="0"/>
          <w:sz w:val="24"/>
        </w:rPr>
        <w:t>管理人对报告期内本基金运作遵规守信情况的说明</w:t>
      </w:r>
      <w:bookmarkEnd w:id="14"/>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聚利债券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5" w:name="_Toc477960785"/>
      <w:r>
        <w:rPr>
          <w:rFonts w:hint="default" w:ascii="Times New Roman" w:hAnsi="Times New Roman"/>
          <w:b/>
          <w:color w:val="000000"/>
          <w:kern w:val="0"/>
          <w:sz w:val="24"/>
        </w:rPr>
        <w:t xml:space="preserve">4.3 </w:t>
      </w:r>
      <w:r>
        <w:rPr>
          <w:rFonts w:hint="eastAsia" w:ascii="Times New Roman" w:hAnsi="Times New Roman"/>
          <w:b/>
          <w:color w:val="000000"/>
          <w:kern w:val="0"/>
          <w:sz w:val="24"/>
        </w:rPr>
        <w:t>管理人对报告期内公平交易情况的专项说明</w:t>
      </w:r>
      <w:bookmarkEnd w:id="15"/>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4.3.1 </w:t>
      </w:r>
      <w:r>
        <w:rPr>
          <w:rFonts w:hint="eastAsia" w:ascii="Times New Roman" w:hAnsi="Times New Roman"/>
          <w:b/>
          <w:color w:val="000000"/>
          <w:kern w:val="0"/>
          <w:sz w:val="24"/>
        </w:rPr>
        <w:t>公平交易制度和控制方法</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为了进一步规范和完善本基金管理人（以下简称</w:t>
      </w:r>
      <w:r>
        <w:rPr>
          <w:rFonts w:hint="default" w:ascii="Times New Roman" w:hAnsi="Times New Roman"/>
          <w:color w:val="000000"/>
          <w:kern w:val="0"/>
          <w:sz w:val="24"/>
        </w:rPr>
        <w:t>"</w:t>
      </w:r>
      <w:r>
        <w:rPr>
          <w:rFonts w:hint="eastAsia" w:ascii="Times New Roman" w:hAnsi="Times New Roman"/>
          <w:color w:val="000000"/>
          <w:kern w:val="0"/>
          <w:sz w:val="24"/>
        </w:rPr>
        <w:t>本公司</w:t>
      </w:r>
      <w:r>
        <w:rPr>
          <w:rFonts w:hint="default" w:ascii="Times New Roman" w:hAnsi="Times New Roman"/>
          <w:color w:val="000000"/>
          <w:kern w:val="0"/>
          <w:sz w:val="24"/>
        </w:rPr>
        <w:t>"</w:t>
      </w:r>
      <w:r>
        <w:rPr>
          <w:rFonts w:hint="eastAsia" w:ascii="Times New Roman" w:hAnsi="Times New Roman"/>
          <w:color w:val="000000"/>
          <w:kern w:val="0"/>
          <w:sz w:val="24"/>
        </w:rPr>
        <w:t>）投资和交易管理，严格遵守法律法规关于公平交易的相关规定，根据《中华人民共和国证券投资基金法》、《证券投资基金管理公司管理办法》、《证券投资基金管理公司公平交易制度指导意见（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、授权、研究分析与投资决策的内部控制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、交易执行的内部控制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、交易指令分配的控制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所有投资对象的投资指令必须经由交易室总监或其授权人审核后分配至交易员执行。</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、公平交易监控</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hint="default" w:ascii="Times New Roman" w:hAnsi="Times New Roman"/>
          <w:color w:val="000000"/>
          <w:kern w:val="0"/>
          <w:sz w:val="24"/>
        </w:rPr>
        <w:t>1</w:t>
      </w:r>
      <w:r>
        <w:rPr>
          <w:rFonts w:hint="eastAsia" w:ascii="Times New Roman" w:hAnsi="Times New Roman"/>
          <w:color w:val="000000"/>
          <w:kern w:val="0"/>
          <w:sz w:val="24"/>
        </w:rPr>
        <w:t>日内、</w:t>
      </w:r>
      <w:r>
        <w:rPr>
          <w:rFonts w:hint="default" w:ascii="Times New Roman" w:hAnsi="Times New Roman"/>
          <w:color w:val="000000"/>
          <w:kern w:val="0"/>
          <w:sz w:val="24"/>
        </w:rPr>
        <w:t>3</w:t>
      </w:r>
      <w:r>
        <w:rPr>
          <w:rFonts w:hint="eastAsia" w:ascii="Times New Roman" w:hAnsi="Times New Roman"/>
          <w:color w:val="000000"/>
          <w:kern w:val="0"/>
          <w:sz w:val="24"/>
        </w:rPr>
        <w:t>日、</w:t>
      </w:r>
      <w:r>
        <w:rPr>
          <w:rFonts w:hint="default" w:ascii="Times New Roman" w:hAnsi="Times New Roman"/>
          <w:color w:val="000000"/>
          <w:kern w:val="0"/>
          <w:sz w:val="24"/>
        </w:rPr>
        <w:t>5</w:t>
      </w:r>
      <w:r>
        <w:rPr>
          <w:rFonts w:hint="eastAsia" w:ascii="Times New Roman" w:hAnsi="Times New Roman"/>
          <w:color w:val="000000"/>
          <w:kern w:val="0"/>
          <w:sz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4.3.2 </w:t>
      </w:r>
      <w:r>
        <w:rPr>
          <w:rFonts w:hint="eastAsia" w:ascii="Times New Roman" w:hAnsi="Times New Roman"/>
          <w:b/>
          <w:color w:val="000000"/>
          <w:kern w:val="0"/>
          <w:sz w:val="24"/>
        </w:rPr>
        <w:t>公平交易制度的执行情况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本基金管理人严格执行《证券投资基金管理公司公平交易制度指导意见（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年修订）》及《创金合信基金管理有限公司公平交易制度》对本年度同向交易价差、反向交易进行了专项分析，未发现异常交易情况。</w:t>
      </w:r>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4.3.3 </w:t>
      </w:r>
      <w:r>
        <w:rPr>
          <w:rFonts w:hint="eastAsia" w:ascii="Times New Roman" w:hAnsi="Times New Roman"/>
          <w:b/>
          <w:color w:val="000000"/>
          <w:kern w:val="0"/>
          <w:sz w:val="24"/>
        </w:rPr>
        <w:t>异常交易行为的专项说明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本报告期内，未发现本基金有可能导致不公平交易和利益输送的异常交易。</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6" w:name="_Toc477960786"/>
      <w:r>
        <w:rPr>
          <w:rFonts w:hint="default" w:ascii="Times New Roman" w:hAnsi="Times New Roman"/>
          <w:b/>
          <w:color w:val="000000"/>
          <w:kern w:val="0"/>
          <w:sz w:val="24"/>
        </w:rPr>
        <w:t xml:space="preserve">4.4 </w:t>
      </w:r>
      <w:r>
        <w:rPr>
          <w:rFonts w:hint="eastAsia" w:ascii="Times New Roman" w:hAnsi="Times New Roman"/>
          <w:b/>
          <w:color w:val="000000"/>
          <w:kern w:val="0"/>
          <w:sz w:val="24"/>
        </w:rPr>
        <w:t>管理人对报告期内基金的投资策略和业绩表现说明</w:t>
      </w:r>
      <w:bookmarkEnd w:id="16"/>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4.4.1 </w:t>
      </w:r>
      <w:r>
        <w:rPr>
          <w:rFonts w:hint="eastAsia" w:ascii="Times New Roman" w:hAnsi="Times New Roman"/>
          <w:b/>
          <w:color w:val="000000"/>
          <w:kern w:val="0"/>
          <w:sz w:val="24"/>
        </w:rPr>
        <w:t>报告期内基金投资策略和运作分析</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年成为</w:t>
      </w:r>
      <w:r>
        <w:rPr>
          <w:rFonts w:hint="default" w:ascii="Times New Roman" w:hAnsi="Times New Roman"/>
          <w:color w:val="000000"/>
          <w:kern w:val="0"/>
          <w:sz w:val="24"/>
        </w:rPr>
        <w:t>2014</w:t>
      </w:r>
      <w:r>
        <w:rPr>
          <w:rFonts w:hint="eastAsia" w:ascii="Times New Roman" w:hAnsi="Times New Roman"/>
          <w:color w:val="000000"/>
          <w:kern w:val="0"/>
          <w:sz w:val="24"/>
        </w:rPr>
        <w:t>年以来债牛的末期，并在年底开始扭转走熊。主要变化因素在于：第一，</w:t>
      </w:r>
      <w:r>
        <w:rPr>
          <w:rFonts w:hint="default" w:ascii="Times New Roman" w:hAnsi="Times New Roman"/>
          <w:color w:val="000000"/>
          <w:kern w:val="0"/>
          <w:sz w:val="24"/>
        </w:rPr>
        <w:t>2016</w:t>
      </w:r>
      <w:r>
        <w:rPr>
          <w:rFonts w:hint="eastAsia" w:ascii="Times New Roman" w:hAnsi="Times New Roman"/>
          <w:color w:val="000000"/>
          <w:kern w:val="0"/>
          <w:sz w:val="24"/>
        </w:rPr>
        <w:t>年经济整体走平，步入</w:t>
      </w:r>
      <w:r>
        <w:rPr>
          <w:rFonts w:hint="default" w:ascii="Times New Roman" w:hAnsi="Times New Roman"/>
          <w:color w:val="000000"/>
          <w:kern w:val="0"/>
          <w:sz w:val="24"/>
        </w:rPr>
        <w:t>L</w:t>
      </w:r>
      <w:r>
        <w:rPr>
          <w:rFonts w:hint="eastAsia" w:ascii="Times New Roman" w:hAnsi="Times New Roman"/>
          <w:color w:val="000000"/>
          <w:kern w:val="0"/>
          <w:sz w:val="24"/>
        </w:rPr>
        <w:t>型的底部阶段，而同时大宗商品价格暴涨、以房价为首的资产价格暴涨；第二，</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9</w:t>
      </w:r>
      <w:r>
        <w:rPr>
          <w:rFonts w:hint="eastAsia" w:ascii="Times New Roman" w:hAnsi="Times New Roman"/>
          <w:color w:val="000000"/>
          <w:kern w:val="0"/>
          <w:sz w:val="24"/>
        </w:rPr>
        <w:t>日《人民日报》刊登了《开局首季问大势》的权威人士讲话，正式确认了宏观政策从稳增长向防风险、抑泡沫重心转换；第三，在经济走稳、通胀预期抬升的基础上，为防风险、抑泡沫，货币政策最终在下半年开始通过公开市场释放长期限资金，抬升利率水平，并实施将理财纳入</w:t>
      </w:r>
      <w:r>
        <w:rPr>
          <w:rFonts w:hint="default" w:ascii="Times New Roman" w:hAnsi="Times New Roman"/>
          <w:color w:val="000000"/>
          <w:kern w:val="0"/>
          <w:sz w:val="24"/>
        </w:rPr>
        <w:t>MPA</w:t>
      </w:r>
      <w:r>
        <w:rPr>
          <w:rFonts w:hint="eastAsia" w:ascii="Times New Roman" w:hAnsi="Times New Roman"/>
          <w:color w:val="000000"/>
          <w:kern w:val="0"/>
          <w:sz w:val="24"/>
        </w:rPr>
        <w:t>考核等宏观审慎措施。在上述因素变化下，同时叠加了流动性危机，年底债市收益率大幅上行，幅度普遍在</w:t>
      </w:r>
      <w:r>
        <w:rPr>
          <w:rFonts w:hint="default" w:ascii="Times New Roman" w:hAnsi="Times New Roman"/>
          <w:color w:val="000000"/>
          <w:kern w:val="0"/>
          <w:sz w:val="24"/>
        </w:rPr>
        <w:t>100-150bp</w:t>
      </w:r>
      <w:r>
        <w:rPr>
          <w:rFonts w:hint="eastAsia" w:ascii="Times New Roman" w:hAnsi="Times New Roman"/>
          <w:color w:val="000000"/>
          <w:kern w:val="0"/>
          <w:sz w:val="24"/>
        </w:rPr>
        <w:t>。在债券市场极度紧张时期，央行及时释放流动性，守住系统性风险不发生的底线。</w:t>
      </w:r>
      <w:r>
        <w:rPr>
          <w:rFonts w:hint="default" w:ascii="Times New Roman" w:hAnsi="Times New Roman"/>
          <w:color w:val="000000"/>
          <w:kern w:val="0"/>
          <w:sz w:val="24"/>
        </w:rPr>
        <w:t>2016</w:t>
      </w:r>
      <w:r>
        <w:rPr>
          <w:rFonts w:hint="eastAsia" w:ascii="Times New Roman" w:hAnsi="Times New Roman"/>
          <w:color w:val="000000"/>
          <w:kern w:val="0"/>
          <w:sz w:val="24"/>
        </w:rPr>
        <w:t>年本基金采取稳健投资策略，在防范风险的同时为投资者赚取更好的收益。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4.4.2 </w:t>
      </w:r>
      <w:r>
        <w:rPr>
          <w:rFonts w:hint="eastAsia" w:ascii="Times New Roman" w:hAnsi="Times New Roman"/>
          <w:b/>
          <w:color w:val="000000"/>
          <w:kern w:val="0"/>
          <w:sz w:val="24"/>
        </w:rPr>
        <w:t>报告期内基金的业绩表现</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年本基金</w:t>
      </w:r>
      <w:r>
        <w:rPr>
          <w:rFonts w:hint="default" w:ascii="Times New Roman" w:hAnsi="Times New Roman"/>
          <w:color w:val="000000"/>
          <w:kern w:val="0"/>
          <w:sz w:val="24"/>
        </w:rPr>
        <w:t>A</w:t>
      </w:r>
      <w:r>
        <w:rPr>
          <w:rFonts w:hint="eastAsia" w:ascii="Times New Roman" w:hAnsi="Times New Roman"/>
          <w:color w:val="000000"/>
          <w:kern w:val="0"/>
          <w:sz w:val="24"/>
        </w:rPr>
        <w:t>类净值增长率为</w:t>
      </w:r>
      <w:r>
        <w:rPr>
          <w:rFonts w:hint="default" w:ascii="Times New Roman" w:hAnsi="Times New Roman"/>
          <w:color w:val="000000"/>
          <w:kern w:val="0"/>
          <w:sz w:val="24"/>
        </w:rPr>
        <w:t>1.31%</w:t>
      </w:r>
      <w:r>
        <w:rPr>
          <w:rFonts w:hint="eastAsia" w:ascii="Times New Roman" w:hAnsi="Times New Roman"/>
          <w:color w:val="000000"/>
          <w:kern w:val="0"/>
          <w:sz w:val="24"/>
        </w:rPr>
        <w:t>，</w:t>
      </w:r>
      <w:r>
        <w:rPr>
          <w:rFonts w:hint="default" w:ascii="Times New Roman" w:hAnsi="Times New Roman"/>
          <w:color w:val="000000"/>
          <w:kern w:val="0"/>
          <w:sz w:val="24"/>
        </w:rPr>
        <w:t>C</w:t>
      </w:r>
      <w:r>
        <w:rPr>
          <w:rFonts w:hint="eastAsia" w:ascii="Times New Roman" w:hAnsi="Times New Roman"/>
          <w:color w:val="000000"/>
          <w:kern w:val="0"/>
          <w:sz w:val="24"/>
        </w:rPr>
        <w:t>类净值增长率为</w:t>
      </w:r>
      <w:r>
        <w:rPr>
          <w:rFonts w:hint="default" w:ascii="Times New Roman" w:hAnsi="Times New Roman"/>
          <w:color w:val="000000"/>
          <w:kern w:val="0"/>
          <w:sz w:val="24"/>
        </w:rPr>
        <w:t>0.66%</w:t>
      </w:r>
      <w:r>
        <w:rPr>
          <w:rFonts w:hint="eastAsia" w:ascii="Times New Roman" w:hAnsi="Times New Roman"/>
          <w:color w:val="000000"/>
          <w:kern w:val="0"/>
          <w:sz w:val="24"/>
        </w:rPr>
        <w:t>，同期业绩比较基准增长率为</w:t>
      </w:r>
      <w:r>
        <w:rPr>
          <w:rFonts w:hint="default" w:ascii="Times New Roman" w:hAnsi="Times New Roman"/>
          <w:color w:val="000000"/>
          <w:kern w:val="0"/>
          <w:sz w:val="24"/>
        </w:rPr>
        <w:t>-2.43%</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7" w:name="_Toc477960787"/>
      <w:r>
        <w:rPr>
          <w:rFonts w:hint="default" w:ascii="Times New Roman" w:hAnsi="Times New Roman"/>
          <w:b/>
          <w:color w:val="000000"/>
          <w:kern w:val="0"/>
          <w:sz w:val="24"/>
        </w:rPr>
        <w:t xml:space="preserve">4.5 </w:t>
      </w:r>
      <w:r>
        <w:rPr>
          <w:rFonts w:hint="eastAsia" w:ascii="Times New Roman" w:hAnsi="Times New Roman"/>
          <w:b/>
          <w:color w:val="000000"/>
          <w:kern w:val="0"/>
          <w:sz w:val="24"/>
        </w:rPr>
        <w:t>管理人对宏观经济、证券市场及行业走势的简要展望</w:t>
      </w:r>
      <w:bookmarkEnd w:id="17"/>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从目前来看，货币政策可能进一步收紧，但大幅收紧的可能性需要密切关注经济。主要原因在于：第一，防风险、抑泡沫仍是当前货币政策的目标重点，也因此存在进一步收紧的可能；第二，从目前来看，房地产价格的泡沫程度得到初步控制，一二线热点城市房价环比涨幅持续回落，而债市、汇市、股市等领域的泡沫程度不显著，同时表外理财扩张也受到宏观审慎评估体系（简称</w:t>
      </w:r>
      <w:r>
        <w:rPr>
          <w:rFonts w:hint="default" w:ascii="Times New Roman" w:hAnsi="Times New Roman"/>
          <w:color w:val="000000"/>
          <w:kern w:val="0"/>
          <w:sz w:val="24"/>
        </w:rPr>
        <w:t>MPA</w:t>
      </w:r>
      <w:r>
        <w:rPr>
          <w:rFonts w:hint="eastAsia" w:ascii="Times New Roman" w:hAnsi="Times New Roman"/>
          <w:color w:val="000000"/>
          <w:kern w:val="0"/>
          <w:sz w:val="24"/>
        </w:rPr>
        <w:t>）约束，因此央行就风险泡沫大幅收紧的必要性还不是很大；第三，年初信贷放量的持续性将是需要密切关注的。如果是实体经济需求强劲所致，那么通胀压力将会较大，货币政策的收紧力度有可能会超出预期。在货币政策收缩的过程中，债券市场难以出现趋势性机会，而在政策步入紧缩后期和经济下行压力重现之前，长债的交易机会也不会明显。经过去年底及今年初的大幅调整，债市总体收益率水平已处于较高的位置，尤其是高评级的配置价值仍是可以的，再度急剧上升的风险不显著。</w:t>
      </w:r>
    </w:p>
    <w:p>
      <w:pPr>
        <w:autoSpaceDE w:val="0"/>
        <w:autoSpaceDN w:val="0"/>
        <w:adjustRightInd w:val="0"/>
        <w:spacing w:beforeLines="0" w:afterLines="0" w:line="288" w:lineRule="auto"/>
        <w:jc w:val="left"/>
        <w:rPr>
          <w:rFonts w:hint="default" w:ascii="Times New Roman" w:eastAsia="Times New Roman"/>
          <w:color w:val="000000"/>
          <w:kern w:val="0"/>
          <w:sz w:val="21"/>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8" w:name="_Toc477960788"/>
      <w:r>
        <w:rPr>
          <w:rFonts w:hint="default" w:ascii="Times New Roman" w:hAnsi="Times New Roman"/>
          <w:b/>
          <w:color w:val="000000"/>
          <w:kern w:val="0"/>
          <w:sz w:val="24"/>
        </w:rPr>
        <w:t xml:space="preserve">4.6 </w:t>
      </w:r>
      <w:r>
        <w:rPr>
          <w:rFonts w:hint="eastAsia" w:ascii="Times New Roman" w:hAnsi="Times New Roman"/>
          <w:b/>
          <w:color w:val="000000"/>
          <w:kern w:val="0"/>
          <w:sz w:val="24"/>
        </w:rPr>
        <w:t>管理人内部有关本基金的监察稽核工作情况</w:t>
      </w:r>
      <w:bookmarkEnd w:id="18"/>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本报告期内，本基金管理人的主要内部监察稽核工作如下：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1</w:t>
      </w:r>
      <w:r>
        <w:rPr>
          <w:rFonts w:hint="eastAsia" w:ascii="Times New Roman" w:hAnsi="Times New Roman"/>
          <w:color w:val="000000"/>
          <w:kern w:val="0"/>
          <w:sz w:val="24"/>
        </w:rPr>
        <w:t>）开展全面自查工作，排查各项业务活动中存在的问题或潜在的风险隐患，制定整改计划，并督促按计划完成整改；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2</w:t>
      </w:r>
      <w:r>
        <w:rPr>
          <w:rFonts w:hint="eastAsia" w:ascii="Times New Roman" w:hAnsi="Times New Roman"/>
          <w:color w:val="000000"/>
          <w:kern w:val="0"/>
          <w:sz w:val="24"/>
        </w:rPr>
        <w:t>）开展公司专项稽核工作，了解合规风险现状、发现薄弱环节，并持续督导改进；</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3</w:t>
      </w:r>
      <w:r>
        <w:rPr>
          <w:rFonts w:hint="eastAsia" w:ascii="Times New Roman" w:hAnsi="Times New Roman"/>
          <w:color w:val="000000"/>
          <w:kern w:val="0"/>
          <w:sz w:val="24"/>
        </w:rPr>
        <w:t>）强化合规法务工作。严格审核公司业务、产品及其合同等法律文件，解读最新的法律法规，发布合规提示或警示，举办合规培训；</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4</w:t>
      </w:r>
      <w:r>
        <w:rPr>
          <w:rFonts w:hint="eastAsia" w:ascii="Times New Roman" w:hAnsi="Times New Roman"/>
          <w:color w:val="000000"/>
          <w:kern w:val="0"/>
          <w:sz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5</w:t>
      </w:r>
      <w:r>
        <w:rPr>
          <w:rFonts w:hint="eastAsia" w:ascii="Times New Roman" w:hAnsi="Times New Roman"/>
          <w:color w:val="000000"/>
          <w:kern w:val="0"/>
          <w:sz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6</w:t>
      </w:r>
      <w:r>
        <w:rPr>
          <w:rFonts w:hint="eastAsia" w:ascii="Times New Roman" w:hAnsi="Times New Roman"/>
          <w:color w:val="000000"/>
          <w:kern w:val="0"/>
          <w:sz w:val="24"/>
        </w:rPr>
        <w:t>）加强关联交易管理。修订《关联交易管理制度》，履行关联交易决策审批程序；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7</w:t>
      </w:r>
      <w:r>
        <w:rPr>
          <w:rFonts w:hint="eastAsia" w:ascii="Times New Roman" w:hAnsi="Times New Roman"/>
          <w:color w:val="000000"/>
          <w:kern w:val="0"/>
          <w:sz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8</w:t>
      </w:r>
      <w:r>
        <w:rPr>
          <w:rFonts w:hint="eastAsia" w:ascii="Times New Roman" w:hAnsi="Times New Roman"/>
          <w:color w:val="000000"/>
          <w:kern w:val="0"/>
          <w:sz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9</w:t>
      </w:r>
      <w:r>
        <w:rPr>
          <w:rFonts w:hint="eastAsia" w:ascii="Times New Roman" w:hAnsi="Times New Roman"/>
          <w:color w:val="000000"/>
          <w:kern w:val="0"/>
          <w:sz w:val="24"/>
        </w:rPr>
        <w:t>）建立员工投资行为管理机制，规范员工的证券投资行为。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9" w:name="_Toc477960789"/>
      <w:r>
        <w:rPr>
          <w:rFonts w:hint="default" w:ascii="Times New Roman" w:hAnsi="Times New Roman"/>
          <w:b/>
          <w:color w:val="000000"/>
          <w:kern w:val="0"/>
          <w:sz w:val="24"/>
        </w:rPr>
        <w:t xml:space="preserve">4.7 </w:t>
      </w:r>
      <w:r>
        <w:rPr>
          <w:rFonts w:hint="eastAsia" w:ascii="Times New Roman" w:hAnsi="Times New Roman"/>
          <w:b/>
          <w:color w:val="000000"/>
          <w:kern w:val="0"/>
          <w:sz w:val="24"/>
        </w:rPr>
        <w:t>管理人对报告期内基金估值程序等事项的说明</w:t>
      </w:r>
      <w:bookmarkEnd w:id="19"/>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定价服务机构按照商业合同约定提供定价服务。</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0" w:name="_Toc477960790"/>
      <w:r>
        <w:rPr>
          <w:rFonts w:hint="default" w:ascii="Times New Roman" w:hAnsi="Times New Roman"/>
          <w:b/>
          <w:color w:val="000000"/>
          <w:kern w:val="0"/>
          <w:sz w:val="24"/>
        </w:rPr>
        <w:t xml:space="preserve">4.8 </w:t>
      </w:r>
      <w:r>
        <w:rPr>
          <w:rFonts w:hint="eastAsia" w:ascii="Times New Roman" w:hAnsi="Times New Roman"/>
          <w:b/>
          <w:color w:val="000000"/>
          <w:kern w:val="0"/>
          <w:sz w:val="24"/>
        </w:rPr>
        <w:t>管理人对报告期内基金利润分配情况的说明</w:t>
      </w:r>
      <w:bookmarkEnd w:id="20"/>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本报告期内，本基金未进行利润分配，符合合同约定。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4.9 </w:t>
      </w:r>
      <w:r>
        <w:rPr>
          <w:rFonts w:hint="eastAsia" w:ascii="Times New Roman" w:hAnsi="Times New Roman"/>
          <w:b/>
          <w:color w:val="000000"/>
          <w:kern w:val="0"/>
          <w:sz w:val="24"/>
        </w:rPr>
        <w:t>报告期内管理人对本基金持有人数或基金资产净值预警情形的说明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本基金本报告期未出现连续二十个工作日基金份额持有人数量不满二百人或者基金资产净值低于五千万元的情形。</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21" w:name="_Toc477960791"/>
      <w:r>
        <w:rPr>
          <w:rFonts w:hint="eastAsia" w:ascii="Times New Roman" w:hAnsi="Times New Roman"/>
          <w:b/>
          <w:color w:val="000000"/>
          <w:kern w:val="0"/>
          <w:sz w:val="24"/>
        </w:rPr>
        <w:t>§</w:t>
      </w:r>
      <w:r>
        <w:rPr>
          <w:rFonts w:hint="default" w:ascii="Times New Roman" w:hAnsi="Times New Roman"/>
          <w:b/>
          <w:color w:val="000000"/>
          <w:kern w:val="0"/>
          <w:sz w:val="24"/>
        </w:rPr>
        <w:t xml:space="preserve">5  </w:t>
      </w:r>
      <w:r>
        <w:rPr>
          <w:rFonts w:hint="eastAsia" w:ascii="Times New Roman" w:hAnsi="Times New Roman"/>
          <w:b/>
          <w:color w:val="000000"/>
          <w:kern w:val="0"/>
          <w:sz w:val="24"/>
        </w:rPr>
        <w:t>托管人报告</w:t>
      </w:r>
      <w:bookmarkEnd w:id="21"/>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2" w:name="_Toc477960792"/>
      <w:r>
        <w:rPr>
          <w:rFonts w:hint="default" w:ascii="Times New Roman" w:hAnsi="Times New Roman"/>
          <w:b/>
          <w:color w:val="000000"/>
          <w:kern w:val="0"/>
          <w:sz w:val="24"/>
        </w:rPr>
        <w:t xml:space="preserve">5.1 </w:t>
      </w:r>
      <w:r>
        <w:rPr>
          <w:rFonts w:hint="eastAsia" w:ascii="Times New Roman" w:hAnsi="Times New Roman"/>
          <w:b/>
          <w:color w:val="000000"/>
          <w:kern w:val="0"/>
          <w:sz w:val="24"/>
        </w:rPr>
        <w:t>报告期内本基金托管人遵规守信情况声明</w:t>
      </w:r>
      <w:bookmarkEnd w:id="22"/>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托管人在对创金合信聚利债券型证券投资基金的托管过程中，严格遵守《证券投资基金法》及其他法律法规和基金合同的有关规定，不存在任何损害基金份额持有人利益的行为，完全尽职尽责地履行了基金托管人应尽的义务。</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3" w:name="_Toc477960793"/>
      <w:r>
        <w:rPr>
          <w:rFonts w:hint="default" w:ascii="Times New Roman" w:hAnsi="Times New Roman"/>
          <w:b/>
          <w:color w:val="000000"/>
          <w:kern w:val="0"/>
          <w:sz w:val="24"/>
        </w:rPr>
        <w:t xml:space="preserve">5.2 </w:t>
      </w:r>
      <w:r>
        <w:rPr>
          <w:rFonts w:hint="eastAsia" w:ascii="Times New Roman" w:hAnsi="Times New Roman"/>
          <w:b/>
          <w:color w:val="000000"/>
          <w:kern w:val="0"/>
          <w:sz w:val="24"/>
        </w:rPr>
        <w:t>托管人对报告期内本基金投资运作遵规守信、净值计算、利润分配等情况的说明</w:t>
      </w:r>
      <w:bookmarkEnd w:id="23"/>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本报告期内，创金合信聚利债券型证券投资基金的管理人</w:t>
      </w:r>
      <w:r>
        <w:rPr>
          <w:rFonts w:hint="default" w:ascii="Times New Roman" w:eastAsia="Times New Roman"/>
          <w:color w:val="000000"/>
          <w:kern w:val="0"/>
          <w:sz w:val="24"/>
        </w:rPr>
        <w:t>--</w:t>
      </w:r>
      <w:r>
        <w:rPr>
          <w:rFonts w:hint="eastAsia" w:ascii="Times New Roman" w:hAnsi="Times New Roman"/>
          <w:color w:val="000000"/>
          <w:kern w:val="0"/>
          <w:sz w:val="24"/>
        </w:rPr>
        <w:t>创金合信基金管理有限公司在创金合信聚利债券型证券投资基金的投资运作、基金资产净值计算、基金份额申购赎回价格计算、基金费用开支等问题上，不存在任何损害基金份额持有人利益的行为，在各重要方面的运作严格按照基金合同的规定进行。本报告期内，创金合信聚利债券型证券投资基金未进行利润分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4" w:name="_Toc477960794"/>
      <w:r>
        <w:rPr>
          <w:rFonts w:hint="default" w:ascii="Times New Roman" w:hAnsi="Times New Roman"/>
          <w:b/>
          <w:color w:val="000000"/>
          <w:kern w:val="0"/>
          <w:sz w:val="24"/>
        </w:rPr>
        <w:t xml:space="preserve">5.3 </w:t>
      </w:r>
      <w:r>
        <w:rPr>
          <w:rFonts w:hint="eastAsia" w:ascii="Times New Roman" w:hAnsi="Times New Roman"/>
          <w:b/>
          <w:color w:val="000000"/>
          <w:kern w:val="0"/>
          <w:sz w:val="24"/>
        </w:rPr>
        <w:t>托管人对本年度报告中财务信息等内容的真实、准确和完整发表意见</w:t>
      </w:r>
      <w:bookmarkEnd w:id="24"/>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本托管人依法对创金合信基金管理有限公司编制和披露的创金合信聚利债券型证券投资基金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年年度报告中财务指标、净值表现、利润分配情况、财务会计报告、投资组合报告等内容进行了核查，以上内容真实、准确和完整。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25" w:name="_Toc477960795"/>
      <w:r>
        <w:rPr>
          <w:rFonts w:hint="eastAsia" w:ascii="Times New Roman" w:hAnsi="Times New Roman"/>
          <w:b/>
          <w:color w:val="000000"/>
          <w:kern w:val="0"/>
          <w:sz w:val="24"/>
        </w:rPr>
        <w:t>§</w:t>
      </w:r>
      <w:r>
        <w:rPr>
          <w:rFonts w:hint="default" w:ascii="Times New Roman" w:hAnsi="Times New Roman"/>
          <w:b/>
          <w:color w:val="000000"/>
          <w:kern w:val="0"/>
          <w:sz w:val="24"/>
        </w:rPr>
        <w:t xml:space="preserve">6 </w:t>
      </w:r>
      <w:r>
        <w:rPr>
          <w:rFonts w:hint="eastAsia" w:ascii="Times New Roman" w:hAnsi="Times New Roman"/>
          <w:b/>
          <w:color w:val="000000"/>
          <w:kern w:val="0"/>
          <w:sz w:val="24"/>
        </w:rPr>
        <w:t>审计报告</w:t>
      </w:r>
      <w:bookmarkEnd w:id="25"/>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6" w:name="_Toc477960796"/>
      <w:r>
        <w:rPr>
          <w:rFonts w:hint="default" w:ascii="Times New Roman" w:hAnsi="Times New Roman"/>
          <w:b/>
          <w:color w:val="000000"/>
          <w:kern w:val="0"/>
          <w:sz w:val="24"/>
        </w:rPr>
        <w:t xml:space="preserve">6.1 </w:t>
      </w:r>
      <w:r>
        <w:rPr>
          <w:rFonts w:hint="eastAsia" w:ascii="Times New Roman" w:hAnsi="Times New Roman"/>
          <w:b/>
          <w:color w:val="000000"/>
          <w:kern w:val="0"/>
          <w:sz w:val="24"/>
        </w:rPr>
        <w:t>审计报告基本信息</w:t>
      </w:r>
      <w:bookmarkEnd w:id="26"/>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2"/>
        <w:gridCol w:w="5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财务报表是否经过审计</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审计意见类型</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标准无保留意见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审计报告编号</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普华永道中天审字</w:t>
            </w:r>
            <w:r>
              <w:rPr>
                <w:rFonts w:hint="default" w:ascii="Times New Roman" w:hAnsi="Times New Roman"/>
                <w:color w:val="000000"/>
                <w:kern w:val="0"/>
                <w:sz w:val="24"/>
              </w:rPr>
              <w:t>(2017)</w:t>
            </w:r>
            <w:r>
              <w:rPr>
                <w:rFonts w:hint="eastAsia" w:ascii="Times New Roman" w:hAnsi="Times New Roman"/>
                <w:color w:val="000000"/>
                <w:kern w:val="0"/>
                <w:sz w:val="24"/>
              </w:rPr>
              <w:t>第</w:t>
            </w:r>
            <w:r>
              <w:rPr>
                <w:rFonts w:hint="default" w:ascii="Times New Roman" w:hAnsi="Times New Roman"/>
                <w:color w:val="000000"/>
                <w:kern w:val="0"/>
                <w:sz w:val="24"/>
              </w:rPr>
              <w:t>22094</w:t>
            </w:r>
            <w:r>
              <w:rPr>
                <w:rFonts w:hint="eastAsia" w:ascii="Times New Roman" w:hAnsi="Times New Roman"/>
                <w:color w:val="000000"/>
                <w:kern w:val="0"/>
                <w:sz w:val="24"/>
              </w:rPr>
              <w:t>号</w:t>
            </w:r>
          </w:p>
        </w:tc>
      </w:tr>
    </w:tbl>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7" w:name="_Toc477960797"/>
      <w:r>
        <w:rPr>
          <w:rFonts w:hint="default" w:ascii="Times New Roman" w:hAnsi="Times New Roman"/>
          <w:b/>
          <w:color w:val="000000"/>
          <w:kern w:val="0"/>
          <w:sz w:val="24"/>
        </w:rPr>
        <w:t xml:space="preserve">6.2 </w:t>
      </w:r>
      <w:r>
        <w:rPr>
          <w:rFonts w:hint="eastAsia" w:ascii="Times New Roman" w:hAnsi="Times New Roman"/>
          <w:b/>
          <w:color w:val="000000"/>
          <w:kern w:val="0"/>
          <w:sz w:val="24"/>
        </w:rPr>
        <w:t>审计报告的基本内容</w:t>
      </w:r>
      <w:bookmarkEnd w:id="27"/>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2"/>
        <w:gridCol w:w="5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审计报告标题</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审计报告收件人</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 xml:space="preserve"> </w:t>
            </w:r>
            <w:r>
              <w:rPr>
                <w:rFonts w:hint="eastAsia" w:ascii="Times New Roman" w:hAnsi="Times New Roman"/>
                <w:color w:val="000000"/>
                <w:kern w:val="0"/>
                <w:sz w:val="24"/>
              </w:rPr>
              <w:t>全体基金份额持有人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引言段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我们审计了后附的创金合信聚利债券型证券投资基金</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创金合信聚利债券型基金</w:t>
            </w:r>
            <w:r>
              <w:rPr>
                <w:rFonts w:hint="default" w:ascii="Times New Roman" w:hAnsi="Times New Roman"/>
                <w:color w:val="000000"/>
                <w:kern w:val="0"/>
                <w:sz w:val="24"/>
              </w:rPr>
              <w:t>")</w:t>
            </w:r>
            <w:r>
              <w:rPr>
                <w:rFonts w:hint="eastAsia" w:ascii="Times New Roman" w:hAnsi="Times New Roman"/>
                <w:color w:val="000000"/>
                <w:kern w:val="0"/>
                <w:sz w:val="24"/>
              </w:rPr>
              <w:t>的财务报表，包括</w:t>
            </w:r>
            <w:r>
              <w:rPr>
                <w:rFonts w:hint="default" w:ascii="Times New Roman" w:hAnsi="Times New Roman"/>
                <w:color w:val="000000"/>
                <w:kern w:val="0"/>
                <w:sz w:val="24"/>
              </w:rPr>
              <w:t xml:space="preserve"> 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日的资产负债表、</w:t>
            </w:r>
            <w:r>
              <w:rPr>
                <w:rFonts w:hint="default" w:ascii="Times New Roman" w:hAnsi="Times New Roman"/>
                <w:color w:val="000000"/>
                <w:kern w:val="0"/>
                <w:sz w:val="24"/>
              </w:rPr>
              <w:t xml:space="preserve"> 2016</w:t>
            </w:r>
            <w:r>
              <w:rPr>
                <w:rFonts w:hint="eastAsia" w:ascii="Times New Roman" w:hAnsi="Times New Roman"/>
                <w:color w:val="000000"/>
                <w:kern w:val="0"/>
                <w:sz w:val="24"/>
              </w:rPr>
              <w:t>年度</w:t>
            </w:r>
            <w:r>
              <w:rPr>
                <w:rFonts w:hint="default" w:ascii="Times New Roman" w:hAnsi="Times New Roman"/>
                <w:color w:val="000000"/>
                <w:kern w:val="0"/>
                <w:sz w:val="24"/>
              </w:rPr>
              <w:t xml:space="preserve">  </w:t>
            </w:r>
            <w:r>
              <w:rPr>
                <w:rFonts w:hint="eastAsia" w:ascii="Times New Roman" w:hAnsi="Times New Roman"/>
                <w:color w:val="000000"/>
                <w:kern w:val="0"/>
                <w:sz w:val="24"/>
              </w:rPr>
              <w:t>的利润表和所有者权益</w:t>
            </w:r>
            <w:r>
              <w:rPr>
                <w:rFonts w:hint="default" w:ascii="Times New Roman" w:hAnsi="Times New Roman"/>
                <w:color w:val="000000"/>
                <w:kern w:val="0"/>
                <w:sz w:val="24"/>
              </w:rPr>
              <w:t>(</w:t>
            </w:r>
            <w:r>
              <w:rPr>
                <w:rFonts w:hint="eastAsia" w:ascii="Times New Roman" w:hAnsi="Times New Roman"/>
                <w:color w:val="000000"/>
                <w:kern w:val="0"/>
                <w:sz w:val="24"/>
              </w:rPr>
              <w:t>基金净值</w:t>
            </w:r>
            <w:r>
              <w:rPr>
                <w:rFonts w:hint="default" w:ascii="Times New Roman" w:hAnsi="Times New Roman"/>
                <w:color w:val="000000"/>
                <w:kern w:val="0"/>
                <w:sz w:val="24"/>
              </w:rPr>
              <w:t>)</w:t>
            </w:r>
            <w:r>
              <w:rPr>
                <w:rFonts w:hint="eastAsia" w:ascii="Times New Roman" w:hAnsi="Times New Roman"/>
                <w:color w:val="000000"/>
                <w:kern w:val="0"/>
                <w:sz w:val="24"/>
              </w:rPr>
              <w:t>变动表以及财务报表附注。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编制和公允列报财务报表是创金合信聚利债券型基金的基金管理人创金合信基金管理有限公司管理层的责任。这种责任包括：</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按照企业会计准则和中国证券监督管理委员会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中国证监会</w:t>
            </w:r>
            <w:r>
              <w:rPr>
                <w:rFonts w:hint="default" w:ascii="Times New Roman" w:hAnsi="Times New Roman"/>
                <w:color w:val="000000"/>
                <w:kern w:val="0"/>
                <w:sz w:val="24"/>
              </w:rPr>
              <w:t>")</w:t>
            </w:r>
            <w:r>
              <w:rPr>
                <w:rFonts w:hint="eastAsia" w:ascii="Times New Roman" w:hAnsi="Times New Roman"/>
                <w:color w:val="000000"/>
                <w:kern w:val="0"/>
                <w:sz w:val="24"/>
              </w:rPr>
              <w:t>、中国证券投资基金业协会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中国基金业协会</w:t>
            </w:r>
            <w:r>
              <w:rPr>
                <w:rFonts w:hint="default" w:ascii="Times New Roman" w:hAnsi="Times New Roman"/>
                <w:color w:val="000000"/>
                <w:kern w:val="0"/>
                <w:sz w:val="24"/>
              </w:rPr>
              <w:t>")</w:t>
            </w:r>
            <w:r>
              <w:rPr>
                <w:rFonts w:hint="eastAsia" w:ascii="Times New Roman" w:hAnsi="Times New Roman"/>
                <w:color w:val="000000"/>
                <w:kern w:val="0"/>
                <w:sz w:val="24"/>
              </w:rPr>
              <w:t>发布的有关规定及允许的基金行业实务操作编制财务报表，并使其实现公允反映；</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设计、执行和维护必要的内部控制，以使财务报表不存在由于舞弊或错误导致的重大错报。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注册会计师的责任段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我们相信，我们获取的审计证据是充分、适当的，为发表审计意见提供了基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审计意见段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我们认为，上述创金合信聚利债券型基金的财务报表在所有重大方面按照企业会计准则和在财务报表附注中所列示的中国证监会、中国基金业协会发布的有关规定及允许的基金行业实务操作编制，公允反映了创金合信聚利债券型基金</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日的财务状况以及</w:t>
            </w:r>
            <w:r>
              <w:rPr>
                <w:rFonts w:hint="default" w:ascii="Times New Roman" w:hAnsi="Times New Roman"/>
                <w:color w:val="000000"/>
                <w:kern w:val="0"/>
                <w:sz w:val="24"/>
              </w:rPr>
              <w:t xml:space="preserve"> 2016</w:t>
            </w:r>
            <w:r>
              <w:rPr>
                <w:rFonts w:hint="eastAsia" w:ascii="Times New Roman" w:hAnsi="Times New Roman"/>
                <w:color w:val="000000"/>
                <w:kern w:val="0"/>
                <w:sz w:val="24"/>
              </w:rPr>
              <w:t>年度</w:t>
            </w:r>
            <w:r>
              <w:rPr>
                <w:rFonts w:hint="default" w:ascii="Times New Roman" w:hAnsi="Times New Roman"/>
                <w:color w:val="000000"/>
                <w:kern w:val="0"/>
                <w:sz w:val="24"/>
              </w:rPr>
              <w:t xml:space="preserve">  </w:t>
            </w:r>
            <w:r>
              <w:rPr>
                <w:rFonts w:hint="eastAsia" w:ascii="Times New Roman" w:hAnsi="Times New Roman"/>
                <w:color w:val="000000"/>
                <w:kern w:val="0"/>
                <w:sz w:val="24"/>
              </w:rPr>
              <w:t>的经营成果和基金净值变动情况。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注册会计师的姓名</w:t>
            </w:r>
          </w:p>
        </w:tc>
        <w:tc>
          <w:tcPr>
            <w:tcW w:w="5418"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曹翠丽</w:t>
            </w:r>
            <w:r>
              <w:rPr>
                <w:rFonts w:hint="default" w:ascii="Times New Roman" w:hAnsi="Times New Roman"/>
                <w:color w:val="000000"/>
                <w:kern w:val="0"/>
                <w:sz w:val="24"/>
              </w:rPr>
              <w:t xml:space="preserve">    </w:t>
            </w:r>
            <w:r>
              <w:rPr>
                <w:rFonts w:hint="eastAsia" w:ascii="Times New Roman" w:hAnsi="Times New Roman"/>
                <w:color w:val="000000"/>
                <w:kern w:val="0"/>
                <w:sz w:val="24"/>
              </w:rPr>
              <w:t>边晓红</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nil"/>
              <w:left w:val="nil"/>
              <w:bottom w:val="nil"/>
              <w:right w:val="nil"/>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color w:val="000000"/>
                <w:kern w:val="0"/>
                <w:sz w:val="13"/>
              </w:rPr>
            </w:pPr>
          </w:p>
        </w:tc>
        <w:tc>
          <w:tcPr>
            <w:tcW w:w="5418"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1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会计师事务所的名称</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普华永道中天会计师事务所（特殊普通合伙）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会计师事务所的地址</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上海市黄浦区湖滨路</w:t>
            </w:r>
            <w:r>
              <w:rPr>
                <w:rFonts w:hint="default" w:ascii="Times New Roman" w:hAnsi="Times New Roman"/>
                <w:color w:val="000000"/>
                <w:kern w:val="0"/>
                <w:sz w:val="24"/>
              </w:rPr>
              <w:t>202</w:t>
            </w:r>
            <w:r>
              <w:rPr>
                <w:rFonts w:hint="eastAsia" w:ascii="Times New Roman" w:hAnsi="Times New Roman"/>
                <w:color w:val="000000"/>
                <w:kern w:val="0"/>
                <w:sz w:val="24"/>
              </w:rPr>
              <w:t>号普华永道中心</w:t>
            </w:r>
            <w:r>
              <w:rPr>
                <w:rFonts w:hint="default" w:ascii="Times New Roman" w:hAnsi="Times New Roman"/>
                <w:color w:val="000000"/>
                <w:kern w:val="0"/>
                <w:sz w:val="24"/>
              </w:rPr>
              <w:t>11</w:t>
            </w:r>
            <w:r>
              <w:rPr>
                <w:rFonts w:hint="eastAsia" w:ascii="Times New Roman" w:hAnsi="Times New Roman"/>
                <w:color w:val="000000"/>
                <w:kern w:val="0"/>
                <w:sz w:val="24"/>
              </w:rPr>
              <w:t>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审计报告日期</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2017-03-23</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28" w:name="_Toc477960798"/>
      <w:r>
        <w:rPr>
          <w:rFonts w:hint="eastAsia" w:ascii="Times New Roman" w:hAnsi="Times New Roman"/>
          <w:b/>
          <w:color w:val="000000"/>
          <w:kern w:val="0"/>
          <w:sz w:val="24"/>
        </w:rPr>
        <w:t>§</w:t>
      </w:r>
      <w:r>
        <w:rPr>
          <w:rFonts w:hint="default" w:ascii="Times New Roman" w:hAnsi="Times New Roman"/>
          <w:b/>
          <w:color w:val="000000"/>
          <w:kern w:val="0"/>
          <w:sz w:val="24"/>
        </w:rPr>
        <w:t xml:space="preserve">7 </w:t>
      </w:r>
      <w:r>
        <w:rPr>
          <w:rFonts w:hint="eastAsia" w:ascii="Times New Roman" w:hAnsi="Times New Roman"/>
          <w:b/>
          <w:color w:val="000000"/>
          <w:kern w:val="0"/>
          <w:sz w:val="24"/>
        </w:rPr>
        <w:t>年度财务报表</w:t>
      </w:r>
      <w:bookmarkEnd w:id="28"/>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9" w:name="_Toc477960799"/>
      <w:r>
        <w:rPr>
          <w:rFonts w:hint="default" w:ascii="Times New Roman" w:hAnsi="Times New Roman"/>
          <w:b/>
          <w:color w:val="000000"/>
          <w:kern w:val="0"/>
          <w:sz w:val="24"/>
        </w:rPr>
        <w:t xml:space="preserve">7.1 </w:t>
      </w:r>
      <w:r>
        <w:rPr>
          <w:rFonts w:hint="eastAsia" w:ascii="Times New Roman" w:hAnsi="Times New Roman"/>
          <w:b/>
          <w:color w:val="000000"/>
          <w:kern w:val="0"/>
          <w:sz w:val="24"/>
        </w:rPr>
        <w:t>资产负债表</w:t>
      </w:r>
      <w:bookmarkEnd w:id="29"/>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会计主体：创金合信聚利债券型证券投资基金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报告截止日：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90"/>
        <w:gridCol w:w="1083"/>
        <w:gridCol w:w="2529"/>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资</w:t>
            </w:r>
            <w:r>
              <w:rPr>
                <w:rFonts w:hint="default" w:ascii="Times New Roman" w:hAnsi="Times New Roman"/>
                <w:b/>
                <w:color w:val="000000"/>
                <w:kern w:val="0"/>
                <w:sz w:val="24"/>
              </w:rPr>
              <w:t xml:space="preserve"> </w:t>
            </w:r>
            <w:r>
              <w:rPr>
                <w:rFonts w:hint="eastAsia" w:ascii="Times New Roman" w:hAnsi="Times New Roman"/>
                <w:b/>
                <w:color w:val="000000"/>
                <w:kern w:val="0"/>
                <w:sz w:val="24"/>
              </w:rPr>
              <w:t>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附注号</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资</w:t>
            </w:r>
            <w:r>
              <w:rPr>
                <w:rFonts w:hint="default" w:ascii="Times New Roman" w:hAnsi="Times New Roman"/>
                <w:b/>
                <w:color w:val="000000"/>
                <w:kern w:val="0"/>
                <w:sz w:val="24"/>
              </w:rPr>
              <w:t xml:space="preserve"> </w:t>
            </w:r>
            <w:r>
              <w:rPr>
                <w:rFonts w:hint="eastAsia" w:ascii="Times New Roman" w:hAnsi="Times New Roman"/>
                <w:b/>
                <w:color w:val="000000"/>
                <w:kern w:val="0"/>
                <w:sz w:val="24"/>
              </w:rPr>
              <w:t>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银行存款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12,713,231.34</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28,052,291.07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结算备付金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2,277,415.67</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237,678.66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35,760.70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57,925.15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交易性金融资产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7.4.7.2</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122,804,763.68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193,936,600.70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其中：股票投资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21,603,696.00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16,826,824.00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101,201,067.68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177,109,776.70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贵金属投资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衍生金融资产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7.4.7.3</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买入返售金融资产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7.4.7.4</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应收证券清算款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2,974,553.80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7.4.7.5</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1,565,075.95</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2,964,542.02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应收股利</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应收申购款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2,186.02</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递延所得税资产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7.4.7.6</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资产总计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142,372,987.16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225,249,537.60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负债和所有者权益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附注号</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负</w:t>
            </w:r>
            <w:r>
              <w:rPr>
                <w:rFonts w:hint="default" w:ascii="Times New Roman" w:hAnsi="Times New Roman"/>
                <w:b/>
                <w:color w:val="000000"/>
                <w:kern w:val="0"/>
                <w:sz w:val="24"/>
              </w:rPr>
              <w:t xml:space="preserve"> </w:t>
            </w:r>
            <w:r>
              <w:rPr>
                <w:rFonts w:hint="eastAsia" w:ascii="Times New Roman" w:hAnsi="Times New Roman"/>
                <w:b/>
                <w:color w:val="000000"/>
                <w:kern w:val="0"/>
                <w:sz w:val="24"/>
              </w:rPr>
              <w:t>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短期借款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交易性金融负债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衍生金融负债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7.4.7.3</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卖出回购金融资产款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31,000,000.00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48,099,327.85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应付证券清算款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1,153,078.24</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4,836,227.92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应付赎回款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653,695.23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291,485.77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应付管理人报酬</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185,446.96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103,541.64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应付托管费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52,984.84</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29,583.33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应付销售服务费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6,063.23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12,980.63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应付交易费用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7.4.7.7</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79,318.95</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212,130.78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应交税费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应付利息</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18,763.48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9,116.05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应付利润</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递延所得税负债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7.4.7.8</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174,000.55</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103,115.40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负债合计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33,323,351.48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53,697,509.37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所有者权益：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实收基金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7.4.7.9</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100,737,449.93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160,464,845.14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未分配利润</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7.4.7.10</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8,312,185.75</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11,087,183.09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所有者权益合计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109,049,635.68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171,552,028.23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负债和所有者权益总计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142,372,987.16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225,249,537.60</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报告截止日</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日，基金份额总额</w:t>
      </w:r>
      <w:r>
        <w:rPr>
          <w:rFonts w:hint="default" w:ascii="Times New Roman" w:hAnsi="Times New Roman"/>
          <w:color w:val="000000"/>
          <w:kern w:val="0"/>
          <w:sz w:val="21"/>
        </w:rPr>
        <w:t>100,737,449.93</w:t>
      </w:r>
      <w:r>
        <w:rPr>
          <w:rFonts w:hint="eastAsia" w:ascii="Times New Roman" w:hAnsi="Times New Roman"/>
          <w:color w:val="000000"/>
          <w:kern w:val="0"/>
          <w:sz w:val="21"/>
        </w:rPr>
        <w:t>份，其中下属</w:t>
      </w:r>
      <w:r>
        <w:rPr>
          <w:rFonts w:hint="default" w:ascii="Times New Roman" w:hAnsi="Times New Roman"/>
          <w:color w:val="000000"/>
          <w:kern w:val="0"/>
          <w:sz w:val="21"/>
        </w:rPr>
        <w:t>A</w:t>
      </w:r>
      <w:r>
        <w:rPr>
          <w:rFonts w:hint="eastAsia" w:ascii="Times New Roman" w:hAnsi="Times New Roman"/>
          <w:color w:val="000000"/>
          <w:kern w:val="0"/>
          <w:sz w:val="21"/>
        </w:rPr>
        <w:t>类基金份额</w:t>
      </w:r>
      <w:r>
        <w:rPr>
          <w:rFonts w:hint="default" w:ascii="Times New Roman" w:hAnsi="Times New Roman"/>
          <w:color w:val="000000"/>
          <w:kern w:val="0"/>
          <w:sz w:val="21"/>
        </w:rPr>
        <w:t>84,422,593.58</w:t>
      </w:r>
      <w:r>
        <w:rPr>
          <w:rFonts w:hint="eastAsia" w:ascii="Times New Roman" w:hAnsi="Times New Roman"/>
          <w:color w:val="000000"/>
          <w:kern w:val="0"/>
          <w:sz w:val="21"/>
        </w:rPr>
        <w:t>份，</w:t>
      </w:r>
      <w:r>
        <w:rPr>
          <w:rFonts w:hint="default" w:ascii="Times New Roman" w:hAnsi="Times New Roman"/>
          <w:color w:val="000000"/>
          <w:kern w:val="0"/>
          <w:sz w:val="21"/>
        </w:rPr>
        <w:t>C</w:t>
      </w:r>
      <w:r>
        <w:rPr>
          <w:rFonts w:hint="eastAsia" w:ascii="Times New Roman" w:hAnsi="Times New Roman"/>
          <w:color w:val="000000"/>
          <w:kern w:val="0"/>
          <w:sz w:val="21"/>
        </w:rPr>
        <w:t>类基金份额</w:t>
      </w:r>
      <w:r>
        <w:rPr>
          <w:rFonts w:hint="default" w:ascii="Times New Roman" w:hAnsi="Times New Roman"/>
          <w:color w:val="000000"/>
          <w:kern w:val="0"/>
          <w:sz w:val="21"/>
        </w:rPr>
        <w:t>16,314,856.35</w:t>
      </w:r>
      <w:r>
        <w:rPr>
          <w:rFonts w:hint="eastAsia" w:ascii="Times New Roman" w:hAnsi="Times New Roman"/>
          <w:color w:val="000000"/>
          <w:kern w:val="0"/>
          <w:sz w:val="21"/>
        </w:rPr>
        <w:t>份。下属</w:t>
      </w:r>
      <w:r>
        <w:rPr>
          <w:rFonts w:hint="default" w:ascii="Times New Roman" w:hAnsi="Times New Roman"/>
          <w:color w:val="000000"/>
          <w:kern w:val="0"/>
          <w:sz w:val="21"/>
        </w:rPr>
        <w:t>A</w:t>
      </w:r>
      <w:r>
        <w:rPr>
          <w:rFonts w:hint="eastAsia" w:ascii="Times New Roman" w:hAnsi="Times New Roman"/>
          <w:color w:val="000000"/>
          <w:kern w:val="0"/>
          <w:sz w:val="21"/>
        </w:rPr>
        <w:t>类基金份额净值</w:t>
      </w:r>
      <w:r>
        <w:rPr>
          <w:rFonts w:hint="default" w:ascii="Times New Roman" w:hAnsi="Times New Roman"/>
          <w:color w:val="000000"/>
          <w:kern w:val="0"/>
          <w:sz w:val="21"/>
        </w:rPr>
        <w:t>1.084</w:t>
      </w:r>
      <w:r>
        <w:rPr>
          <w:rFonts w:hint="eastAsia" w:ascii="Times New Roman" w:hAnsi="Times New Roman"/>
          <w:color w:val="000000"/>
          <w:kern w:val="0"/>
          <w:sz w:val="21"/>
        </w:rPr>
        <w:t>元，</w:t>
      </w:r>
      <w:r>
        <w:rPr>
          <w:rFonts w:hint="default" w:ascii="Times New Roman" w:hAnsi="Times New Roman"/>
          <w:color w:val="000000"/>
          <w:kern w:val="0"/>
          <w:sz w:val="21"/>
        </w:rPr>
        <w:t>C</w:t>
      </w:r>
      <w:r>
        <w:rPr>
          <w:rFonts w:hint="eastAsia" w:ascii="Times New Roman" w:hAnsi="Times New Roman"/>
          <w:color w:val="000000"/>
          <w:kern w:val="0"/>
          <w:sz w:val="21"/>
        </w:rPr>
        <w:t>类基金份额净值</w:t>
      </w:r>
      <w:r>
        <w:rPr>
          <w:rFonts w:hint="default" w:ascii="Times New Roman" w:hAnsi="Times New Roman"/>
          <w:color w:val="000000"/>
          <w:kern w:val="0"/>
          <w:sz w:val="21"/>
        </w:rPr>
        <w:t>1.074</w:t>
      </w:r>
      <w:r>
        <w:rPr>
          <w:rFonts w:hint="eastAsia" w:ascii="Times New Roman" w:hAnsi="Times New Roman"/>
          <w:color w:val="000000"/>
          <w:kern w:val="0"/>
          <w:sz w:val="21"/>
        </w:rPr>
        <w:t>元。</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本基金合同生效日为</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5</w:t>
      </w:r>
      <w:r>
        <w:rPr>
          <w:rFonts w:hint="eastAsia" w:ascii="Times New Roman" w:hAnsi="Times New Roman"/>
          <w:color w:val="000000"/>
          <w:kern w:val="0"/>
          <w:sz w:val="21"/>
        </w:rPr>
        <w:t>月</w:t>
      </w:r>
      <w:r>
        <w:rPr>
          <w:rFonts w:hint="default" w:ascii="Times New Roman" w:hAnsi="Times New Roman"/>
          <w:color w:val="000000"/>
          <w:kern w:val="0"/>
          <w:sz w:val="21"/>
        </w:rPr>
        <w:t>15</w:t>
      </w:r>
      <w:r>
        <w:rPr>
          <w:rFonts w:hint="eastAsia" w:ascii="Times New Roman" w:hAnsi="Times New Roman"/>
          <w:color w:val="000000"/>
          <w:kern w:val="0"/>
          <w:sz w:val="21"/>
        </w:rPr>
        <w:t>日，上年度可比期间为</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5</w:t>
      </w:r>
      <w:r>
        <w:rPr>
          <w:rFonts w:hint="eastAsia" w:ascii="Times New Roman" w:hAnsi="Times New Roman"/>
          <w:color w:val="000000"/>
          <w:kern w:val="0"/>
          <w:sz w:val="21"/>
        </w:rPr>
        <w:t>月</w:t>
      </w:r>
      <w:r>
        <w:rPr>
          <w:rFonts w:hint="default" w:ascii="Times New Roman" w:hAnsi="Times New Roman"/>
          <w:color w:val="000000"/>
          <w:kern w:val="0"/>
          <w:sz w:val="21"/>
        </w:rPr>
        <w:t>15</w:t>
      </w:r>
      <w:r>
        <w:rPr>
          <w:rFonts w:hint="eastAsia" w:ascii="Times New Roman" w:hAnsi="Times New Roman"/>
          <w:color w:val="000000"/>
          <w:kern w:val="0"/>
          <w:sz w:val="21"/>
        </w:rPr>
        <w:t>日至</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0" w:name="_Toc477960800"/>
      <w:r>
        <w:rPr>
          <w:rFonts w:hint="default" w:ascii="Times New Roman" w:hAnsi="Times New Roman"/>
          <w:b/>
          <w:color w:val="000000"/>
          <w:kern w:val="0"/>
          <w:sz w:val="24"/>
        </w:rPr>
        <w:t xml:space="preserve">7.2 </w:t>
      </w:r>
      <w:r>
        <w:rPr>
          <w:rFonts w:hint="eastAsia" w:ascii="Times New Roman" w:hAnsi="Times New Roman"/>
          <w:b/>
          <w:color w:val="000000"/>
          <w:kern w:val="0"/>
          <w:sz w:val="24"/>
        </w:rPr>
        <w:t>利润表</w:t>
      </w:r>
      <w:bookmarkEnd w:id="30"/>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会计主体：创金合信聚利债券型证券投资基金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1083"/>
        <w:gridCol w:w="2348"/>
        <w:gridCol w:w="23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项</w:t>
            </w:r>
            <w:r>
              <w:rPr>
                <w:rFonts w:hint="default" w:ascii="Times New Roman" w:hAnsi="Times New Roman"/>
                <w:b/>
                <w:color w:val="000000"/>
                <w:kern w:val="0"/>
                <w:sz w:val="24"/>
              </w:rPr>
              <w:t xml:space="preserve"> </w:t>
            </w:r>
            <w:r>
              <w:rPr>
                <w:rFonts w:hint="eastAsia" w:ascii="Times New Roman" w:hAnsi="Times New Roman"/>
                <w:b/>
                <w:color w:val="000000"/>
                <w:kern w:val="0"/>
                <w:sz w:val="24"/>
              </w:rPr>
              <w:t>目</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附注号</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一、收入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-6,894,071.78</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18,180,725.43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5,363,147.84</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7,565,965.02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其中：存款利息收入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7.4.7.11</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109,164.02</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187,091.88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5,223,519.81</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7,137,522.88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买入返售金融资产收入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30,464.01</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241,350.26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其他利息收入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投资收益（损失以“</w:t>
            </w:r>
            <w:r>
              <w:rPr>
                <w:rFonts w:hint="default" w:ascii="Times New Roman" w:eastAsia="Times New Roman"/>
                <w:color w:val="000000"/>
                <w:kern w:val="0"/>
                <w:sz w:val="24"/>
              </w:rPr>
              <w:t>-</w:t>
            </w:r>
            <w:r>
              <w:rPr>
                <w:rFonts w:hint="eastAsia" w:ascii="Times New Roman" w:hAnsi="Times New Roman"/>
                <w:color w:val="000000"/>
                <w:kern w:val="0"/>
                <w:sz w:val="24"/>
              </w:rPr>
              <w:t>”填列）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-6,510,477.72</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8,057,633.38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其中：股票投资收益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7.4.7.12</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-3,765,310.18</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5,299,429.21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7.4.7.13</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-2,844,201.54</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2,381,426.35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贵金属投资收益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衍生工具收益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7.4.7.14</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股利收益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7.4.7.15</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99,034.00</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376,777.82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公允价值变动收益（损失以“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7.4.7.16</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-5,824,659.02</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2,458,046.33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汇兑收益（损失以“－”号填列）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其他收入（损失以“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7.4.7.17</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77,917.12</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99,080.70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减：二、费用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2,217,546.76</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2,918,556.11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．管理人报酬</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940,745.43</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1,088,521.63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．托管费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268,784.42</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311,006.25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．销售服务费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95,785.81</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131,199.31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．交易费用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7.4.7.18</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191,915.50</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391,299.79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．利息支出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492,453.80</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861,142.23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492,453.80</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861,142.23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6</w:t>
            </w:r>
            <w:r>
              <w:rPr>
                <w:rFonts w:hint="eastAsia" w:ascii="Times New Roman" w:hAnsi="Times New Roman"/>
                <w:color w:val="000000"/>
                <w:kern w:val="0"/>
                <w:sz w:val="24"/>
              </w:rPr>
              <w:t>．其他费用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7.4.7.19</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227,861.80</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135,386.90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三、利润总额（亏损总额以“</w:t>
            </w:r>
            <w:r>
              <w:rPr>
                <w:rFonts w:hint="default" w:ascii="Times New Roman" w:eastAsia="Times New Roman"/>
                <w:b/>
                <w:color w:val="000000"/>
                <w:kern w:val="0"/>
                <w:sz w:val="24"/>
              </w:rPr>
              <w:t>-</w:t>
            </w:r>
            <w:r>
              <w:rPr>
                <w:rFonts w:hint="eastAsia" w:ascii="Times New Roman" w:hAnsi="Times New Roman"/>
                <w:b/>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-9,111,618.54</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15,262,169.32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减：所得税费用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四、净利润（净亏损以“</w:t>
            </w:r>
            <w:r>
              <w:rPr>
                <w:rFonts w:hint="default" w:ascii="Times New Roman" w:eastAsia="Times New Roman"/>
                <w:b/>
                <w:color w:val="000000"/>
                <w:kern w:val="0"/>
                <w:sz w:val="24"/>
              </w:rPr>
              <w:t>-</w:t>
            </w:r>
            <w:r>
              <w:rPr>
                <w:rFonts w:hint="eastAsia" w:ascii="Times New Roman" w:hAnsi="Times New Roman"/>
                <w:b/>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-9,111,618.54</w:t>
            </w:r>
          </w:p>
        </w:tc>
        <w:tc>
          <w:tcPr>
            <w:tcW w:w="234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15,262,169.32</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注：本基金合同生效日为</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5</w:t>
      </w:r>
      <w:r>
        <w:rPr>
          <w:rFonts w:hint="eastAsia" w:ascii="Times New Roman" w:hAnsi="Times New Roman"/>
          <w:color w:val="000000"/>
          <w:kern w:val="0"/>
          <w:sz w:val="21"/>
        </w:rPr>
        <w:t>月</w:t>
      </w:r>
      <w:r>
        <w:rPr>
          <w:rFonts w:hint="default" w:ascii="Times New Roman" w:hAnsi="Times New Roman"/>
          <w:color w:val="000000"/>
          <w:kern w:val="0"/>
          <w:sz w:val="21"/>
        </w:rPr>
        <w:t>15</w:t>
      </w:r>
      <w:r>
        <w:rPr>
          <w:rFonts w:hint="eastAsia" w:ascii="Times New Roman" w:hAnsi="Times New Roman"/>
          <w:color w:val="000000"/>
          <w:kern w:val="0"/>
          <w:sz w:val="21"/>
        </w:rPr>
        <w:t>日，上年度可比期间为</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5</w:t>
      </w:r>
      <w:r>
        <w:rPr>
          <w:rFonts w:hint="eastAsia" w:ascii="Times New Roman" w:hAnsi="Times New Roman"/>
          <w:color w:val="000000"/>
          <w:kern w:val="0"/>
          <w:sz w:val="21"/>
        </w:rPr>
        <w:t>月</w:t>
      </w:r>
      <w:r>
        <w:rPr>
          <w:rFonts w:hint="default" w:ascii="Times New Roman" w:hAnsi="Times New Roman"/>
          <w:color w:val="000000"/>
          <w:kern w:val="0"/>
          <w:sz w:val="21"/>
        </w:rPr>
        <w:t>15</w:t>
      </w:r>
      <w:r>
        <w:rPr>
          <w:rFonts w:hint="eastAsia" w:ascii="Times New Roman" w:hAnsi="Times New Roman"/>
          <w:color w:val="000000"/>
          <w:kern w:val="0"/>
          <w:sz w:val="21"/>
        </w:rPr>
        <w:t>日至</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1" w:name="_Toc477960801"/>
      <w:r>
        <w:rPr>
          <w:rFonts w:hint="default" w:ascii="Times New Roman" w:hAnsi="Times New Roman"/>
          <w:b/>
          <w:color w:val="000000"/>
          <w:kern w:val="0"/>
          <w:sz w:val="24"/>
        </w:rPr>
        <w:t xml:space="preserve">7.3 </w:t>
      </w:r>
      <w:r>
        <w:rPr>
          <w:rFonts w:hint="eastAsia" w:ascii="Times New Roman" w:hAnsi="Times New Roman"/>
          <w:b/>
          <w:color w:val="000000"/>
          <w:kern w:val="0"/>
          <w:sz w:val="24"/>
        </w:rPr>
        <w:t>所有者权益（基金净值）变动表</w:t>
      </w:r>
      <w:bookmarkEnd w:id="31"/>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会计主体：创金合信聚利债券型证券投资基金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167"/>
        <w:gridCol w:w="1445"/>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项</w:t>
            </w:r>
            <w:r>
              <w:rPr>
                <w:rFonts w:hint="default" w:ascii="Times New Roman" w:hAnsi="Times New Roman"/>
                <w:b/>
                <w:color w:val="000000"/>
                <w:kern w:val="0"/>
                <w:sz w:val="24"/>
              </w:rPr>
              <w:t xml:space="preserve"> </w:t>
            </w:r>
            <w:r>
              <w:rPr>
                <w:rFonts w:hint="eastAsia" w:ascii="Times New Roman" w:hAnsi="Times New Roman"/>
                <w:b/>
                <w:color w:val="000000"/>
                <w:kern w:val="0"/>
                <w:sz w:val="24"/>
              </w:rPr>
              <w:t>目</w:t>
            </w:r>
          </w:p>
        </w:tc>
        <w:tc>
          <w:tcPr>
            <w:tcW w:w="5779"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实收基金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未分配利润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所有者权益合计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160,464,845.14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11,087,183.09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171,552,028.23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-9,111,618.54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-9,111,618.54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三、本期基金份额交易产生的基金净值变动数（净值减少以“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-59,727,395.21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6,336,621.20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-53,390,774.01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w:t>
            </w:r>
            <w:r>
              <w:rPr>
                <w:rFonts w:hint="default" w:ascii="Times New Roman" w:hAnsi="Times New Roman"/>
                <w:color w:val="000000"/>
                <w:kern w:val="0"/>
                <w:sz w:val="24"/>
              </w:rPr>
              <w:t>1.</w:t>
            </w:r>
            <w:r>
              <w:rPr>
                <w:rFonts w:hint="eastAsia" w:ascii="Times New Roman" w:hAnsi="Times New Roman"/>
                <w:color w:val="000000"/>
                <w:kern w:val="0"/>
                <w:sz w:val="24"/>
              </w:rPr>
              <w:t>基金申购款</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321,274,574.53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31,856,537.44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353,131,111.97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2.</w:t>
            </w:r>
            <w:r>
              <w:rPr>
                <w:rFonts w:hint="eastAsia" w:ascii="Times New Roman" w:hAnsi="Times New Roman"/>
                <w:color w:val="000000"/>
                <w:kern w:val="0"/>
                <w:sz w:val="24"/>
              </w:rPr>
              <w:t>基金赎回款</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-381,001,969.74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-25,519,916.24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-406,521,885.98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四、本期向基金份额持有人分配利润产生的基金净值变动（净值减少以“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100,737,449.93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8,312,185.75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109,049,635.68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项</w:t>
            </w:r>
            <w:r>
              <w:rPr>
                <w:rFonts w:hint="default" w:ascii="Times New Roman" w:hAnsi="Times New Roman"/>
                <w:b/>
                <w:color w:val="000000"/>
                <w:kern w:val="0"/>
                <w:sz w:val="24"/>
              </w:rPr>
              <w:t xml:space="preserve"> </w:t>
            </w:r>
            <w:r>
              <w:rPr>
                <w:rFonts w:hint="eastAsia" w:ascii="Times New Roman" w:hAnsi="Times New Roman"/>
                <w:b/>
                <w:color w:val="000000"/>
                <w:kern w:val="0"/>
                <w:sz w:val="24"/>
              </w:rPr>
              <w:t>目</w:t>
            </w:r>
          </w:p>
        </w:tc>
        <w:tc>
          <w:tcPr>
            <w:tcW w:w="5779"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实收基金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未分配利润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所有者权益合计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一、期初所有者权益（基金净值）</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385,546,708.18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385,546,708.18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二、本期经营活动产生的基金净值变动数（本期利润）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15,262,169.32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15,262,169.32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三、本期基金份额交易产生的基金净值变动数（净值减少以“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-225,081,863.04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-4,174,986.23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-229,256,849.27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w:t>
            </w:r>
            <w:r>
              <w:rPr>
                <w:rFonts w:hint="default" w:ascii="Times New Roman" w:hAnsi="Times New Roman"/>
                <w:color w:val="000000"/>
                <w:kern w:val="0"/>
                <w:sz w:val="24"/>
              </w:rPr>
              <w:t>1.</w:t>
            </w:r>
            <w:r>
              <w:rPr>
                <w:rFonts w:hint="eastAsia" w:ascii="Times New Roman" w:hAnsi="Times New Roman"/>
                <w:color w:val="000000"/>
                <w:kern w:val="0"/>
                <w:sz w:val="24"/>
              </w:rPr>
              <w:t>基金申购款</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26,437,207.37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1,003,396.16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27,440,603.53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2.</w:t>
            </w:r>
            <w:r>
              <w:rPr>
                <w:rFonts w:hint="eastAsia" w:ascii="Times New Roman" w:hAnsi="Times New Roman"/>
                <w:color w:val="000000"/>
                <w:kern w:val="0"/>
                <w:sz w:val="24"/>
              </w:rPr>
              <w:t>基金赎回款</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-251,519,070.41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-5,178,382.39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-256,697,452.80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四、本期向基金份额持有人分配利润产生的基金净值变动（净值减少以“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五、期末所有者权益（基金净值）</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160,464,845.14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11,087,183.09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171,552,028.23</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注：本基金合同生效日为</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5</w:t>
      </w:r>
      <w:r>
        <w:rPr>
          <w:rFonts w:hint="eastAsia" w:ascii="Times New Roman" w:hAnsi="Times New Roman"/>
          <w:color w:val="000000"/>
          <w:kern w:val="0"/>
          <w:sz w:val="21"/>
        </w:rPr>
        <w:t>月</w:t>
      </w:r>
      <w:r>
        <w:rPr>
          <w:rFonts w:hint="default" w:ascii="Times New Roman" w:hAnsi="Times New Roman"/>
          <w:color w:val="000000"/>
          <w:kern w:val="0"/>
          <w:sz w:val="21"/>
        </w:rPr>
        <w:t>15</w:t>
      </w:r>
      <w:r>
        <w:rPr>
          <w:rFonts w:hint="eastAsia" w:ascii="Times New Roman" w:hAnsi="Times New Roman"/>
          <w:color w:val="000000"/>
          <w:kern w:val="0"/>
          <w:sz w:val="21"/>
        </w:rPr>
        <w:t>日，上年度可比期间为</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5</w:t>
      </w:r>
      <w:r>
        <w:rPr>
          <w:rFonts w:hint="eastAsia" w:ascii="Times New Roman" w:hAnsi="Times New Roman"/>
          <w:color w:val="000000"/>
          <w:kern w:val="0"/>
          <w:sz w:val="21"/>
        </w:rPr>
        <w:t>月</w:t>
      </w:r>
      <w:r>
        <w:rPr>
          <w:rFonts w:hint="default" w:ascii="Times New Roman" w:hAnsi="Times New Roman"/>
          <w:color w:val="000000"/>
          <w:kern w:val="0"/>
          <w:sz w:val="21"/>
        </w:rPr>
        <w:t>15</w:t>
      </w:r>
      <w:r>
        <w:rPr>
          <w:rFonts w:hint="eastAsia" w:ascii="Times New Roman" w:hAnsi="Times New Roman"/>
          <w:color w:val="000000"/>
          <w:kern w:val="0"/>
          <w:sz w:val="21"/>
        </w:rPr>
        <w:t>日至</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报表附注为财务报表的组成部分。</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本报告</w:t>
      </w:r>
      <w:r>
        <w:rPr>
          <w:rFonts w:hint="default" w:ascii="Times New Roman" w:hAnsi="Times New Roman"/>
          <w:color w:val="000000"/>
          <w:kern w:val="0"/>
          <w:sz w:val="24"/>
        </w:rPr>
        <w:t>7.1</w:t>
      </w:r>
      <w:r>
        <w:rPr>
          <w:rFonts w:hint="eastAsia" w:ascii="Times New Roman" w:hAnsi="Times New Roman"/>
          <w:color w:val="000000"/>
          <w:kern w:val="0"/>
          <w:sz w:val="24"/>
        </w:rPr>
        <w:t>至</w:t>
      </w:r>
      <w:r>
        <w:rPr>
          <w:rFonts w:hint="default" w:ascii="Times New Roman" w:hAnsi="Times New Roman"/>
          <w:color w:val="000000"/>
          <w:kern w:val="0"/>
          <w:sz w:val="24"/>
        </w:rPr>
        <w:t>7.4</w:t>
      </w:r>
      <w:r>
        <w:rPr>
          <w:rFonts w:hint="eastAsia" w:ascii="Times New Roman" w:hAnsi="Times New Roman"/>
          <w:color w:val="000000"/>
          <w:kern w:val="0"/>
          <w:sz w:val="24"/>
        </w:rPr>
        <w:t>财务报表由下列负责人签署</w:t>
      </w:r>
      <w:r>
        <w:rPr>
          <w:rFonts w:hint="default" w:ascii="Times New Roman" w:hAnsi="Times New Roman"/>
          <w:color w:val="000000"/>
          <w:kern w:val="0"/>
          <w:sz w:val="24"/>
        </w:rPr>
        <w:t>:</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苏彦祝</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基金管理人负责人</w:t>
            </w:r>
          </w:p>
        </w:tc>
        <w:tc>
          <w:tcPr>
            <w:tcW w:w="2889"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黄越岷</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主管会计工作负责人</w:t>
            </w:r>
          </w:p>
        </w:tc>
        <w:tc>
          <w:tcPr>
            <w:tcW w:w="2890"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安兆国</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会计机构负责人</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2" w:name="_Toc477960802"/>
      <w:r>
        <w:rPr>
          <w:rFonts w:hint="default" w:ascii="Times New Roman" w:hAnsi="Times New Roman"/>
          <w:b/>
          <w:color w:val="000000"/>
          <w:kern w:val="0"/>
          <w:sz w:val="24"/>
        </w:rPr>
        <w:t xml:space="preserve">7.4 </w:t>
      </w:r>
      <w:r>
        <w:rPr>
          <w:rFonts w:hint="eastAsia" w:ascii="Times New Roman" w:hAnsi="Times New Roman"/>
          <w:b/>
          <w:color w:val="000000"/>
          <w:kern w:val="0"/>
          <w:sz w:val="24"/>
        </w:rPr>
        <w:t>报表附注</w:t>
      </w:r>
      <w:bookmarkEnd w:id="32"/>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 </w:t>
      </w:r>
      <w:r>
        <w:rPr>
          <w:rFonts w:hint="eastAsia" w:ascii="Times New Roman" w:hAnsi="Times New Roman"/>
          <w:b/>
          <w:color w:val="000000"/>
          <w:kern w:val="0"/>
          <w:sz w:val="24"/>
        </w:rPr>
        <w:t>基金基本情况</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本基金</w:t>
      </w:r>
      <w:r>
        <w:rPr>
          <w:rFonts w:hint="default" w:ascii="Times New Roman" w:hAnsi="Times New Roman"/>
          <w:color w:val="000000"/>
          <w:kern w:val="0"/>
          <w:sz w:val="24"/>
        </w:rPr>
        <w:t>")</w:t>
      </w:r>
      <w:r>
        <w:rPr>
          <w:rFonts w:hint="eastAsia" w:ascii="Times New Roman" w:hAnsi="Times New Roman"/>
          <w:color w:val="000000"/>
          <w:kern w:val="0"/>
          <w:sz w:val="24"/>
        </w:rPr>
        <w:t>经中国证券监督管理委员会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中国证监会</w:t>
      </w:r>
      <w:r>
        <w:rPr>
          <w:rFonts w:hint="default" w:ascii="Times New Roman" w:hAnsi="Times New Roman"/>
          <w:color w:val="000000"/>
          <w:kern w:val="0"/>
          <w:sz w:val="24"/>
        </w:rPr>
        <w:t>")</w:t>
      </w:r>
      <w:r>
        <w:rPr>
          <w:rFonts w:hint="eastAsia" w:ascii="Times New Roman" w:hAnsi="Times New Roman"/>
          <w:color w:val="000000"/>
          <w:kern w:val="0"/>
          <w:sz w:val="24"/>
        </w:rPr>
        <w:t>证监许可</w:t>
      </w:r>
      <w:r>
        <w:rPr>
          <w:rFonts w:hint="default" w:ascii="Times New Roman" w:hAnsi="Times New Roman"/>
          <w:color w:val="000000"/>
          <w:kern w:val="0"/>
          <w:sz w:val="24"/>
        </w:rPr>
        <w:t>[2015]472</w:t>
      </w:r>
      <w:r>
        <w:rPr>
          <w:rFonts w:hint="eastAsia" w:ascii="Times New Roman" w:hAnsi="Times New Roman"/>
          <w:color w:val="000000"/>
          <w:kern w:val="0"/>
          <w:sz w:val="24"/>
        </w:rPr>
        <w:t>号《关于准予创金合信聚利债券型证券投资基金注册的批复》核准，由创金合信基金管理有限公司依照《中华人民共和国证券投资基金法》和《创金合信聚利债券型证券投资基金基金合同》负责公开募集。本基金为契约型开放式，存续期限不定，首次设立募集不包括认购资金利息共募集人民币</w:t>
      </w:r>
      <w:r>
        <w:rPr>
          <w:rFonts w:hint="default" w:ascii="Times New Roman" w:hAnsi="Times New Roman"/>
          <w:color w:val="000000"/>
          <w:kern w:val="0"/>
          <w:sz w:val="24"/>
        </w:rPr>
        <w:t>385,473,879.28</w:t>
      </w:r>
      <w:r>
        <w:rPr>
          <w:rFonts w:hint="eastAsia" w:ascii="Times New Roman" w:hAnsi="Times New Roman"/>
          <w:color w:val="000000"/>
          <w:kern w:val="0"/>
          <w:sz w:val="24"/>
        </w:rPr>
        <w:t>元，业经普华永道中天会计师事务所</w:t>
      </w:r>
      <w:r>
        <w:rPr>
          <w:rFonts w:hint="default" w:ascii="Times New Roman" w:hAnsi="Times New Roman"/>
          <w:color w:val="000000"/>
          <w:kern w:val="0"/>
          <w:sz w:val="24"/>
        </w:rPr>
        <w:t>(</w:t>
      </w:r>
      <w:r>
        <w:rPr>
          <w:rFonts w:hint="eastAsia" w:ascii="Times New Roman" w:hAnsi="Times New Roman"/>
          <w:color w:val="000000"/>
          <w:kern w:val="0"/>
          <w:sz w:val="24"/>
        </w:rPr>
        <w:t>特殊普通合伙</w:t>
      </w:r>
      <w:r>
        <w:rPr>
          <w:rFonts w:hint="default" w:ascii="Times New Roman" w:hAnsi="Times New Roman"/>
          <w:color w:val="000000"/>
          <w:kern w:val="0"/>
          <w:sz w:val="24"/>
        </w:rPr>
        <w:t>)</w:t>
      </w:r>
      <w:r>
        <w:rPr>
          <w:rFonts w:hint="eastAsia" w:ascii="Times New Roman" w:hAnsi="Times New Roman"/>
          <w:color w:val="000000"/>
          <w:kern w:val="0"/>
          <w:sz w:val="24"/>
        </w:rPr>
        <w:t>普华永道中天验字</w:t>
      </w:r>
      <w:r>
        <w:rPr>
          <w:rFonts w:hint="default" w:ascii="Times New Roman" w:hAnsi="Times New Roman"/>
          <w:color w:val="000000"/>
          <w:kern w:val="0"/>
          <w:sz w:val="24"/>
        </w:rPr>
        <w:t>(2015)</w:t>
      </w:r>
      <w:r>
        <w:rPr>
          <w:rFonts w:hint="eastAsia" w:ascii="Times New Roman" w:hAnsi="Times New Roman"/>
          <w:color w:val="000000"/>
          <w:kern w:val="0"/>
          <w:sz w:val="24"/>
        </w:rPr>
        <w:t>第</w:t>
      </w:r>
      <w:r>
        <w:rPr>
          <w:rFonts w:hint="default" w:ascii="Times New Roman" w:hAnsi="Times New Roman"/>
          <w:color w:val="000000"/>
          <w:kern w:val="0"/>
          <w:sz w:val="24"/>
        </w:rPr>
        <w:t>481</w:t>
      </w:r>
      <w:r>
        <w:rPr>
          <w:rFonts w:hint="eastAsia" w:ascii="Times New Roman" w:hAnsi="Times New Roman"/>
          <w:color w:val="000000"/>
          <w:kern w:val="0"/>
          <w:sz w:val="24"/>
        </w:rPr>
        <w:t>号验资报告予以验证。经向中国证监会备案，《创金合信聚利债券型证券投资基金基金合同》于</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日正式生效，基金合同生效日的基金份额总额为</w:t>
      </w:r>
      <w:r>
        <w:rPr>
          <w:rFonts w:hint="default" w:ascii="Times New Roman" w:hAnsi="Times New Roman"/>
          <w:color w:val="000000"/>
          <w:kern w:val="0"/>
          <w:sz w:val="24"/>
        </w:rPr>
        <w:t>385,546,708.18</w:t>
      </w:r>
      <w:r>
        <w:rPr>
          <w:rFonts w:hint="eastAsia" w:ascii="Times New Roman" w:hAnsi="Times New Roman"/>
          <w:color w:val="000000"/>
          <w:kern w:val="0"/>
          <w:sz w:val="24"/>
        </w:rPr>
        <w:t>份基金份额，其中认购资金利息折合</w:t>
      </w:r>
      <w:r>
        <w:rPr>
          <w:rFonts w:hint="default" w:ascii="Times New Roman" w:hAnsi="Times New Roman"/>
          <w:color w:val="000000"/>
          <w:kern w:val="0"/>
          <w:sz w:val="24"/>
        </w:rPr>
        <w:t>72,828.90</w:t>
      </w:r>
      <w:r>
        <w:rPr>
          <w:rFonts w:hint="eastAsia" w:ascii="Times New Roman" w:hAnsi="Times New Roman"/>
          <w:color w:val="000000"/>
          <w:kern w:val="0"/>
          <w:sz w:val="24"/>
        </w:rPr>
        <w:t>份基金份额。本基金的基金管理人为创金合信基金管理有限公司，基金托管人为中国工商银行股份有限公司</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中国工商银行</w:t>
      </w:r>
      <w:r>
        <w:rPr>
          <w:rFonts w:hint="default" w:ascii="Times New Roman" w:hAnsi="Times New Roman"/>
          <w:color w:val="000000"/>
          <w:kern w:val="0"/>
          <w:sz w:val="24"/>
        </w:rPr>
        <w:t>")</w:t>
      </w:r>
      <w:r>
        <w:rPr>
          <w:rFonts w:hint="eastAsia"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根据《中华人民共和国证券投资基金法》和《创金合信聚利债券型证券投资基金基金合同》的有关规定，本基金的投资范围为具有良好流动性的金融工具，包括国内依法发行上市的股票</w:t>
      </w:r>
      <w:r>
        <w:rPr>
          <w:rFonts w:hint="default" w:ascii="Times New Roman" w:hAnsi="Times New Roman"/>
          <w:color w:val="000000"/>
          <w:kern w:val="0"/>
          <w:sz w:val="24"/>
        </w:rPr>
        <w:t>(</w:t>
      </w:r>
      <w:r>
        <w:rPr>
          <w:rFonts w:hint="eastAsia" w:ascii="Times New Roman" w:hAnsi="Times New Roman"/>
          <w:color w:val="000000"/>
          <w:kern w:val="0"/>
          <w:sz w:val="24"/>
        </w:rPr>
        <w:t>含中小板、创业板及其他经中国证监会核准上市的股票</w:t>
      </w:r>
      <w:r>
        <w:rPr>
          <w:rFonts w:hint="default" w:ascii="Times New Roman" w:hAnsi="Times New Roman"/>
          <w:color w:val="000000"/>
          <w:kern w:val="0"/>
          <w:sz w:val="24"/>
        </w:rPr>
        <w:t>)</w:t>
      </w:r>
      <w:r>
        <w:rPr>
          <w:rFonts w:hint="eastAsia" w:ascii="Times New Roman" w:hAnsi="Times New Roman"/>
          <w:color w:val="000000"/>
          <w:kern w:val="0"/>
          <w:sz w:val="24"/>
        </w:rPr>
        <w:t>、权证等权益类资产及债券等固定收益类金融工具以及法律法规或中国证监会允许基金投资的其他金融工具</w:t>
      </w:r>
      <w:r>
        <w:rPr>
          <w:rFonts w:hint="default" w:ascii="Times New Roman" w:hAnsi="Times New Roman"/>
          <w:color w:val="000000"/>
          <w:kern w:val="0"/>
          <w:sz w:val="24"/>
        </w:rPr>
        <w:t>(</w:t>
      </w:r>
      <w:r>
        <w:rPr>
          <w:rFonts w:hint="eastAsia" w:ascii="Times New Roman" w:hAnsi="Times New Roman"/>
          <w:color w:val="000000"/>
          <w:kern w:val="0"/>
          <w:sz w:val="24"/>
        </w:rPr>
        <w:t>但须符合中国证监会相关规定</w:t>
      </w:r>
      <w:r>
        <w:rPr>
          <w:rFonts w:hint="default" w:ascii="Times New Roman" w:hAnsi="Times New Roman"/>
          <w:color w:val="000000"/>
          <w:kern w:val="0"/>
          <w:sz w:val="24"/>
        </w:rPr>
        <w:t>)</w:t>
      </w:r>
      <w:r>
        <w:rPr>
          <w:rFonts w:hint="eastAsia" w:ascii="Times New Roman" w:hAnsi="Times New Roman"/>
          <w:color w:val="000000"/>
          <w:kern w:val="0"/>
          <w:sz w:val="24"/>
        </w:rPr>
        <w:t>。本基金的业绩比较基准为：中债综合</w:t>
      </w:r>
      <w:r>
        <w:rPr>
          <w:rFonts w:hint="default" w:ascii="Times New Roman" w:hAnsi="Times New Roman"/>
          <w:color w:val="000000"/>
          <w:kern w:val="0"/>
          <w:sz w:val="24"/>
        </w:rPr>
        <w:t>(</w:t>
      </w:r>
      <w:r>
        <w:rPr>
          <w:rFonts w:hint="eastAsia" w:ascii="Times New Roman" w:hAnsi="Times New Roman"/>
          <w:color w:val="000000"/>
          <w:kern w:val="0"/>
          <w:sz w:val="24"/>
        </w:rPr>
        <w:t>全价</w:t>
      </w:r>
      <w:r>
        <w:rPr>
          <w:rFonts w:hint="default" w:ascii="Times New Roman" w:hAnsi="Times New Roman"/>
          <w:color w:val="000000"/>
          <w:kern w:val="0"/>
          <w:sz w:val="24"/>
        </w:rPr>
        <w:t>)</w:t>
      </w:r>
      <w:r>
        <w:rPr>
          <w:rFonts w:hint="eastAsia" w:ascii="Times New Roman" w:hAnsi="Times New Roman"/>
          <w:color w:val="000000"/>
          <w:kern w:val="0"/>
          <w:sz w:val="24"/>
        </w:rPr>
        <w:t>指数收益率×</w:t>
      </w:r>
      <w:r>
        <w:rPr>
          <w:rFonts w:hint="default" w:ascii="Times New Roman" w:hAnsi="Times New Roman"/>
          <w:color w:val="000000"/>
          <w:kern w:val="0"/>
          <w:sz w:val="24"/>
        </w:rPr>
        <w:t>90%+</w:t>
      </w:r>
      <w:r>
        <w:rPr>
          <w:rFonts w:hint="eastAsia" w:ascii="Times New Roman" w:hAnsi="Times New Roman"/>
          <w:color w:val="000000"/>
          <w:kern w:val="0"/>
          <w:sz w:val="24"/>
        </w:rPr>
        <w:t>沪深</w:t>
      </w:r>
      <w:r>
        <w:rPr>
          <w:rFonts w:hint="default" w:ascii="Times New Roman" w:hAnsi="Times New Roman"/>
          <w:color w:val="000000"/>
          <w:kern w:val="0"/>
          <w:sz w:val="24"/>
        </w:rPr>
        <w:t>300</w:t>
      </w:r>
      <w:r>
        <w:rPr>
          <w:rFonts w:hint="eastAsia" w:ascii="Times New Roman" w:hAnsi="Times New Roman"/>
          <w:color w:val="000000"/>
          <w:kern w:val="0"/>
          <w:sz w:val="24"/>
        </w:rPr>
        <w:t>指数收益率×</w:t>
      </w:r>
      <w:r>
        <w:rPr>
          <w:rFonts w:hint="default" w:ascii="Times New Roman" w:hAnsi="Times New Roman"/>
          <w:color w:val="000000"/>
          <w:kern w:val="0"/>
          <w:sz w:val="24"/>
        </w:rPr>
        <w:t>10%</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7.4.2 </w:t>
      </w:r>
      <w:r>
        <w:rPr>
          <w:rFonts w:hint="eastAsia" w:ascii="Times New Roman" w:hAnsi="Times New Roman"/>
          <w:b/>
          <w:color w:val="000000"/>
          <w:kern w:val="0"/>
          <w:sz w:val="24"/>
        </w:rPr>
        <w:t>会计报表的编制基础</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本基金的财务报表按照财政部于</w:t>
      </w:r>
      <w:r>
        <w:rPr>
          <w:rFonts w:hint="default" w:ascii="Times New Roman" w:hAnsi="Times New Roman"/>
          <w:color w:val="000000"/>
          <w:kern w:val="0"/>
          <w:sz w:val="24"/>
        </w:rPr>
        <w:t>2006</w:t>
      </w:r>
      <w:r>
        <w:rPr>
          <w:rFonts w:hint="eastAsia" w:ascii="Times New Roman" w:hAnsi="Times New Roman"/>
          <w:color w:val="000000"/>
          <w:kern w:val="0"/>
          <w:sz w:val="24"/>
        </w:rPr>
        <w:t>年</w:t>
      </w:r>
      <w:r>
        <w:rPr>
          <w:rFonts w:hint="default" w:ascii="Times New Roman" w:hAnsi="Times New Roman"/>
          <w:color w:val="000000"/>
          <w:kern w:val="0"/>
          <w:sz w:val="24"/>
        </w:rPr>
        <w:t>2</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日及以后期间颁布的《企业会计准则－基本准则》、各项具体会计准则及相关规定</w:t>
      </w:r>
      <w:r>
        <w:rPr>
          <w:rFonts w:hint="default" w:ascii="Times New Roman" w:hAnsi="Times New Roman"/>
          <w:color w:val="000000"/>
          <w:kern w:val="0"/>
          <w:sz w:val="24"/>
        </w:rPr>
        <w:t>(</w:t>
      </w:r>
      <w:r>
        <w:rPr>
          <w:rFonts w:hint="eastAsia" w:ascii="Times New Roman" w:hAnsi="Times New Roman"/>
          <w:color w:val="000000"/>
          <w:kern w:val="0"/>
          <w:sz w:val="24"/>
        </w:rPr>
        <w:t>以下合称</w:t>
      </w:r>
      <w:r>
        <w:rPr>
          <w:rFonts w:hint="default" w:ascii="Times New Roman" w:hAnsi="Times New Roman"/>
          <w:color w:val="000000"/>
          <w:kern w:val="0"/>
          <w:sz w:val="24"/>
        </w:rPr>
        <w:t>"</w:t>
      </w:r>
      <w:r>
        <w:rPr>
          <w:rFonts w:hint="eastAsia" w:ascii="Times New Roman" w:hAnsi="Times New Roman"/>
          <w:color w:val="000000"/>
          <w:kern w:val="0"/>
          <w:sz w:val="24"/>
        </w:rPr>
        <w:t>企业会计准则</w:t>
      </w:r>
      <w:r>
        <w:rPr>
          <w:rFonts w:hint="default" w:ascii="Times New Roman" w:hAnsi="Times New Roman"/>
          <w:color w:val="000000"/>
          <w:kern w:val="0"/>
          <w:sz w:val="24"/>
        </w:rPr>
        <w:t>")</w:t>
      </w:r>
      <w:r>
        <w:rPr>
          <w:rFonts w:hint="eastAsia" w:ascii="Times New Roman" w:hAnsi="Times New Roman"/>
          <w:color w:val="000000"/>
          <w:kern w:val="0"/>
          <w:sz w:val="24"/>
        </w:rPr>
        <w:t>、中国证监会颁布的《证券投资基金信息披露</w:t>
      </w:r>
      <w:r>
        <w:rPr>
          <w:rFonts w:hint="default" w:ascii="Times New Roman" w:hAnsi="Times New Roman"/>
          <w:color w:val="000000"/>
          <w:kern w:val="0"/>
          <w:sz w:val="24"/>
        </w:rPr>
        <w:t>XBRL</w:t>
      </w:r>
      <w:r>
        <w:rPr>
          <w:rFonts w:hint="eastAsia" w:ascii="Times New Roman" w:hAnsi="Times New Roman"/>
          <w:color w:val="000000"/>
          <w:kern w:val="0"/>
          <w:sz w:val="24"/>
        </w:rPr>
        <w:t>模板第</w:t>
      </w:r>
      <w:r>
        <w:rPr>
          <w:rFonts w:hint="default" w:ascii="Times New Roman" w:hAnsi="Times New Roman"/>
          <w:color w:val="000000"/>
          <w:kern w:val="0"/>
          <w:sz w:val="24"/>
        </w:rPr>
        <w:t>3</w:t>
      </w:r>
      <w:r>
        <w:rPr>
          <w:rFonts w:hint="eastAsia" w:ascii="Times New Roman" w:hAnsi="Times New Roman"/>
          <w:color w:val="000000"/>
          <w:kern w:val="0"/>
          <w:sz w:val="24"/>
        </w:rPr>
        <w:t>号</w:t>
      </w:r>
      <w:r>
        <w:rPr>
          <w:rFonts w:hint="default" w:ascii="Times New Roman" w:hAnsi="Times New Roman"/>
          <w:color w:val="000000"/>
          <w:kern w:val="0"/>
          <w:sz w:val="24"/>
        </w:rPr>
        <w:t>&lt;</w:t>
      </w:r>
      <w:r>
        <w:rPr>
          <w:rFonts w:hint="eastAsia" w:ascii="Times New Roman" w:hAnsi="Times New Roman"/>
          <w:color w:val="000000"/>
          <w:kern w:val="0"/>
          <w:sz w:val="24"/>
        </w:rPr>
        <w:t>年度报告和半年度报告</w:t>
      </w:r>
      <w:r>
        <w:rPr>
          <w:rFonts w:hint="default" w:ascii="Times New Roman" w:hAnsi="Times New Roman"/>
          <w:color w:val="000000"/>
          <w:kern w:val="0"/>
          <w:sz w:val="24"/>
        </w:rPr>
        <w:t>&gt;</w:t>
      </w:r>
      <w:r>
        <w:rPr>
          <w:rFonts w:hint="eastAsia" w:ascii="Times New Roman" w:hAnsi="Times New Roman"/>
          <w:color w:val="000000"/>
          <w:kern w:val="0"/>
          <w:sz w:val="24"/>
        </w:rPr>
        <w:t>》、中国证券投资基金业协会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中国基金业协会</w:t>
      </w:r>
      <w:r>
        <w:rPr>
          <w:rFonts w:hint="default" w:ascii="Times New Roman" w:hAnsi="Times New Roman"/>
          <w:color w:val="000000"/>
          <w:kern w:val="0"/>
          <w:sz w:val="24"/>
        </w:rPr>
        <w:t>")</w:t>
      </w:r>
      <w:r>
        <w:rPr>
          <w:rFonts w:hint="eastAsia" w:ascii="Times New Roman" w:hAnsi="Times New Roman"/>
          <w:color w:val="000000"/>
          <w:kern w:val="0"/>
          <w:sz w:val="24"/>
        </w:rPr>
        <w:t>颁布的《证券投资基金会计核算业务指引》、《创金合信聚利债券型证券投资基金基金合同》和在财务报表附注</w:t>
      </w:r>
      <w:r>
        <w:rPr>
          <w:rFonts w:hint="default" w:ascii="Times New Roman" w:hAnsi="Times New Roman"/>
          <w:color w:val="000000"/>
          <w:kern w:val="0"/>
          <w:sz w:val="24"/>
        </w:rPr>
        <w:t>7.4.4</w:t>
      </w:r>
      <w:r>
        <w:rPr>
          <w:rFonts w:hint="eastAsia" w:ascii="Times New Roman" w:hAnsi="Times New Roman"/>
          <w:color w:val="000000"/>
          <w:kern w:val="0"/>
          <w:sz w:val="24"/>
        </w:rPr>
        <w:t>所列示的中国证监会、中国基金业协会发布的有关规定及允许的基金行业实务操作编制。</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7.4.3 </w:t>
      </w:r>
      <w:r>
        <w:rPr>
          <w:rFonts w:hint="eastAsia" w:ascii="Times New Roman" w:hAnsi="Times New Roman"/>
          <w:b/>
          <w:color w:val="000000"/>
          <w:kern w:val="0"/>
          <w:sz w:val="24"/>
        </w:rPr>
        <w:t>遵循企业会计准则及其他有关规定的声明</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w:t>
      </w:r>
      <w:r>
        <w:rPr>
          <w:rFonts w:hint="default" w:ascii="Times New Roman" w:hAnsi="Times New Roman"/>
          <w:color w:val="000000"/>
          <w:kern w:val="0"/>
          <w:sz w:val="24"/>
        </w:rPr>
        <w:t>2016</w:t>
      </w:r>
      <w:r>
        <w:rPr>
          <w:rFonts w:hint="eastAsia" w:ascii="Times New Roman" w:hAnsi="Times New Roman"/>
          <w:color w:val="000000"/>
          <w:kern w:val="0"/>
          <w:sz w:val="24"/>
        </w:rPr>
        <w:t>年度财务报表符合企业会计准则的要求，真实、完整地反映了本基金</w:t>
      </w:r>
      <w:r>
        <w:rPr>
          <w:rFonts w:hint="default" w:ascii="Times New Roman" w:hAnsi="Times New Roman"/>
          <w:color w:val="000000"/>
          <w:kern w:val="0"/>
          <w:sz w:val="24"/>
        </w:rPr>
        <w:t xml:space="preserve"> 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日的财务状况以及</w:t>
      </w:r>
      <w:r>
        <w:rPr>
          <w:rFonts w:hint="default" w:ascii="Times New Roman" w:hAnsi="Times New Roman"/>
          <w:color w:val="000000"/>
          <w:kern w:val="0"/>
          <w:sz w:val="24"/>
        </w:rPr>
        <w:t>2016</w:t>
      </w:r>
      <w:r>
        <w:rPr>
          <w:rFonts w:hint="eastAsia" w:ascii="Times New Roman" w:hAnsi="Times New Roman"/>
          <w:color w:val="000000"/>
          <w:kern w:val="0"/>
          <w:sz w:val="24"/>
        </w:rPr>
        <w:t>年度的经营成果和基金净值变动情况等有关信息。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 </w:t>
      </w:r>
      <w:r>
        <w:rPr>
          <w:rFonts w:hint="eastAsia" w:ascii="Times New Roman" w:hAnsi="Times New Roman"/>
          <w:b/>
          <w:color w:val="000000"/>
          <w:kern w:val="0"/>
          <w:sz w:val="24"/>
        </w:rPr>
        <w:t>重要会计政策和会计估计</w:t>
      </w:r>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 </w:t>
      </w:r>
      <w:r>
        <w:rPr>
          <w:rFonts w:hint="eastAsia" w:ascii="Times New Roman" w:hAnsi="Times New Roman"/>
          <w:b/>
          <w:color w:val="000000"/>
          <w:kern w:val="0"/>
          <w:sz w:val="24"/>
        </w:rPr>
        <w:t>会计年度</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本基金会计年度为公历</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日起至</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日止。比较财务报表的实际编制期间为</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基金合同生效日</w:t>
      </w:r>
      <w:r>
        <w:rPr>
          <w:rFonts w:hint="default" w:ascii="Times New Roman" w:hAnsi="Times New Roman"/>
          <w:color w:val="000000"/>
          <w:kern w:val="0"/>
          <w:sz w:val="24"/>
        </w:rPr>
        <w:t>)</w:t>
      </w:r>
      <w:r>
        <w:rPr>
          <w:rFonts w:hint="eastAsia" w:ascii="Times New Roman" w:hAnsi="Times New Roman"/>
          <w:color w:val="000000"/>
          <w:kern w:val="0"/>
          <w:sz w:val="24"/>
        </w:rPr>
        <w:t>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日止期间。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7.4.4.2 </w:t>
      </w:r>
      <w:r>
        <w:rPr>
          <w:rFonts w:hint="eastAsia" w:ascii="Times New Roman" w:hAnsi="Times New Roman"/>
          <w:b/>
          <w:color w:val="000000"/>
          <w:kern w:val="0"/>
          <w:sz w:val="24"/>
        </w:rPr>
        <w:t>记账本位币</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本基金的记账本位币为人民币。</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7.4.4.3 </w:t>
      </w:r>
      <w:r>
        <w:rPr>
          <w:rFonts w:hint="eastAsia" w:ascii="Times New Roman" w:hAnsi="Times New Roman"/>
          <w:b/>
          <w:color w:val="000000"/>
          <w:kern w:val="0"/>
          <w:sz w:val="24"/>
        </w:rPr>
        <w:t>金融资产和金融负债的分类</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(1)</w:t>
      </w:r>
      <w:r>
        <w:rPr>
          <w:rFonts w:hint="eastAsia" w:ascii="Times New Roman" w:hAnsi="Times New Roman"/>
          <w:color w:val="000000"/>
          <w:kern w:val="0"/>
          <w:sz w:val="24"/>
        </w:rPr>
        <w:t>金融资产的分类</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本基金目前以交易目的持有的股票投资、债券投资和衍生工具</w:t>
      </w:r>
      <w:r>
        <w:rPr>
          <w:rFonts w:hint="default" w:ascii="Times New Roman" w:hAnsi="Times New Roman"/>
          <w:color w:val="000000"/>
          <w:kern w:val="0"/>
          <w:sz w:val="24"/>
        </w:rPr>
        <w:t>(</w:t>
      </w:r>
      <w:r>
        <w:rPr>
          <w:rFonts w:hint="eastAsia" w:ascii="Times New Roman" w:hAnsi="Times New Roman"/>
          <w:color w:val="000000"/>
          <w:kern w:val="0"/>
          <w:sz w:val="24"/>
        </w:rPr>
        <w:t>主要为权证投资</w:t>
      </w:r>
      <w:r>
        <w:rPr>
          <w:rFonts w:hint="default" w:ascii="Times New Roman" w:hAnsi="Times New Roman"/>
          <w:color w:val="000000"/>
          <w:kern w:val="0"/>
          <w:sz w:val="24"/>
        </w:rPr>
        <w:t>)</w:t>
      </w:r>
      <w:r>
        <w:rPr>
          <w:rFonts w:hint="eastAsia" w:ascii="Times New Roman" w:hAnsi="Times New Roman"/>
          <w:color w:val="000000"/>
          <w:kern w:val="0"/>
          <w:sz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本基金持有的其他金融资产分类为应收款项，包括银行存款、买入返售金融资产和其他各类应收款项等。应收款项是指在活跃市场中没有报价、回收金额固定或可确定的非衍生金融资产。</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(2)</w:t>
      </w:r>
      <w:r>
        <w:rPr>
          <w:rFonts w:hint="eastAsia" w:ascii="Times New Roman" w:hAnsi="Times New Roman"/>
          <w:color w:val="000000"/>
          <w:kern w:val="0"/>
          <w:sz w:val="24"/>
        </w:rPr>
        <w:t>金融负债的分类</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7.4.4.4 </w:t>
      </w:r>
      <w:r>
        <w:rPr>
          <w:rFonts w:hint="eastAsia" w:ascii="Times New Roman" w:hAnsi="Times New Roman"/>
          <w:b/>
          <w:color w:val="000000"/>
          <w:kern w:val="0"/>
          <w:sz w:val="24"/>
        </w:rPr>
        <w:t>金融资产和金融负债的初始确认、后续计量和终止确认</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金融资产满足下列条件之一的，予以终止确认：</w:t>
      </w:r>
      <w:r>
        <w:rPr>
          <w:rFonts w:hint="default" w:ascii="Times New Roman" w:hAnsi="Times New Roman"/>
          <w:color w:val="000000"/>
          <w:kern w:val="0"/>
          <w:sz w:val="24"/>
        </w:rPr>
        <w:t xml:space="preserve">(1) </w:t>
      </w:r>
      <w:r>
        <w:rPr>
          <w:rFonts w:hint="eastAsia" w:ascii="Times New Roman" w:hAnsi="Times New Roman"/>
          <w:color w:val="000000"/>
          <w:kern w:val="0"/>
          <w:sz w:val="24"/>
        </w:rPr>
        <w:t>收取该金融资产现金流量的合同权利终止；</w:t>
      </w:r>
      <w:r>
        <w:rPr>
          <w:rFonts w:hint="default" w:ascii="Times New Roman" w:hAnsi="Times New Roman"/>
          <w:color w:val="000000"/>
          <w:kern w:val="0"/>
          <w:sz w:val="24"/>
        </w:rPr>
        <w:t xml:space="preserve">(2) </w:t>
      </w:r>
      <w:r>
        <w:rPr>
          <w:rFonts w:hint="eastAsia" w:ascii="Times New Roman" w:hAnsi="Times New Roman"/>
          <w:color w:val="000000"/>
          <w:kern w:val="0"/>
          <w:sz w:val="24"/>
        </w:rPr>
        <w:t>该金融资产已转移，且本基金将金融资产所有权上几乎所有的风险和报酬转移给转入方；或者</w:t>
      </w:r>
      <w:r>
        <w:rPr>
          <w:rFonts w:hint="default" w:ascii="Times New Roman" w:hAnsi="Times New Roman"/>
          <w:color w:val="000000"/>
          <w:kern w:val="0"/>
          <w:sz w:val="24"/>
        </w:rPr>
        <w:t xml:space="preserve">(3) </w:t>
      </w:r>
      <w:r>
        <w:rPr>
          <w:rFonts w:hint="eastAsia" w:ascii="Times New Roman" w:hAnsi="Times New Roman"/>
          <w:color w:val="000000"/>
          <w:kern w:val="0"/>
          <w:sz w:val="24"/>
        </w:rPr>
        <w:t>该金融资产已转移，虽然本基金既没有转移也没有保留金融资产所有权上几乎所有的风险和报酬，但是放弃了对该金融资产控制。</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金融资产终止确认时，其账面价值与收到的对价的差额，计入当期损益。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before="29" w:beforeLines="0" w:afterLines="0" w:line="288" w:lineRule="auto"/>
        <w:jc w:val="left"/>
        <w:rPr>
          <w:rFonts w:hint="default" w:ascii="Times New Roman" w:eastAsia="Times New Roman"/>
          <w:color w:val="000000"/>
          <w:kern w:val="0"/>
          <w:sz w:val="24"/>
        </w:rPr>
      </w:pP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7.4.4.5 </w:t>
      </w:r>
      <w:r>
        <w:rPr>
          <w:rFonts w:hint="eastAsia" w:ascii="Times New Roman" w:hAnsi="Times New Roman"/>
          <w:b/>
          <w:color w:val="000000"/>
          <w:kern w:val="0"/>
          <w:sz w:val="24"/>
        </w:rPr>
        <w:t>金融资产和金融负债的估值原则</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本基金持有的股票投资、债券投资和衍生工具</w:t>
      </w:r>
      <w:r>
        <w:rPr>
          <w:rFonts w:hint="default" w:ascii="Times New Roman" w:hAnsi="Times New Roman"/>
          <w:color w:val="000000"/>
          <w:kern w:val="0"/>
          <w:sz w:val="24"/>
        </w:rPr>
        <w:t>(</w:t>
      </w:r>
      <w:r>
        <w:rPr>
          <w:rFonts w:hint="eastAsia" w:ascii="Times New Roman" w:hAnsi="Times New Roman"/>
          <w:color w:val="000000"/>
          <w:kern w:val="0"/>
          <w:sz w:val="24"/>
        </w:rPr>
        <w:t>主要为权证投资</w:t>
      </w:r>
      <w:r>
        <w:rPr>
          <w:rFonts w:hint="default" w:ascii="Times New Roman" w:hAnsi="Times New Roman"/>
          <w:color w:val="000000"/>
          <w:kern w:val="0"/>
          <w:sz w:val="24"/>
        </w:rPr>
        <w:t>)</w:t>
      </w:r>
      <w:r>
        <w:rPr>
          <w:rFonts w:hint="eastAsia" w:ascii="Times New Roman" w:hAnsi="Times New Roman"/>
          <w:color w:val="000000"/>
          <w:kern w:val="0"/>
          <w:sz w:val="24"/>
        </w:rPr>
        <w:t>按如下原则确定公允价值并进行估值：</w:t>
      </w:r>
    </w:p>
    <w:p>
      <w:pPr>
        <w:autoSpaceDE w:val="0"/>
        <w:autoSpaceDN w:val="0"/>
        <w:adjustRightInd w:val="0"/>
        <w:spacing w:before="29" w:beforeLines="0" w:afterLines="0" w:line="288" w:lineRule="auto"/>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beforeLines="0" w:afterLines="0" w:line="288" w:lineRule="auto"/>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beforeLines="0" w:afterLines="0" w:line="288" w:lineRule="auto"/>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7.4.4.6 </w:t>
      </w:r>
      <w:r>
        <w:rPr>
          <w:rFonts w:hint="eastAsia" w:ascii="Times New Roman" w:hAnsi="Times New Roman"/>
          <w:b/>
          <w:color w:val="000000"/>
          <w:kern w:val="0"/>
          <w:sz w:val="24"/>
        </w:rPr>
        <w:t>金融资产和金融负债的抵销</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本基金持有的资产和承担的负债基本为金融资产和金融负债。当本基金</w:t>
      </w:r>
      <w:r>
        <w:rPr>
          <w:rFonts w:hint="default" w:ascii="Times New Roman" w:hAnsi="Times New Roman"/>
          <w:color w:val="000000"/>
          <w:kern w:val="0"/>
          <w:sz w:val="24"/>
        </w:rPr>
        <w:t xml:space="preserve">1) </w:t>
      </w:r>
      <w:r>
        <w:rPr>
          <w:rFonts w:hint="eastAsia" w:ascii="Times New Roman" w:hAnsi="Times New Roman"/>
          <w:color w:val="000000"/>
          <w:kern w:val="0"/>
          <w:sz w:val="24"/>
        </w:rPr>
        <w:t>具有抵销已确认金额的法定权利且该种法定权利现在是可执行的；且</w:t>
      </w:r>
      <w:r>
        <w:rPr>
          <w:rFonts w:hint="default" w:ascii="Times New Roman" w:hAnsi="Times New Roman"/>
          <w:color w:val="000000"/>
          <w:kern w:val="0"/>
          <w:sz w:val="24"/>
        </w:rPr>
        <w:t xml:space="preserve">2) </w:t>
      </w:r>
      <w:r>
        <w:rPr>
          <w:rFonts w:hint="eastAsia" w:ascii="Times New Roman" w:hAnsi="Times New Roman"/>
          <w:color w:val="000000"/>
          <w:kern w:val="0"/>
          <w:sz w:val="24"/>
        </w:rPr>
        <w:t>交易双方准备按净额结算时，金融资产与金融负债按抵销后的净额在资产负债表中列示。</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7.4.4.7 </w:t>
      </w:r>
      <w:r>
        <w:rPr>
          <w:rFonts w:hint="eastAsia" w:ascii="Times New Roman" w:hAnsi="Times New Roman"/>
          <w:b/>
          <w:color w:val="000000"/>
          <w:kern w:val="0"/>
          <w:sz w:val="24"/>
        </w:rPr>
        <w:t>实收基金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实收基金为对外发行基金份额所募集的总金额在扣除损益平准金分摊部分后的余额。由于申购和赎回引起的实收基金变动分别于基金申购确认日及基金赎回确认日认列。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7.4.4.8 </w:t>
      </w:r>
      <w:r>
        <w:rPr>
          <w:rFonts w:hint="eastAsia" w:ascii="Times New Roman" w:hAnsi="Times New Roman"/>
          <w:b/>
          <w:color w:val="000000"/>
          <w:kern w:val="0"/>
          <w:sz w:val="24"/>
        </w:rPr>
        <w:t>损益平准金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w:t>
      </w:r>
      <w:r>
        <w:rPr>
          <w:rFonts w:hint="default" w:ascii="Times New Roman" w:hAnsi="Times New Roman"/>
          <w:color w:val="000000"/>
          <w:kern w:val="0"/>
          <w:sz w:val="24"/>
        </w:rPr>
        <w:t>/(</w:t>
      </w:r>
      <w:r>
        <w:rPr>
          <w:rFonts w:hint="eastAsia" w:ascii="Times New Roman" w:hAnsi="Times New Roman"/>
          <w:color w:val="000000"/>
          <w:kern w:val="0"/>
          <w:sz w:val="24"/>
        </w:rPr>
        <w:t>累计亏损</w:t>
      </w:r>
      <w:r>
        <w:rPr>
          <w:rFonts w:hint="default" w:ascii="Times New Roman" w:hAnsi="Times New Roman"/>
          <w:color w:val="000000"/>
          <w:kern w:val="0"/>
          <w:sz w:val="24"/>
        </w:rPr>
        <w:t>)</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7.4.4.9 </w:t>
      </w:r>
      <w:r>
        <w:rPr>
          <w:rFonts w:hint="eastAsia" w:ascii="Times New Roman" w:hAnsi="Times New Roman"/>
          <w:b/>
          <w:color w:val="000000"/>
          <w:kern w:val="0"/>
          <w:sz w:val="24"/>
        </w:rPr>
        <w:t>收入</w:t>
      </w:r>
      <w:r>
        <w:rPr>
          <w:rFonts w:hint="default" w:ascii="Times New Roman" w:hAnsi="Times New Roman"/>
          <w:b/>
          <w:color w:val="000000"/>
          <w:kern w:val="0"/>
          <w:sz w:val="24"/>
        </w:rPr>
        <w:t>/</w:t>
      </w:r>
      <w:r>
        <w:rPr>
          <w:rFonts w:hint="eastAsia" w:ascii="Times New Roman" w:hAnsi="Times New Roman"/>
          <w:b/>
          <w:color w:val="000000"/>
          <w:kern w:val="0"/>
          <w:sz w:val="24"/>
        </w:rPr>
        <w:t>（损失）的确认和计量</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应收款项在持有期间确认的利息收入按实际利率法计算，实际利率法与直线法差异较小的则按直线法计算。</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7.4.4.10 </w:t>
      </w:r>
      <w:r>
        <w:rPr>
          <w:rFonts w:hint="eastAsia" w:ascii="Times New Roman" w:hAnsi="Times New Roman"/>
          <w:b/>
          <w:color w:val="000000"/>
          <w:kern w:val="0"/>
          <w:sz w:val="24"/>
        </w:rPr>
        <w:t>费用的确认和计量</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本基金的管理人报酬、托管费和销售服务费在费用涵盖期间按基金合同约定的费率和计算方法逐日确认。</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其他金融负债在持有期间确认的利息支出按实际利率法计算，实际利率法与直线法差异较小的则按直线法计算。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7.4.4.11 </w:t>
      </w:r>
      <w:r>
        <w:rPr>
          <w:rFonts w:hint="eastAsia" w:ascii="Times New Roman" w:hAnsi="Times New Roman"/>
          <w:b/>
          <w:color w:val="000000"/>
          <w:kern w:val="0"/>
          <w:sz w:val="24"/>
        </w:rPr>
        <w:t>基金的收益分配政策</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本基金的收益分配政策为：</w:t>
      </w:r>
      <w:r>
        <w:rPr>
          <w:rFonts w:hint="default" w:ascii="Times New Roman" w:hAnsi="Times New Roman"/>
          <w:color w:val="000000"/>
          <w:kern w:val="0"/>
          <w:sz w:val="24"/>
        </w:rPr>
        <w:t xml:space="preserve">(1) </w:t>
      </w:r>
      <w:r>
        <w:rPr>
          <w:rFonts w:hint="eastAsia" w:ascii="Times New Roman" w:hAnsi="Times New Roman"/>
          <w:color w:val="000000"/>
          <w:kern w:val="0"/>
          <w:sz w:val="24"/>
        </w:rPr>
        <w:t>在符合有关基金分红条件的前提下，本基金每年收益分配次数最多为</w:t>
      </w:r>
      <w:r>
        <w:rPr>
          <w:rFonts w:hint="default" w:ascii="Times New Roman" w:hAnsi="Times New Roman"/>
          <w:color w:val="000000"/>
          <w:kern w:val="0"/>
          <w:sz w:val="24"/>
        </w:rPr>
        <w:t>12</w:t>
      </w:r>
      <w:r>
        <w:rPr>
          <w:rFonts w:hint="eastAsia" w:ascii="Times New Roman" w:hAnsi="Times New Roman"/>
          <w:color w:val="000000"/>
          <w:kern w:val="0"/>
          <w:sz w:val="24"/>
        </w:rPr>
        <w:t>次，每份基金份额每次收益分配比例不得低于该次该类基金份额可供分配利润的</w:t>
      </w:r>
      <w:r>
        <w:rPr>
          <w:rFonts w:hint="default" w:ascii="Times New Roman" w:hAnsi="Times New Roman"/>
          <w:color w:val="000000"/>
          <w:kern w:val="0"/>
          <w:sz w:val="24"/>
        </w:rPr>
        <w:t>30%</w:t>
      </w:r>
      <w:r>
        <w:rPr>
          <w:rFonts w:hint="eastAsia" w:ascii="Times New Roman" w:hAnsi="Times New Roman"/>
          <w:color w:val="000000"/>
          <w:kern w:val="0"/>
          <w:sz w:val="24"/>
        </w:rPr>
        <w:t>；若《基金合同》生效不满</w:t>
      </w:r>
      <w:r>
        <w:rPr>
          <w:rFonts w:hint="default" w:ascii="Times New Roman" w:hAnsi="Times New Roman"/>
          <w:color w:val="000000"/>
          <w:kern w:val="0"/>
          <w:sz w:val="24"/>
        </w:rPr>
        <w:t>3</w:t>
      </w:r>
      <w:r>
        <w:rPr>
          <w:rFonts w:hint="eastAsia" w:ascii="Times New Roman" w:hAnsi="Times New Roman"/>
          <w:color w:val="000000"/>
          <w:kern w:val="0"/>
          <w:sz w:val="24"/>
        </w:rPr>
        <w:t>个月可不进行收益分配。</w:t>
      </w:r>
      <w:r>
        <w:rPr>
          <w:rFonts w:hint="default" w:ascii="Times New Roman" w:hAnsi="Times New Roman"/>
          <w:color w:val="000000"/>
          <w:kern w:val="0"/>
          <w:sz w:val="24"/>
        </w:rPr>
        <w:t xml:space="preserve">(2) </w:t>
      </w:r>
      <w:r>
        <w:rPr>
          <w:rFonts w:hint="eastAsia" w:ascii="Times New Roman" w:hAnsi="Times New Roman"/>
          <w:color w:val="000000"/>
          <w:kern w:val="0"/>
          <w:sz w:val="24"/>
        </w:rPr>
        <w:t>本基金收益分配方式分两种：现金分红与红利再投资，基金份额持有人可对</w:t>
      </w:r>
      <w:r>
        <w:rPr>
          <w:rFonts w:hint="default" w:ascii="Times New Roman" w:hAnsi="Times New Roman"/>
          <w:color w:val="000000"/>
          <w:kern w:val="0"/>
          <w:sz w:val="24"/>
        </w:rPr>
        <w:t>A</w:t>
      </w:r>
      <w:r>
        <w:rPr>
          <w:rFonts w:hint="eastAsia" w:ascii="Times New Roman" w:hAnsi="Times New Roman"/>
          <w:color w:val="000000"/>
          <w:kern w:val="0"/>
          <w:sz w:val="24"/>
        </w:rPr>
        <w:t>类基金份额、</w:t>
      </w:r>
      <w:r>
        <w:rPr>
          <w:rFonts w:hint="default" w:ascii="Times New Roman" w:hAnsi="Times New Roman"/>
          <w:color w:val="000000"/>
          <w:kern w:val="0"/>
          <w:sz w:val="24"/>
        </w:rPr>
        <w:t>C</w:t>
      </w:r>
      <w:r>
        <w:rPr>
          <w:rFonts w:hint="eastAsia" w:ascii="Times New Roman" w:hAnsi="Times New Roman"/>
          <w:color w:val="000000"/>
          <w:kern w:val="0"/>
          <w:sz w:val="24"/>
        </w:rPr>
        <w:t>类基金份额分别选择不同的分红方式；选择采取红利再投资方式的，基金份额的分红金额将转为同一类别基金份额进行再投资；若投资者不选择，本基金默认的收益分配方式为现金分红。</w:t>
      </w:r>
      <w:r>
        <w:rPr>
          <w:rFonts w:hint="default" w:ascii="Times New Roman" w:hAnsi="Times New Roman"/>
          <w:color w:val="000000"/>
          <w:kern w:val="0"/>
          <w:sz w:val="24"/>
        </w:rPr>
        <w:t xml:space="preserve">(3) </w:t>
      </w:r>
      <w:r>
        <w:rPr>
          <w:rFonts w:hint="eastAsia" w:ascii="Times New Roman" w:hAnsi="Times New Roman"/>
          <w:color w:val="000000"/>
          <w:kern w:val="0"/>
          <w:sz w:val="24"/>
        </w:rPr>
        <w:t>基金收益分配后基金份额净值不能低于面值：即基金收益分配基准日的基金份额净值减去每单位基金份额收益分配金额后不能低于面值。</w:t>
      </w:r>
      <w:r>
        <w:rPr>
          <w:rFonts w:hint="default" w:ascii="Times New Roman" w:hAnsi="Times New Roman"/>
          <w:color w:val="000000"/>
          <w:kern w:val="0"/>
          <w:sz w:val="24"/>
        </w:rPr>
        <w:t xml:space="preserve">(4) </w:t>
      </w:r>
      <w:r>
        <w:rPr>
          <w:rFonts w:hint="eastAsia" w:ascii="Times New Roman" w:hAnsi="Times New Roman"/>
          <w:color w:val="000000"/>
          <w:kern w:val="0"/>
          <w:sz w:val="24"/>
        </w:rPr>
        <w:t>由于本基金</w:t>
      </w:r>
      <w:r>
        <w:rPr>
          <w:rFonts w:hint="default" w:ascii="Times New Roman" w:hAnsi="Times New Roman"/>
          <w:color w:val="000000"/>
          <w:kern w:val="0"/>
          <w:sz w:val="24"/>
        </w:rPr>
        <w:t xml:space="preserve">A </w:t>
      </w:r>
      <w:r>
        <w:rPr>
          <w:rFonts w:hint="eastAsia" w:ascii="Times New Roman" w:hAnsi="Times New Roman"/>
          <w:color w:val="000000"/>
          <w:kern w:val="0"/>
          <w:sz w:val="24"/>
        </w:rPr>
        <w:t>类基金份额不收取销售服务费，而</w:t>
      </w:r>
      <w:r>
        <w:rPr>
          <w:rFonts w:hint="default" w:ascii="Times New Roman" w:hAnsi="Times New Roman"/>
          <w:color w:val="000000"/>
          <w:kern w:val="0"/>
          <w:sz w:val="24"/>
        </w:rPr>
        <w:t xml:space="preserve">C </w:t>
      </w:r>
      <w:r>
        <w:rPr>
          <w:rFonts w:hint="eastAsia" w:ascii="Times New Roman" w:hAnsi="Times New Roman"/>
          <w:color w:val="000000"/>
          <w:kern w:val="0"/>
          <w:sz w:val="24"/>
        </w:rPr>
        <w:t>类基金份额收取销售服务费，各基金份额类别对应的可供分配利润将有所不同，基金管理人可对各类别基金份额分别制定收益分配方案；同一类别内的每一基金份额享有同等分配权。</w:t>
      </w:r>
      <w:r>
        <w:rPr>
          <w:rFonts w:hint="default" w:ascii="Times New Roman" w:hAnsi="Times New Roman"/>
          <w:color w:val="000000"/>
          <w:kern w:val="0"/>
          <w:sz w:val="24"/>
        </w:rPr>
        <w:t xml:space="preserve">(5) </w:t>
      </w:r>
      <w:r>
        <w:rPr>
          <w:rFonts w:hint="eastAsia" w:ascii="Times New Roman" w:hAnsi="Times New Roman"/>
          <w:color w:val="000000"/>
          <w:kern w:val="0"/>
          <w:sz w:val="24"/>
        </w:rPr>
        <w:t>法律法规或监管机关另有规定的，从其规定。</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7.4.4.12 </w:t>
      </w:r>
      <w:r>
        <w:rPr>
          <w:rFonts w:hint="eastAsia" w:ascii="Times New Roman" w:hAnsi="Times New Roman"/>
          <w:b/>
          <w:color w:val="000000"/>
          <w:kern w:val="0"/>
          <w:sz w:val="24"/>
        </w:rPr>
        <w:t>分部报告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本基金以内部组织结构、管理要求、内部报告制度为依据确定经营分部，以经营分部为基础确定报告分部并披露分部信息。经营分部是指本基金内同时满足下列条件的组成部分：</w:t>
      </w:r>
      <w:r>
        <w:rPr>
          <w:rFonts w:hint="default" w:ascii="Times New Roman" w:hAnsi="Times New Roman"/>
          <w:color w:val="000000"/>
          <w:kern w:val="0"/>
          <w:sz w:val="24"/>
        </w:rPr>
        <w:t xml:space="preserve">(1) </w:t>
      </w:r>
      <w:r>
        <w:rPr>
          <w:rFonts w:hint="eastAsia" w:ascii="Times New Roman" w:hAnsi="Times New Roman"/>
          <w:color w:val="000000"/>
          <w:kern w:val="0"/>
          <w:sz w:val="24"/>
        </w:rPr>
        <w:t>该组成部分能够在日常活动中产生收入、发生费用；</w:t>
      </w:r>
      <w:r>
        <w:rPr>
          <w:rFonts w:hint="default" w:ascii="Times New Roman" w:hAnsi="Times New Roman"/>
          <w:color w:val="000000"/>
          <w:kern w:val="0"/>
          <w:sz w:val="24"/>
        </w:rPr>
        <w:t xml:space="preserve">(2) </w:t>
      </w:r>
      <w:r>
        <w:rPr>
          <w:rFonts w:hint="eastAsia" w:ascii="Times New Roman" w:hAnsi="Times New Roman"/>
          <w:color w:val="000000"/>
          <w:kern w:val="0"/>
          <w:sz w:val="24"/>
        </w:rPr>
        <w:t>本基金的基金管理人能够定期评价该组成部分的经营成果，以决定向其配置资源、评价其业绩；</w:t>
      </w:r>
      <w:r>
        <w:rPr>
          <w:rFonts w:hint="default" w:ascii="Times New Roman" w:hAnsi="Times New Roman"/>
          <w:color w:val="000000"/>
          <w:kern w:val="0"/>
          <w:sz w:val="24"/>
        </w:rPr>
        <w:t xml:space="preserve">(3) </w:t>
      </w:r>
      <w:r>
        <w:rPr>
          <w:rFonts w:hint="eastAsia" w:ascii="Times New Roman" w:hAnsi="Times New Roman"/>
          <w:color w:val="000000"/>
          <w:kern w:val="0"/>
          <w:sz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beforeLines="0" w:afterLines="0" w:line="288" w:lineRule="auto"/>
        <w:ind w:left="15" w:firstLine="480"/>
        <w:jc w:val="left"/>
        <w:rPr>
          <w:rFonts w:hint="default" w:ascii="Times New Roman" w:eastAsia="Times New Roman"/>
          <w:color w:val="000000"/>
          <w:kern w:val="0"/>
          <w:sz w:val="24"/>
        </w:rPr>
      </w:pPr>
      <w:r>
        <w:rPr>
          <w:rFonts w:hint="eastAsia" w:ascii="Times New Roman" w:hAnsi="Times New Roman"/>
          <w:color w:val="000000"/>
          <w:kern w:val="0"/>
          <w:sz w:val="24"/>
        </w:rPr>
        <w:t>本基金目前以一个单一的经营分部运作，不需要披露分部信息。</w:t>
      </w:r>
    </w:p>
    <w:p>
      <w:pPr>
        <w:autoSpaceDE w:val="0"/>
        <w:autoSpaceDN w:val="0"/>
        <w:adjustRightInd w:val="0"/>
        <w:spacing w:before="29" w:beforeLines="0" w:afterLines="0" w:line="288" w:lineRule="auto"/>
        <w:ind w:left="15" w:firstLine="480"/>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7.4.4.13 </w:t>
      </w:r>
      <w:r>
        <w:rPr>
          <w:rFonts w:hint="eastAsia" w:ascii="Times New Roman" w:hAnsi="Times New Roman"/>
          <w:b/>
          <w:color w:val="000000"/>
          <w:kern w:val="0"/>
          <w:sz w:val="24"/>
        </w:rPr>
        <w:t>其他重要的会计政策和会计估计</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对于证券交易所上市的股票和债券，若出现重大事项停牌或交易不活跃</w:t>
      </w:r>
      <w:r>
        <w:rPr>
          <w:rFonts w:hint="default" w:ascii="Times New Roman" w:hAnsi="Times New Roman"/>
          <w:color w:val="000000"/>
          <w:kern w:val="0"/>
          <w:sz w:val="24"/>
        </w:rPr>
        <w:t>(</w:t>
      </w:r>
      <w:r>
        <w:rPr>
          <w:rFonts w:hint="eastAsia" w:ascii="Times New Roman" w:hAnsi="Times New Roman"/>
          <w:color w:val="000000"/>
          <w:kern w:val="0"/>
          <w:sz w:val="24"/>
        </w:rPr>
        <w:t>包括涨跌停时的交易不活跃</w:t>
      </w:r>
      <w:r>
        <w:rPr>
          <w:rFonts w:hint="default" w:ascii="Times New Roman" w:hAnsi="Times New Roman"/>
          <w:color w:val="000000"/>
          <w:kern w:val="0"/>
          <w:sz w:val="24"/>
        </w:rPr>
        <w:t>)</w:t>
      </w:r>
      <w:r>
        <w:rPr>
          <w:rFonts w:hint="eastAsia" w:ascii="Times New Roman" w:hAnsi="Times New Roman"/>
          <w:color w:val="000000"/>
          <w:kern w:val="0"/>
          <w:sz w:val="24"/>
        </w:rPr>
        <w:t>等情况，本基金根据中国证监会公告</w:t>
      </w:r>
      <w:r>
        <w:rPr>
          <w:rFonts w:hint="default" w:ascii="Times New Roman" w:hAnsi="Times New Roman"/>
          <w:color w:val="000000"/>
          <w:kern w:val="0"/>
          <w:sz w:val="24"/>
        </w:rPr>
        <w:t>[2008]38</w:t>
      </w:r>
      <w:r>
        <w:rPr>
          <w:rFonts w:hint="eastAsia" w:ascii="Times New Roman" w:hAnsi="Times New Roman"/>
          <w:color w:val="000000"/>
          <w:kern w:val="0"/>
          <w:sz w:val="24"/>
        </w:rPr>
        <w:t>号《关于进一步规范证券投资基金估值业务的指导意见》，根据具体情况采用《关于发布中基协</w:t>
      </w:r>
      <w:r>
        <w:rPr>
          <w:rFonts w:hint="default" w:ascii="Times New Roman" w:hAnsi="Times New Roman"/>
          <w:color w:val="000000"/>
          <w:kern w:val="0"/>
          <w:sz w:val="24"/>
        </w:rPr>
        <w:t>(AMAC)</w:t>
      </w:r>
      <w:r>
        <w:rPr>
          <w:rFonts w:hint="eastAsia" w:ascii="Times New Roman" w:hAnsi="Times New Roman"/>
          <w:color w:val="000000"/>
          <w:kern w:val="0"/>
          <w:sz w:val="24"/>
        </w:rPr>
        <w:t>基金行业股票估值指数的通知》提供的指数收益法等估值技术进行估值。</w:t>
      </w:r>
    </w:p>
    <w:p>
      <w:pPr>
        <w:autoSpaceDE w:val="0"/>
        <w:autoSpaceDN w:val="0"/>
        <w:adjustRightInd w:val="0"/>
        <w:spacing w:before="29" w:beforeLines="0" w:afterLines="0" w:line="288" w:lineRule="auto"/>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在银行间同业市场交易的债券品种，根据中国证监会证监会计字</w:t>
      </w:r>
      <w:r>
        <w:rPr>
          <w:rFonts w:hint="default" w:ascii="Times New Roman" w:hAnsi="Times New Roman"/>
          <w:color w:val="000000"/>
          <w:kern w:val="0"/>
          <w:sz w:val="24"/>
        </w:rPr>
        <w:t>[2007]21</w:t>
      </w:r>
      <w:r>
        <w:rPr>
          <w:rFonts w:hint="eastAsia" w:ascii="Times New Roman" w:hAnsi="Times New Roman"/>
          <w:color w:val="000000"/>
          <w:kern w:val="0"/>
          <w:sz w:val="24"/>
        </w:rPr>
        <w:t>号《关于证券投资基金执行</w:t>
      </w:r>
      <w:r>
        <w:rPr>
          <w:rFonts w:hint="default" w:ascii="Times New Roman" w:hAnsi="Times New Roman"/>
          <w:color w:val="000000"/>
          <w:kern w:val="0"/>
          <w:sz w:val="24"/>
        </w:rPr>
        <w:t>&lt;</w:t>
      </w:r>
      <w:r>
        <w:rPr>
          <w:rFonts w:hint="eastAsia" w:ascii="Times New Roman" w:hAnsi="Times New Roman"/>
          <w:color w:val="000000"/>
          <w:kern w:val="0"/>
          <w:sz w:val="24"/>
        </w:rPr>
        <w:t>企业会计准则</w:t>
      </w:r>
      <w:r>
        <w:rPr>
          <w:rFonts w:hint="default" w:ascii="Times New Roman" w:hAnsi="Times New Roman"/>
          <w:color w:val="000000"/>
          <w:kern w:val="0"/>
          <w:sz w:val="24"/>
        </w:rPr>
        <w:t>&gt;</w:t>
      </w:r>
      <w:r>
        <w:rPr>
          <w:rFonts w:hint="eastAsia" w:ascii="Times New Roman" w:hAnsi="Times New Roman"/>
          <w:color w:val="000000"/>
          <w:kern w:val="0"/>
          <w:sz w:val="24"/>
        </w:rPr>
        <w:t>估值业务及份额净值计价有关事项的通知》采用估值技术确定公允价值。本基金持有的银行间同业市场债券按现金流量折现法估值，具体估值模型、参数及结果由中央国债登记结算有限责任公司独立提供。</w:t>
      </w:r>
    </w:p>
    <w:p>
      <w:pPr>
        <w:numPr>
          <w:ilvl w:val="0"/>
          <w:numId w:val="1"/>
        </w:numPr>
        <w:autoSpaceDE w:val="0"/>
        <w:autoSpaceDN w:val="0"/>
        <w:adjustRightInd w:val="0"/>
        <w:spacing w:before="29" w:beforeLines="0" w:afterLines="0" w:line="288" w:lineRule="auto"/>
        <w:jc w:val="left"/>
        <w:rPr>
          <w:rFonts w:hint="default" w:ascii="Times New Roman" w:eastAsia="Times New Roman"/>
          <w:color w:val="000000"/>
          <w:kern w:val="0"/>
          <w:sz w:val="24"/>
        </w:rPr>
      </w:pPr>
      <w:r>
        <w:rPr>
          <w:rFonts w:hint="eastAsia" w:ascii="Times New Roman" w:hAnsi="Times New Roman"/>
          <w:color w:val="000000"/>
          <w:kern w:val="0"/>
          <w:sz w:val="24"/>
        </w:rPr>
        <w:t>对于在证券交易所上市或挂牌转让的固定收益品种</w:t>
      </w:r>
      <w:r>
        <w:rPr>
          <w:rFonts w:hint="default" w:ascii="Times New Roman" w:hAnsi="Times New Roman"/>
          <w:color w:val="000000"/>
          <w:kern w:val="0"/>
          <w:sz w:val="24"/>
        </w:rPr>
        <w:t>(</w:t>
      </w:r>
      <w:r>
        <w:rPr>
          <w:rFonts w:hint="eastAsia" w:ascii="Times New Roman" w:hAnsi="Times New Roman"/>
          <w:color w:val="000000"/>
          <w:kern w:val="0"/>
          <w:sz w:val="24"/>
        </w:rPr>
        <w:t>可转换债券、资产支持证券和私募债券除外</w:t>
      </w:r>
      <w:r>
        <w:rPr>
          <w:rFonts w:hint="default" w:ascii="Times New Roman" w:hAnsi="Times New Roman"/>
          <w:color w:val="000000"/>
          <w:kern w:val="0"/>
          <w:sz w:val="24"/>
        </w:rPr>
        <w:t>)</w:t>
      </w:r>
      <w:r>
        <w:rPr>
          <w:rFonts w:hint="eastAsia" w:ascii="Times New Roman" w:hAnsi="Times New Roman"/>
          <w:color w:val="000000"/>
          <w:kern w:val="0"/>
          <w:sz w:val="24"/>
        </w:rPr>
        <w:t>，按照中证指数有限公司根据《中国证券投资基金业协会估值核算工作小组关于</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季度固定收益品种的估值处理标准》所独立提供的债券估值结果确定公允价值。</w:t>
      </w:r>
    </w:p>
    <w:p>
      <w:pPr>
        <w:autoSpaceDE w:val="0"/>
        <w:autoSpaceDN w:val="0"/>
        <w:adjustRightInd w:val="0"/>
        <w:spacing w:before="29"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 </w:t>
      </w:r>
      <w:r>
        <w:rPr>
          <w:rFonts w:hint="eastAsia" w:ascii="Times New Roman" w:hAnsi="Times New Roman"/>
          <w:b/>
          <w:color w:val="000000"/>
          <w:kern w:val="0"/>
          <w:sz w:val="24"/>
        </w:rPr>
        <w:t>会计政策和会计估计变更以及差错更正的说明</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7.4.5.1 </w:t>
      </w:r>
      <w:r>
        <w:rPr>
          <w:rFonts w:hint="eastAsia" w:ascii="Times New Roman" w:hAnsi="Times New Roman"/>
          <w:b/>
          <w:color w:val="000000"/>
          <w:kern w:val="0"/>
          <w:sz w:val="24"/>
        </w:rPr>
        <w:t>会计政策变更的说明</w:t>
      </w:r>
    </w:p>
    <w:p>
      <w:pPr>
        <w:autoSpaceDE w:val="0"/>
        <w:autoSpaceDN w:val="0"/>
        <w:adjustRightInd w:val="0"/>
        <w:spacing w:before="29" w:beforeLines="0" w:afterLines="0" w:line="288" w:lineRule="auto"/>
        <w:ind w:left="15" w:firstLine="480"/>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本基金本报告期未发生会计政策变更。</w:t>
      </w:r>
    </w:p>
    <w:p>
      <w:pPr>
        <w:autoSpaceDE w:val="0"/>
        <w:autoSpaceDN w:val="0"/>
        <w:adjustRightInd w:val="0"/>
        <w:spacing w:before="29" w:beforeLines="0" w:afterLines="0" w:line="288" w:lineRule="auto"/>
        <w:ind w:left="15" w:firstLine="480"/>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7.4.5.2 </w:t>
      </w:r>
      <w:r>
        <w:rPr>
          <w:rFonts w:hint="eastAsia" w:ascii="Times New Roman" w:hAnsi="Times New Roman"/>
          <w:b/>
          <w:color w:val="000000"/>
          <w:kern w:val="0"/>
          <w:sz w:val="24"/>
        </w:rPr>
        <w:t>会计估计变更的说明</w:t>
      </w:r>
    </w:p>
    <w:p>
      <w:pPr>
        <w:autoSpaceDE w:val="0"/>
        <w:autoSpaceDN w:val="0"/>
        <w:adjustRightInd w:val="0"/>
        <w:spacing w:before="29" w:beforeLines="0" w:afterLines="0" w:line="288" w:lineRule="auto"/>
        <w:ind w:left="15" w:firstLine="480"/>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本基金本报告期未发生会计估计变更。</w:t>
      </w:r>
    </w:p>
    <w:p>
      <w:pPr>
        <w:autoSpaceDE w:val="0"/>
        <w:autoSpaceDN w:val="0"/>
        <w:adjustRightInd w:val="0"/>
        <w:spacing w:before="29" w:beforeLines="0" w:afterLines="0" w:line="288" w:lineRule="auto"/>
        <w:ind w:left="15" w:firstLine="480"/>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7.4.5.3 </w:t>
      </w:r>
      <w:r>
        <w:rPr>
          <w:rFonts w:hint="eastAsia" w:ascii="Times New Roman" w:hAnsi="Times New Roman"/>
          <w:b/>
          <w:color w:val="000000"/>
          <w:kern w:val="0"/>
          <w:sz w:val="24"/>
        </w:rPr>
        <w:t>差错更正的说明</w:t>
      </w:r>
    </w:p>
    <w:p>
      <w:pPr>
        <w:autoSpaceDE w:val="0"/>
        <w:autoSpaceDN w:val="0"/>
        <w:adjustRightInd w:val="0"/>
        <w:spacing w:before="29" w:beforeLines="0" w:afterLines="0" w:line="288" w:lineRule="auto"/>
        <w:ind w:left="15" w:firstLine="480"/>
        <w:jc w:val="left"/>
        <w:rPr>
          <w:rFonts w:hint="default" w:ascii="Times New Roman" w:eastAsia="Times New Roman"/>
          <w:color w:val="000000"/>
          <w:kern w:val="0"/>
          <w:sz w:val="24"/>
        </w:rPr>
      </w:pPr>
      <w:r>
        <w:rPr>
          <w:rFonts w:hint="eastAsia" w:ascii="Times New Roman" w:hAnsi="Times New Roman"/>
          <w:color w:val="000000"/>
          <w:kern w:val="0"/>
          <w:sz w:val="24"/>
        </w:rPr>
        <w:t>本基金在本报告期间无须说明的会计差错更正。</w:t>
      </w:r>
    </w:p>
    <w:p>
      <w:pPr>
        <w:autoSpaceDE w:val="0"/>
        <w:autoSpaceDN w:val="0"/>
        <w:adjustRightInd w:val="0"/>
        <w:spacing w:before="29" w:beforeLines="0" w:afterLines="0" w:line="288" w:lineRule="auto"/>
        <w:ind w:left="15" w:firstLine="480"/>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7.4.6 </w:t>
      </w:r>
      <w:r>
        <w:rPr>
          <w:rFonts w:hint="eastAsia" w:ascii="Times New Roman" w:hAnsi="Times New Roman"/>
          <w:b/>
          <w:color w:val="000000"/>
          <w:kern w:val="0"/>
          <w:sz w:val="24"/>
        </w:rPr>
        <w:t>税项</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根据财政部、国家税务总局财税</w:t>
      </w:r>
      <w:r>
        <w:rPr>
          <w:rFonts w:hint="default" w:ascii="Times New Roman" w:hAnsi="Times New Roman"/>
          <w:color w:val="000000"/>
          <w:kern w:val="0"/>
          <w:sz w:val="24"/>
        </w:rPr>
        <w:t>[2004]78</w:t>
      </w:r>
      <w:r>
        <w:rPr>
          <w:rFonts w:hint="eastAsia" w:ascii="Times New Roman" w:hAnsi="Times New Roman"/>
          <w:color w:val="000000"/>
          <w:kern w:val="0"/>
          <w:sz w:val="24"/>
        </w:rPr>
        <w:t>号《财政部、国家税务总局关于证券投资基金税收政策的通知》、财税</w:t>
      </w:r>
      <w:r>
        <w:rPr>
          <w:rFonts w:hint="default" w:ascii="Times New Roman" w:hAnsi="Times New Roman"/>
          <w:color w:val="000000"/>
          <w:kern w:val="0"/>
          <w:sz w:val="24"/>
        </w:rPr>
        <w:t>[2008]1</w:t>
      </w:r>
      <w:r>
        <w:rPr>
          <w:rFonts w:hint="eastAsia" w:ascii="Times New Roman" w:hAnsi="Times New Roman"/>
          <w:color w:val="000000"/>
          <w:kern w:val="0"/>
          <w:sz w:val="24"/>
        </w:rPr>
        <w:t>号《关于企业所得税若干优惠政策的通知》、财税</w:t>
      </w:r>
      <w:r>
        <w:rPr>
          <w:rFonts w:hint="default" w:ascii="Times New Roman" w:hAnsi="Times New Roman"/>
          <w:color w:val="000000"/>
          <w:kern w:val="0"/>
          <w:sz w:val="24"/>
        </w:rPr>
        <w:t>[2012]85</w:t>
      </w:r>
      <w:r>
        <w:rPr>
          <w:rFonts w:hint="eastAsia" w:ascii="Times New Roman" w:hAnsi="Times New Roman"/>
          <w:color w:val="000000"/>
          <w:kern w:val="0"/>
          <w:sz w:val="24"/>
        </w:rPr>
        <w:t>号《关于实施上市公司股息红利差别化个人所得税政策有关问题的通知》、财税</w:t>
      </w:r>
      <w:r>
        <w:rPr>
          <w:rFonts w:hint="default" w:ascii="Times New Roman" w:hAnsi="Times New Roman"/>
          <w:color w:val="000000"/>
          <w:kern w:val="0"/>
          <w:sz w:val="24"/>
        </w:rPr>
        <w:t>[2015]101</w:t>
      </w:r>
      <w:r>
        <w:rPr>
          <w:rFonts w:hint="eastAsia" w:ascii="Times New Roman" w:hAnsi="Times New Roman"/>
          <w:color w:val="000000"/>
          <w:kern w:val="0"/>
          <w:sz w:val="24"/>
        </w:rPr>
        <w:t>号《关于上市公司股息红利差别化个人所得税政策有关问题的通知》、财税</w:t>
      </w:r>
      <w:r>
        <w:rPr>
          <w:rFonts w:hint="default" w:ascii="Times New Roman" w:hAnsi="Times New Roman"/>
          <w:color w:val="000000"/>
          <w:kern w:val="0"/>
          <w:sz w:val="24"/>
        </w:rPr>
        <w:t>[2016]36</w:t>
      </w:r>
      <w:r>
        <w:rPr>
          <w:rFonts w:hint="eastAsia" w:ascii="Times New Roman" w:hAnsi="Times New Roman"/>
          <w:color w:val="000000"/>
          <w:kern w:val="0"/>
          <w:sz w:val="24"/>
        </w:rPr>
        <w:t>号《关于全面推开营业税改征增值税试点的通知》、财税</w:t>
      </w:r>
      <w:r>
        <w:rPr>
          <w:rFonts w:hint="default" w:ascii="Times New Roman" w:hAnsi="Times New Roman"/>
          <w:color w:val="000000"/>
          <w:kern w:val="0"/>
          <w:sz w:val="24"/>
        </w:rPr>
        <w:t>[2016]46</w:t>
      </w:r>
      <w:r>
        <w:rPr>
          <w:rFonts w:hint="eastAsia" w:ascii="Times New Roman" w:hAnsi="Times New Roman"/>
          <w:color w:val="000000"/>
          <w:kern w:val="0"/>
          <w:sz w:val="24"/>
        </w:rPr>
        <w:t>号《关于进一步明确全面推开营改增试点金融业有关政策的通知》、财税</w:t>
      </w:r>
      <w:r>
        <w:rPr>
          <w:rFonts w:hint="default" w:ascii="Times New Roman" w:hAnsi="Times New Roman"/>
          <w:color w:val="000000"/>
          <w:kern w:val="0"/>
          <w:sz w:val="24"/>
        </w:rPr>
        <w:t>[2016]70</w:t>
      </w:r>
      <w:r>
        <w:rPr>
          <w:rFonts w:hint="eastAsia" w:ascii="Times New Roman" w:hAnsi="Times New Roman"/>
          <w:color w:val="000000"/>
          <w:kern w:val="0"/>
          <w:sz w:val="24"/>
        </w:rPr>
        <w:t>号《关于金融机构同业往来等增值税政策的补充通知》及其他相关财税法规和实务操作，主要税项列示如下：</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日前，以发行基金方式募集资金不属于营业税征收范围，不征收营业税。对证券投资基金管理人运用基金买卖股票、债券的差价收入免征营业税。自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日起，金融业由缴纳营业税改为缴纳增值税。对证券投资基金管理人运用基金买卖股票、债券的转让收入免征增值税，对国债、地方政府债以及金融同业往来利息收入亦免征增值税。</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对基金取得的企业债券利息收入，应由发行债券的企业在向基金支付利息时代扣代缴</w:t>
      </w:r>
      <w:r>
        <w:rPr>
          <w:rFonts w:hint="default" w:ascii="Times New Roman" w:hAnsi="Times New Roman"/>
          <w:color w:val="000000"/>
          <w:kern w:val="0"/>
          <w:sz w:val="24"/>
        </w:rPr>
        <w:t>20%</w:t>
      </w:r>
      <w:r>
        <w:rPr>
          <w:rFonts w:hint="eastAsia" w:ascii="Times New Roman" w:hAnsi="Times New Roman"/>
          <w:color w:val="000000"/>
          <w:kern w:val="0"/>
          <w:sz w:val="24"/>
        </w:rPr>
        <w:t>的个人所得税。对基金从上市公司取得的股息红利所得，持股期限在</w:t>
      </w:r>
      <w:r>
        <w:rPr>
          <w:rFonts w:hint="default" w:ascii="Times New Roman" w:hAnsi="Times New Roman"/>
          <w:color w:val="000000"/>
          <w:kern w:val="0"/>
          <w:sz w:val="24"/>
        </w:rPr>
        <w:t>1</w:t>
      </w:r>
      <w:r>
        <w:rPr>
          <w:rFonts w:hint="eastAsia" w:ascii="Times New Roman" w:hAnsi="Times New Roman"/>
          <w:color w:val="000000"/>
          <w:kern w:val="0"/>
          <w:sz w:val="24"/>
        </w:rPr>
        <w:t>个月以内</w:t>
      </w:r>
      <w:r>
        <w:rPr>
          <w:rFonts w:hint="default" w:ascii="Times New Roman" w:hAnsi="Times New Roman"/>
          <w:color w:val="000000"/>
          <w:kern w:val="0"/>
          <w:sz w:val="24"/>
        </w:rPr>
        <w:t>(</w:t>
      </w:r>
      <w:r>
        <w:rPr>
          <w:rFonts w:hint="eastAsia" w:ascii="Times New Roman" w:hAnsi="Times New Roman"/>
          <w:color w:val="000000"/>
          <w:kern w:val="0"/>
          <w:sz w:val="24"/>
        </w:rPr>
        <w:t>含</w:t>
      </w:r>
      <w:r>
        <w:rPr>
          <w:rFonts w:hint="default" w:ascii="Times New Roman" w:hAnsi="Times New Roman"/>
          <w:color w:val="000000"/>
          <w:kern w:val="0"/>
          <w:sz w:val="24"/>
        </w:rPr>
        <w:t>1</w:t>
      </w:r>
      <w:r>
        <w:rPr>
          <w:rFonts w:hint="eastAsia" w:ascii="Times New Roman" w:hAnsi="Times New Roman"/>
          <w:color w:val="000000"/>
          <w:kern w:val="0"/>
          <w:sz w:val="24"/>
        </w:rPr>
        <w:t>个月</w:t>
      </w:r>
      <w:r>
        <w:rPr>
          <w:rFonts w:hint="default" w:ascii="Times New Roman" w:hAnsi="Times New Roman"/>
          <w:color w:val="000000"/>
          <w:kern w:val="0"/>
          <w:sz w:val="24"/>
        </w:rPr>
        <w:t>)</w:t>
      </w:r>
      <w:r>
        <w:rPr>
          <w:rFonts w:hint="eastAsia" w:ascii="Times New Roman" w:hAnsi="Times New Roman"/>
          <w:color w:val="000000"/>
          <w:kern w:val="0"/>
          <w:sz w:val="24"/>
        </w:rPr>
        <w:t>的，其股息红利所得全额计入应纳税所得额；持股期限在</w:t>
      </w:r>
      <w:r>
        <w:rPr>
          <w:rFonts w:hint="default" w:ascii="Times New Roman" w:hAnsi="Times New Roman"/>
          <w:color w:val="000000"/>
          <w:kern w:val="0"/>
          <w:sz w:val="24"/>
        </w:rPr>
        <w:t>1</w:t>
      </w:r>
      <w:r>
        <w:rPr>
          <w:rFonts w:hint="eastAsia" w:ascii="Times New Roman" w:hAnsi="Times New Roman"/>
          <w:color w:val="000000"/>
          <w:kern w:val="0"/>
          <w:sz w:val="24"/>
        </w:rPr>
        <w:t>个月以上至</w:t>
      </w:r>
      <w:r>
        <w:rPr>
          <w:rFonts w:hint="default" w:ascii="Times New Roman" w:hAnsi="Times New Roman"/>
          <w:color w:val="000000"/>
          <w:kern w:val="0"/>
          <w:sz w:val="24"/>
        </w:rPr>
        <w:t>1</w:t>
      </w:r>
      <w:r>
        <w:rPr>
          <w:rFonts w:hint="eastAsia" w:ascii="Times New Roman" w:hAnsi="Times New Roman"/>
          <w:color w:val="000000"/>
          <w:kern w:val="0"/>
          <w:sz w:val="24"/>
        </w:rPr>
        <w:t>年</w:t>
      </w:r>
      <w:r>
        <w:rPr>
          <w:rFonts w:hint="default" w:ascii="Times New Roman" w:hAnsi="Times New Roman"/>
          <w:color w:val="000000"/>
          <w:kern w:val="0"/>
          <w:sz w:val="24"/>
        </w:rPr>
        <w:t>(</w:t>
      </w:r>
      <w:r>
        <w:rPr>
          <w:rFonts w:hint="eastAsia" w:ascii="Times New Roman" w:hAnsi="Times New Roman"/>
          <w:color w:val="000000"/>
          <w:kern w:val="0"/>
          <w:sz w:val="24"/>
        </w:rPr>
        <w:t>含</w:t>
      </w:r>
      <w:r>
        <w:rPr>
          <w:rFonts w:hint="default" w:ascii="Times New Roman" w:hAnsi="Times New Roman"/>
          <w:color w:val="000000"/>
          <w:kern w:val="0"/>
          <w:sz w:val="24"/>
        </w:rPr>
        <w:t>1</w:t>
      </w:r>
      <w:r>
        <w:rPr>
          <w:rFonts w:hint="eastAsia" w:ascii="Times New Roman" w:hAnsi="Times New Roman"/>
          <w:color w:val="000000"/>
          <w:kern w:val="0"/>
          <w:sz w:val="24"/>
        </w:rPr>
        <w:t>年</w:t>
      </w:r>
      <w:r>
        <w:rPr>
          <w:rFonts w:hint="default" w:ascii="Times New Roman" w:hAnsi="Times New Roman"/>
          <w:color w:val="000000"/>
          <w:kern w:val="0"/>
          <w:sz w:val="24"/>
        </w:rPr>
        <w:t>)</w:t>
      </w:r>
      <w:r>
        <w:rPr>
          <w:rFonts w:hint="eastAsia" w:ascii="Times New Roman" w:hAnsi="Times New Roman"/>
          <w:color w:val="000000"/>
          <w:kern w:val="0"/>
          <w:sz w:val="24"/>
        </w:rPr>
        <w:t>的，暂减按</w:t>
      </w:r>
      <w:r>
        <w:rPr>
          <w:rFonts w:hint="default" w:ascii="Times New Roman" w:hAnsi="Times New Roman"/>
          <w:color w:val="000000"/>
          <w:kern w:val="0"/>
          <w:sz w:val="24"/>
        </w:rPr>
        <w:t>50%</w:t>
      </w:r>
      <w:r>
        <w:rPr>
          <w:rFonts w:hint="eastAsia" w:ascii="Times New Roman" w:hAnsi="Times New Roman"/>
          <w:color w:val="000000"/>
          <w:kern w:val="0"/>
          <w:sz w:val="24"/>
        </w:rPr>
        <w:t>计入应纳税所得额；持股期限超过</w:t>
      </w:r>
      <w:r>
        <w:rPr>
          <w:rFonts w:hint="default" w:ascii="Times New Roman" w:hAnsi="Times New Roman"/>
          <w:color w:val="000000"/>
          <w:kern w:val="0"/>
          <w:sz w:val="24"/>
        </w:rPr>
        <w:t>1</w:t>
      </w:r>
      <w:r>
        <w:rPr>
          <w:rFonts w:hint="eastAsia" w:ascii="Times New Roman" w:hAnsi="Times New Roman"/>
          <w:color w:val="000000"/>
          <w:kern w:val="0"/>
          <w:sz w:val="24"/>
        </w:rPr>
        <w:t>年的，暂免征收个人所得税。对基金持有的上市公司限售股，解禁后取得的股息、红利收入，按照上述规定计算纳税，持股时间自解禁日起计算；解禁前取得的股息、红利收入继续暂减按</w:t>
      </w:r>
      <w:r>
        <w:rPr>
          <w:rFonts w:hint="default" w:ascii="Times New Roman" w:hAnsi="Times New Roman"/>
          <w:color w:val="000000"/>
          <w:kern w:val="0"/>
          <w:sz w:val="24"/>
        </w:rPr>
        <w:t>50%</w:t>
      </w:r>
      <w:r>
        <w:rPr>
          <w:rFonts w:hint="eastAsia" w:ascii="Times New Roman" w:hAnsi="Times New Roman"/>
          <w:color w:val="000000"/>
          <w:kern w:val="0"/>
          <w:sz w:val="24"/>
        </w:rPr>
        <w:t>计入应纳税所得额。上述所得统一适用</w:t>
      </w:r>
      <w:r>
        <w:rPr>
          <w:rFonts w:hint="default" w:ascii="Times New Roman" w:hAnsi="Times New Roman"/>
          <w:color w:val="000000"/>
          <w:kern w:val="0"/>
          <w:sz w:val="24"/>
        </w:rPr>
        <w:t>20%</w:t>
      </w:r>
      <w:r>
        <w:rPr>
          <w:rFonts w:hint="eastAsia" w:ascii="Times New Roman" w:hAnsi="Times New Roman"/>
          <w:color w:val="000000"/>
          <w:kern w:val="0"/>
          <w:sz w:val="24"/>
        </w:rPr>
        <w:t>的税率计征个人所得税。</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基金卖出股票按</w:t>
      </w:r>
      <w:r>
        <w:rPr>
          <w:rFonts w:hint="default" w:ascii="Times New Roman" w:hAnsi="Times New Roman"/>
          <w:color w:val="000000"/>
          <w:kern w:val="0"/>
          <w:sz w:val="24"/>
        </w:rPr>
        <w:t>0.1%</w:t>
      </w:r>
      <w:r>
        <w:rPr>
          <w:rFonts w:hint="eastAsia" w:ascii="Times New Roman" w:hAnsi="Times New Roman"/>
          <w:color w:val="000000"/>
          <w:kern w:val="0"/>
          <w:sz w:val="24"/>
        </w:rPr>
        <w:t>的税率缴纳股票交易印花税，买入股票不征收股票交易印花税。</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 </w:t>
      </w:r>
      <w:r>
        <w:rPr>
          <w:rFonts w:hint="eastAsia" w:ascii="Times New Roman" w:hAnsi="Times New Roman"/>
          <w:b/>
          <w:color w:val="000000"/>
          <w:kern w:val="0"/>
          <w:sz w:val="24"/>
        </w:rPr>
        <w:t>重要财务报表项目的说明</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 </w:t>
      </w:r>
      <w:r>
        <w:rPr>
          <w:rFonts w:hint="eastAsia" w:ascii="Times New Roman" w:hAnsi="Times New Roman"/>
          <w:b/>
          <w:color w:val="000000"/>
          <w:kern w:val="0"/>
          <w:sz w:val="24"/>
        </w:rPr>
        <w:t>银行存款</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活期存款</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12,713,231.34</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28,052,291.07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定期存款</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其中：存款期限</w:t>
            </w:r>
            <w:r>
              <w:rPr>
                <w:rFonts w:hint="default" w:ascii="Times New Roman" w:hAnsi="Times New Roman"/>
                <w:color w:val="000000"/>
                <w:kern w:val="0"/>
                <w:sz w:val="24"/>
              </w:rPr>
              <w:t>1-3</w:t>
            </w:r>
            <w:r>
              <w:rPr>
                <w:rFonts w:hint="eastAsia" w:ascii="Times New Roman" w:hAnsi="Times New Roman"/>
                <w:color w:val="000000"/>
                <w:kern w:val="0"/>
                <w:sz w:val="24"/>
              </w:rPr>
              <w:t>个月</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其他存款</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12,713,231.34</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28,052,291.07</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7.4.7.2 </w:t>
      </w:r>
      <w:r>
        <w:rPr>
          <w:rFonts w:hint="eastAsia" w:ascii="Times New Roman" w:hAnsi="Times New Roman"/>
          <w:b/>
          <w:color w:val="000000"/>
          <w:kern w:val="0"/>
          <w:sz w:val="24"/>
        </w:rPr>
        <w:t>交易性金融资产</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1445"/>
        <w:gridCol w:w="2167"/>
        <w:gridCol w:w="2529"/>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2167" w:type="dxa"/>
            <w:gridSpan w:val="2"/>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6863"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成本</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公允价值变动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股票</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24,449,536.89</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21,603,696.00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-2,845,840.89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贵金属投资</w:t>
            </w:r>
            <w:r>
              <w:rPr>
                <w:rFonts w:hint="default" w:ascii="Times New Roman" w:eastAsia="Times New Roman"/>
                <w:color w:val="000000"/>
                <w:kern w:val="0"/>
                <w:sz w:val="24"/>
              </w:rPr>
              <w:t>-</w:t>
            </w:r>
            <w:r>
              <w:rPr>
                <w:rFonts w:hint="eastAsia" w:ascii="Times New Roman" w:hAnsi="Times New Roman"/>
                <w:color w:val="000000"/>
                <w:kern w:val="0"/>
                <w:sz w:val="24"/>
              </w:rPr>
              <w:t>金交所黄金合约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交易所市场</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72,099,229.48</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71,966,067.68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-133,161.80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银行间市场</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29,622,610.00</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29,235,000.00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-387,610.00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101,721,839.48</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101,201,067.68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-520,771.80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资产支持证券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126,171,376.37</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122,804,763.68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-3,366,612.69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6863"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成本</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公允价值变动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股票</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16,430,608.00</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16,826,824.00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396,216.00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贵金属投资</w:t>
            </w:r>
            <w:r>
              <w:rPr>
                <w:rFonts w:hint="default" w:ascii="Times New Roman" w:eastAsia="Times New Roman"/>
                <w:color w:val="000000"/>
                <w:kern w:val="0"/>
                <w:sz w:val="24"/>
              </w:rPr>
              <w:t>-</w:t>
            </w:r>
            <w:r>
              <w:rPr>
                <w:rFonts w:hint="eastAsia" w:ascii="Times New Roman" w:hAnsi="Times New Roman"/>
                <w:color w:val="000000"/>
                <w:kern w:val="0"/>
                <w:sz w:val="24"/>
              </w:rPr>
              <w:t>金交所黄金合约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交易所市场</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31,912,081.88</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31,795,776.70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-116,305.18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银行间市场</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143,135,864.49</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145,314,000.00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2,178,135.51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175,047,946.37</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177,109,776.70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2,061,830.33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资产支持证券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191,478,554.37</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193,936,600.70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2,458,046.33</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7.4.7.3 </w:t>
      </w:r>
      <w:r>
        <w:rPr>
          <w:rFonts w:hint="eastAsia" w:ascii="Times New Roman" w:hAnsi="Times New Roman"/>
          <w:b/>
          <w:color w:val="000000"/>
          <w:kern w:val="0"/>
          <w:sz w:val="24"/>
        </w:rPr>
        <w:t>衍生金融资产</w:t>
      </w:r>
      <w:r>
        <w:rPr>
          <w:rFonts w:hint="default" w:ascii="Times New Roman" w:hAnsi="Times New Roman"/>
          <w:b/>
          <w:color w:val="000000"/>
          <w:kern w:val="0"/>
          <w:sz w:val="24"/>
        </w:rPr>
        <w:t>/</w:t>
      </w:r>
      <w:r>
        <w:rPr>
          <w:rFonts w:hint="eastAsia" w:ascii="Times New Roman" w:hAnsi="Times New Roman"/>
          <w:b/>
          <w:color w:val="000000"/>
          <w:kern w:val="0"/>
          <w:sz w:val="24"/>
        </w:rPr>
        <w:t>负债</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本基金于本期末及上年度末均未持有衍生金融资产</w:t>
      </w:r>
      <w:r>
        <w:rPr>
          <w:rFonts w:hint="default" w:ascii="Times New Roman" w:hAnsi="Times New Roman"/>
          <w:color w:val="000000"/>
          <w:kern w:val="0"/>
          <w:sz w:val="24"/>
        </w:rPr>
        <w:t>/</w:t>
      </w:r>
      <w:r>
        <w:rPr>
          <w:rFonts w:hint="eastAsia" w:ascii="Times New Roman" w:hAnsi="Times New Roman"/>
          <w:color w:val="000000"/>
          <w:kern w:val="0"/>
          <w:sz w:val="24"/>
        </w:rPr>
        <w:t>负债。</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7.4.7.4 </w:t>
      </w:r>
      <w:r>
        <w:rPr>
          <w:rFonts w:hint="eastAsia" w:ascii="Times New Roman" w:hAnsi="Times New Roman"/>
          <w:b/>
          <w:color w:val="000000"/>
          <w:kern w:val="0"/>
          <w:sz w:val="24"/>
        </w:rPr>
        <w:t>买入返售金融资产</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b/>
          <w:color w:val="000000"/>
          <w:kern w:val="0"/>
          <w:sz w:val="24"/>
        </w:rPr>
        <w:t xml:space="preserve">7.4.7.4.1 </w:t>
      </w:r>
      <w:r>
        <w:rPr>
          <w:rFonts w:hint="eastAsia" w:ascii="Times New Roman" w:hAnsi="Times New Roman"/>
          <w:b/>
          <w:color w:val="000000"/>
          <w:kern w:val="0"/>
          <w:sz w:val="24"/>
        </w:rPr>
        <w:t>各项买入返售金融资产期末</w:t>
      </w:r>
      <w:r>
        <w:rPr>
          <w:rFonts w:hint="eastAsia" w:ascii="Times New Roman" w:hAnsi="Times New Roman"/>
          <w:color w:val="000000"/>
          <w:kern w:val="0"/>
          <w:sz w:val="24"/>
        </w:rPr>
        <w:t>本基金于本期末及上年度末均未持有买入返售金融资产。</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7.4.7.4.2</w:t>
      </w:r>
      <w:r>
        <w:rPr>
          <w:rFonts w:hint="eastAsia" w:ascii="Times New Roman" w:hAnsi="Times New Roman"/>
          <w:b/>
          <w:color w:val="000000"/>
          <w:kern w:val="0"/>
          <w:sz w:val="24"/>
        </w:rPr>
        <w:t>期末买断式逆回购交易中取得的债券</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本基金于本期末及上年度末均未持有买断式逆回购交易中取得的债券。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7.4.7.5 </w:t>
      </w:r>
      <w:r>
        <w:rPr>
          <w:rFonts w:hint="eastAsia" w:ascii="Times New Roman" w:hAnsi="Times New Roman"/>
          <w:b/>
          <w:color w:val="000000"/>
          <w:kern w:val="0"/>
          <w:sz w:val="24"/>
        </w:rPr>
        <w:t>应收利息</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应收活期存款利息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12,992.29</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4,769.86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应收定期存款利息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应收其他存款利息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应收结算备付金利息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1,127.28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117.70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应收债券利息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1,550,938.67</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2,959,625.75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应收买入返售证券利息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应收申购款利息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应收黄金合约拆借孳息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17.71</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1,565,075.95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2,964,542.02</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7.4.7.6 </w:t>
      </w:r>
      <w:r>
        <w:rPr>
          <w:rFonts w:hint="eastAsia" w:ascii="Times New Roman" w:hAnsi="Times New Roman"/>
          <w:b/>
          <w:color w:val="000000"/>
          <w:kern w:val="0"/>
          <w:sz w:val="24"/>
        </w:rPr>
        <w:t>其他资产</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本基金于本期末及上年度末均未持有其他资产。</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7.4.7.7 </w:t>
      </w:r>
      <w:r>
        <w:rPr>
          <w:rFonts w:hint="eastAsia" w:ascii="Times New Roman" w:hAnsi="Times New Roman"/>
          <w:b/>
          <w:color w:val="000000"/>
          <w:kern w:val="0"/>
          <w:sz w:val="24"/>
        </w:rPr>
        <w:t>应付交易费用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交易所市场应付交易费用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66,871.92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198,373.16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银行间市场应付交易费用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12,447.03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13,757.62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79,318.95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212,130.78</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7.4.7.8 </w:t>
      </w:r>
      <w:r>
        <w:rPr>
          <w:rFonts w:hint="eastAsia" w:ascii="Times New Roman" w:hAnsi="Times New Roman"/>
          <w:b/>
          <w:color w:val="000000"/>
          <w:kern w:val="0"/>
          <w:sz w:val="24"/>
        </w:rPr>
        <w:t>其他负债</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应付券商交易单元保证金</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应付赎回费</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0.75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115.40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预提费用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173,999.80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174,000.55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103,115.40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7.4.7.9 </w:t>
      </w:r>
      <w:r>
        <w:rPr>
          <w:rFonts w:hint="eastAsia" w:ascii="Times New Roman" w:hAnsi="Times New Roman"/>
          <w:b/>
          <w:color w:val="000000"/>
          <w:kern w:val="0"/>
          <w:sz w:val="24"/>
        </w:rPr>
        <w:t>实收基金</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r>
              <w:rPr>
                <w:rFonts w:hint="default" w:ascii="Times New Roman" w:hAnsi="Times New Roman"/>
                <w:color w:val="000000"/>
                <w:kern w:val="0"/>
                <w:sz w:val="24"/>
              </w:rPr>
              <w:t>)</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基金份额（份）</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账面金额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上年度末</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123,245,595.19</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123,245,595.19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本期申购</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319,999,584.50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319,999,584.50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本期赎回（以“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-358,822,586.11</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-358,822,586.11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本期末</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84,422,593.58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84,422,593.58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r>
              <w:rPr>
                <w:rFonts w:hint="default" w:ascii="Times New Roman" w:hAnsi="Times New Roman"/>
                <w:color w:val="000000"/>
                <w:kern w:val="0"/>
                <w:sz w:val="24"/>
              </w:rPr>
              <w:t>)</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基金份额（份）</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账面金额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上年度末</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37,219,249.95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37,219,249.95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本期申购</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1,274,990.03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1,274,990.03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本期赎回（以“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-22,179,383.63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-22,179,383.63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本期末</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16,314,856.35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16,314,856.35</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申购含红利再投、转换入份（金）额，赎回含转换出份（金）额。</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7.4.7.10 </w:t>
      </w:r>
      <w:r>
        <w:rPr>
          <w:rFonts w:hint="eastAsia" w:ascii="Times New Roman" w:hAnsi="Times New Roman"/>
          <w:b/>
          <w:color w:val="000000"/>
          <w:kern w:val="0"/>
          <w:sz w:val="24"/>
        </w:rPr>
        <w:t>未分配利润</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67"/>
        <w:gridCol w:w="2167"/>
        <w:gridCol w:w="2168"/>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r>
              <w:rPr>
                <w:rFonts w:hint="default"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已实现部分</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未实现部分</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未分配利润合计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上年度末</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7,272,663.51</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1,318,590.60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8,591,254.11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-3,351,300.27</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-5,596,441.79</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-8,947,742.06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265,941.83</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7,188,071.31</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7,454,013.14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其中：基金申购款</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31,628,842.54</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141,585.73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31,770,428.27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基金赎回款</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-31,362,900.71</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7,046,485.58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-24,316,415.13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本期已分配利润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本期末</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4,187,305.07</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2,910,220.12</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7,097,525.19</w:t>
            </w:r>
          </w:p>
        </w:tc>
      </w:tr>
    </w:tbl>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67"/>
        <w:gridCol w:w="2167"/>
        <w:gridCol w:w="2168"/>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r>
              <w:rPr>
                <w:rFonts w:hint="default"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已实现部分</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未实现部分</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未分配利润合计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上年度末</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2,098,261.88</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397,667.10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2,495,928.98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64,340.75</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-228,217.23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-163,876.48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本期基金份额交易产生的变动数</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-1,504,841.89</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387,449.95</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-1,117,391.94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其中：基金申购款</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101,468.33</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-15,359.16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86,109.17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基金赎回款</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-1,606,310.22</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402,809.11</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-1,203,501.11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本期已分配利润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本期末</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657,760.74</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556,899.82</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1,214,660.56</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7.4.7.11 </w:t>
      </w:r>
      <w:r>
        <w:rPr>
          <w:rFonts w:hint="eastAsia" w:ascii="Times New Roman" w:hAnsi="Times New Roman"/>
          <w:b/>
          <w:color w:val="000000"/>
          <w:kern w:val="0"/>
          <w:sz w:val="24"/>
        </w:rPr>
        <w:t>存款利息收入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活期存款利息收入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87,166.55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169,997.19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定期存款利息收入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其他存款利息收入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结算备付金利息收入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21,676.47</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15,008.75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321.00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2,085.94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109,164.02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187,091.88</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7.4.7.12 </w:t>
      </w:r>
      <w:r>
        <w:rPr>
          <w:rFonts w:hint="eastAsia" w:ascii="Times New Roman" w:hAnsi="Times New Roman"/>
          <w:b/>
          <w:color w:val="000000"/>
          <w:kern w:val="0"/>
          <w:sz w:val="24"/>
        </w:rPr>
        <w:t>股票投资收益</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7.4.7.12.1 </w:t>
      </w:r>
      <w:r>
        <w:rPr>
          <w:rFonts w:hint="eastAsia" w:ascii="Times New Roman" w:hAnsi="Times New Roman"/>
          <w:b/>
          <w:color w:val="000000"/>
          <w:kern w:val="0"/>
          <w:sz w:val="24"/>
        </w:rPr>
        <w:t>股票投资收益项目构成</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股票投资收益</w:t>
            </w:r>
            <w:r>
              <w:rPr>
                <w:rFonts w:hint="default" w:ascii="Times New Roman" w:hAnsi="Times New Roman"/>
                <w:color w:val="000000"/>
                <w:kern w:val="0"/>
                <w:sz w:val="24"/>
              </w:rPr>
              <w:t>——</w:t>
            </w:r>
            <w:r>
              <w:rPr>
                <w:rFonts w:hint="eastAsia" w:ascii="Times New Roman" w:hAnsi="Times New Roman"/>
                <w:color w:val="000000"/>
                <w:kern w:val="0"/>
                <w:sz w:val="24"/>
              </w:rPr>
              <w:t>买卖股票差价收入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-3,765,310.18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5,299,429.21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股票投资收益</w:t>
            </w:r>
            <w:r>
              <w:rPr>
                <w:rFonts w:hint="default" w:ascii="Times New Roman" w:hAnsi="Times New Roman"/>
                <w:color w:val="000000"/>
                <w:kern w:val="0"/>
                <w:sz w:val="24"/>
              </w:rPr>
              <w:t>——</w:t>
            </w:r>
            <w:r>
              <w:rPr>
                <w:rFonts w:hint="eastAsia" w:ascii="Times New Roman" w:hAnsi="Times New Roman"/>
                <w:color w:val="000000"/>
                <w:kern w:val="0"/>
                <w:sz w:val="24"/>
              </w:rPr>
              <w:t>赎回差价收入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股票投资收益</w:t>
            </w:r>
            <w:r>
              <w:rPr>
                <w:rFonts w:hint="default" w:ascii="Times New Roman" w:hAnsi="Times New Roman"/>
                <w:color w:val="000000"/>
                <w:kern w:val="0"/>
                <w:sz w:val="24"/>
              </w:rPr>
              <w:t>——</w:t>
            </w:r>
            <w:r>
              <w:rPr>
                <w:rFonts w:hint="eastAsia" w:ascii="Times New Roman" w:hAnsi="Times New Roman"/>
                <w:color w:val="000000"/>
                <w:kern w:val="0"/>
                <w:sz w:val="24"/>
              </w:rPr>
              <w:t>申购差价收入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-3,765,310.18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5,299,429.21</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7.4.7.12.2 </w:t>
      </w:r>
      <w:r>
        <w:rPr>
          <w:rFonts w:hint="eastAsia" w:ascii="Times New Roman" w:hAnsi="Times New Roman"/>
          <w:b/>
          <w:color w:val="000000"/>
          <w:kern w:val="0"/>
          <w:sz w:val="24"/>
        </w:rPr>
        <w:t>股票投资收益</w:t>
      </w:r>
      <w:r>
        <w:rPr>
          <w:rFonts w:hint="default" w:ascii="Times New Roman" w:hAnsi="Times New Roman"/>
          <w:b/>
          <w:color w:val="000000"/>
          <w:kern w:val="0"/>
          <w:sz w:val="24"/>
        </w:rPr>
        <w:t>——</w:t>
      </w:r>
      <w:r>
        <w:rPr>
          <w:rFonts w:hint="eastAsia" w:ascii="Times New Roman" w:hAnsi="Times New Roman"/>
          <w:b/>
          <w:color w:val="000000"/>
          <w:kern w:val="0"/>
          <w:sz w:val="24"/>
        </w:rPr>
        <w:t>买卖股票差价收入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卖出股票成交总额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69,594,005.71</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136,384,031.31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减：卖出股票成本总额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73,359,315.89</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131,084,602.10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买卖股票差价收入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-3,765,310.18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5,299,429.21</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7.4.7.13 </w:t>
      </w:r>
      <w:r>
        <w:rPr>
          <w:rFonts w:hint="eastAsia" w:ascii="Times New Roman" w:hAnsi="Times New Roman"/>
          <w:b/>
          <w:color w:val="000000"/>
          <w:kern w:val="0"/>
          <w:sz w:val="24"/>
        </w:rPr>
        <w:t>债券投资收益</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7.4.7.13.1 </w:t>
      </w:r>
      <w:r>
        <w:rPr>
          <w:rFonts w:hint="eastAsia" w:ascii="Times New Roman" w:hAnsi="Times New Roman"/>
          <w:b/>
          <w:color w:val="000000"/>
          <w:kern w:val="0"/>
          <w:sz w:val="24"/>
        </w:rPr>
        <w:t>债券投资收益项目构成</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债券投资收益</w:t>
            </w:r>
            <w:r>
              <w:rPr>
                <w:rFonts w:hint="default" w:ascii="Times New Roman" w:hAnsi="Times New Roman"/>
                <w:color w:val="000000"/>
                <w:kern w:val="0"/>
                <w:sz w:val="24"/>
              </w:rPr>
              <w:t>——</w:t>
            </w:r>
            <w:r>
              <w:rPr>
                <w:rFonts w:hint="eastAsia" w:ascii="Times New Roman" w:hAnsi="Times New Roman"/>
                <w:color w:val="000000"/>
                <w:kern w:val="0"/>
                <w:sz w:val="24"/>
              </w:rPr>
              <w:t>买卖债券（、债转股及债券到期兑付）差价收入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-2,844,201.54</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2,381,426.35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债券投资收益</w:t>
            </w:r>
            <w:r>
              <w:rPr>
                <w:rFonts w:hint="default" w:ascii="Times New Roman" w:hAnsi="Times New Roman"/>
                <w:color w:val="000000"/>
                <w:kern w:val="0"/>
                <w:sz w:val="24"/>
              </w:rPr>
              <w:t>——</w:t>
            </w:r>
            <w:r>
              <w:rPr>
                <w:rFonts w:hint="eastAsia" w:ascii="Times New Roman" w:hAnsi="Times New Roman"/>
                <w:color w:val="000000"/>
                <w:kern w:val="0"/>
                <w:sz w:val="24"/>
              </w:rPr>
              <w:t>赎回差价收入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债券投资收益</w:t>
            </w:r>
            <w:r>
              <w:rPr>
                <w:rFonts w:hint="default" w:ascii="Times New Roman" w:hAnsi="Times New Roman"/>
                <w:color w:val="000000"/>
                <w:kern w:val="0"/>
                <w:sz w:val="24"/>
              </w:rPr>
              <w:t>——</w:t>
            </w:r>
            <w:r>
              <w:rPr>
                <w:rFonts w:hint="eastAsia" w:ascii="Times New Roman" w:hAnsi="Times New Roman"/>
                <w:color w:val="000000"/>
                <w:kern w:val="0"/>
                <w:sz w:val="24"/>
              </w:rPr>
              <w:t>申购差价收入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-2,844,201.54</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2,381,426.35</w:t>
            </w:r>
          </w:p>
        </w:tc>
      </w:tr>
    </w:tbl>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7.4.7.13.2 </w:t>
      </w:r>
      <w:r>
        <w:rPr>
          <w:rFonts w:hint="eastAsia" w:ascii="Times New Roman" w:hAnsi="Times New Roman"/>
          <w:b/>
          <w:color w:val="000000"/>
          <w:kern w:val="0"/>
          <w:sz w:val="24"/>
        </w:rPr>
        <w:t>债券投资收益</w:t>
      </w:r>
      <w:r>
        <w:rPr>
          <w:rFonts w:hint="default" w:ascii="Times New Roman" w:hAnsi="Times New Roman"/>
          <w:b/>
          <w:color w:val="000000"/>
          <w:kern w:val="0"/>
          <w:sz w:val="24"/>
        </w:rPr>
        <w:t>——</w:t>
      </w:r>
      <w:r>
        <w:rPr>
          <w:rFonts w:hint="eastAsia" w:ascii="Times New Roman" w:hAnsi="Times New Roman"/>
          <w:b/>
          <w:color w:val="000000"/>
          <w:kern w:val="0"/>
          <w:sz w:val="24"/>
        </w:rPr>
        <w:t>买卖债券差价收入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卖出债券（、债转股及债券到期兑付）成交总额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941,356,766.14</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876,336,721.04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减：卖出债券（、债转股及债券到期兑付）成本总额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929,939,665.31</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857,536,069.64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减：应收利息总额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14,261</w:t>
            </w:r>
            <w:r>
              <w:rPr>
                <w:rFonts w:hint="default" w:ascii="Times New Roman" w:eastAsia="Times New Roman"/>
                <w:color w:val="000000"/>
                <w:kern w:val="0"/>
                <w:sz w:val="24"/>
              </w:rPr>
              <w:t>,</w:t>
            </w:r>
            <w:r>
              <w:rPr>
                <w:rFonts w:hint="default" w:ascii="Times New Roman" w:hAnsi="Times New Roman"/>
                <w:color w:val="000000"/>
                <w:kern w:val="0"/>
                <w:sz w:val="24"/>
              </w:rPr>
              <w:t>302</w:t>
            </w:r>
            <w:r>
              <w:rPr>
                <w:rFonts w:hint="default" w:ascii="Times New Roman" w:eastAsia="Times New Roman"/>
                <w:color w:val="000000"/>
                <w:kern w:val="0"/>
                <w:sz w:val="24"/>
              </w:rPr>
              <w:t>.</w:t>
            </w:r>
            <w:r>
              <w:rPr>
                <w:rFonts w:hint="default" w:ascii="Times New Roman" w:hAnsi="Times New Roman"/>
                <w:color w:val="000000"/>
                <w:kern w:val="0"/>
                <w:sz w:val="24"/>
              </w:rPr>
              <w:t>37</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16,419,225.05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买卖债券差价收入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-2,844,201.54</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2,381,426.35</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7.4.7.14 </w:t>
      </w:r>
      <w:r>
        <w:rPr>
          <w:rFonts w:hint="eastAsia" w:ascii="Times New Roman" w:hAnsi="Times New Roman"/>
          <w:b/>
          <w:color w:val="000000"/>
          <w:kern w:val="0"/>
          <w:sz w:val="24"/>
        </w:rPr>
        <w:t>衍生工具收益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本基金于本期及上年度可比期间均未发生衍生工具收益。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7.4.7.15 </w:t>
      </w:r>
      <w:r>
        <w:rPr>
          <w:rFonts w:hint="eastAsia" w:ascii="Times New Roman" w:hAnsi="Times New Roman"/>
          <w:b/>
          <w:color w:val="000000"/>
          <w:kern w:val="0"/>
          <w:sz w:val="24"/>
        </w:rPr>
        <w:t>股利收益</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股票投资产生的股利收益</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99,034.00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376,777.82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基金投资产生的股利收益</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99,034.00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376,777.82</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7.4.7.16 </w:t>
      </w:r>
      <w:r>
        <w:rPr>
          <w:rFonts w:hint="eastAsia" w:ascii="Times New Roman" w:hAnsi="Times New Roman"/>
          <w:b/>
          <w:color w:val="000000"/>
          <w:kern w:val="0"/>
          <w:sz w:val="24"/>
        </w:rPr>
        <w:t>公允价值变动收益</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项目名称</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交易性金融资产</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-5,824,659.02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2,458,046.33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股票投资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-3,242,056.89</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396,216.00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债券投资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-2,582,602.13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2,061,830.33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资产支持证券投资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基金投资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贵金属投资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其他</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衍生工具</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权证投资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其他</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-5,824,659.02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2,458,046.33</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7.4.7.17 </w:t>
      </w:r>
      <w:r>
        <w:rPr>
          <w:rFonts w:hint="eastAsia" w:ascii="Times New Roman" w:hAnsi="Times New Roman"/>
          <w:b/>
          <w:color w:val="000000"/>
          <w:kern w:val="0"/>
          <w:sz w:val="24"/>
        </w:rPr>
        <w:t>其他收入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基金赎回费收入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77,917.12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99,080.70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77,917.12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99,080.70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7.4.7.18 </w:t>
      </w:r>
      <w:r>
        <w:rPr>
          <w:rFonts w:hint="eastAsia" w:ascii="Times New Roman" w:hAnsi="Times New Roman"/>
          <w:b/>
          <w:color w:val="000000"/>
          <w:kern w:val="0"/>
          <w:sz w:val="24"/>
        </w:rPr>
        <w:t>交易费用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交易所市场交易费用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173,450.50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372,024.79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银行间市场交易费用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18,465.00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19,275.00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191,915.50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391,299.79</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7.4.7.19 </w:t>
      </w:r>
      <w:r>
        <w:rPr>
          <w:rFonts w:hint="eastAsia" w:ascii="Times New Roman" w:hAnsi="Times New Roman"/>
          <w:b/>
          <w:color w:val="000000"/>
          <w:kern w:val="0"/>
          <w:sz w:val="24"/>
        </w:rPr>
        <w:t>其他费用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71,999.80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信息披露费</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帐户维护费</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汇划手续费</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9,662.00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22,686.90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查询服务费</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227,861.80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135,386.90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7.4.8 </w:t>
      </w:r>
      <w:r>
        <w:rPr>
          <w:rFonts w:hint="eastAsia" w:ascii="Times New Roman" w:hAnsi="Times New Roman"/>
          <w:b/>
          <w:color w:val="000000"/>
          <w:kern w:val="0"/>
          <w:sz w:val="24"/>
        </w:rPr>
        <w:t>或有事项、资产负债表日后事项的说明</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7.4.8.1 </w:t>
      </w:r>
      <w:r>
        <w:rPr>
          <w:rFonts w:hint="eastAsia" w:ascii="Times New Roman" w:hAnsi="Times New Roman"/>
          <w:b/>
          <w:color w:val="000000"/>
          <w:kern w:val="0"/>
          <w:sz w:val="24"/>
        </w:rPr>
        <w:t>或有事项</w:t>
      </w:r>
    </w:p>
    <w:p>
      <w:pPr>
        <w:autoSpaceDE w:val="0"/>
        <w:autoSpaceDN w:val="0"/>
        <w:adjustRightInd w:val="0"/>
        <w:spacing w:before="29" w:beforeLines="0" w:afterLines="0" w:line="288" w:lineRule="auto"/>
        <w:ind w:left="15" w:firstLine="480"/>
        <w:jc w:val="left"/>
        <w:rPr>
          <w:rFonts w:hint="default" w:ascii="Times New Roman" w:eastAsia="Times New Roman"/>
          <w:color w:val="000000"/>
          <w:kern w:val="0"/>
          <w:sz w:val="24"/>
        </w:rPr>
      </w:pPr>
      <w:r>
        <w:rPr>
          <w:rFonts w:hint="eastAsia" w:ascii="Times New Roman" w:hAnsi="Times New Roman"/>
          <w:color w:val="000000"/>
          <w:kern w:val="0"/>
          <w:sz w:val="24"/>
        </w:rPr>
        <w:t>截至资产负债表日，本基金并无须作披露的或有事项。</w:t>
      </w:r>
    </w:p>
    <w:p>
      <w:pPr>
        <w:autoSpaceDE w:val="0"/>
        <w:autoSpaceDN w:val="0"/>
        <w:adjustRightInd w:val="0"/>
        <w:spacing w:before="29" w:beforeLines="0" w:afterLines="0" w:line="288" w:lineRule="auto"/>
        <w:ind w:left="15" w:firstLine="480"/>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7.4.8.2 </w:t>
      </w:r>
      <w:r>
        <w:rPr>
          <w:rFonts w:hint="eastAsia" w:ascii="Times New Roman" w:hAnsi="Times New Roman"/>
          <w:b/>
          <w:color w:val="000000"/>
          <w:kern w:val="0"/>
          <w:sz w:val="24"/>
        </w:rPr>
        <w:t>资产负债表日后事项</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财政部、国家税务总局于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21</w:t>
      </w:r>
      <w:r>
        <w:rPr>
          <w:rFonts w:hint="eastAsia" w:ascii="Times New Roman" w:hAnsi="Times New Roman"/>
          <w:color w:val="000000"/>
          <w:kern w:val="0"/>
          <w:sz w:val="24"/>
        </w:rPr>
        <w:t>日颁布《关于明确金融房地产开发教育辅助服务等增值税政策的通知》</w:t>
      </w:r>
      <w:r>
        <w:rPr>
          <w:rFonts w:hint="default" w:ascii="Times New Roman" w:hAnsi="Times New Roman"/>
          <w:color w:val="000000"/>
          <w:kern w:val="0"/>
          <w:sz w:val="24"/>
        </w:rPr>
        <w:t>(</w:t>
      </w:r>
      <w:r>
        <w:rPr>
          <w:rFonts w:hint="eastAsia" w:ascii="Times New Roman" w:hAnsi="Times New Roman"/>
          <w:color w:val="000000"/>
          <w:kern w:val="0"/>
          <w:sz w:val="24"/>
        </w:rPr>
        <w:t>财税</w:t>
      </w:r>
      <w:r>
        <w:rPr>
          <w:rFonts w:hint="default" w:ascii="Times New Roman" w:hAnsi="Times New Roman"/>
          <w:color w:val="000000"/>
          <w:kern w:val="0"/>
          <w:sz w:val="24"/>
        </w:rPr>
        <w:t>[2016]140</w:t>
      </w:r>
      <w:r>
        <w:rPr>
          <w:rFonts w:hint="eastAsia" w:ascii="Times New Roman" w:hAnsi="Times New Roman"/>
          <w:color w:val="000000"/>
          <w:kern w:val="0"/>
          <w:sz w:val="24"/>
        </w:rPr>
        <w:t>号</w:t>
      </w:r>
      <w:r>
        <w:rPr>
          <w:rFonts w:hint="default" w:ascii="Times New Roman" w:hAnsi="Times New Roman"/>
          <w:color w:val="000000"/>
          <w:kern w:val="0"/>
          <w:sz w:val="24"/>
        </w:rPr>
        <w:t>)</w:t>
      </w:r>
      <w:r>
        <w:rPr>
          <w:rFonts w:hint="eastAsia" w:ascii="Times New Roman" w:hAnsi="Times New Roman"/>
          <w:color w:val="000000"/>
          <w:kern w:val="0"/>
          <w:sz w:val="24"/>
        </w:rPr>
        <w:t>，要求资管产品运营过程中发生的增值税应税行为，以资管产品管理人为增值税纳税人，自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日起执行。</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根据财政部、国家税务总局于</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6</w:t>
      </w:r>
      <w:r>
        <w:rPr>
          <w:rFonts w:hint="eastAsia" w:ascii="Times New Roman" w:hAnsi="Times New Roman"/>
          <w:color w:val="000000"/>
          <w:kern w:val="0"/>
          <w:sz w:val="24"/>
        </w:rPr>
        <w:t>日颁布的《关于资管产品增值税政策有关问题的补充通知》</w:t>
      </w:r>
      <w:r>
        <w:rPr>
          <w:rFonts w:hint="default" w:ascii="Times New Roman" w:hAnsi="Times New Roman"/>
          <w:color w:val="000000"/>
          <w:kern w:val="0"/>
          <w:sz w:val="24"/>
        </w:rPr>
        <w:t>(</w:t>
      </w:r>
      <w:r>
        <w:rPr>
          <w:rFonts w:hint="eastAsia" w:ascii="Times New Roman" w:hAnsi="Times New Roman"/>
          <w:color w:val="000000"/>
          <w:kern w:val="0"/>
          <w:sz w:val="24"/>
        </w:rPr>
        <w:t>财税</w:t>
      </w:r>
      <w:r>
        <w:rPr>
          <w:rFonts w:hint="default" w:ascii="Times New Roman" w:hAnsi="Times New Roman"/>
          <w:color w:val="000000"/>
          <w:kern w:val="0"/>
          <w:sz w:val="24"/>
        </w:rPr>
        <w:t>[2017]2</w:t>
      </w:r>
      <w:r>
        <w:rPr>
          <w:rFonts w:hint="eastAsia" w:ascii="Times New Roman" w:hAnsi="Times New Roman"/>
          <w:color w:val="000000"/>
          <w:kern w:val="0"/>
          <w:sz w:val="24"/>
        </w:rPr>
        <w:t>号</w:t>
      </w:r>
      <w:r>
        <w:rPr>
          <w:rFonts w:hint="default" w:ascii="Times New Roman" w:hAnsi="Times New Roman"/>
          <w:color w:val="000000"/>
          <w:kern w:val="0"/>
          <w:sz w:val="24"/>
        </w:rPr>
        <w:t>)</w:t>
      </w:r>
      <w:r>
        <w:rPr>
          <w:rFonts w:hint="eastAsia" w:ascii="Times New Roman" w:hAnsi="Times New Roman"/>
          <w:color w:val="000000"/>
          <w:kern w:val="0"/>
          <w:sz w:val="24"/>
        </w:rPr>
        <w:t>，</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含</w:t>
      </w:r>
      <w:r>
        <w:rPr>
          <w:rFonts w:hint="default" w:ascii="Times New Roman" w:hAnsi="Times New Roman"/>
          <w:color w:val="000000"/>
          <w:kern w:val="0"/>
          <w:sz w:val="24"/>
        </w:rPr>
        <w:t>)</w:t>
      </w:r>
      <w:r>
        <w:rPr>
          <w:rFonts w:hint="eastAsia" w:ascii="Times New Roman" w:hAnsi="Times New Roman"/>
          <w:color w:val="000000"/>
          <w:kern w:val="0"/>
          <w:sz w:val="24"/>
        </w:rPr>
        <w:t>以后，资管产品运营过程中发生的增值税应税行为，以资管产品管理人为增值税纳税人，按照现行规定缴纳增值税。对资管产品在</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7.4.9 </w:t>
      </w:r>
      <w:r>
        <w:rPr>
          <w:rFonts w:hint="eastAsia" w:ascii="Times New Roman" w:hAnsi="Times New Roman"/>
          <w:b/>
          <w:color w:val="000000"/>
          <w:kern w:val="0"/>
          <w:sz w:val="24"/>
        </w:rPr>
        <w:t>关联方关系</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7.4.9.1 </w:t>
      </w:r>
      <w:r>
        <w:rPr>
          <w:rFonts w:hint="eastAsia" w:ascii="Times New Roman" w:hAnsi="Times New Roman"/>
          <w:b/>
          <w:color w:val="000000"/>
          <w:kern w:val="0"/>
          <w:sz w:val="24"/>
        </w:rPr>
        <w:t>本报告期存在控制关系或其他重大利害关系的关联方发生变化的情况</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本报告期不存在重大关联方发生变化的情况。</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b/>
          <w:color w:val="000000"/>
          <w:kern w:val="0"/>
          <w:sz w:val="24"/>
        </w:rPr>
        <w:t xml:space="preserve">7.4.9.2 </w:t>
      </w:r>
      <w:r>
        <w:rPr>
          <w:rFonts w:hint="eastAsia" w:ascii="Times New Roman" w:hAnsi="Times New Roman"/>
          <w:b/>
          <w:color w:val="000000"/>
          <w:kern w:val="0"/>
          <w:sz w:val="24"/>
        </w:rPr>
        <w:t>本报告期与基金发生关联交易的各关联方</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34"/>
        <w:gridCol w:w="46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与本基金的关系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基金管理人、注册登记机构、基金销售机构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中国工商银行股份有限公司</w:t>
            </w:r>
            <w:r>
              <w:rPr>
                <w:rFonts w:hint="default" w:ascii="Times New Roman" w:hAnsi="Times New Roman"/>
                <w:color w:val="000000"/>
                <w:kern w:val="0"/>
                <w:sz w:val="24"/>
              </w:rPr>
              <w:t>(</w:t>
            </w:r>
            <w:r>
              <w:rPr>
                <w:rFonts w:hint="eastAsia" w:ascii="Times New Roman" w:hAnsi="Times New Roman"/>
                <w:color w:val="000000"/>
                <w:kern w:val="0"/>
                <w:sz w:val="24"/>
              </w:rPr>
              <w:t>“中国工商银行”</w:t>
            </w:r>
            <w:r>
              <w:rPr>
                <w:rFonts w:hint="default" w:ascii="Times New Roman" w:hAnsi="Times New Roman"/>
                <w:color w:val="000000"/>
                <w:kern w:val="0"/>
                <w:sz w:val="24"/>
              </w:rPr>
              <w:t>)</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基金托管人、基金代销机构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第一创业证券股份有限公司</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基金管理人的股东、基金代销机构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深圳市金合信投资合伙企业</w:t>
            </w:r>
            <w:r>
              <w:rPr>
                <w:rFonts w:hint="default" w:ascii="Times New Roman" w:hAnsi="Times New Roman"/>
                <w:color w:val="000000"/>
                <w:kern w:val="0"/>
                <w:sz w:val="24"/>
              </w:rPr>
              <w:t>(</w:t>
            </w:r>
            <w:r>
              <w:rPr>
                <w:rFonts w:hint="eastAsia" w:ascii="Times New Roman" w:hAnsi="Times New Roman"/>
                <w:color w:val="000000"/>
                <w:kern w:val="0"/>
                <w:sz w:val="24"/>
              </w:rPr>
              <w:t>有限合伙</w:t>
            </w:r>
            <w:r>
              <w:rPr>
                <w:rFonts w:hint="default" w:ascii="Times New Roman" w:hAnsi="Times New Roman"/>
                <w:color w:val="000000"/>
                <w:kern w:val="0"/>
                <w:sz w:val="24"/>
              </w:rPr>
              <w:t>)</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基金管理人的股东</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 </w:t>
      </w:r>
      <w:r>
        <w:rPr>
          <w:rFonts w:hint="eastAsia" w:ascii="Times New Roman" w:hAnsi="Times New Roman"/>
          <w:b/>
          <w:color w:val="000000"/>
          <w:kern w:val="0"/>
          <w:sz w:val="24"/>
        </w:rPr>
        <w:t>本报告期及上年度可比期间的关联方交易</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 </w:t>
      </w:r>
      <w:r>
        <w:rPr>
          <w:rFonts w:hint="eastAsia" w:ascii="Times New Roman" w:hAnsi="Times New Roman"/>
          <w:b/>
          <w:color w:val="000000"/>
          <w:kern w:val="0"/>
          <w:sz w:val="24"/>
        </w:rPr>
        <w:t>通过关联方交易单元进行的交易</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7.4.10.1.1 </w:t>
      </w:r>
      <w:r>
        <w:rPr>
          <w:rFonts w:hint="eastAsia" w:ascii="Times New Roman" w:hAnsi="Times New Roman"/>
          <w:b/>
          <w:color w:val="000000"/>
          <w:kern w:val="0"/>
          <w:sz w:val="24"/>
        </w:rPr>
        <w:t>股票交易</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6"/>
        <w:gridCol w:w="1806"/>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占当期股票</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成交总额的比例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占当期股票</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成交总额的比例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第一创业证券股份有限公司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9,905,905.00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283,892,586.41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7.4.10.1.2 </w:t>
      </w:r>
      <w:r>
        <w:rPr>
          <w:rFonts w:hint="eastAsia" w:ascii="Times New Roman" w:hAnsi="Times New Roman"/>
          <w:b/>
          <w:color w:val="000000"/>
          <w:kern w:val="0"/>
          <w:sz w:val="24"/>
        </w:rPr>
        <w:t>权证交易</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本基金于本期及上年度可比期间均未通过关联方交易单元进行权证交易。</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7.4.10.1.3 </w:t>
      </w:r>
      <w:r>
        <w:rPr>
          <w:rFonts w:hint="eastAsia" w:ascii="Times New Roman" w:hAnsi="Times New Roman"/>
          <w:b/>
          <w:color w:val="000000"/>
          <w:kern w:val="0"/>
          <w:sz w:val="24"/>
        </w:rPr>
        <w:t>应支付关联方的佣金</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6"/>
        <w:gridCol w:w="2167"/>
        <w:gridCol w:w="1445"/>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7224" w:type="dxa"/>
            <w:gridSpan w:val="4"/>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当期佣金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占当期佣金总量的比例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期末应付佣金余额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占期末应付佣金总额的比例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7,124.53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7224" w:type="dxa"/>
            <w:gridSpan w:val="4"/>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当期佣金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占当期佣金总量的比例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期末应付佣金余额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占期末应付佣金总额的比例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198,373.16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198,373.16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 xml:space="preserve">1. </w:t>
      </w:r>
      <w:r>
        <w:rPr>
          <w:rFonts w:hint="eastAsia" w:ascii="Times New Roman" w:hAnsi="Times New Roman"/>
          <w:color w:val="000000"/>
          <w:kern w:val="0"/>
          <w:sz w:val="21"/>
        </w:rPr>
        <w:t>上述佣金参考市场价格经本基金的基金管理人与对方协商确定，以扣除由中国证券登记结算有限责任公司收取的证管费和经手费的净额列示。</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 xml:space="preserve">2. </w:t>
      </w:r>
      <w:r>
        <w:rPr>
          <w:rFonts w:hint="eastAsia" w:ascii="Times New Roman" w:hAnsi="Times New Roman"/>
          <w:color w:val="000000"/>
          <w:kern w:val="0"/>
          <w:sz w:val="21"/>
        </w:rPr>
        <w:t>该类佣金协议的服务范围还包括佣金收取方为本基金提供的证券投资研究成果和市场信息服务等。</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7.4.10.1.4 </w:t>
      </w:r>
      <w:r>
        <w:rPr>
          <w:rFonts w:hint="eastAsia" w:ascii="Times New Roman" w:hAnsi="Times New Roman"/>
          <w:b/>
          <w:color w:val="000000"/>
          <w:kern w:val="0"/>
          <w:sz w:val="24"/>
        </w:rPr>
        <w:t>债券交易</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6"/>
        <w:gridCol w:w="2167"/>
        <w:gridCol w:w="1445"/>
        <w:gridCol w:w="2167"/>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占当期债券成交总额的比例</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占当期债券成交总额的比例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第一创业证券股份有限公司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141,782,416.89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35.01%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422,427,853.27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7.4.10.1.5 </w:t>
      </w:r>
      <w:r>
        <w:rPr>
          <w:rFonts w:hint="eastAsia" w:ascii="Times New Roman" w:hAnsi="Times New Roman"/>
          <w:b/>
          <w:color w:val="000000"/>
          <w:kern w:val="0"/>
          <w:sz w:val="24"/>
        </w:rPr>
        <w:t>债券回购交易</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6"/>
        <w:gridCol w:w="2167"/>
        <w:gridCol w:w="1445"/>
        <w:gridCol w:w="2167"/>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占当期债券回购成交总额的比例</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占当期债券回购成交总额的比例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第一创业证券股份有限公司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1,065,700,000.00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35.11%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1,759,100,000.00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 </w:t>
      </w:r>
      <w:r>
        <w:rPr>
          <w:rFonts w:hint="eastAsia" w:ascii="Times New Roman" w:hAnsi="Times New Roman"/>
          <w:b/>
          <w:color w:val="000000"/>
          <w:kern w:val="0"/>
          <w:sz w:val="24"/>
        </w:rPr>
        <w:t>关联方报酬</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7.4.10.2.1 </w:t>
      </w:r>
      <w:r>
        <w:rPr>
          <w:rFonts w:hint="eastAsia" w:ascii="Times New Roman" w:hAnsi="Times New Roman"/>
          <w:b/>
          <w:color w:val="000000"/>
          <w:kern w:val="0"/>
          <w:sz w:val="24"/>
        </w:rPr>
        <w:t>基金管理费</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8"/>
        <w:gridCol w:w="3251"/>
        <w:gridCol w:w="3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当期发生的基金应支付的管理费</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940,745.43</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1,088,521.63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其中：支付销售机构的客户维护费</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464,791.15</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756,918.30</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注：支付基金管理人创金合信基金管理有限公司的管理人报酬按前一日基金资产净值</w:t>
      </w:r>
      <w:r>
        <w:rPr>
          <w:rFonts w:hint="default" w:ascii="Times New Roman" w:hAnsi="Times New Roman"/>
          <w:color w:val="000000"/>
          <w:kern w:val="0"/>
          <w:sz w:val="21"/>
        </w:rPr>
        <w:t>0.70%</w:t>
      </w:r>
      <w:r>
        <w:rPr>
          <w:rFonts w:hint="eastAsia" w:ascii="Times New Roman" w:hAnsi="Times New Roman"/>
          <w:color w:val="000000"/>
          <w:kern w:val="0"/>
          <w:sz w:val="21"/>
        </w:rPr>
        <w:t>的年费率计提，逐日累计至每月月底，按月支付。其计算公式为：</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日管理人报酬＝前一日基金资产净值</w:t>
      </w:r>
      <w:r>
        <w:rPr>
          <w:rFonts w:hint="default" w:ascii="Times New Roman" w:hAnsi="Times New Roman"/>
          <w:color w:val="000000"/>
          <w:kern w:val="0"/>
          <w:sz w:val="21"/>
        </w:rPr>
        <w:t xml:space="preserve">X 0.70% / </w:t>
      </w:r>
      <w:r>
        <w:rPr>
          <w:rFonts w:hint="eastAsia" w:ascii="Times New Roman" w:hAnsi="Times New Roman"/>
          <w:color w:val="000000"/>
          <w:kern w:val="0"/>
          <w:sz w:val="21"/>
        </w:rPr>
        <w:t>当年天数。</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7.4.10.2.2 </w:t>
      </w:r>
      <w:r>
        <w:rPr>
          <w:rFonts w:hint="eastAsia" w:ascii="Times New Roman" w:hAnsi="Times New Roman"/>
          <w:b/>
          <w:color w:val="000000"/>
          <w:kern w:val="0"/>
          <w:sz w:val="24"/>
        </w:rPr>
        <w:t>基金托管费</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8"/>
        <w:gridCol w:w="3251"/>
        <w:gridCol w:w="3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当期发生的基金应支付的托管费</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268,784.42</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311,006.25</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注：支付基金托管人中国工商银行的托管费按前一日基金资产净值</w:t>
      </w:r>
      <w:r>
        <w:rPr>
          <w:rFonts w:hint="default" w:ascii="Times New Roman" w:hAnsi="Times New Roman"/>
          <w:color w:val="000000"/>
          <w:kern w:val="0"/>
          <w:sz w:val="21"/>
        </w:rPr>
        <w:t>0.20%</w:t>
      </w:r>
      <w:r>
        <w:rPr>
          <w:rFonts w:hint="eastAsia" w:ascii="Times New Roman" w:hAnsi="Times New Roman"/>
          <w:color w:val="000000"/>
          <w:kern w:val="0"/>
          <w:sz w:val="21"/>
        </w:rPr>
        <w:t>的年费率计提，逐日累计至每月月底，按月支付。其计算公式为：</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日托管费＝前一日基金资产净值</w:t>
      </w:r>
      <w:r>
        <w:rPr>
          <w:rFonts w:hint="default" w:ascii="Times New Roman" w:hAnsi="Times New Roman"/>
          <w:color w:val="000000"/>
          <w:kern w:val="0"/>
          <w:sz w:val="21"/>
        </w:rPr>
        <w:t xml:space="preserve">X 0.20% / </w:t>
      </w:r>
      <w:r>
        <w:rPr>
          <w:rFonts w:hint="eastAsia" w:ascii="Times New Roman" w:hAnsi="Times New Roman"/>
          <w:color w:val="000000"/>
          <w:kern w:val="0"/>
          <w:sz w:val="21"/>
        </w:rPr>
        <w:t>当年天数。</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7.4.10.2.3 </w:t>
      </w:r>
      <w:r>
        <w:rPr>
          <w:rFonts w:hint="eastAsia" w:ascii="Times New Roman" w:hAnsi="Times New Roman"/>
          <w:b/>
          <w:color w:val="000000"/>
          <w:kern w:val="0"/>
          <w:sz w:val="24"/>
        </w:rPr>
        <w:t>销售服务费</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8"/>
        <w:gridCol w:w="2168"/>
        <w:gridCol w:w="2167"/>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获得销售服务费的</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工商银行</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93,349.88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93,349.88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135.73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135.73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eastAsia="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93485.61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93485.61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获得销售服务费的</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各关联方名称</w:t>
            </w:r>
          </w:p>
        </w:tc>
        <w:tc>
          <w:tcPr>
            <w:tcW w:w="6502"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工商银行</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126,789.73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工商银行</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126,789.73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37.04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eastAsia="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126826.77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126826.77</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注：支付基金销售机构的销售服务费按前一日</w:t>
      </w:r>
      <w:r>
        <w:rPr>
          <w:rFonts w:hint="default" w:ascii="Times New Roman" w:hAnsi="Times New Roman"/>
          <w:color w:val="000000"/>
          <w:kern w:val="0"/>
          <w:sz w:val="21"/>
        </w:rPr>
        <w:t>C</w:t>
      </w:r>
      <w:r>
        <w:rPr>
          <w:rFonts w:hint="eastAsia" w:ascii="Times New Roman" w:hAnsi="Times New Roman"/>
          <w:color w:val="000000"/>
          <w:kern w:val="0"/>
          <w:sz w:val="21"/>
        </w:rPr>
        <w:t>类基金的基金资产净值</w:t>
      </w:r>
      <w:r>
        <w:rPr>
          <w:rFonts w:hint="default" w:ascii="Times New Roman" w:hAnsi="Times New Roman"/>
          <w:color w:val="000000"/>
          <w:kern w:val="0"/>
          <w:sz w:val="21"/>
        </w:rPr>
        <w:t>0.4%</w:t>
      </w:r>
      <w:r>
        <w:rPr>
          <w:rFonts w:hint="eastAsia" w:ascii="Times New Roman" w:hAnsi="Times New Roman"/>
          <w:color w:val="000000"/>
          <w:kern w:val="0"/>
          <w:sz w:val="21"/>
        </w:rPr>
        <w:t>的年费率计提，逐日累计至每月月底，按月支付给创金合信基金管理有限公司，再由创金合信基金管理有限公司计算并支付给各基金销售机构。其计算公式为：日销售服务费＝</w:t>
      </w:r>
      <w:r>
        <w:rPr>
          <w:rFonts w:hint="default" w:ascii="Times New Roman" w:hAnsi="Times New Roman"/>
          <w:color w:val="000000"/>
          <w:kern w:val="0"/>
          <w:sz w:val="21"/>
        </w:rPr>
        <w:t>C</w:t>
      </w:r>
      <w:r>
        <w:rPr>
          <w:rFonts w:hint="eastAsia" w:ascii="Times New Roman" w:hAnsi="Times New Roman"/>
          <w:color w:val="000000"/>
          <w:kern w:val="0"/>
          <w:sz w:val="21"/>
        </w:rPr>
        <w:t>类基金前一日基金资产净值×</w:t>
      </w:r>
      <w:r>
        <w:rPr>
          <w:rFonts w:hint="default" w:ascii="Times New Roman" w:hAnsi="Times New Roman"/>
          <w:color w:val="000000"/>
          <w:kern w:val="0"/>
          <w:sz w:val="21"/>
        </w:rPr>
        <w:t xml:space="preserve"> 0.4%/ </w:t>
      </w:r>
      <w:r>
        <w:rPr>
          <w:rFonts w:hint="eastAsia" w:ascii="Times New Roman" w:hAnsi="Times New Roman"/>
          <w:color w:val="000000"/>
          <w:kern w:val="0"/>
          <w:sz w:val="21"/>
        </w:rPr>
        <w:t>当年天数。</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7.4.10.3 </w:t>
      </w:r>
      <w:r>
        <w:rPr>
          <w:rFonts w:hint="eastAsia" w:ascii="Times New Roman" w:hAnsi="Times New Roman"/>
          <w:b/>
          <w:color w:val="000000"/>
          <w:kern w:val="0"/>
          <w:sz w:val="24"/>
        </w:rPr>
        <w:t>与关联方进行银行间同业市场的债券</w:t>
      </w:r>
      <w:r>
        <w:rPr>
          <w:rFonts w:hint="default" w:ascii="Times New Roman" w:hAnsi="Times New Roman"/>
          <w:b/>
          <w:color w:val="000000"/>
          <w:kern w:val="0"/>
          <w:sz w:val="24"/>
        </w:rPr>
        <w:t>(</w:t>
      </w:r>
      <w:r>
        <w:rPr>
          <w:rFonts w:hint="eastAsia" w:ascii="Times New Roman" w:hAnsi="Times New Roman"/>
          <w:b/>
          <w:color w:val="000000"/>
          <w:kern w:val="0"/>
          <w:sz w:val="24"/>
        </w:rPr>
        <w:t>含回购</w:t>
      </w:r>
      <w:r>
        <w:rPr>
          <w:rFonts w:hint="default" w:ascii="Times New Roman" w:hAnsi="Times New Roman"/>
          <w:b/>
          <w:color w:val="000000"/>
          <w:kern w:val="0"/>
          <w:sz w:val="24"/>
        </w:rPr>
        <w:t>)</w:t>
      </w:r>
      <w:r>
        <w:rPr>
          <w:rFonts w:hint="eastAsia" w:ascii="Times New Roman" w:hAnsi="Times New Roman"/>
          <w:b/>
          <w:color w:val="000000"/>
          <w:kern w:val="0"/>
          <w:sz w:val="24"/>
        </w:rPr>
        <w:t>交易</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8"/>
        <w:gridCol w:w="1084"/>
        <w:gridCol w:w="1084"/>
        <w:gridCol w:w="1083"/>
        <w:gridCol w:w="1084"/>
        <w:gridCol w:w="1083"/>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9030" w:type="dxa"/>
            <w:gridSpan w:val="7"/>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银行间市场交易的</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各关联方名称</w:t>
            </w:r>
          </w:p>
        </w:tc>
        <w:tc>
          <w:tcPr>
            <w:tcW w:w="216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债券交易金额</w:t>
            </w:r>
          </w:p>
        </w:tc>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基金逆回购</w:t>
            </w:r>
          </w:p>
        </w:tc>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基金正回购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基金买入</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基金卖出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交易金额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交易金额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利息支出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中国工商银行</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20,580,636.34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9030" w:type="dxa"/>
            <w:gridSpan w:val="7"/>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银行间市场交易的</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各关联方名称</w:t>
            </w:r>
          </w:p>
        </w:tc>
        <w:tc>
          <w:tcPr>
            <w:tcW w:w="216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债券交易金额</w:t>
            </w:r>
          </w:p>
        </w:tc>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基金逆回购</w:t>
            </w:r>
          </w:p>
        </w:tc>
        <w:tc>
          <w:tcPr>
            <w:tcW w:w="216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基金正回购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基金买入</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基金卖出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交易金额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交易金额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利息支出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中国工商银行</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bl>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7.4.10.4 </w:t>
      </w:r>
      <w:r>
        <w:rPr>
          <w:rFonts w:hint="eastAsia" w:ascii="Times New Roman" w:hAnsi="Times New Roman"/>
          <w:b/>
          <w:color w:val="000000"/>
          <w:kern w:val="0"/>
          <w:sz w:val="24"/>
        </w:rPr>
        <w:t>各关联方投资本基金的情况</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7.4.10.4.1 </w:t>
      </w:r>
      <w:r>
        <w:rPr>
          <w:rFonts w:hint="eastAsia" w:ascii="Times New Roman" w:hAnsi="Times New Roman"/>
          <w:b/>
          <w:color w:val="000000"/>
          <w:kern w:val="0"/>
          <w:sz w:val="24"/>
        </w:rPr>
        <w:t>报告期内基金管理人运用固有资金投资本基金的情况</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本报告期内无基金管理人运用固有资金投资本基金的情况。</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7.4.10.4.2 </w:t>
      </w:r>
      <w:r>
        <w:rPr>
          <w:rFonts w:hint="eastAsia" w:ascii="Times New Roman" w:hAnsi="Times New Roman"/>
          <w:b/>
          <w:color w:val="000000"/>
          <w:kern w:val="0"/>
          <w:sz w:val="24"/>
        </w:rPr>
        <w:t>报告期末除基金管理人之外的其他关联方投资本基金的情况</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本报告期末无除管理人之外的其他关联方投资本基金的情况。</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7.4.10.5 </w:t>
      </w:r>
      <w:r>
        <w:rPr>
          <w:rFonts w:hint="eastAsia" w:ascii="Times New Roman" w:hAnsi="Times New Roman"/>
          <w:b/>
          <w:color w:val="000000"/>
          <w:kern w:val="0"/>
          <w:sz w:val="24"/>
        </w:rPr>
        <w:t>由关联方保管的银行存款余额及当期产生的利息收入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6"/>
        <w:gridCol w:w="1806"/>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期末余额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当期利息收入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期末余额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当期利息收入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中国工商银行活期存款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12,713,231.34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87,166.55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28,052,291.07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169,997.19</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注：本基金的银行存款由基金托管人中国工商银行保管，按金融机构同业存款利率计息。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7.4.10.6 </w:t>
      </w:r>
      <w:r>
        <w:rPr>
          <w:rFonts w:hint="eastAsia" w:ascii="Times New Roman" w:hAnsi="Times New Roman"/>
          <w:b/>
          <w:color w:val="000000"/>
          <w:kern w:val="0"/>
          <w:sz w:val="24"/>
        </w:rPr>
        <w:t>本基金在承销期内参与关联方承销证券的情况</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本报告期及上年度可比期间，本基金未发生承销期内参与关联方承销证券的情况。</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7.4.10.7 </w:t>
      </w:r>
      <w:r>
        <w:rPr>
          <w:rFonts w:hint="eastAsia" w:ascii="Times New Roman" w:hAnsi="Times New Roman"/>
          <w:b/>
          <w:color w:val="000000"/>
          <w:kern w:val="0"/>
          <w:sz w:val="24"/>
        </w:rPr>
        <w:t>其他关联交易事项的说明</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无</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7.4.11 </w:t>
      </w:r>
      <w:r>
        <w:rPr>
          <w:rFonts w:hint="eastAsia" w:ascii="Times New Roman" w:hAnsi="Times New Roman"/>
          <w:b/>
          <w:color w:val="000000"/>
          <w:kern w:val="0"/>
          <w:sz w:val="24"/>
        </w:rPr>
        <w:t>利润分配情况</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本基金于本期未进行利润分配。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 </w:t>
      </w:r>
      <w:r>
        <w:rPr>
          <w:rFonts w:hint="eastAsia" w:ascii="Times New Roman" w:hAnsi="Times New Roman"/>
          <w:b/>
          <w:color w:val="000000"/>
          <w:kern w:val="0"/>
          <w:sz w:val="24"/>
        </w:rPr>
        <w:t>期末（</w:t>
      </w:r>
      <w:r>
        <w:rPr>
          <w:rFonts w:hint="default" w:ascii="Times New Roman" w:hAnsi="Times New Roman"/>
          <w:b/>
          <w:color w:val="000000"/>
          <w:kern w:val="0"/>
          <w:sz w:val="24"/>
        </w:rPr>
        <w:t>2016</w:t>
      </w:r>
      <w:r>
        <w:rPr>
          <w:rFonts w:hint="eastAsia" w:ascii="Times New Roman" w:hAnsi="Times New Roman"/>
          <w:b/>
          <w:color w:val="000000"/>
          <w:kern w:val="0"/>
          <w:sz w:val="24"/>
        </w:rPr>
        <w:t>年</w:t>
      </w:r>
      <w:r>
        <w:rPr>
          <w:rFonts w:hint="default" w:ascii="Times New Roman" w:hAnsi="Times New Roman"/>
          <w:b/>
          <w:color w:val="000000"/>
          <w:kern w:val="0"/>
          <w:sz w:val="24"/>
        </w:rPr>
        <w:t>12</w:t>
      </w:r>
      <w:r>
        <w:rPr>
          <w:rFonts w:hint="eastAsia" w:ascii="Times New Roman" w:hAnsi="Times New Roman"/>
          <w:b/>
          <w:color w:val="000000"/>
          <w:kern w:val="0"/>
          <w:sz w:val="24"/>
        </w:rPr>
        <w:t>月</w:t>
      </w:r>
      <w:r>
        <w:rPr>
          <w:rFonts w:hint="default" w:ascii="Times New Roman" w:hAnsi="Times New Roman"/>
          <w:b/>
          <w:color w:val="000000"/>
          <w:kern w:val="0"/>
          <w:sz w:val="24"/>
        </w:rPr>
        <w:t>31</w:t>
      </w:r>
      <w:r>
        <w:rPr>
          <w:rFonts w:hint="eastAsia" w:ascii="Times New Roman" w:hAnsi="Times New Roman"/>
          <w:b/>
          <w:color w:val="000000"/>
          <w:kern w:val="0"/>
          <w:sz w:val="24"/>
        </w:rPr>
        <w:t>日）本基金持有的流通受限证券</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7.4.12.1 </w:t>
      </w:r>
      <w:r>
        <w:rPr>
          <w:rFonts w:hint="eastAsia" w:ascii="Times New Roman" w:hAnsi="Times New Roman"/>
          <w:b/>
          <w:color w:val="000000"/>
          <w:kern w:val="0"/>
          <w:sz w:val="24"/>
        </w:rPr>
        <w:t>因认购新发</w:t>
      </w:r>
      <w:r>
        <w:rPr>
          <w:rFonts w:hint="default" w:ascii="Times New Roman" w:hAnsi="Times New Roman"/>
          <w:b/>
          <w:color w:val="000000"/>
          <w:kern w:val="0"/>
          <w:sz w:val="24"/>
        </w:rPr>
        <w:t>/</w:t>
      </w:r>
      <w:r>
        <w:rPr>
          <w:rFonts w:hint="eastAsia" w:ascii="Times New Roman" w:hAnsi="Times New Roman"/>
          <w:b/>
          <w:color w:val="000000"/>
          <w:kern w:val="0"/>
          <w:sz w:val="24"/>
        </w:rPr>
        <w:t>增发证券而于期末持有的流通受限证券</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本基金于本期末未持有因认购新发</w:t>
      </w:r>
      <w:r>
        <w:rPr>
          <w:rFonts w:hint="default" w:ascii="Times New Roman" w:hAnsi="Times New Roman"/>
          <w:color w:val="000000"/>
          <w:kern w:val="0"/>
          <w:sz w:val="24"/>
        </w:rPr>
        <w:t>/</w:t>
      </w:r>
      <w:r>
        <w:rPr>
          <w:rFonts w:hint="eastAsia" w:ascii="Times New Roman" w:hAnsi="Times New Roman"/>
          <w:color w:val="000000"/>
          <w:kern w:val="0"/>
          <w:sz w:val="24"/>
        </w:rPr>
        <w:t>增发证券而流通受限的证券。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7.4.12.2 </w:t>
      </w:r>
      <w:r>
        <w:rPr>
          <w:rFonts w:hint="eastAsia" w:ascii="Times New Roman" w:hAnsi="Times New Roman"/>
          <w:b/>
          <w:color w:val="000000"/>
          <w:kern w:val="0"/>
          <w:sz w:val="24"/>
        </w:rPr>
        <w:t>期末持有的暂时停牌等流通受限股票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723"/>
        <w:gridCol w:w="722"/>
        <w:gridCol w:w="1084"/>
        <w:gridCol w:w="1083"/>
        <w:gridCol w:w="723"/>
        <w:gridCol w:w="1083"/>
        <w:gridCol w:w="723"/>
        <w:gridCol w:w="1083"/>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股票代码</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股票名称</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停牌日期</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停牌原因</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估值单价</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复牌日期</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复牌</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开盘单价</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数量</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成本总额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估值总额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1"/>
              </w:rPr>
            </w:pPr>
            <w:r>
              <w:rPr>
                <w:rFonts w:hint="default" w:ascii="Times New Roman" w:hAnsi="Times New Roman"/>
                <w:color w:val="000000"/>
                <w:kern w:val="0"/>
                <w:sz w:val="21"/>
              </w:rPr>
              <w:t>002727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一心堂</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1"/>
              </w:rPr>
            </w:pPr>
            <w:r>
              <w:rPr>
                <w:rFonts w:hint="default" w:ascii="Times New Roman" w:hAnsi="Times New Roman"/>
                <w:color w:val="000000"/>
                <w:kern w:val="0"/>
                <w:sz w:val="21"/>
              </w:rPr>
              <w:t>2016-12-28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21.20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1"/>
              </w:rPr>
            </w:pPr>
            <w:r>
              <w:rPr>
                <w:rFonts w:hint="default" w:ascii="Times New Roman" w:hAnsi="Times New Roman"/>
                <w:color w:val="000000"/>
                <w:kern w:val="0"/>
                <w:sz w:val="21"/>
              </w:rPr>
              <w:t>2017-01-05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21.66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21,400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565,300.00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453,680.00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1"/>
              </w:rPr>
            </w:pPr>
            <w:r>
              <w:rPr>
                <w:rFonts w:hint="default" w:ascii="Times New Roman" w:hAnsi="Times New Roman"/>
                <w:color w:val="000000"/>
                <w:kern w:val="0"/>
                <w:sz w:val="21"/>
              </w:rPr>
              <w:t>300100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双林股份</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1"/>
              </w:rPr>
            </w:pPr>
            <w:r>
              <w:rPr>
                <w:rFonts w:hint="default" w:ascii="Times New Roman" w:hAnsi="Times New Roman"/>
                <w:color w:val="000000"/>
                <w:kern w:val="0"/>
                <w:sz w:val="21"/>
              </w:rPr>
              <w:t>2016-11-07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34.00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1"/>
              </w:rPr>
            </w:pPr>
            <w:r>
              <w:rPr>
                <w:rFonts w:hint="default" w:ascii="Times New Roman" w:hAnsi="Times New Roman"/>
                <w:color w:val="000000"/>
                <w:kern w:val="0"/>
                <w:sz w:val="21"/>
              </w:rPr>
              <w:t>2017-01-25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30.60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12,000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410,400.00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408,000.00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1"/>
              </w:rPr>
            </w:pPr>
            <w:r>
              <w:rPr>
                <w:rFonts w:hint="default" w:ascii="Times New Roman" w:hAnsi="Times New Roman"/>
                <w:color w:val="000000"/>
                <w:kern w:val="0"/>
                <w:sz w:val="21"/>
              </w:rPr>
              <w:t>600859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王府井</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1"/>
              </w:rPr>
            </w:pPr>
            <w:r>
              <w:rPr>
                <w:rFonts w:hint="default" w:ascii="Times New Roman" w:hAnsi="Times New Roman"/>
                <w:color w:val="000000"/>
                <w:kern w:val="0"/>
                <w:sz w:val="21"/>
              </w:rPr>
              <w:t>2016-09-27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16.28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14,300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279,400.00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232,804.00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1"/>
              </w:rPr>
            </w:pPr>
            <w:r>
              <w:rPr>
                <w:rFonts w:hint="default" w:ascii="Times New Roman" w:hAnsi="Times New Roman"/>
                <w:color w:val="000000"/>
                <w:kern w:val="0"/>
                <w:sz w:val="21"/>
              </w:rPr>
              <w:t>000887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中鼎股份</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1"/>
              </w:rPr>
            </w:pPr>
            <w:r>
              <w:rPr>
                <w:rFonts w:hint="default" w:ascii="Times New Roman" w:hAnsi="Times New Roman"/>
                <w:color w:val="000000"/>
                <w:kern w:val="0"/>
                <w:sz w:val="21"/>
              </w:rPr>
              <w:t>2016-11-18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1"/>
              </w:rPr>
            </w:pPr>
            <w:r>
              <w:rPr>
                <w:rFonts w:hint="eastAsia" w:ascii="Times New Roman" w:hAnsi="Times New Roman"/>
                <w:color w:val="000000"/>
                <w:kern w:val="0"/>
                <w:sz w:val="21"/>
              </w:rPr>
              <w:t>重大事项停牌</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25.94</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1"/>
              </w:rPr>
            </w:pPr>
            <w:r>
              <w:rPr>
                <w:rFonts w:hint="default" w:ascii="Times New Roman" w:hAnsi="Times New Roman"/>
                <w:color w:val="000000"/>
                <w:kern w:val="0"/>
                <w:sz w:val="21"/>
              </w:rPr>
              <w:t>2017-02-15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23.99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7,500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185,250.00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1"/>
              </w:rPr>
            </w:pPr>
            <w:r>
              <w:rPr>
                <w:rFonts w:hint="default" w:ascii="Times New Roman" w:hAnsi="Times New Roman"/>
                <w:color w:val="000000"/>
                <w:kern w:val="0"/>
                <w:sz w:val="21"/>
              </w:rPr>
              <w:t>194,550.00</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注：本基金截至</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日止持有以上因重大事项可能产生重大影响被暂时停牌的股票，该类股票将在所公布事项的重大影响消除后，经交易所批准复牌。</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7.4.12.3 </w:t>
      </w:r>
      <w:r>
        <w:rPr>
          <w:rFonts w:hint="eastAsia" w:ascii="Times New Roman" w:hAnsi="Times New Roman"/>
          <w:b/>
          <w:color w:val="000000"/>
          <w:kern w:val="0"/>
          <w:sz w:val="24"/>
        </w:rPr>
        <w:t>期末债券正回购交易中作为抵押的债券</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3"/>
        </w:rPr>
      </w:pPr>
      <w:r>
        <w:rPr>
          <w:rFonts w:hint="default" w:ascii="Times New Roman" w:hAnsi="Times New Roman"/>
          <w:b/>
          <w:color w:val="000000"/>
          <w:kern w:val="0"/>
          <w:sz w:val="24"/>
        </w:rPr>
        <w:t xml:space="preserve">7.4.12.3.1 </w:t>
      </w:r>
      <w:r>
        <w:rPr>
          <w:rFonts w:hint="eastAsia" w:ascii="Times New Roman" w:hAnsi="Times New Roman"/>
          <w:b/>
          <w:color w:val="000000"/>
          <w:kern w:val="0"/>
          <w:sz w:val="24"/>
        </w:rPr>
        <w:t>银行间市场债券正回购</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截至本报告期末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日止，本基金从事银行间市场债券正回购交易形成的卖出回购证券款余额为</w:t>
      </w:r>
      <w:r>
        <w:rPr>
          <w:rFonts w:hint="default" w:ascii="Times New Roman" w:eastAsia="Times New Roman"/>
          <w:color w:val="000000"/>
          <w:kern w:val="0"/>
          <w:sz w:val="24"/>
        </w:rPr>
        <w:t>0</w:t>
      </w:r>
      <w:r>
        <w:rPr>
          <w:rFonts w:hint="eastAsia" w:ascii="Times New Roman" w:hAnsi="Times New Roman"/>
          <w:color w:val="000000"/>
          <w:kern w:val="0"/>
          <w:sz w:val="24"/>
        </w:rPr>
        <w:t>，无抵押债券。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7.4.12.3.2 </w:t>
      </w:r>
      <w:r>
        <w:rPr>
          <w:rFonts w:hint="eastAsia" w:ascii="Times New Roman" w:hAnsi="Times New Roman"/>
          <w:b/>
          <w:color w:val="000000"/>
          <w:kern w:val="0"/>
          <w:sz w:val="24"/>
        </w:rPr>
        <w:t>交易所市场债券正回购</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截至本报告期末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日止，基金从事证券交易所债券正回购交易形成的卖出回购证券款余额</w:t>
      </w:r>
      <w:r>
        <w:rPr>
          <w:rFonts w:hint="default" w:ascii="Times New Roman" w:hAnsi="Times New Roman"/>
          <w:color w:val="000000"/>
          <w:kern w:val="0"/>
          <w:sz w:val="24"/>
        </w:rPr>
        <w:t>31,000,000.00</w:t>
      </w:r>
      <w:r>
        <w:rPr>
          <w:rFonts w:hint="eastAsia" w:ascii="Times New Roman" w:hAnsi="Times New Roman"/>
          <w:color w:val="000000"/>
          <w:kern w:val="0"/>
          <w:sz w:val="24"/>
        </w:rPr>
        <w:t>元，于</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3</w:t>
      </w:r>
      <w:r>
        <w:rPr>
          <w:rFonts w:hint="eastAsia" w:ascii="Times New Roman" w:hAnsi="Times New Roman"/>
          <w:color w:val="000000"/>
          <w:kern w:val="0"/>
          <w:sz w:val="24"/>
        </w:rPr>
        <w:t>日和</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4</w:t>
      </w:r>
      <w:r>
        <w:rPr>
          <w:rFonts w:hint="eastAsia" w:ascii="Times New Roman" w:hAnsi="Times New Roman"/>
          <w:color w:val="000000"/>
          <w:kern w:val="0"/>
          <w:sz w:val="24"/>
        </w:rPr>
        <w:t>日先后到期。该类交易要求本基金在回购期内持有的证券交易所交易的债券和</w:t>
      </w:r>
      <w:r>
        <w:rPr>
          <w:rFonts w:hint="default" w:ascii="Times New Roman" w:hAnsi="Times New Roman"/>
          <w:color w:val="000000"/>
          <w:kern w:val="0"/>
          <w:sz w:val="24"/>
        </w:rPr>
        <w:t>/</w:t>
      </w:r>
      <w:r>
        <w:rPr>
          <w:rFonts w:hint="eastAsia" w:ascii="Times New Roman" w:hAnsi="Times New Roman"/>
          <w:color w:val="000000"/>
          <w:kern w:val="0"/>
          <w:sz w:val="24"/>
        </w:rPr>
        <w:t>或在新质押式回购下转入质押库的债券，按证券交易所规定的比例折算为标准券后，不低于债券回购交易的余额。</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 </w:t>
      </w:r>
      <w:r>
        <w:rPr>
          <w:rFonts w:hint="eastAsia" w:ascii="Times New Roman" w:hAnsi="Times New Roman"/>
          <w:b/>
          <w:color w:val="000000"/>
          <w:kern w:val="0"/>
          <w:sz w:val="24"/>
        </w:rPr>
        <w:t>金融工具风险及管理</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7.4.13.1 </w:t>
      </w:r>
      <w:r>
        <w:rPr>
          <w:rFonts w:hint="eastAsia" w:ascii="Times New Roman" w:hAnsi="Times New Roman"/>
          <w:b/>
          <w:color w:val="000000"/>
          <w:kern w:val="0"/>
          <w:sz w:val="24"/>
        </w:rPr>
        <w:t>风险管理政策和组织架构</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7.4.13.2 </w:t>
      </w:r>
      <w:r>
        <w:rPr>
          <w:rFonts w:hint="eastAsia" w:ascii="Times New Roman" w:hAnsi="Times New Roman"/>
          <w:b/>
          <w:color w:val="000000"/>
          <w:kern w:val="0"/>
          <w:sz w:val="24"/>
        </w:rPr>
        <w:t>信用风险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在交易前对交易对手的资信状况进行了充分的评估。本基金的活期银行存款存放在本基金的托管行工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本基金债券投资的信用评级情况按《中国人民银行信用评级管理指导意见》设定的标准统计及汇总。</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7.4.13.2.1 </w:t>
      </w:r>
      <w:r>
        <w:rPr>
          <w:rFonts w:hint="eastAsia" w:ascii="Times New Roman" w:hAnsi="Times New Roman"/>
          <w:b/>
          <w:color w:val="000000"/>
          <w:kern w:val="0"/>
          <w:sz w:val="24"/>
        </w:rPr>
        <w:t>按短期信用评级列示的债券投资</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短期信用评级</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A-1</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20,060,000.00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A-1</w:t>
            </w:r>
            <w:r>
              <w:rPr>
                <w:rFonts w:hint="eastAsia" w:ascii="Times New Roman" w:hAnsi="Times New Roman"/>
                <w:color w:val="000000"/>
                <w:kern w:val="0"/>
                <w:sz w:val="24"/>
              </w:rPr>
              <w:t>以下</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未评级</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5,992,200.00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5,992,200.00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20,060,000.00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7.4.13.2.2 </w:t>
      </w:r>
      <w:r>
        <w:rPr>
          <w:rFonts w:hint="eastAsia" w:ascii="Times New Roman" w:hAnsi="Times New Roman"/>
          <w:b/>
          <w:color w:val="000000"/>
          <w:kern w:val="0"/>
          <w:sz w:val="24"/>
        </w:rPr>
        <w:t>按长期信用评级列示的债券投资</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长期信用评级</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AAA</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21,355,960.20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66,557,000.00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AAA</w:t>
            </w:r>
            <w:r>
              <w:rPr>
                <w:rFonts w:hint="eastAsia" w:ascii="Times New Roman" w:hAnsi="Times New Roman"/>
                <w:color w:val="000000"/>
                <w:kern w:val="0"/>
                <w:sz w:val="24"/>
              </w:rPr>
              <w:t>以下</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23,860,713.38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11,145,000.00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未评级</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49,992,194.10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79,347,776.70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95,208,867.68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157,049,776.70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7.4.13.3 </w:t>
      </w:r>
      <w:r>
        <w:rPr>
          <w:rFonts w:hint="eastAsia" w:ascii="Times New Roman" w:hAnsi="Times New Roman"/>
          <w:b/>
          <w:color w:val="000000"/>
          <w:kern w:val="0"/>
          <w:sz w:val="24"/>
        </w:rPr>
        <w:t>流动性风险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hint="default" w:ascii="Times New Roman" w:hAnsi="Times New Roman"/>
          <w:color w:val="000000"/>
          <w:kern w:val="0"/>
          <w:sz w:val="24"/>
        </w:rPr>
        <w:t>10%</w:t>
      </w:r>
      <w:r>
        <w:rPr>
          <w:rFonts w:hint="eastAsia" w:ascii="Times New Roman" w:hAnsi="Times New Roman"/>
          <w:color w:val="000000"/>
          <w:kern w:val="0"/>
          <w:sz w:val="24"/>
        </w:rPr>
        <w:t>，且本基金与由本基金的基金管理人管理的其他基金共同持有一家公司发行的证券不得超过该证券的</w:t>
      </w:r>
      <w:r>
        <w:rPr>
          <w:rFonts w:hint="default" w:ascii="Times New Roman" w:hAnsi="Times New Roman"/>
          <w:color w:val="000000"/>
          <w:kern w:val="0"/>
          <w:sz w:val="24"/>
        </w:rPr>
        <w:t>10%</w:t>
      </w:r>
      <w:r>
        <w:rPr>
          <w:rFonts w:hint="eastAsia" w:ascii="Times New Roman" w:hAnsi="Times New Roman"/>
          <w:color w:val="000000"/>
          <w:kern w:val="0"/>
          <w:sz w:val="24"/>
        </w:rPr>
        <w:t>。本基金所持大部分证券在证券交易所上市，其余亦可在银行间同业市场交易，因此除附注</w:t>
      </w:r>
      <w:r>
        <w:rPr>
          <w:rFonts w:hint="default" w:ascii="Times New Roman" w:hAnsi="Times New Roman"/>
          <w:color w:val="000000"/>
          <w:kern w:val="0"/>
          <w:sz w:val="24"/>
        </w:rPr>
        <w:t>7.4.12</w:t>
      </w:r>
      <w:r>
        <w:rPr>
          <w:rFonts w:hint="eastAsia" w:ascii="Times New Roman" w:hAnsi="Times New Roman"/>
          <w:color w:val="000000"/>
          <w:kern w:val="0"/>
          <w:sz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 </w:t>
      </w:r>
      <w:r>
        <w:rPr>
          <w:rFonts w:hint="eastAsia" w:ascii="Times New Roman" w:hAnsi="Times New Roman"/>
          <w:b/>
          <w:color w:val="000000"/>
          <w:kern w:val="0"/>
          <w:sz w:val="24"/>
        </w:rPr>
        <w:t>市场风险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7.4.13.4.1 </w:t>
      </w:r>
      <w:r>
        <w:rPr>
          <w:rFonts w:hint="eastAsia" w:ascii="Times New Roman" w:hAnsi="Times New Roman"/>
          <w:b/>
          <w:color w:val="000000"/>
          <w:kern w:val="0"/>
          <w:sz w:val="24"/>
        </w:rPr>
        <w:t>利率风险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本基金的基金管理人定期对本基金面临的利率敏感性缺口进行监控，并通过调整投资组合的久期等方法对上述利率风险进行管理。</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7.4.13.4.1.1 </w:t>
      </w:r>
      <w:r>
        <w:rPr>
          <w:rFonts w:hint="eastAsia" w:ascii="Times New Roman" w:hAnsi="Times New Roman"/>
          <w:b/>
          <w:color w:val="000000"/>
          <w:kern w:val="0"/>
          <w:sz w:val="24"/>
        </w:rPr>
        <w:t>利率风险敞口</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6"/>
        <w:gridCol w:w="1445"/>
        <w:gridCol w:w="1445"/>
        <w:gridCol w:w="1444"/>
        <w:gridCol w:w="1445"/>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年以内</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1-5</w:t>
            </w:r>
            <w:r>
              <w:rPr>
                <w:rFonts w:hint="eastAsia" w:ascii="Times New Roman" w:hAnsi="Times New Roman"/>
                <w:color w:val="000000"/>
                <w:kern w:val="0"/>
                <w:sz w:val="24"/>
              </w:rPr>
              <w:t>年</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年以上</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不计息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银行存款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12,713,231.34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12,713,231.34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结算备付金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2,277,415.67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2,277,415.67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35,760.70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35,760.70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14,046,560.20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38,706,864.30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48,447,643.18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21,603,696.00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122,804,763.68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应收证券清算款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2,974,553.80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2,974,553.80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1,565,075.95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1,565,075.95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应收申购款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2,186.02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2,186.02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资产总计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29,072,967.91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38,706,864.30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48,447,643.18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26,145,511.77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142,372,987.16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负债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卖出回购金融资产款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31,000,000.00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应付证券清算款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1,153,078.24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1,153,078.24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应付赎回款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653,695.23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653,695.23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应付管理人报酬</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185,446.96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185,446.96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应付托管费</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52,984.84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52,984.84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应付销售服务费</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6,063.23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6,063.23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应付交易费用</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79,318.95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79,318.95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应付利息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18,763.48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18,763.48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其他负债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174,000.55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174,000.55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负债总计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2,323,351.48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33,323,351.48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利率敏感度缺口</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-1,927,032.09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38,706,864.30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48,447,643.18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年以内</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1-5</w:t>
            </w:r>
            <w:r>
              <w:rPr>
                <w:rFonts w:hint="eastAsia" w:ascii="Times New Roman" w:hAnsi="Times New Roman"/>
                <w:color w:val="000000"/>
                <w:kern w:val="0"/>
                <w:sz w:val="24"/>
              </w:rPr>
              <w:t>年</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年以上</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不计息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银行存款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28,052,291.07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28,052,291.07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结算备付金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237,678.66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237,678.66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57,925.15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57,925.15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37,851,776.70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66,557,000.00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72,701,000.00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16,826,824.00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193,936,600.70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2,964,542.02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2,964,542.02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应收申购款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资产总计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66,199,671.58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66,557,000.00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72,701,000.00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19,791,866.02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225,249,537.60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负债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卖出回购金融资产款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48,099,327.85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48,099,327.85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应付证券清算款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4,836,227.92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4,836,227.92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应付赎回款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291,485.77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291,485.77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应付管理人报酬</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103,541.64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103,541.64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应付托管费</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29,583.33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29,583.33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应付销售服务费</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12,980.63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12,980.63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应付交易费用</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212,130.78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212,130.78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应付利息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9,116.05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9,116.05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其他负债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103,115.40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103,115.40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负债总计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48,099,327.85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5,598,181.52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53,697,509.37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利率敏感度缺口</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18,100,343.73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66,557,000.00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72,701,000.00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注：表中所示为本基金资产及负债的账面价值，并按照合约规定的利率重新定价日或到期日孰早者予以分类。</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7.4.13.4.1.2 </w:t>
      </w:r>
      <w:r>
        <w:rPr>
          <w:rFonts w:hint="eastAsia" w:ascii="Times New Roman" w:hAnsi="Times New Roman"/>
          <w:b/>
          <w:color w:val="000000"/>
          <w:kern w:val="0"/>
          <w:sz w:val="24"/>
        </w:rPr>
        <w:t>利率风险的敏感性分析</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4"/>
        <w:gridCol w:w="2889"/>
        <w:gridCol w:w="2529"/>
        <w:gridCol w:w="2528"/>
        <w:gridCol w:w="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0" w:type="dxa"/>
        </w:trPr>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假设</w:t>
            </w:r>
          </w:p>
        </w:tc>
        <w:tc>
          <w:tcPr>
            <w:tcW w:w="7946"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除市场利率以外的其他市场变量保持不变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分析</w:t>
            </w:r>
          </w:p>
        </w:tc>
        <w:tc>
          <w:tcPr>
            <w:tcW w:w="288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相关风险变量的变动</w:t>
            </w:r>
          </w:p>
        </w:tc>
        <w:tc>
          <w:tcPr>
            <w:tcW w:w="5113"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对资产负债表日基金资产净值的</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影响金额（单位：人民币元）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0" w:type="dxa"/>
        </w:trPr>
        <w:tc>
          <w:tcPr>
            <w:tcW w:w="108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0" w:type="dxa"/>
        </w:trPr>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市场利率上升</w:t>
            </w:r>
            <w:r>
              <w:rPr>
                <w:rFonts w:hint="default" w:ascii="Times New Roman" w:hAnsi="Times New Roman"/>
                <w:color w:val="000000"/>
                <w:kern w:val="0"/>
                <w:sz w:val="24"/>
              </w:rPr>
              <w:t>25</w:t>
            </w:r>
            <w:r>
              <w:rPr>
                <w:rFonts w:hint="eastAsia" w:ascii="Times New Roman" w:hAnsi="Times New Roman"/>
                <w:color w:val="000000"/>
                <w:kern w:val="0"/>
                <w:sz w:val="24"/>
              </w:rPr>
              <w:t>个基点</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-1,003,342.17</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-1,757,986.11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0" w:type="dxa"/>
        </w:trPr>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市场利率下降</w:t>
            </w:r>
            <w:r>
              <w:rPr>
                <w:rFonts w:hint="default" w:ascii="Times New Roman" w:hAnsi="Times New Roman"/>
                <w:color w:val="000000"/>
                <w:kern w:val="0"/>
                <w:sz w:val="24"/>
              </w:rPr>
              <w:t>25</w:t>
            </w:r>
            <w:r>
              <w:rPr>
                <w:rFonts w:hint="eastAsia" w:ascii="Times New Roman" w:hAnsi="Times New Roman"/>
                <w:color w:val="000000"/>
                <w:kern w:val="0"/>
                <w:sz w:val="24"/>
              </w:rPr>
              <w:t>个基点</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1,030,799.29</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1,793,064.91</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7.4.13.4.2 </w:t>
      </w:r>
      <w:r>
        <w:rPr>
          <w:rFonts w:hint="eastAsia" w:ascii="Times New Roman" w:hAnsi="Times New Roman"/>
          <w:b/>
          <w:color w:val="000000"/>
          <w:kern w:val="0"/>
          <w:sz w:val="24"/>
        </w:rPr>
        <w:t>外汇风险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7.4.13.4.3 </w:t>
      </w:r>
      <w:r>
        <w:rPr>
          <w:rFonts w:hint="eastAsia" w:ascii="Times New Roman" w:hAnsi="Times New Roman"/>
          <w:b/>
          <w:color w:val="000000"/>
          <w:kern w:val="0"/>
          <w:sz w:val="24"/>
        </w:rPr>
        <w:t>其他价格风险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本基金的基金管理人在构建和管理投资组合的过程中，采用</w:t>
      </w:r>
      <w:r>
        <w:rPr>
          <w:rFonts w:hint="default" w:ascii="Times New Roman" w:hAnsi="Times New Roman"/>
          <w:color w:val="000000"/>
          <w:kern w:val="0"/>
          <w:sz w:val="24"/>
        </w:rPr>
        <w:t>"</w:t>
      </w:r>
      <w:r>
        <w:rPr>
          <w:rFonts w:hint="eastAsia" w:ascii="Times New Roman" w:hAnsi="Times New Roman"/>
          <w:color w:val="000000"/>
          <w:kern w:val="0"/>
          <w:sz w:val="24"/>
        </w:rPr>
        <w:t>自上而下</w:t>
      </w:r>
      <w:r>
        <w:rPr>
          <w:rFonts w:hint="default" w:ascii="Times New Roman" w:hAnsi="Times New Roman"/>
          <w:color w:val="000000"/>
          <w:kern w:val="0"/>
          <w:sz w:val="24"/>
        </w:rPr>
        <w:t>"</w:t>
      </w:r>
      <w:r>
        <w:rPr>
          <w:rFonts w:hint="eastAsia" w:ascii="Times New Roman" w:hAnsi="Times New Roman"/>
          <w:color w:val="000000"/>
          <w:kern w:val="0"/>
          <w:sz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本基金通过投资组合的分散化降低其他价格风险。本基金投资组合中债券投资的比例不低于基金资产的</w:t>
      </w:r>
      <w:r>
        <w:rPr>
          <w:rFonts w:hint="default" w:ascii="Times New Roman" w:hAnsi="Times New Roman"/>
          <w:color w:val="000000"/>
          <w:kern w:val="0"/>
          <w:sz w:val="24"/>
        </w:rPr>
        <w:t>80%</w:t>
      </w:r>
      <w:r>
        <w:rPr>
          <w:rFonts w:hint="eastAsia" w:ascii="Times New Roman" w:hAnsi="Times New Roman"/>
          <w:color w:val="000000"/>
          <w:kern w:val="0"/>
          <w:sz w:val="24"/>
        </w:rPr>
        <w:t>；股票、权证等权益类资产的投资比例合计不超过基金资产的</w:t>
      </w:r>
      <w:r>
        <w:rPr>
          <w:rFonts w:hint="default" w:ascii="Times New Roman" w:hAnsi="Times New Roman"/>
          <w:color w:val="000000"/>
          <w:kern w:val="0"/>
          <w:sz w:val="24"/>
        </w:rPr>
        <w:t>20%</w:t>
      </w:r>
      <w:r>
        <w:rPr>
          <w:rFonts w:hint="eastAsia" w:ascii="Times New Roman" w:hAnsi="Times New Roman"/>
          <w:color w:val="000000"/>
          <w:kern w:val="0"/>
          <w:sz w:val="24"/>
        </w:rPr>
        <w:t>，其中基金持有的全部权证的市值不超过基金资产净值的</w:t>
      </w:r>
      <w:r>
        <w:rPr>
          <w:rFonts w:hint="default" w:ascii="Times New Roman" w:hAnsi="Times New Roman"/>
          <w:color w:val="000000"/>
          <w:kern w:val="0"/>
          <w:sz w:val="24"/>
        </w:rPr>
        <w:t>3%</w:t>
      </w:r>
      <w:r>
        <w:rPr>
          <w:rFonts w:hint="eastAsia" w:ascii="Times New Roman" w:hAnsi="Times New Roman"/>
          <w:color w:val="000000"/>
          <w:kern w:val="0"/>
          <w:sz w:val="24"/>
        </w:rPr>
        <w:t>；现金或者到期日在一年以内的政府债券不低于基金资产净值的</w:t>
      </w:r>
      <w:r>
        <w:rPr>
          <w:rFonts w:hint="default" w:ascii="Times New Roman" w:hAnsi="Times New Roman"/>
          <w:color w:val="000000"/>
          <w:kern w:val="0"/>
          <w:sz w:val="24"/>
        </w:rPr>
        <w:t>5%</w:t>
      </w:r>
      <w:r>
        <w:rPr>
          <w:rFonts w:hint="eastAsia" w:ascii="Times New Roman" w:hAnsi="Times New Roman"/>
          <w:color w:val="000000"/>
          <w:kern w:val="0"/>
          <w:sz w:val="24"/>
        </w:rPr>
        <w:t>。此外，本基金的基金管理人每日对本基金所持有的证券价格实施监控，定期运用多种定量方法对基金进行风险度量，包括</w:t>
      </w:r>
      <w:r>
        <w:rPr>
          <w:rFonts w:hint="default" w:ascii="Times New Roman" w:hAnsi="Times New Roman"/>
          <w:color w:val="000000"/>
          <w:kern w:val="0"/>
          <w:sz w:val="24"/>
        </w:rPr>
        <w:t>VaR(Value at Risk)</w:t>
      </w:r>
      <w:r>
        <w:rPr>
          <w:rFonts w:hint="eastAsia" w:ascii="Times New Roman" w:hAnsi="Times New Roman"/>
          <w:color w:val="000000"/>
          <w:kern w:val="0"/>
          <w:sz w:val="24"/>
        </w:rPr>
        <w:t>指标等来测试本基金面临的潜在价格风险，及时可靠地对风险进行跟踪和控制。</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7.4.13.4.3.1 </w:t>
      </w:r>
      <w:r>
        <w:rPr>
          <w:rFonts w:hint="eastAsia" w:ascii="Times New Roman" w:hAnsi="Times New Roman"/>
          <w:b/>
          <w:color w:val="000000"/>
          <w:kern w:val="0"/>
          <w:sz w:val="24"/>
        </w:rPr>
        <w:t>其他价格风险敞口</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6"/>
        <w:gridCol w:w="1806"/>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r>
              <w:rPr>
                <w:rFonts w:hint="default" w:ascii="Times New Roman" w:eastAsia="Times New Roman"/>
                <w:color w:val="000000"/>
                <w:kern w:val="0"/>
                <w:sz w:val="24"/>
              </w:rPr>
              <w:t>-</w:t>
            </w:r>
            <w:r>
              <w:rPr>
                <w:rFonts w:hint="eastAsia" w:ascii="Times New Roman" w:hAnsi="Times New Roman"/>
                <w:color w:val="000000"/>
                <w:kern w:val="0"/>
                <w:sz w:val="24"/>
              </w:rPr>
              <w:t>股票投资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21,603,696.00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19.81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16,826,824.00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r>
              <w:rPr>
                <w:rFonts w:hint="default" w:ascii="Times New Roman" w:hAnsi="Times New Roman"/>
                <w:color w:val="000000"/>
                <w:kern w:val="0"/>
                <w:sz w:val="24"/>
              </w:rPr>
              <w:t>—</w:t>
            </w:r>
            <w:r>
              <w:rPr>
                <w:rFonts w:hint="eastAsia" w:ascii="Times New Roman" w:hAnsi="Times New Roman"/>
                <w:color w:val="000000"/>
                <w:kern w:val="0"/>
                <w:sz w:val="24"/>
              </w:rPr>
              <w:t>基金投资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r>
              <w:rPr>
                <w:rFonts w:hint="default" w:ascii="Times New Roman" w:eastAsia="Times New Roman"/>
                <w:color w:val="000000"/>
                <w:kern w:val="0"/>
                <w:sz w:val="24"/>
              </w:rPr>
              <w:t>-</w:t>
            </w:r>
            <w:r>
              <w:rPr>
                <w:rFonts w:hint="eastAsia" w:ascii="Times New Roman" w:hAnsi="Times New Roman"/>
                <w:color w:val="000000"/>
                <w:kern w:val="0"/>
                <w:sz w:val="24"/>
              </w:rPr>
              <w:t>贵金属投资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衍生金融资产－权证投资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21,603,696.00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19.81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16,826,824.00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9.81</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7.4.13.4.3.2 </w:t>
      </w:r>
      <w:r>
        <w:rPr>
          <w:rFonts w:hint="eastAsia" w:ascii="Times New Roman" w:hAnsi="Times New Roman"/>
          <w:b/>
          <w:color w:val="000000"/>
          <w:kern w:val="0"/>
          <w:sz w:val="24"/>
        </w:rPr>
        <w:t>其他价格风险的敏感性分析</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日，本基金持有的交易性权益类投资公允价值占基金资产净值的比例为</w:t>
      </w:r>
      <w:r>
        <w:rPr>
          <w:rFonts w:hint="default" w:ascii="Times New Roman" w:hAnsi="Times New Roman"/>
          <w:color w:val="000000"/>
          <w:kern w:val="0"/>
          <w:sz w:val="24"/>
        </w:rPr>
        <w:t xml:space="preserve">19.81%(2015 </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r>
        <w:rPr>
          <w:rFonts w:hint="default" w:ascii="Times New Roman" w:hAnsi="Times New Roman"/>
          <w:color w:val="000000"/>
          <w:kern w:val="0"/>
          <w:sz w:val="24"/>
        </w:rPr>
        <w:t>9.81%)</w:t>
      </w:r>
      <w:r>
        <w:rPr>
          <w:rFonts w:hint="eastAsia" w:ascii="Times New Roman" w:hAnsi="Times New Roman"/>
          <w:color w:val="000000"/>
          <w:kern w:val="0"/>
          <w:sz w:val="24"/>
        </w:rPr>
        <w:t>，因此除市场利率和外汇汇率以外的市场价格因素的变动对于本基金资产净值无重大影响</w:t>
      </w:r>
      <w:r>
        <w:rPr>
          <w:rFonts w:hint="default" w:ascii="Times New Roman" w:hAnsi="Times New Roman"/>
          <w:color w:val="000000"/>
          <w:kern w:val="0"/>
          <w:sz w:val="24"/>
        </w:rPr>
        <w:t xml:space="preserve">(2015 </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日：同</w:t>
      </w:r>
      <w:r>
        <w:rPr>
          <w:rFonts w:hint="default" w:ascii="Times New Roman" w:hAnsi="Times New Roman"/>
          <w:color w:val="000000"/>
          <w:kern w:val="0"/>
          <w:sz w:val="24"/>
        </w:rPr>
        <w:t>)</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7.4.14 </w:t>
      </w:r>
      <w:r>
        <w:rPr>
          <w:rFonts w:hint="eastAsia" w:ascii="Times New Roman" w:hAnsi="Times New Roman"/>
          <w:b/>
          <w:color w:val="000000"/>
          <w:kern w:val="0"/>
          <w:sz w:val="24"/>
        </w:rPr>
        <w:t>有助于理解和分析会计报表需要说明的其他事项</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(1)</w:t>
      </w:r>
      <w:r>
        <w:rPr>
          <w:rFonts w:hint="eastAsia" w:ascii="Times New Roman" w:hAnsi="Times New Roman"/>
          <w:color w:val="000000"/>
          <w:kern w:val="0"/>
          <w:sz w:val="24"/>
        </w:rPr>
        <w:t>公允价值</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(a)</w:t>
      </w:r>
      <w:r>
        <w:rPr>
          <w:rFonts w:hint="eastAsia" w:ascii="Times New Roman" w:hAnsi="Times New Roman"/>
          <w:color w:val="000000"/>
          <w:kern w:val="0"/>
          <w:sz w:val="24"/>
        </w:rPr>
        <w:t>金融工具公允价值计量的方法</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公允价值计量结果所属的层次，由对公允价值计量整体而言具有重要意义的输入值所属的最低层次决定：</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第一层次：相同资产或负债在活跃市场上未经调整的报价。</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第二层次：除第一层次输入值外相关资产或负债直接或间接可观察的输入值。</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第三层次：相关资产或负债的不可观察输入值。</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(b)</w:t>
      </w:r>
      <w:r>
        <w:rPr>
          <w:rFonts w:hint="eastAsia" w:ascii="Times New Roman" w:hAnsi="Times New Roman"/>
          <w:color w:val="000000"/>
          <w:kern w:val="0"/>
          <w:sz w:val="24"/>
        </w:rPr>
        <w:t>持续的以公允价值计量的金融工具</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(i)</w:t>
      </w:r>
      <w:r>
        <w:rPr>
          <w:rFonts w:hint="eastAsia" w:ascii="Times New Roman" w:hAnsi="Times New Roman"/>
          <w:color w:val="000000"/>
          <w:kern w:val="0"/>
          <w:sz w:val="24"/>
        </w:rPr>
        <w:t>各层次金融工具公允价值</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日，本基金持有的以公允价值计量且其变动计入当期损益的金融资产中属于第一层次的余额为</w:t>
      </w:r>
      <w:r>
        <w:rPr>
          <w:rFonts w:hint="default" w:ascii="Times New Roman" w:hAnsi="Times New Roman"/>
          <w:color w:val="000000"/>
          <w:kern w:val="0"/>
          <w:sz w:val="24"/>
        </w:rPr>
        <w:t>37,461,751.48</w:t>
      </w:r>
      <w:r>
        <w:rPr>
          <w:rFonts w:hint="eastAsia" w:ascii="Times New Roman" w:hAnsi="Times New Roman"/>
          <w:color w:val="000000"/>
          <w:kern w:val="0"/>
          <w:sz w:val="24"/>
        </w:rPr>
        <w:t>元，属于第二层次的余额为</w:t>
      </w:r>
      <w:r>
        <w:rPr>
          <w:rFonts w:hint="default" w:ascii="Times New Roman" w:hAnsi="Times New Roman"/>
          <w:color w:val="000000"/>
          <w:kern w:val="0"/>
          <w:sz w:val="24"/>
        </w:rPr>
        <w:t>85,343,012.20</w:t>
      </w:r>
      <w:r>
        <w:rPr>
          <w:rFonts w:hint="eastAsia" w:ascii="Times New Roman" w:hAnsi="Times New Roman"/>
          <w:color w:val="000000"/>
          <w:kern w:val="0"/>
          <w:sz w:val="24"/>
        </w:rPr>
        <w:t>元，无属于第三层次的余额</w:t>
      </w:r>
      <w:r>
        <w:rPr>
          <w:rFonts w:hint="default" w:ascii="Times New Roman" w:hAnsi="Times New Roman"/>
          <w:color w:val="000000"/>
          <w:kern w:val="0"/>
          <w:sz w:val="24"/>
        </w:rPr>
        <w:t xml:space="preserve">(2015 </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日：第一层次</w:t>
      </w:r>
      <w:r>
        <w:rPr>
          <w:rFonts w:hint="default" w:ascii="Times New Roman" w:hAnsi="Times New Roman"/>
          <w:color w:val="000000"/>
          <w:kern w:val="0"/>
          <w:sz w:val="24"/>
        </w:rPr>
        <w:t xml:space="preserve">16,301,904.00 </w:t>
      </w:r>
      <w:r>
        <w:rPr>
          <w:rFonts w:hint="eastAsia" w:ascii="Times New Roman" w:hAnsi="Times New Roman"/>
          <w:color w:val="000000"/>
          <w:kern w:val="0"/>
          <w:sz w:val="24"/>
        </w:rPr>
        <w:t>元，第二层次</w:t>
      </w:r>
      <w:r>
        <w:rPr>
          <w:rFonts w:hint="default" w:ascii="Times New Roman" w:hAnsi="Times New Roman"/>
          <w:color w:val="000000"/>
          <w:kern w:val="0"/>
          <w:sz w:val="24"/>
        </w:rPr>
        <w:t xml:space="preserve">177,634,696.70 </w:t>
      </w:r>
      <w:r>
        <w:rPr>
          <w:rFonts w:hint="eastAsia" w:ascii="Times New Roman" w:hAnsi="Times New Roman"/>
          <w:color w:val="000000"/>
          <w:kern w:val="0"/>
          <w:sz w:val="24"/>
        </w:rPr>
        <w:t>元，无第三层次</w:t>
      </w:r>
      <w:r>
        <w:rPr>
          <w:rFonts w:hint="default" w:ascii="Times New Roman" w:hAnsi="Times New Roman"/>
          <w:color w:val="000000"/>
          <w:kern w:val="0"/>
          <w:sz w:val="24"/>
        </w:rPr>
        <w:t>)</w:t>
      </w:r>
      <w:r>
        <w:rPr>
          <w:rFonts w:hint="eastAsia"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(ii)</w:t>
      </w:r>
      <w:r>
        <w:rPr>
          <w:rFonts w:hint="eastAsia" w:ascii="Times New Roman" w:hAnsi="Times New Roman"/>
          <w:color w:val="000000"/>
          <w:kern w:val="0"/>
          <w:sz w:val="24"/>
        </w:rPr>
        <w:t>公允价值所属层次间的重大变动</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对于证券交易所上市的股票和债券，若出现重大事项停牌、交易不活跃</w:t>
      </w:r>
      <w:r>
        <w:rPr>
          <w:rFonts w:hint="default" w:ascii="Times New Roman" w:hAnsi="Times New Roman"/>
          <w:color w:val="000000"/>
          <w:kern w:val="0"/>
          <w:sz w:val="24"/>
        </w:rPr>
        <w:t>(</w:t>
      </w:r>
      <w:r>
        <w:rPr>
          <w:rFonts w:hint="eastAsia" w:ascii="Times New Roman" w:hAnsi="Times New Roman"/>
          <w:color w:val="000000"/>
          <w:kern w:val="0"/>
          <w:sz w:val="24"/>
        </w:rPr>
        <w:t>包括涨跌停时的交易不活跃</w:t>
      </w:r>
      <w:r>
        <w:rPr>
          <w:rFonts w:hint="default" w:ascii="Times New Roman" w:hAnsi="Times New Roman"/>
          <w:color w:val="000000"/>
          <w:kern w:val="0"/>
          <w:sz w:val="24"/>
        </w:rPr>
        <w:t>)</w:t>
      </w:r>
      <w:r>
        <w:rPr>
          <w:rFonts w:hint="eastAsia" w:ascii="Times New Roman" w:hAnsi="Times New Roman"/>
          <w:color w:val="000000"/>
          <w:kern w:val="0"/>
          <w:sz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(iii)</w:t>
      </w:r>
      <w:r>
        <w:rPr>
          <w:rFonts w:hint="eastAsia" w:ascii="Times New Roman" w:hAnsi="Times New Roman"/>
          <w:color w:val="000000"/>
          <w:kern w:val="0"/>
          <w:sz w:val="24"/>
        </w:rPr>
        <w:t>第三层次公允价值余额和本期变动金额</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无。</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(c)</w:t>
      </w:r>
      <w:r>
        <w:rPr>
          <w:rFonts w:hint="eastAsia" w:ascii="Times New Roman" w:hAnsi="Times New Roman"/>
          <w:color w:val="000000"/>
          <w:kern w:val="0"/>
          <w:sz w:val="24"/>
        </w:rPr>
        <w:t>非持续的以公允价值计量的金融工具</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日，本基金未持有非持续的以公允价值计量的金融工具</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日：同</w:t>
      </w:r>
      <w:r>
        <w:rPr>
          <w:rFonts w:hint="default" w:ascii="Times New Roman" w:hAnsi="Times New Roman"/>
          <w:color w:val="000000"/>
          <w:kern w:val="0"/>
          <w:sz w:val="24"/>
        </w:rPr>
        <w:t>)</w:t>
      </w:r>
      <w:r>
        <w:rPr>
          <w:rFonts w:hint="eastAsia"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(d)</w:t>
      </w:r>
      <w:r>
        <w:rPr>
          <w:rFonts w:hint="eastAsia" w:ascii="Times New Roman" w:hAnsi="Times New Roman"/>
          <w:color w:val="000000"/>
          <w:kern w:val="0"/>
          <w:sz w:val="24"/>
        </w:rPr>
        <w:t>不以公允价值计量的金融工具</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不以公允价值计量的金融资产和负债主要包括应收款项和其他金融负债，其账面价值与公允价值相差很小。</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除公允价值外，截至资产负债表日本基金无需要说明的其他重要事项。</w:t>
      </w:r>
      <w:r>
        <w:rPr>
          <w:rFonts w:hint="default" w:ascii="Times New Roman" w:hAnsi="Times New Roman"/>
          <w:color w:val="000000"/>
          <w:kern w:val="0"/>
          <w:sz w:val="24"/>
        </w:rPr>
        <w:t xml:space="preserve"> </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33" w:name="_Toc477960803"/>
      <w:r>
        <w:rPr>
          <w:rFonts w:hint="eastAsia" w:ascii="Times New Roman" w:hAnsi="Times New Roman"/>
          <w:b/>
          <w:color w:val="000000"/>
          <w:kern w:val="0"/>
          <w:sz w:val="24"/>
        </w:rPr>
        <w:t>§</w:t>
      </w:r>
      <w:r>
        <w:rPr>
          <w:rFonts w:hint="default" w:ascii="Times New Roman" w:hAnsi="Times New Roman"/>
          <w:b/>
          <w:color w:val="000000"/>
          <w:kern w:val="0"/>
          <w:sz w:val="24"/>
        </w:rPr>
        <w:t xml:space="preserve">8  </w:t>
      </w:r>
      <w:r>
        <w:rPr>
          <w:rFonts w:hint="eastAsia" w:ascii="Times New Roman" w:hAnsi="Times New Roman"/>
          <w:b/>
          <w:color w:val="000000"/>
          <w:kern w:val="0"/>
          <w:sz w:val="24"/>
        </w:rPr>
        <w:t>投资组合报告</w:t>
      </w:r>
      <w:bookmarkEnd w:id="33"/>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4" w:name="_Toc477960804"/>
      <w:r>
        <w:rPr>
          <w:rFonts w:hint="default" w:ascii="Times New Roman" w:hAnsi="Times New Roman"/>
          <w:b/>
          <w:color w:val="000000"/>
          <w:kern w:val="0"/>
          <w:sz w:val="24"/>
        </w:rPr>
        <w:t xml:space="preserve">8.1 </w:t>
      </w:r>
      <w:r>
        <w:rPr>
          <w:rFonts w:hint="eastAsia" w:ascii="Times New Roman" w:hAnsi="Times New Roman"/>
          <w:b/>
          <w:color w:val="000000"/>
          <w:kern w:val="0"/>
          <w:sz w:val="24"/>
        </w:rPr>
        <w:t>期末基金资产组合情况</w:t>
      </w:r>
      <w:bookmarkEnd w:id="34"/>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4335"/>
        <w:gridCol w:w="2167"/>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占基金总资产的比例（</w:t>
            </w:r>
            <w:r>
              <w:rPr>
                <w:rFonts w:hint="default" w:ascii="Times New Roman" w:hAnsi="Times New Roman"/>
                <w:color w:val="000000"/>
                <w:kern w:val="0"/>
                <w:sz w:val="24"/>
              </w:rPr>
              <w:t>%</w:t>
            </w: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权益投资</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21,603,696.00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其中：股票</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21,603,696.00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固定收益投资</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101,201,067.68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其中：债券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101,201,067.68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贵金属投资</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金融衍生品投资</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买入返售金融资产</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其中：买断式回购的买入返售金融资产</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银行存款和结算备付金合计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14,990,647.01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其他各项资产</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4,577,576.47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142,372,987.16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8.2 </w:t>
      </w:r>
      <w:r>
        <w:rPr>
          <w:rFonts w:hint="eastAsia" w:ascii="Times New Roman" w:hAnsi="Times New Roman"/>
          <w:b/>
          <w:color w:val="000000"/>
          <w:kern w:val="0"/>
          <w:sz w:val="24"/>
        </w:rPr>
        <w:t>报告期末按行业分类的股票投资组合</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3974"/>
        <w:gridCol w:w="2167"/>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代码</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行业类别</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A</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农、林、牧、渔业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B</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采矿业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C</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制造业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12,093,364.00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D</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E</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建筑业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F</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批发和零售业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1,518,192.00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G</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交通运输、仓储和邮政业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H</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住宿和餐饮业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I</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771,820.00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J</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金融业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5,864,850.00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K</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房地产业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513,010.00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L</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租赁和商务服务业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M</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科学研究和技术服务业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N</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水利、环境和公共设施管理业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O</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居民服务、修理和其他服务业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P</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教育</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Q</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卫生和社会工作</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R</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文化、体育和娱乐业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842,460.00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S</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综合</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21,603,696.00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19.81</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5" w:name="_Toc477960805"/>
      <w:r>
        <w:rPr>
          <w:rFonts w:hint="default" w:ascii="Times New Roman" w:hAnsi="Times New Roman"/>
          <w:b/>
          <w:color w:val="000000"/>
          <w:kern w:val="0"/>
          <w:sz w:val="24"/>
        </w:rPr>
        <w:t xml:space="preserve">8.3 </w:t>
      </w:r>
      <w:r>
        <w:rPr>
          <w:rFonts w:hint="eastAsia" w:ascii="Times New Roman" w:hAnsi="Times New Roman"/>
          <w:b/>
          <w:color w:val="000000"/>
          <w:kern w:val="0"/>
          <w:sz w:val="24"/>
        </w:rPr>
        <w:t>期末按公允价值占基金资产净值比例大小排序的所有股票投资明细</w:t>
      </w:r>
      <w:bookmarkEnd w:id="35"/>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1084"/>
        <w:gridCol w:w="1806"/>
        <w:gridCol w:w="1445"/>
        <w:gridCol w:w="2167"/>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股票代码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股票名称</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数量（股）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占基金资产净值比例（％）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300003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乐普医疗</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86,000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1,541,980.00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601211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国泰君安</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706,420.00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000732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泰禾集团</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513,010.00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300144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宋城演艺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460,680.00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002727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一心堂</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21,400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453,680.00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600587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新华医疗</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426,870.00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000049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德赛电池</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420,500.00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双林股份</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408,000.00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600572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康恩贝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55,800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407,898.00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600061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国投安信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405,860.00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600422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昆药集团</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405,300.00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000776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广发证券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404,640.00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002737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葵花药业</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404,280.00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600958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东方证券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403,780.00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002223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鱼跃医疗</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403,260.00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601198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东兴证券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401,200.00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600667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太极实业</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400,920.00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300383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光环新网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399,360.00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600369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西南证券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56,000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399,280.00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002152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广电运通</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398,400.00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601555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东吴证券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398,100.00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600713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南京医药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397,500.00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300408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三环集团</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397,000.00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000686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东北证券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395,520.00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300255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常山药业</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395,000.00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002673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西部证券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394,630.00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601688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华泰证券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392,920.00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600999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招商证券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391,920.00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600705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中航资本</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64,000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391,680.00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601377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兴业证券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51,000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390,150.00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002736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国信证券</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388,750.00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002029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七</w:t>
            </w:r>
            <w:r>
              <w:rPr>
                <w:rFonts w:hint="default" w:ascii="Times New Roman" w:hAnsi="Times New Roman"/>
                <w:color w:val="000000"/>
                <w:kern w:val="0"/>
                <w:sz w:val="24"/>
              </w:rPr>
              <w:t xml:space="preserve"> </w:t>
            </w:r>
            <w:r>
              <w:rPr>
                <w:rFonts w:hint="eastAsia" w:ascii="Times New Roman" w:hAnsi="Times New Roman"/>
                <w:color w:val="000000"/>
                <w:kern w:val="0"/>
                <w:sz w:val="24"/>
              </w:rPr>
              <w:t>匹</w:t>
            </w:r>
            <w:r>
              <w:rPr>
                <w:rFonts w:hint="default" w:ascii="Times New Roman" w:hAnsi="Times New Roman"/>
                <w:color w:val="000000"/>
                <w:kern w:val="0"/>
                <w:sz w:val="24"/>
              </w:rPr>
              <w:t xml:space="preserve"> </w:t>
            </w:r>
            <w:r>
              <w:rPr>
                <w:rFonts w:hint="eastAsia" w:ascii="Times New Roman" w:hAnsi="Times New Roman"/>
                <w:color w:val="000000"/>
                <w:kern w:val="0"/>
                <w:sz w:val="24"/>
              </w:rPr>
              <w:t>狼</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387,980.00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002675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东诚药业</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386,100.00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600373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中文传媒</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18,900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381,780.00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600418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江淮汽车</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381,480.00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300436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广生堂</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378,280.00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300147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香雪制药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374,100.00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300059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东方财富</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372,460.00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600398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海澜之家</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345,280.00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600594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益佰制药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316,350.00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002311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海大集团</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316,050.00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600960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渤海活塞</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35,000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310,100.00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002470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金正大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37,200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293,880.00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603883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老百姓</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5,600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261,240.00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600664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哈药股份</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29,900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256,542.00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600195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中牧股份</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255,000.00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300146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汤臣倍健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250,740.00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002557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洽洽食品</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240,900.00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002563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森马服饰</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236,210.00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600859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王府井</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14,300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232,804.00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603001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奥康国际</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229,000.00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002463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沪电股份</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43,000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205,540.00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000887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中鼎股份</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7,500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194,550.00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002551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尚荣医疗</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9,200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183,172.00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000963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华东医药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172,968.00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600196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复星医药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7,300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168,922.00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002100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天康生物</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161,460.00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000919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金陵药业</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148,830.00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002004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华邦健康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63,490.00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0.06</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6" w:name="_Toc477960806"/>
      <w:r>
        <w:rPr>
          <w:rFonts w:hint="default" w:ascii="Times New Roman" w:hAnsi="Times New Roman"/>
          <w:b/>
          <w:color w:val="000000"/>
          <w:kern w:val="0"/>
          <w:sz w:val="24"/>
        </w:rPr>
        <w:t xml:space="preserve">8.4 </w:t>
      </w:r>
      <w:r>
        <w:rPr>
          <w:rFonts w:hint="eastAsia" w:ascii="Times New Roman" w:hAnsi="Times New Roman"/>
          <w:b/>
          <w:color w:val="000000"/>
          <w:kern w:val="0"/>
          <w:sz w:val="24"/>
        </w:rPr>
        <w:t>报告期内股票投资组合的重大变动</w:t>
      </w:r>
      <w:bookmarkEnd w:id="36"/>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8.4.1 </w:t>
      </w:r>
      <w:r>
        <w:rPr>
          <w:rFonts w:hint="eastAsia" w:ascii="Times New Roman" w:hAnsi="Times New Roman"/>
          <w:b/>
          <w:color w:val="000000"/>
          <w:kern w:val="0"/>
          <w:sz w:val="24"/>
        </w:rPr>
        <w:t>累计买入金额超出期初基金资产净值</w:t>
      </w:r>
      <w:r>
        <w:rPr>
          <w:rFonts w:hint="default" w:ascii="Times New Roman" w:hAnsi="Times New Roman"/>
          <w:b/>
          <w:color w:val="000000"/>
          <w:kern w:val="0"/>
          <w:sz w:val="24"/>
        </w:rPr>
        <w:t>2%</w:t>
      </w:r>
      <w:r>
        <w:rPr>
          <w:rFonts w:hint="eastAsia" w:ascii="Times New Roman" w:hAnsi="Times New Roman"/>
          <w:b/>
          <w:color w:val="000000"/>
          <w:kern w:val="0"/>
          <w:sz w:val="24"/>
        </w:rPr>
        <w:t>或前</w:t>
      </w:r>
      <w:r>
        <w:rPr>
          <w:rFonts w:hint="default" w:ascii="Times New Roman" w:hAnsi="Times New Roman"/>
          <w:b/>
          <w:color w:val="000000"/>
          <w:kern w:val="0"/>
          <w:sz w:val="24"/>
        </w:rPr>
        <w:t>20</w:t>
      </w:r>
      <w:r>
        <w:rPr>
          <w:rFonts w:hint="eastAsia" w:ascii="Times New Roman" w:hAnsi="Times New Roman"/>
          <w:b/>
          <w:color w:val="000000"/>
          <w:kern w:val="0"/>
          <w:sz w:val="24"/>
        </w:rPr>
        <w:t>名的股票明细</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1084"/>
        <w:gridCol w:w="1806"/>
        <w:gridCol w:w="2528"/>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股票代码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股票名称</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本期累计买入金额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占期初基金资产净值比例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601211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国泰君安</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2,804,400.00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600177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雅戈尔</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2,149,900.00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000049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德赛电池</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2,110,426.00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300199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翰宇药业</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2,083,900.00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002675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东诚药业</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1,928,000.00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600055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万东医疗</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1,883,340.00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002223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鱼跃医疗</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1,879,800.00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600054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黄山旅游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1,798,500.00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002736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国信证券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1,775,000.00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601377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兴业证券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1,687,540.00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000686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东北证券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1,680,551.65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600999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招商证券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1,653,300.00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601555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东吴证券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1,650,000.00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600369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西南证券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1,644,300.00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600422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昆药集团</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1,640,000.00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600958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东方证券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1,640,000.00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600074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保千里</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1,636,950.00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300383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光环新网</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1,625,000.00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300436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广生堂</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1,620,000.00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600718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东软集团</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1,619,800.00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0.94</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注：本期累计买入金额按买卖成交金额</w:t>
      </w:r>
      <w:r>
        <w:rPr>
          <w:rFonts w:hint="default" w:ascii="Times New Roman" w:eastAsia="Times New Roman"/>
          <w:color w:val="000000"/>
          <w:kern w:val="0"/>
          <w:sz w:val="21"/>
        </w:rPr>
        <w:t>,</w:t>
      </w:r>
      <w:r>
        <w:rPr>
          <w:rFonts w:hint="eastAsia" w:ascii="Times New Roman" w:hAnsi="Times New Roman"/>
          <w:color w:val="000000"/>
          <w:kern w:val="0"/>
          <w:sz w:val="21"/>
        </w:rPr>
        <w:t>不考虑相关交易费用。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8.4.2 </w:t>
      </w:r>
      <w:r>
        <w:rPr>
          <w:rFonts w:hint="eastAsia" w:ascii="Times New Roman" w:hAnsi="Times New Roman"/>
          <w:b/>
          <w:color w:val="000000"/>
          <w:kern w:val="0"/>
          <w:sz w:val="24"/>
        </w:rPr>
        <w:t>累计卖出金额超出期初基金资产净值</w:t>
      </w:r>
      <w:r>
        <w:rPr>
          <w:rFonts w:hint="default" w:ascii="Times New Roman" w:hAnsi="Times New Roman"/>
          <w:b/>
          <w:color w:val="000000"/>
          <w:kern w:val="0"/>
          <w:sz w:val="24"/>
        </w:rPr>
        <w:t>2%</w:t>
      </w:r>
      <w:r>
        <w:rPr>
          <w:rFonts w:hint="eastAsia" w:ascii="Times New Roman" w:hAnsi="Times New Roman"/>
          <w:b/>
          <w:color w:val="000000"/>
          <w:kern w:val="0"/>
          <w:sz w:val="24"/>
        </w:rPr>
        <w:t>或前</w:t>
      </w:r>
      <w:r>
        <w:rPr>
          <w:rFonts w:hint="default" w:ascii="Times New Roman" w:hAnsi="Times New Roman"/>
          <w:b/>
          <w:color w:val="000000"/>
          <w:kern w:val="0"/>
          <w:sz w:val="24"/>
        </w:rPr>
        <w:t>20</w:t>
      </w:r>
      <w:r>
        <w:rPr>
          <w:rFonts w:hint="eastAsia" w:ascii="Times New Roman" w:hAnsi="Times New Roman"/>
          <w:b/>
          <w:color w:val="000000"/>
          <w:kern w:val="0"/>
          <w:sz w:val="24"/>
        </w:rPr>
        <w:t>名的股票明细</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1084"/>
        <w:gridCol w:w="1806"/>
        <w:gridCol w:w="2528"/>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股票代码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股票名称</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本期累计卖出金额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占期初基金资产净值比例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600177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雅戈尔</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2,169,450.00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300199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翰宇药业</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2,156,950.21</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601211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国泰君安</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2,143,200.00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600055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万东医疗</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1,961,160.00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000049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德赛电池</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1,840,760.00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600718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东软集团</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1,783,600.00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002675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东诚药业</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1,774,530.00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600054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黄山旅游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1,760,584.00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300244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迪安诊断</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1,734,240.00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300298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三诺生物</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1,547,576.00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002223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鱼跃医疗</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1,509,300.00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600030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中信证券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1,483,970.00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600074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保千里</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1,400,974.00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300255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常山药业</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1,223,698.05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600422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昆药集团</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1,207,800.00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600587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新华医疗</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1,192,800.00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002736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国信证券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1,188,750.00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601377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兴业证券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1,154,400.00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600369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西南证券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1,148,800.00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600958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东方证券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1,140,625.00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0.66</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注：本期累计卖出金额按买卖成交金额</w:t>
      </w:r>
      <w:r>
        <w:rPr>
          <w:rFonts w:hint="default" w:ascii="Times New Roman" w:eastAsia="Times New Roman"/>
          <w:color w:val="000000"/>
          <w:kern w:val="0"/>
          <w:sz w:val="21"/>
        </w:rPr>
        <w:t>,</w:t>
      </w:r>
      <w:r>
        <w:rPr>
          <w:rFonts w:hint="eastAsia" w:ascii="Times New Roman" w:hAnsi="Times New Roman"/>
          <w:color w:val="000000"/>
          <w:kern w:val="0"/>
          <w:sz w:val="21"/>
        </w:rPr>
        <w:t>不考虑相关交易费用。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8.4.3 </w:t>
      </w:r>
      <w:r>
        <w:rPr>
          <w:rFonts w:hint="eastAsia" w:ascii="Times New Roman" w:hAnsi="Times New Roman"/>
          <w:b/>
          <w:color w:val="000000"/>
          <w:kern w:val="0"/>
          <w:sz w:val="24"/>
        </w:rPr>
        <w:t>买入股票的成本总额及卖出股票的收入总额</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2"/>
        <w:gridCol w:w="5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买入股票成本（成交）总额</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81,346,725.58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卖出股票收入（成交）总额</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69,594,005.71</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注：买入股票成本、卖出股票收入均按买卖成交金额填列，不考虑相关交易费用。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7" w:name="_Toc477960807"/>
      <w:r>
        <w:rPr>
          <w:rFonts w:hint="default" w:ascii="Times New Roman" w:hAnsi="Times New Roman"/>
          <w:b/>
          <w:color w:val="000000"/>
          <w:kern w:val="0"/>
          <w:sz w:val="24"/>
        </w:rPr>
        <w:t xml:space="preserve">8.5 </w:t>
      </w:r>
      <w:r>
        <w:rPr>
          <w:rFonts w:hint="eastAsia" w:ascii="Times New Roman" w:hAnsi="Times New Roman"/>
          <w:b/>
          <w:color w:val="000000"/>
          <w:kern w:val="0"/>
          <w:sz w:val="24"/>
        </w:rPr>
        <w:t>期末按债券品种分类的债券投资组合</w:t>
      </w:r>
      <w:bookmarkEnd w:id="37"/>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4335"/>
        <w:gridCol w:w="2167"/>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债券品种</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占基金资产净值比例（％）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国家债券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26,749,394.10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央行票据</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金融债券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29,235,000.00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其中：政策性金融债</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29,235,000.00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企业债券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26,924,237.90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企业短期融资券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中期票据</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可转债</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18,292,435.68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同业存单</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101,201,067.68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92.80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8" w:name="_Toc477960808"/>
      <w:r>
        <w:rPr>
          <w:rFonts w:hint="default" w:ascii="Times New Roman" w:hAnsi="Times New Roman"/>
          <w:b/>
          <w:color w:val="000000"/>
          <w:kern w:val="0"/>
          <w:sz w:val="24"/>
        </w:rPr>
        <w:t xml:space="preserve">8.6 </w:t>
      </w:r>
      <w:r>
        <w:rPr>
          <w:rFonts w:hint="eastAsia" w:ascii="Times New Roman" w:hAnsi="Times New Roman"/>
          <w:b/>
          <w:color w:val="000000"/>
          <w:kern w:val="0"/>
          <w:sz w:val="24"/>
        </w:rPr>
        <w:t>期末按公允价值占基金资产净值比例大小排序的前五名债券投资明细</w:t>
      </w:r>
      <w:bookmarkEnd w:id="38"/>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1445"/>
        <w:gridCol w:w="1445"/>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债券代码</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债券名称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数量（张）</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160418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农发</w:t>
            </w:r>
            <w:r>
              <w:rPr>
                <w:rFonts w:hint="default" w:ascii="Times New Roman" w:hAnsi="Times New Roman"/>
                <w:color w:val="000000"/>
                <w:kern w:val="0"/>
                <w:sz w:val="24"/>
              </w:rPr>
              <w:t>18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19,618,000.00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010107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21</w:t>
            </w:r>
            <w:r>
              <w:rPr>
                <w:rFonts w:hint="eastAsia" w:ascii="Times New Roman" w:hAnsi="Times New Roman"/>
                <w:color w:val="000000"/>
                <w:kern w:val="0"/>
                <w:sz w:val="24"/>
              </w:rPr>
              <w:t>国债⑺</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11,577,500.00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124999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13</w:t>
            </w:r>
            <w:r>
              <w:rPr>
                <w:rFonts w:hint="eastAsia" w:ascii="Times New Roman" w:hAnsi="Times New Roman"/>
                <w:color w:val="000000"/>
                <w:kern w:val="0"/>
                <w:sz w:val="24"/>
              </w:rPr>
              <w:t>武续债</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95,480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10,308,020.80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160210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国开</w:t>
            </w:r>
            <w:r>
              <w:rPr>
                <w:rFonts w:hint="default" w:ascii="Times New Roman" w:hAnsi="Times New Roman"/>
                <w:color w:val="000000"/>
                <w:kern w:val="0"/>
                <w:sz w:val="24"/>
              </w:rPr>
              <w:t>10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9,617,000.00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019539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国债</w:t>
            </w:r>
            <w:r>
              <w:rPr>
                <w:rFonts w:hint="default" w:ascii="Times New Roman" w:hAnsi="Times New Roman"/>
                <w:color w:val="000000"/>
                <w:kern w:val="0"/>
                <w:sz w:val="24"/>
              </w:rPr>
              <w:t>11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5,992,200.00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5.49</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9" w:name="_Toc477960809"/>
      <w:r>
        <w:rPr>
          <w:rFonts w:hint="default" w:ascii="Times New Roman" w:hAnsi="Times New Roman"/>
          <w:b/>
          <w:color w:val="000000"/>
          <w:kern w:val="0"/>
          <w:sz w:val="24"/>
        </w:rPr>
        <w:t xml:space="preserve">8.7 </w:t>
      </w:r>
      <w:r>
        <w:rPr>
          <w:rFonts w:hint="eastAsia" w:ascii="Times New Roman" w:hAnsi="Times New Roman"/>
          <w:b/>
          <w:color w:val="000000"/>
          <w:kern w:val="0"/>
          <w:sz w:val="24"/>
        </w:rPr>
        <w:t>期末按公允价值占基金资产净值比例大小排序的所有资产支持证券投资明细</w:t>
      </w:r>
      <w:bookmarkEnd w:id="39"/>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本基金本报告期末未持有资产支持证券。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0" w:name="_Toc477960810"/>
      <w:r>
        <w:rPr>
          <w:rFonts w:hint="default" w:ascii="Times New Roman" w:hAnsi="Times New Roman"/>
          <w:b/>
          <w:color w:val="000000"/>
          <w:kern w:val="0"/>
          <w:sz w:val="24"/>
        </w:rPr>
        <w:t xml:space="preserve">8.8 </w:t>
      </w:r>
      <w:r>
        <w:rPr>
          <w:rFonts w:hint="eastAsia" w:ascii="Times New Roman" w:hAnsi="Times New Roman"/>
          <w:b/>
          <w:color w:val="000000"/>
          <w:kern w:val="0"/>
          <w:sz w:val="24"/>
        </w:rPr>
        <w:t>报告期末按公允价值占基金资产净值比例大小排序的前五名贵金属投资明细</w:t>
      </w:r>
      <w:bookmarkEnd w:id="40"/>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本基金本报告期末未持有贵金属。</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1" w:name="_Toc477960811"/>
      <w:r>
        <w:rPr>
          <w:rFonts w:hint="default" w:ascii="Times New Roman" w:hAnsi="Times New Roman"/>
          <w:b/>
          <w:color w:val="000000"/>
          <w:kern w:val="0"/>
          <w:sz w:val="24"/>
        </w:rPr>
        <w:t xml:space="preserve">8.9 </w:t>
      </w:r>
      <w:r>
        <w:rPr>
          <w:rFonts w:hint="eastAsia" w:ascii="Times New Roman" w:hAnsi="Times New Roman"/>
          <w:b/>
          <w:color w:val="000000"/>
          <w:kern w:val="0"/>
          <w:sz w:val="24"/>
        </w:rPr>
        <w:t>期末按公允价值占基金资产净值比例大小排序的前五名权证投资明细</w:t>
      </w:r>
      <w:bookmarkEnd w:id="41"/>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本基金本报告期末未持有权证。</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2" w:name="_Toc477960812"/>
      <w:r>
        <w:rPr>
          <w:rFonts w:hint="default" w:ascii="Times New Roman" w:hAnsi="Times New Roman"/>
          <w:b/>
          <w:color w:val="000000"/>
          <w:kern w:val="0"/>
          <w:sz w:val="24"/>
        </w:rPr>
        <w:t xml:space="preserve">8.10 </w:t>
      </w:r>
      <w:r>
        <w:rPr>
          <w:rFonts w:hint="eastAsia" w:ascii="Times New Roman" w:hAnsi="Times New Roman"/>
          <w:b/>
          <w:color w:val="000000"/>
          <w:kern w:val="0"/>
          <w:sz w:val="24"/>
        </w:rPr>
        <w:t>报告期末本基金投资的股指期货交易情况说明</w:t>
      </w:r>
      <w:bookmarkEnd w:id="42"/>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本基金本报告期末未持有股指期货。</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3" w:name="_Toc477960813"/>
      <w:r>
        <w:rPr>
          <w:rFonts w:hint="default" w:ascii="Times New Roman" w:hAnsi="Times New Roman"/>
          <w:b/>
          <w:color w:val="000000"/>
          <w:kern w:val="0"/>
          <w:sz w:val="24"/>
        </w:rPr>
        <w:t xml:space="preserve">8.11 </w:t>
      </w:r>
      <w:r>
        <w:rPr>
          <w:rFonts w:hint="eastAsia" w:ascii="Times New Roman" w:hAnsi="Times New Roman"/>
          <w:b/>
          <w:color w:val="000000"/>
          <w:kern w:val="0"/>
          <w:sz w:val="24"/>
        </w:rPr>
        <w:t>报告期末本基金投资的国债期货交易情况说明</w:t>
      </w:r>
      <w:bookmarkEnd w:id="43"/>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本基金本报告期末未持有国债期货。</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4" w:name="_Toc477960814"/>
      <w:r>
        <w:rPr>
          <w:rFonts w:hint="default" w:ascii="Times New Roman" w:hAnsi="Times New Roman"/>
          <w:b/>
          <w:color w:val="000000"/>
          <w:kern w:val="0"/>
          <w:sz w:val="24"/>
        </w:rPr>
        <w:t xml:space="preserve">8.12 </w:t>
      </w:r>
      <w:r>
        <w:rPr>
          <w:rFonts w:hint="eastAsia" w:ascii="Times New Roman" w:hAnsi="Times New Roman"/>
          <w:b/>
          <w:color w:val="000000"/>
          <w:kern w:val="0"/>
          <w:sz w:val="24"/>
        </w:rPr>
        <w:t>投资组合报告附注</w:t>
      </w:r>
      <w:bookmarkEnd w:id="44"/>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8.12.1</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本报告期内本基金投资的前十名证券发行主体未被监管机构立案调查、在编制日前一年内也未受到公开谴责和处罚。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8.12.2</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本报告期内基金投资的前十名股票未超出基金合同规定的备选股票库。</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8.12.3 </w:t>
      </w:r>
      <w:r>
        <w:rPr>
          <w:rFonts w:hint="eastAsia" w:ascii="Times New Roman" w:hAnsi="Times New Roman"/>
          <w:b/>
          <w:color w:val="000000"/>
          <w:kern w:val="0"/>
          <w:sz w:val="24"/>
        </w:rPr>
        <w:t>期末其他各项资产构成</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4335"/>
        <w:gridCol w:w="39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名称</w:t>
            </w:r>
          </w:p>
        </w:tc>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35,760.70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应收证券清算款</w:t>
            </w:r>
          </w:p>
        </w:tc>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2,974,553.80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应收股利</w:t>
            </w:r>
          </w:p>
        </w:tc>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1,565,075.95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应收申购款</w:t>
            </w:r>
          </w:p>
        </w:tc>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2,186.02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其他应收款</w:t>
            </w:r>
          </w:p>
        </w:tc>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待摊费用</w:t>
            </w:r>
          </w:p>
        </w:tc>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433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4,577,576.47</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8.12.4 </w:t>
      </w:r>
      <w:r>
        <w:rPr>
          <w:rFonts w:hint="eastAsia" w:ascii="Times New Roman" w:hAnsi="Times New Roman"/>
          <w:b/>
          <w:color w:val="000000"/>
          <w:kern w:val="0"/>
          <w:sz w:val="24"/>
        </w:rPr>
        <w:t>期末持有的处于转股期的可转换债券明细</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1084"/>
        <w:gridCol w:w="1806"/>
        <w:gridCol w:w="2528"/>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债券代码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债券名称</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123001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蓝标转债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4,348,400.00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128012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辉丰转债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4,313,600.00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110032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三一转债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3,315,600.00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110031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航信转债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2,171,600.00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128011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汽模转债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1,285,300.00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113008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电气转债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1,144,300.00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128010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顺昌转债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1,118,449.08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110030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格力转债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594,140.40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0.54</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8.12.5 </w:t>
      </w:r>
      <w:r>
        <w:rPr>
          <w:rFonts w:hint="eastAsia" w:ascii="Times New Roman" w:hAnsi="Times New Roman"/>
          <w:b/>
          <w:color w:val="000000"/>
          <w:kern w:val="0"/>
          <w:sz w:val="24"/>
        </w:rPr>
        <w:t>期末前十名股票中存在流通受限情况的说明</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1445"/>
        <w:gridCol w:w="1445"/>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股票代码</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股票名称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流通受限部分的公允价值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流通受限情况说明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002727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一心堂</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453,680.00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0.42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重大事项停牌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300100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双林股份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408,000.00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0.37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重大事项停牌</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45" w:name="_Toc477960815"/>
      <w:r>
        <w:rPr>
          <w:rFonts w:hint="eastAsia" w:ascii="Times New Roman" w:hAnsi="Times New Roman"/>
          <w:b/>
          <w:color w:val="000000"/>
          <w:kern w:val="0"/>
          <w:sz w:val="24"/>
        </w:rPr>
        <w:t>§</w:t>
      </w:r>
      <w:r>
        <w:rPr>
          <w:rFonts w:hint="default" w:ascii="Times New Roman" w:hAnsi="Times New Roman"/>
          <w:b/>
          <w:color w:val="000000"/>
          <w:kern w:val="0"/>
          <w:sz w:val="24"/>
        </w:rPr>
        <w:t xml:space="preserve">9 </w:t>
      </w:r>
      <w:r>
        <w:rPr>
          <w:rFonts w:hint="eastAsia" w:ascii="Times New Roman" w:hAnsi="Times New Roman"/>
          <w:b/>
          <w:color w:val="000000"/>
          <w:kern w:val="0"/>
          <w:sz w:val="24"/>
        </w:rPr>
        <w:t>基金份额持有人信息</w:t>
      </w:r>
      <w:bookmarkEnd w:id="45"/>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6" w:name="_Toc477960816"/>
      <w:r>
        <w:rPr>
          <w:rFonts w:hint="default" w:ascii="Times New Roman" w:hAnsi="Times New Roman"/>
          <w:b/>
          <w:color w:val="000000"/>
          <w:kern w:val="0"/>
          <w:sz w:val="24"/>
        </w:rPr>
        <w:t xml:space="preserve">9.1 </w:t>
      </w:r>
      <w:r>
        <w:rPr>
          <w:rFonts w:hint="eastAsia" w:ascii="Times New Roman" w:hAnsi="Times New Roman"/>
          <w:b/>
          <w:color w:val="000000"/>
          <w:kern w:val="0"/>
          <w:sz w:val="24"/>
        </w:rPr>
        <w:t>期末基金份额持有人户数及持有人结构</w:t>
      </w:r>
      <w:bookmarkEnd w:id="46"/>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份额单位：份</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4"/>
        <w:gridCol w:w="1444"/>
        <w:gridCol w:w="1445"/>
        <w:gridCol w:w="1445"/>
        <w:gridCol w:w="1084"/>
        <w:gridCol w:w="1444"/>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级别</w:t>
            </w:r>
          </w:p>
        </w:tc>
        <w:tc>
          <w:tcPr>
            <w:tcW w:w="144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持有人户数</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户</w:t>
            </w:r>
            <w:r>
              <w:rPr>
                <w:rFonts w:hint="default" w:ascii="Times New Roman" w:hAnsi="Times New Roman"/>
                <w:color w:val="000000"/>
                <w:kern w:val="0"/>
                <w:sz w:val="24"/>
              </w:rPr>
              <w:t>)</w:t>
            </w:r>
          </w:p>
        </w:tc>
        <w:tc>
          <w:tcPr>
            <w:tcW w:w="1445"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户均持有的基金份额</w:t>
            </w:r>
          </w:p>
        </w:tc>
        <w:tc>
          <w:tcPr>
            <w:tcW w:w="5057" w:type="dxa"/>
            <w:gridSpan w:val="4"/>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持有人结构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52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机构投资者</w:t>
            </w:r>
          </w:p>
        </w:tc>
        <w:tc>
          <w:tcPr>
            <w:tcW w:w="252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个人投资者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占总份额</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比例</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占总份额</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97,598.37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84,422,593.58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74,497.06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16,314,856.35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94,856.36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100,737,449.93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7" w:name="_Toc477960817"/>
      <w:r>
        <w:rPr>
          <w:rFonts w:hint="default" w:ascii="Times New Roman" w:hAnsi="Times New Roman"/>
          <w:b/>
          <w:color w:val="000000"/>
          <w:kern w:val="0"/>
          <w:sz w:val="24"/>
        </w:rPr>
        <w:t xml:space="preserve">9.2 </w:t>
      </w:r>
      <w:r>
        <w:rPr>
          <w:rFonts w:hint="eastAsia" w:ascii="Times New Roman" w:hAnsi="Times New Roman"/>
          <w:b/>
          <w:color w:val="000000"/>
          <w:kern w:val="0"/>
          <w:sz w:val="24"/>
        </w:rPr>
        <w:t>期末基金管理人的从业人员持有本基金的情况</w:t>
      </w:r>
      <w:bookmarkEnd w:id="47"/>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1445"/>
        <w:gridCol w:w="2167"/>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份额级别</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持有份额总数（份）</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占基金总份额比例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基金管理人所有从业人员持有本基金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102,378.00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0.121268%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eastAsia="Times New Roman"/>
                <w:color w:val="000000"/>
                <w:kern w:val="0"/>
                <w:sz w:val="24"/>
              </w:rPr>
              <w:t>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102,378.00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0.101629%</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8" w:name="_Toc477960818"/>
      <w:r>
        <w:rPr>
          <w:rFonts w:hint="default" w:ascii="Times New Roman" w:hAnsi="Times New Roman"/>
          <w:b/>
          <w:color w:val="000000"/>
          <w:kern w:val="0"/>
          <w:sz w:val="24"/>
        </w:rPr>
        <w:t xml:space="preserve">9.3 </w:t>
      </w:r>
      <w:r>
        <w:rPr>
          <w:rFonts w:hint="eastAsia" w:ascii="Times New Roman" w:hAnsi="Times New Roman"/>
          <w:b/>
          <w:color w:val="000000"/>
          <w:kern w:val="0"/>
          <w:sz w:val="24"/>
        </w:rPr>
        <w:t>期末基金管理人的从业人员持有本开放式基金份额总量区间情况</w:t>
      </w:r>
      <w:bookmarkEnd w:id="48"/>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51"/>
        <w:gridCol w:w="2167"/>
        <w:gridCol w:w="3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份额级别</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持有基金份额总量的数量区间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（万份）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本公司高级管理人员、基金投资和研究部门负责人持有本开放式基金</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eastAsia="Times New Roman"/>
                <w:color w:val="000000"/>
                <w:kern w:val="0"/>
                <w:sz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eastAsia="Times New Roman"/>
                <w:color w:val="000000"/>
                <w:kern w:val="0"/>
                <w:sz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eastAsia="Times New Roman"/>
                <w:color w:val="000000"/>
                <w:kern w:val="0"/>
                <w:sz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本基金基金经理持有本开放式基金</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eastAsia="Times New Roman"/>
                <w:color w:val="000000"/>
                <w:kern w:val="0"/>
                <w:sz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eastAsia="Times New Roman"/>
                <w:color w:val="000000"/>
                <w:kern w:val="0"/>
                <w:sz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51"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eastAsia="Times New Roman"/>
                <w:color w:val="000000"/>
                <w:kern w:val="0"/>
                <w:sz w:val="24"/>
              </w:rPr>
              <w:t>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49" w:name="_Toc477960819"/>
      <w:r>
        <w:rPr>
          <w:rFonts w:hint="eastAsia" w:ascii="Times New Roman" w:hAnsi="Times New Roman"/>
          <w:b/>
          <w:color w:val="000000"/>
          <w:kern w:val="0"/>
          <w:sz w:val="24"/>
        </w:rPr>
        <w:t>§</w:t>
      </w:r>
      <w:r>
        <w:rPr>
          <w:rFonts w:hint="default" w:ascii="Times New Roman" w:hAnsi="Times New Roman"/>
          <w:b/>
          <w:color w:val="000000"/>
          <w:kern w:val="0"/>
          <w:sz w:val="24"/>
        </w:rPr>
        <w:t xml:space="preserve">10 </w:t>
      </w:r>
      <w:r>
        <w:rPr>
          <w:rFonts w:hint="eastAsia" w:ascii="Times New Roman" w:hAnsi="Times New Roman"/>
          <w:b/>
          <w:color w:val="000000"/>
          <w:kern w:val="0"/>
          <w:sz w:val="24"/>
        </w:rPr>
        <w:t>开放式基金份额变动</w:t>
      </w:r>
      <w:bookmarkEnd w:id="49"/>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单位：份</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3"/>
        <w:gridCol w:w="2529"/>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A</w:t>
            </w:r>
            <w:r>
              <w:rPr>
                <w:rFonts w:hint="eastAsia" w:ascii="Times New Roman" w:hAnsi="Times New Roman"/>
                <w:color w:val="000000"/>
                <w:kern w:val="0"/>
                <w:sz w:val="24"/>
              </w:rPr>
              <w:t>级</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创金聚利</w:t>
            </w:r>
            <w:r>
              <w:rPr>
                <w:rFonts w:hint="default" w:ascii="Times New Roman" w:hAnsi="Times New Roman"/>
                <w:color w:val="000000"/>
                <w:kern w:val="0"/>
                <w:sz w:val="24"/>
              </w:rPr>
              <w:t>C</w:t>
            </w:r>
            <w:r>
              <w:rPr>
                <w:rFonts w:hint="eastAsia" w:ascii="Times New Roman" w:hAnsi="Times New Roman"/>
                <w:color w:val="000000"/>
                <w:kern w:val="0"/>
                <w:sz w:val="24"/>
              </w:rPr>
              <w:t>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05</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基金份额总额</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305,115,514.93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80,431,193.25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本报告期期初基金份额总额</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123,245,595.19</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37,219,249.95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本报告期基金总申购份额</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319,999,584.50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1,274,990.03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减：本报告期基金总赎回份额</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358,822,586.11</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22,179,383.63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本报告期基金拆分变动份额</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本报告期期末基金份额总额</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84,422,593.58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16,314,856.35</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50" w:name="_Toc477960820"/>
      <w:r>
        <w:rPr>
          <w:rFonts w:hint="eastAsia" w:ascii="Times New Roman" w:hAnsi="Times New Roman"/>
          <w:b/>
          <w:color w:val="000000"/>
          <w:kern w:val="0"/>
          <w:sz w:val="24"/>
        </w:rPr>
        <w:t>§</w:t>
      </w:r>
      <w:r>
        <w:rPr>
          <w:rFonts w:hint="default" w:ascii="Times New Roman" w:hAnsi="Times New Roman"/>
          <w:b/>
          <w:color w:val="000000"/>
          <w:kern w:val="0"/>
          <w:sz w:val="24"/>
        </w:rPr>
        <w:t xml:space="preserve">11 </w:t>
      </w:r>
      <w:r>
        <w:rPr>
          <w:rFonts w:hint="eastAsia" w:ascii="Times New Roman" w:hAnsi="Times New Roman"/>
          <w:b/>
          <w:color w:val="000000"/>
          <w:kern w:val="0"/>
          <w:sz w:val="24"/>
        </w:rPr>
        <w:t>重大事件揭示</w:t>
      </w:r>
      <w:bookmarkEnd w:id="50"/>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1" w:name="_Toc477960821"/>
      <w:r>
        <w:rPr>
          <w:rFonts w:hint="default" w:ascii="Times New Roman" w:hAnsi="Times New Roman"/>
          <w:b/>
          <w:color w:val="000000"/>
          <w:kern w:val="0"/>
          <w:sz w:val="24"/>
        </w:rPr>
        <w:t xml:space="preserve">11.1 </w:t>
      </w:r>
      <w:r>
        <w:rPr>
          <w:rFonts w:hint="eastAsia" w:ascii="Times New Roman" w:hAnsi="Times New Roman"/>
          <w:b/>
          <w:color w:val="000000"/>
          <w:kern w:val="0"/>
          <w:sz w:val="24"/>
        </w:rPr>
        <w:t>基金份额持有人大会决议</w:t>
      </w:r>
      <w:bookmarkEnd w:id="51"/>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本报告期内未召开基金份额持有人大会。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2" w:name="_Toc477960822"/>
      <w:r>
        <w:rPr>
          <w:rFonts w:hint="default" w:ascii="Times New Roman" w:hAnsi="Times New Roman"/>
          <w:b/>
          <w:color w:val="000000"/>
          <w:kern w:val="0"/>
          <w:sz w:val="24"/>
        </w:rPr>
        <w:t xml:space="preserve">11.2 </w:t>
      </w:r>
      <w:r>
        <w:rPr>
          <w:rFonts w:hint="eastAsia" w:ascii="Times New Roman" w:hAnsi="Times New Roman"/>
          <w:b/>
          <w:color w:val="000000"/>
          <w:kern w:val="0"/>
          <w:sz w:val="24"/>
        </w:rPr>
        <w:t>基金管理人、基金托管人的专门基金托管部门的重大人事变动</w:t>
      </w:r>
      <w:bookmarkEnd w:id="52"/>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本报告期内基金管理人、基金托管人的专门基金托管部门无重大人事变动。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3" w:name="_Toc477960823"/>
      <w:r>
        <w:rPr>
          <w:rFonts w:hint="default" w:ascii="Times New Roman" w:hAnsi="Times New Roman"/>
          <w:b/>
          <w:color w:val="000000"/>
          <w:kern w:val="0"/>
          <w:sz w:val="24"/>
        </w:rPr>
        <w:t xml:space="preserve">11.3 </w:t>
      </w:r>
      <w:r>
        <w:rPr>
          <w:rFonts w:hint="eastAsia" w:ascii="Times New Roman" w:hAnsi="Times New Roman"/>
          <w:b/>
          <w:color w:val="000000"/>
          <w:kern w:val="0"/>
          <w:sz w:val="24"/>
        </w:rPr>
        <w:t>涉及基金管理人、基金财产、基金托管业务的诉讼</w:t>
      </w:r>
      <w:bookmarkEnd w:id="53"/>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本报告期内，无涉及基金管理人、基金财产、基金托管业务的诉讼。</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4" w:name="_Toc477960824"/>
      <w:r>
        <w:rPr>
          <w:rFonts w:hint="default" w:ascii="Times New Roman" w:hAnsi="Times New Roman"/>
          <w:b/>
          <w:color w:val="000000"/>
          <w:kern w:val="0"/>
          <w:sz w:val="24"/>
        </w:rPr>
        <w:t xml:space="preserve">11.4 </w:t>
      </w:r>
      <w:r>
        <w:rPr>
          <w:rFonts w:hint="eastAsia" w:ascii="Times New Roman" w:hAnsi="Times New Roman"/>
          <w:b/>
          <w:color w:val="000000"/>
          <w:kern w:val="0"/>
          <w:sz w:val="24"/>
        </w:rPr>
        <w:t>基金投资策略的改变</w:t>
      </w:r>
      <w:bookmarkEnd w:id="54"/>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本报告期基金投资策略无重大改变。</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5" w:name="_Toc477960825"/>
      <w:r>
        <w:rPr>
          <w:rFonts w:hint="default" w:ascii="Times New Roman" w:hAnsi="Times New Roman"/>
          <w:b/>
          <w:color w:val="000000"/>
          <w:kern w:val="0"/>
          <w:sz w:val="24"/>
        </w:rPr>
        <w:t xml:space="preserve">11.5 </w:t>
      </w:r>
      <w:r>
        <w:rPr>
          <w:rFonts w:hint="eastAsia" w:ascii="Times New Roman" w:hAnsi="Times New Roman"/>
          <w:b/>
          <w:color w:val="000000"/>
          <w:kern w:val="0"/>
          <w:sz w:val="24"/>
        </w:rPr>
        <w:t>为基金进行审计的会计师事务所情况</w:t>
      </w:r>
      <w:bookmarkEnd w:id="55"/>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本报告期内本基金未更换会计师事务所，本年度支付给普华永道中天会计师事务所</w:t>
      </w:r>
      <w:r>
        <w:rPr>
          <w:rFonts w:hint="default" w:ascii="Times New Roman" w:hAnsi="Times New Roman"/>
          <w:color w:val="000000"/>
          <w:kern w:val="0"/>
          <w:sz w:val="24"/>
        </w:rPr>
        <w:t>(</w:t>
      </w:r>
      <w:r>
        <w:rPr>
          <w:rFonts w:hint="eastAsia" w:ascii="Times New Roman" w:hAnsi="Times New Roman"/>
          <w:color w:val="000000"/>
          <w:kern w:val="0"/>
          <w:sz w:val="24"/>
        </w:rPr>
        <w:t>特殊普通合伙</w:t>
      </w:r>
      <w:r>
        <w:rPr>
          <w:rFonts w:hint="default" w:ascii="Times New Roman" w:hAnsi="Times New Roman"/>
          <w:color w:val="000000"/>
          <w:kern w:val="0"/>
          <w:sz w:val="24"/>
        </w:rPr>
        <w:t>)</w:t>
      </w:r>
      <w:r>
        <w:rPr>
          <w:rFonts w:hint="eastAsia" w:ascii="Times New Roman" w:hAnsi="Times New Roman"/>
          <w:color w:val="000000"/>
          <w:kern w:val="0"/>
          <w:sz w:val="24"/>
        </w:rPr>
        <w:t>审计费用</w:t>
      </w:r>
      <w:r>
        <w:rPr>
          <w:rFonts w:hint="default" w:ascii="Times New Roman" w:hAnsi="Times New Roman"/>
          <w:color w:val="000000"/>
          <w:kern w:val="0"/>
          <w:sz w:val="24"/>
        </w:rPr>
        <w:t>71,999.80</w:t>
      </w:r>
      <w:r>
        <w:rPr>
          <w:rFonts w:hint="eastAsia" w:ascii="Times New Roman" w:hAnsi="Times New Roman"/>
          <w:color w:val="000000"/>
          <w:kern w:val="0"/>
          <w:sz w:val="24"/>
        </w:rPr>
        <w:t>元，该审计机构连续提供审计服务的年限为</w:t>
      </w:r>
      <w:r>
        <w:rPr>
          <w:rFonts w:hint="default" w:ascii="Times New Roman" w:hAnsi="Times New Roman"/>
          <w:color w:val="000000"/>
          <w:kern w:val="0"/>
          <w:sz w:val="24"/>
        </w:rPr>
        <w:t>2</w:t>
      </w:r>
      <w:r>
        <w:rPr>
          <w:rFonts w:hint="eastAsia" w:ascii="Times New Roman" w:hAnsi="Times New Roman"/>
          <w:color w:val="000000"/>
          <w:kern w:val="0"/>
          <w:sz w:val="24"/>
        </w:rPr>
        <w:t>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6" w:name="_Toc477960826"/>
      <w:r>
        <w:rPr>
          <w:rFonts w:hint="default" w:ascii="Times New Roman" w:hAnsi="Times New Roman"/>
          <w:b/>
          <w:color w:val="000000"/>
          <w:kern w:val="0"/>
          <w:sz w:val="24"/>
        </w:rPr>
        <w:t xml:space="preserve">11.6 </w:t>
      </w:r>
      <w:r>
        <w:rPr>
          <w:rFonts w:hint="eastAsia" w:ascii="Times New Roman" w:hAnsi="Times New Roman"/>
          <w:b/>
          <w:color w:val="000000"/>
          <w:kern w:val="0"/>
          <w:sz w:val="24"/>
        </w:rPr>
        <w:t>管理人、托管人及其高级管理人员受稽查或处罚等情况</w:t>
      </w:r>
      <w:bookmarkEnd w:id="56"/>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本报告期内，基金管理人、基金托管人及其高级管理人员没有受到监管部门稽查或处罚等情况。</w:t>
      </w: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7" w:name="_Toc477960827"/>
      <w:r>
        <w:rPr>
          <w:rFonts w:hint="default" w:ascii="Times New Roman" w:hAnsi="Times New Roman"/>
          <w:b/>
          <w:color w:val="000000"/>
          <w:kern w:val="0"/>
          <w:sz w:val="24"/>
        </w:rPr>
        <w:t xml:space="preserve">11.7 </w:t>
      </w:r>
      <w:r>
        <w:rPr>
          <w:rFonts w:hint="eastAsia" w:ascii="Times New Roman" w:hAnsi="Times New Roman"/>
          <w:b/>
          <w:color w:val="000000"/>
          <w:kern w:val="0"/>
          <w:sz w:val="24"/>
        </w:rPr>
        <w:t>基金租用证券公司交易单元的有关情况</w:t>
      </w:r>
      <w:bookmarkEnd w:id="57"/>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11.7.1 </w:t>
      </w:r>
      <w:r>
        <w:rPr>
          <w:rFonts w:hint="eastAsia" w:ascii="Times New Roman" w:hAnsi="Times New Roman"/>
          <w:b/>
          <w:color w:val="000000"/>
          <w:kern w:val="0"/>
          <w:sz w:val="24"/>
        </w:rPr>
        <w:t>基金租用证券公司交易单元进行股票投资及佣金支付情况</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5"/>
        <w:gridCol w:w="1083"/>
        <w:gridCol w:w="1084"/>
        <w:gridCol w:w="1445"/>
        <w:gridCol w:w="1083"/>
        <w:gridCol w:w="1445"/>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券商名称</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交易单元</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数量</w:t>
            </w:r>
          </w:p>
        </w:tc>
        <w:tc>
          <w:tcPr>
            <w:tcW w:w="252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股票交易</w:t>
            </w:r>
          </w:p>
        </w:tc>
        <w:tc>
          <w:tcPr>
            <w:tcW w:w="252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应支付该券商的佣金</w:t>
            </w:r>
          </w:p>
        </w:tc>
        <w:tc>
          <w:tcPr>
            <w:tcW w:w="1445"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占股票</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成交总额比例</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佣金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占当期佣金</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总量的比例</w:t>
            </w:r>
          </w:p>
        </w:tc>
        <w:tc>
          <w:tcPr>
            <w:tcW w:w="1445"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eastAsia="Times New Roman"/>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第一创业证券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9,905,905.00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6.56%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7,124.53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8.01%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东兴证券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9,326,987.50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6.18%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8,604.81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9.68%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中银国际证券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11,551,342.00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7.65%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8,306.92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9.34%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金元证券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1,586,750.00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991.35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招商证券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56,457,426.06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37.40%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40,226.60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45.23%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华安证券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62,112,320.73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41.15%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23,683.63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26.63%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银河证券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中信建投证券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国信证券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中信证券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中泰证券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注：交易单元的选择标准和程序：</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1</w:t>
      </w:r>
      <w:r>
        <w:rPr>
          <w:rFonts w:hint="eastAsia" w:ascii="Times New Roman" w:hAnsi="Times New Roman"/>
          <w:color w:val="000000"/>
          <w:kern w:val="0"/>
          <w:sz w:val="21"/>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2</w:t>
      </w:r>
      <w:r>
        <w:rPr>
          <w:rFonts w:hint="eastAsia" w:ascii="Times New Roman" w:hAnsi="Times New Roman"/>
          <w:color w:val="000000"/>
          <w:kern w:val="0"/>
          <w:sz w:val="21"/>
        </w:rPr>
        <w:t>）财务状况良好，各项财务指标显示公司经营状况稳定；</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3</w:t>
      </w:r>
      <w:r>
        <w:rPr>
          <w:rFonts w:hint="eastAsia" w:ascii="Times New Roman" w:hAnsi="Times New Roman"/>
          <w:color w:val="000000"/>
          <w:kern w:val="0"/>
          <w:sz w:val="21"/>
        </w:rPr>
        <w:t>）经营行为规范，内部管理规范、严格，具备健全的内部控制制度，并能满足基金运作高度保密的要求；</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4</w:t>
      </w:r>
      <w:r>
        <w:rPr>
          <w:rFonts w:hint="eastAsia" w:ascii="Times New Roman" w:hAnsi="Times New Roman"/>
          <w:color w:val="000000"/>
          <w:kern w:val="0"/>
          <w:sz w:val="21"/>
        </w:rPr>
        <w:t>）具备基金运作所需的高效、安全的通讯条件，交易设施符合代理基金进行证券交易的需要，并能为基金提供全面的信息服务。</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基金管理人根据以上标准进行考察后确定租用券商的交易单元，并与被选中的证券经营机构签订交易单元租用协议。</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本基金报告期内新增中银国际证券，金元证券，招商证券，华安证券，中泰证券</w:t>
      </w:r>
      <w:r>
        <w:rPr>
          <w:rFonts w:hint="default" w:ascii="Times New Roman" w:hAnsi="Times New Roman"/>
          <w:color w:val="000000"/>
          <w:kern w:val="0"/>
          <w:sz w:val="21"/>
        </w:rPr>
        <w:t>5</w:t>
      </w:r>
      <w:r>
        <w:rPr>
          <w:rFonts w:hint="eastAsia" w:ascii="Times New Roman" w:hAnsi="Times New Roman"/>
          <w:color w:val="000000"/>
          <w:kern w:val="0"/>
          <w:sz w:val="21"/>
        </w:rPr>
        <w:t>家券商的</w:t>
      </w:r>
      <w:r>
        <w:rPr>
          <w:rFonts w:hint="default" w:ascii="Times New Roman" w:hAnsi="Times New Roman"/>
          <w:color w:val="000000"/>
          <w:kern w:val="0"/>
          <w:sz w:val="21"/>
        </w:rPr>
        <w:t>10</w:t>
      </w:r>
      <w:r>
        <w:rPr>
          <w:rFonts w:hint="eastAsia" w:ascii="Times New Roman" w:hAnsi="Times New Roman"/>
          <w:color w:val="000000"/>
          <w:kern w:val="0"/>
          <w:sz w:val="21"/>
        </w:rPr>
        <w:t>个交易单元。</w:t>
      </w:r>
      <w:r>
        <w:rPr>
          <w:rFonts w:hint="default" w:ascii="Times New Roman" w:hAnsi="Times New Roman"/>
          <w:color w:val="000000"/>
          <w:kern w:val="0"/>
          <w:sz w:val="21"/>
        </w:rPr>
        <w:t xml:space="preserve"> </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11.7.2 </w:t>
      </w:r>
      <w:r>
        <w:rPr>
          <w:rFonts w:hint="eastAsia" w:ascii="Times New Roman" w:hAnsi="Times New Roman"/>
          <w:b/>
          <w:color w:val="000000"/>
          <w:kern w:val="0"/>
          <w:sz w:val="24"/>
        </w:rPr>
        <w:t>基金租用证券公司交易单元进行其他证券投资的情况</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5"/>
        <w:gridCol w:w="1083"/>
        <w:gridCol w:w="1445"/>
        <w:gridCol w:w="1084"/>
        <w:gridCol w:w="1445"/>
        <w:gridCol w:w="1083"/>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券商名称</w:t>
            </w:r>
          </w:p>
        </w:tc>
        <w:tc>
          <w:tcPr>
            <w:tcW w:w="252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债券交易</w:t>
            </w:r>
          </w:p>
        </w:tc>
        <w:tc>
          <w:tcPr>
            <w:tcW w:w="252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债券回购交易</w:t>
            </w:r>
          </w:p>
        </w:tc>
        <w:tc>
          <w:tcPr>
            <w:tcW w:w="252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权证交易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占债券</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成交总额比例</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占债券回购</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成交总额比例</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占权证</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成交总额比例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第一创业证券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141,782,416.89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35.01%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1,065,700,000.00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35.11%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东兴证券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55,679,727.84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13.75%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489,300,000.00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16.12%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中银国际证券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27,075,282.69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6.68%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692,700,000.00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22.82%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金元证券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24,929,086.72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6.15%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231,000,000.00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7.61%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招商证券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23,694,924.89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5.85%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0.03%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华安证券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131,868,290.34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32.56%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556,000,000.00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18.32%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银河证券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中信建投证券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国信证券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中信证券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中泰证券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8" w:name="_Toc477960828"/>
      <w:r>
        <w:rPr>
          <w:rFonts w:hint="default" w:ascii="Times New Roman" w:hAnsi="Times New Roman"/>
          <w:b/>
          <w:color w:val="000000"/>
          <w:kern w:val="0"/>
          <w:sz w:val="24"/>
        </w:rPr>
        <w:t xml:space="preserve">11.8 </w:t>
      </w:r>
      <w:r>
        <w:rPr>
          <w:rFonts w:hint="eastAsia" w:ascii="Times New Roman" w:hAnsi="Times New Roman"/>
          <w:b/>
          <w:color w:val="000000"/>
          <w:kern w:val="0"/>
          <w:sz w:val="24"/>
        </w:rPr>
        <w:t>其他重大事件</w:t>
      </w:r>
      <w:bookmarkEnd w:id="58"/>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2"/>
        <w:gridCol w:w="3612"/>
        <w:gridCol w:w="2890"/>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公告事项</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法定披露方式</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法定披露日期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创金合信基金管理有限公司旗下公募基金受指数熔断影响开放时间调整的公告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2016-01-04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创金合信基金管理有限公司关于在指数熔断实施期间调整旗下部分基金开放时间的公告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创金合信基金关于调整旗下部分开放式基金申购金额下限及最低持有金额下限的公告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2015</w:t>
            </w:r>
            <w:r>
              <w:rPr>
                <w:rFonts w:hint="eastAsia" w:ascii="Times New Roman" w:hAnsi="Times New Roman"/>
                <w:color w:val="000000"/>
                <w:kern w:val="0"/>
                <w:sz w:val="24"/>
              </w:rPr>
              <w:t>年第</w:t>
            </w:r>
            <w:r>
              <w:rPr>
                <w:rFonts w:hint="default" w:ascii="Times New Roman" w:hAnsi="Times New Roman"/>
                <w:color w:val="000000"/>
                <w:kern w:val="0"/>
                <w:sz w:val="24"/>
              </w:rPr>
              <w:t>4</w:t>
            </w:r>
            <w:r>
              <w:rPr>
                <w:rFonts w:hint="eastAsia" w:ascii="Times New Roman" w:hAnsi="Times New Roman"/>
                <w:color w:val="000000"/>
                <w:kern w:val="0"/>
                <w:sz w:val="24"/>
              </w:rPr>
              <w:t>季度报告</w:t>
            </w:r>
            <w:r>
              <w:rPr>
                <w:rFonts w:hint="default" w:ascii="Times New Roman" w:hAnsi="Times New Roman"/>
                <w:color w:val="000000"/>
                <w:kern w:val="0"/>
                <w:sz w:val="24"/>
              </w:rPr>
              <w:t>1.15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创金合信基金管理有限公司旗下基金增加华夏银行为代销机构并参与其费率优惠的公告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创金合信基金管理有限公司关于旗下基金增加定期定额投资业务代销机构的公告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2016-03-23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2015</w:t>
            </w:r>
            <w:r>
              <w:rPr>
                <w:rFonts w:hint="eastAsia" w:ascii="Times New Roman" w:hAnsi="Times New Roman"/>
                <w:color w:val="000000"/>
                <w:kern w:val="0"/>
                <w:sz w:val="24"/>
              </w:rPr>
              <w:t>年年度报告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2016-03-26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2015</w:t>
            </w:r>
            <w:r>
              <w:rPr>
                <w:rFonts w:hint="eastAsia" w:ascii="Times New Roman" w:hAnsi="Times New Roman"/>
                <w:color w:val="000000"/>
                <w:kern w:val="0"/>
                <w:sz w:val="24"/>
              </w:rPr>
              <w:t>年年度报告摘要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2016-03-26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创金合信基金管理有限公司旗下基金参与工商银行费率优惠的公告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2016-04-13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1</w:t>
            </w:r>
            <w:r>
              <w:rPr>
                <w:rFonts w:hint="eastAsia" w:ascii="Times New Roman" w:hAnsi="Times New Roman"/>
                <w:color w:val="000000"/>
                <w:kern w:val="0"/>
                <w:sz w:val="24"/>
              </w:rPr>
              <w:t>季度报告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2016-05-28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创金合信基金管理有限公司关于旗下基金开展微信直销平台认购费率优惠活动的公告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2016-06-24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1</w:t>
            </w:r>
            <w:r>
              <w:rPr>
                <w:rFonts w:hint="eastAsia" w:ascii="Times New Roman" w:hAnsi="Times New Roman"/>
                <w:color w:val="000000"/>
                <w:kern w:val="0"/>
                <w:sz w:val="24"/>
              </w:rPr>
              <w:t>号）招募说明书（更新）</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2016-06-28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1</w:t>
            </w:r>
            <w:r>
              <w:rPr>
                <w:rFonts w:hint="eastAsia" w:ascii="Times New Roman" w:hAnsi="Times New Roman"/>
                <w:color w:val="000000"/>
                <w:kern w:val="0"/>
                <w:sz w:val="24"/>
              </w:rPr>
              <w:t>号）招募说明书（摘要）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2016-06-28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创金合信基金管理有限公司关于旗下部分基金估值方法变更的提示性公告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2016-06-29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2</w:t>
            </w:r>
            <w:r>
              <w:rPr>
                <w:rFonts w:hint="eastAsia" w:ascii="Times New Roman" w:hAnsi="Times New Roman"/>
                <w:color w:val="000000"/>
                <w:kern w:val="0"/>
                <w:sz w:val="24"/>
              </w:rPr>
              <w:t>季度报告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2016-07-20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r>
              <w:rPr>
                <w:rFonts w:hint="default" w:ascii="Times New Roman" w:hAnsi="Times New Roman"/>
                <w:color w:val="000000"/>
                <w:kern w:val="0"/>
                <w:sz w:val="24"/>
              </w:rPr>
              <w:t xml:space="preserve"> </w:t>
            </w:r>
            <w:r>
              <w:rPr>
                <w:rFonts w:hint="eastAsia" w:ascii="Times New Roman" w:hAnsi="Times New Roman"/>
                <w:color w:val="000000"/>
                <w:kern w:val="0"/>
                <w:sz w:val="24"/>
              </w:rPr>
              <w:t>关于调整旗下部分开放式基金申购金额下限及最低持有金额下限的公告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创金合信基金关于调整官方微信平台认购及申购费率的公告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2016-08-17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创金合信基金管理有限公司旗下部分开放式证券投资基金增加诺亚财富为代销机构的公告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2016-08-24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创金合信基金管理有限公司旗下部分开放式证券投资基金增加京东金融为代销机构的公告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2016-08-26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年半年度报告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2016-08-27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年半年度报告摘要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2016-08-27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创金合信基金关于针对旗下部分开放式证券投资基金调整直销柜台申购金额的公告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2016-09-06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创金合信基金管理有限公司旗下部分开放式证券投资基金增加大泰金石为代销机构的公告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2016-09-06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创金合信基金管理有限公司旗下部分开放式证券投资基金增加中信建投为代销机构的公告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2016-09-21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创金合信基金管理有限公司旗下部分开放式证券投资基金增加大智慧财富为代销机构的公告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创金合信基金管理有限公司旗下部分开放式证券投资基金增加上海基煜基金销售有限公司为代销机构的公告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3</w:t>
            </w:r>
            <w:r>
              <w:rPr>
                <w:rFonts w:hint="eastAsia" w:ascii="Times New Roman" w:hAnsi="Times New Roman"/>
                <w:color w:val="000000"/>
                <w:kern w:val="0"/>
                <w:sz w:val="24"/>
              </w:rPr>
              <w:t>季度报告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创金合信基金管理有限公司旗下部分开放式证券投资基金增加金融界为代销机构的公告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创金合信基金管理有限公司关于旗下部分产品增加代销机构的公告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创金合信基金关于针对旗下部分开放式证券投资基金调整直销柜台申购金额的公告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创金合信基金管理有限公司关于养老金账户通过直销柜台申购、转换转入旗下部分基金产品费率优惠的公告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创金合信基金关于针对旗下部分开放式证券投资基金调整直销柜台申购费率的公告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2016-12-08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创金合信基金管理有限公司旗下部分开放式证券投资基金增加华信证券为代销机构的公告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2</w:t>
            </w:r>
            <w:r>
              <w:rPr>
                <w:rFonts w:hint="eastAsia" w:ascii="Times New Roman" w:hAnsi="Times New Roman"/>
                <w:color w:val="000000"/>
                <w:kern w:val="0"/>
                <w:sz w:val="24"/>
              </w:rPr>
              <w:t>号）招募说明书（更新）</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2</w:t>
            </w:r>
            <w:r>
              <w:rPr>
                <w:rFonts w:hint="eastAsia" w:ascii="Times New Roman" w:hAnsi="Times New Roman"/>
                <w:color w:val="000000"/>
                <w:kern w:val="0"/>
                <w:sz w:val="24"/>
              </w:rPr>
              <w:t>号）招募说明书（摘要）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创金合信基金管理有限公司旗下部分开放式证券投资基金增加和讯为代销机构的公告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创金合信基金管理有限公司关于旗下部分开放式证券投资基金增加永鑫保险为代销机构的公告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2016-12-28</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59" w:name="_Toc477960829"/>
      <w:r>
        <w:rPr>
          <w:rFonts w:hint="eastAsia" w:ascii="Times New Roman" w:hAnsi="Times New Roman"/>
          <w:b/>
          <w:color w:val="000000"/>
          <w:kern w:val="0"/>
          <w:sz w:val="24"/>
        </w:rPr>
        <w:t>§</w:t>
      </w:r>
      <w:r>
        <w:rPr>
          <w:rFonts w:hint="default" w:ascii="Times New Roman" w:hAnsi="Times New Roman"/>
          <w:b/>
          <w:color w:val="000000"/>
          <w:kern w:val="0"/>
          <w:sz w:val="24"/>
        </w:rPr>
        <w:t xml:space="preserve">12 </w:t>
      </w:r>
      <w:r>
        <w:rPr>
          <w:rFonts w:hint="eastAsia" w:ascii="Times New Roman" w:hAnsi="Times New Roman"/>
          <w:b/>
          <w:color w:val="000000"/>
          <w:kern w:val="0"/>
          <w:sz w:val="24"/>
        </w:rPr>
        <w:t>影响投资者决策的其他重要信息</w:t>
      </w:r>
      <w:bookmarkEnd w:id="59"/>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本报告期内，未出现影响投资者决策的其他重要信息。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60" w:name="_Toc477960830"/>
      <w:r>
        <w:rPr>
          <w:rFonts w:hint="eastAsia" w:ascii="Times New Roman" w:hAnsi="Times New Roman"/>
          <w:b/>
          <w:color w:val="000000"/>
          <w:kern w:val="0"/>
          <w:sz w:val="24"/>
        </w:rPr>
        <w:t>§</w:t>
      </w:r>
      <w:r>
        <w:rPr>
          <w:rFonts w:hint="default" w:ascii="Times New Roman" w:hAnsi="Times New Roman"/>
          <w:b/>
          <w:color w:val="000000"/>
          <w:kern w:val="0"/>
          <w:sz w:val="24"/>
        </w:rPr>
        <w:t xml:space="preserve">13 </w:t>
      </w:r>
      <w:r>
        <w:rPr>
          <w:rFonts w:hint="eastAsia" w:ascii="Times New Roman" w:hAnsi="Times New Roman"/>
          <w:b/>
          <w:color w:val="000000"/>
          <w:kern w:val="0"/>
          <w:sz w:val="24"/>
        </w:rPr>
        <w:t>备查文件目录</w:t>
      </w:r>
      <w:bookmarkEnd w:id="60"/>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1" w:name="_Toc477960831"/>
      <w:r>
        <w:rPr>
          <w:rFonts w:hint="default" w:ascii="Times New Roman" w:hAnsi="Times New Roman"/>
          <w:b/>
          <w:color w:val="000000"/>
          <w:kern w:val="0"/>
          <w:sz w:val="24"/>
        </w:rPr>
        <w:t xml:space="preserve">13.1 </w:t>
      </w:r>
      <w:r>
        <w:rPr>
          <w:rFonts w:hint="eastAsia" w:ascii="Times New Roman" w:hAnsi="Times New Roman"/>
          <w:b/>
          <w:color w:val="000000"/>
          <w:kern w:val="0"/>
          <w:sz w:val="24"/>
        </w:rPr>
        <w:t>备查文件目录</w:t>
      </w:r>
      <w:bookmarkEnd w:id="61"/>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、《创金合信聚利债券型证券投资基金基金合同》；</w:t>
      </w:r>
      <w:r>
        <w:rPr>
          <w:rFonts w:hint="default" w:ascii="Times New Roman" w:hAnsi="Times New Roman"/>
          <w:color w:val="000000"/>
          <w:kern w:val="0"/>
          <w:sz w:val="24"/>
        </w:rPr>
        <w:t>2</w:t>
      </w:r>
      <w:r>
        <w:rPr>
          <w:rFonts w:hint="eastAsia" w:ascii="Times New Roman" w:hAnsi="Times New Roman"/>
          <w:color w:val="000000"/>
          <w:kern w:val="0"/>
          <w:sz w:val="24"/>
        </w:rPr>
        <w:t>、《创金合信聚利债券型证券投资基金托管协议》；</w:t>
      </w:r>
      <w:r>
        <w:rPr>
          <w:rFonts w:hint="default" w:ascii="Times New Roman" w:hAnsi="Times New Roman"/>
          <w:color w:val="000000"/>
          <w:kern w:val="0"/>
          <w:sz w:val="24"/>
        </w:rPr>
        <w:t>3</w:t>
      </w:r>
      <w:r>
        <w:rPr>
          <w:rFonts w:hint="eastAsia" w:ascii="Times New Roman" w:hAnsi="Times New Roman"/>
          <w:color w:val="000000"/>
          <w:kern w:val="0"/>
          <w:sz w:val="24"/>
        </w:rPr>
        <w:t>、创金合信聚利债券型证券投资基金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年年度报告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2" w:name="_Toc477960832"/>
      <w:r>
        <w:rPr>
          <w:rFonts w:hint="default" w:ascii="Times New Roman" w:hAnsi="Times New Roman"/>
          <w:b/>
          <w:color w:val="000000"/>
          <w:kern w:val="0"/>
          <w:sz w:val="24"/>
        </w:rPr>
        <w:t xml:space="preserve">13.2 </w:t>
      </w:r>
      <w:r>
        <w:rPr>
          <w:rFonts w:hint="eastAsia" w:ascii="Times New Roman" w:hAnsi="Times New Roman"/>
          <w:b/>
          <w:color w:val="000000"/>
          <w:kern w:val="0"/>
          <w:sz w:val="24"/>
        </w:rPr>
        <w:t>存放地点</w:t>
      </w:r>
      <w:bookmarkEnd w:id="62"/>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深圳市福田中心区福华一路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楼</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3" w:name="_Toc477960833"/>
      <w:r>
        <w:rPr>
          <w:rFonts w:hint="default" w:ascii="Times New Roman" w:hAnsi="Times New Roman"/>
          <w:b/>
          <w:color w:val="000000"/>
          <w:kern w:val="0"/>
          <w:sz w:val="24"/>
        </w:rPr>
        <w:t xml:space="preserve">13.3 </w:t>
      </w:r>
      <w:r>
        <w:rPr>
          <w:rFonts w:hint="eastAsia" w:ascii="Times New Roman" w:hAnsi="Times New Roman"/>
          <w:b/>
          <w:color w:val="000000"/>
          <w:kern w:val="0"/>
          <w:sz w:val="24"/>
        </w:rPr>
        <w:t>查阅方式</w:t>
      </w:r>
      <w:bookmarkEnd w:id="63"/>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www.cjhxfund.com</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firstLine="482"/>
        <w:jc w:val="right"/>
        <w:rPr>
          <w:rFonts w:hint="default" w:ascii="Times New Roman" w:eastAsia="Times New Roman"/>
          <w:b/>
          <w:color w:val="000000"/>
          <w:kern w:val="0"/>
          <w:sz w:val="24"/>
        </w:rPr>
      </w:pPr>
      <w:r>
        <w:rPr>
          <w:rFonts w:hint="eastAsia" w:ascii="Times New Roman" w:hAnsi="Times New Roman"/>
          <w:b/>
          <w:color w:val="000000"/>
          <w:kern w:val="0"/>
          <w:sz w:val="24"/>
        </w:rPr>
        <w:t>创金合信基金管理有限公司</w:t>
      </w:r>
    </w:p>
    <w:p>
      <w:pPr>
        <w:autoSpaceDE w:val="0"/>
        <w:autoSpaceDN w:val="0"/>
        <w:adjustRightInd w:val="0"/>
        <w:spacing w:before="29" w:beforeLines="0" w:afterLines="0" w:line="288" w:lineRule="auto"/>
        <w:ind w:left="15" w:firstLine="482"/>
        <w:jc w:val="right"/>
        <w:rPr>
          <w:rFonts w:hint="default" w:ascii="Times New Roman" w:eastAsia="Times New Roman"/>
          <w:b/>
          <w:color w:val="000000"/>
          <w:kern w:val="0"/>
          <w:sz w:val="24"/>
        </w:rPr>
      </w:pPr>
      <w:r>
        <w:rPr>
          <w:rFonts w:hint="eastAsia" w:ascii="Times New Roman" w:hAnsi="Times New Roman"/>
          <w:b/>
          <w:color w:val="000000"/>
          <w:kern w:val="0"/>
          <w:sz w:val="24"/>
        </w:rPr>
        <w:t>二〇一七年三月二十七日</w:t>
      </w:r>
    </w:p>
    <w:sectPr>
      <w:pgSz w:w="11926" w:h="15840"/>
      <w:pgMar w:top="1420" w:right="1420" w:bottom="852" w:left="142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Lines="0" w:afterLines="0"/>
      <w:rPr>
        <w:rFonts w:hint="default" w:ascii="宋体"/>
        <w:sz w:val="18"/>
      </w:rPr>
    </w:pPr>
    <w:r>
      <w:rPr>
        <w:rFonts w:hint="eastAsia" w:ascii="宋体"/>
        <w:kern w:val="0"/>
        <w:sz w:val="24"/>
      </w:rPr>
      <w:t xml:space="preserve"> </w:t>
    </w:r>
    <w:r>
      <w:rPr>
        <w:rFonts w:hint="eastAsia" w:ascii="宋体" w:hAnsi="宋体"/>
        <w:kern w:val="0"/>
        <w:sz w:val="18"/>
      </w:rPr>
      <w:t xml:space="preserve">第 </w:t>
    </w:r>
    <w:r>
      <w:rPr>
        <w:rFonts w:hint="eastAsia" w:ascii="宋体" w:hAnsi="宋体"/>
        <w:kern w:val="0"/>
        <w:sz w:val="18"/>
      </w:rPr>
      <w:fldChar w:fldCharType="begin"/>
    </w:r>
    <w:r>
      <w:rPr>
        <w:rFonts w:hint="eastAsia" w:ascii="宋体" w:hAnsi="宋体"/>
        <w:kern w:val="0"/>
        <w:sz w:val="18"/>
      </w:rPr>
      <w:instrText xml:space="preserve"> PAGE </w:instrText>
    </w:r>
    <w:r>
      <w:rPr>
        <w:rFonts w:hint="eastAsia" w:ascii="宋体" w:hAnsi="宋体"/>
        <w:kern w:val="0"/>
        <w:sz w:val="18"/>
      </w:rPr>
      <w:fldChar w:fldCharType="separate"/>
    </w:r>
    <w:r>
      <w:rPr>
        <w:rFonts w:hint="eastAsia" w:ascii="宋体" w:hAnsi="宋体"/>
        <w:kern w:val="0"/>
        <w:sz w:val="18"/>
        <w:lang/>
      </w:rPr>
      <w:t>62</w:t>
    </w:r>
    <w:r>
      <w:rPr>
        <w:rFonts w:hint="eastAsia" w:ascii="宋体" w:hAnsi="宋体"/>
        <w:kern w:val="0"/>
        <w:sz w:val="18"/>
        <w:lang/>
      </w:rPr>
      <w:fldChar w:fldCharType="end"/>
    </w:r>
    <w:r>
      <w:rPr>
        <w:rFonts w:hint="eastAsia" w:ascii="宋体" w:hAnsi="宋体"/>
        <w:kern w:val="0"/>
        <w:sz w:val="18"/>
      </w:rPr>
      <w:t xml:space="preserve"> 页 共 </w:t>
    </w:r>
    <w:r>
      <w:rPr>
        <w:rFonts w:hint="eastAsia" w:ascii="宋体" w:hAnsi="宋体"/>
        <w:kern w:val="0"/>
        <w:sz w:val="18"/>
      </w:rPr>
      <w:fldChar w:fldCharType="begin"/>
    </w:r>
    <w:r>
      <w:rPr>
        <w:rFonts w:hint="eastAsia" w:ascii="宋体" w:hAnsi="宋体"/>
        <w:kern w:val="0"/>
        <w:sz w:val="18"/>
      </w:rPr>
      <w:instrText xml:space="preserve"> NUMPAGES </w:instrText>
    </w:r>
    <w:r>
      <w:rPr>
        <w:rFonts w:hint="eastAsia" w:ascii="宋体" w:hAnsi="宋体"/>
        <w:kern w:val="0"/>
        <w:sz w:val="18"/>
      </w:rPr>
      <w:fldChar w:fldCharType="separate"/>
    </w:r>
    <w:r>
      <w:rPr>
        <w:rFonts w:hint="eastAsia" w:ascii="宋体" w:hAnsi="宋体"/>
        <w:kern w:val="0"/>
        <w:sz w:val="18"/>
        <w:lang/>
      </w:rPr>
      <w:t>65</w:t>
    </w:r>
    <w:r>
      <w:rPr>
        <w:rFonts w:hint="eastAsia" w:ascii="宋体" w:hAnsi="宋体"/>
        <w:kern w:val="0"/>
        <w:sz w:val="18"/>
        <w:lang/>
      </w:rPr>
      <w:fldChar w:fldCharType="end"/>
    </w:r>
    <w:r>
      <w:rPr>
        <w:rFonts w:hint="eastAsia" w:ascii="宋体" w:hAnsi="宋体"/>
        <w:kern w:val="0"/>
        <w:sz w:val="18"/>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
      <w:gridCol w:w="86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 w:type="dxa"/>
          <w:tcBorders>
            <w:top w:val="nil"/>
            <w:left w:val="nil"/>
            <w:bottom w:val="nil"/>
            <w:right w:val="nil"/>
            <w:tl2br w:val="nil"/>
            <w:tr2bl w:val="nil"/>
          </w:tcBorders>
          <w:noWrap w:val="0"/>
          <w:vAlign w:val="top"/>
        </w:tcPr>
        <w:p>
          <w:pPr>
            <w:autoSpaceDE w:val="0"/>
            <w:autoSpaceDN w:val="0"/>
            <w:adjustRightInd w:val="0"/>
            <w:spacing w:beforeLines="0" w:afterLines="0" w:line="240" w:lineRule="atLeast"/>
            <w:jc w:val="left"/>
            <w:rPr>
              <w:rFonts w:hint="default" w:ascii="宋体"/>
              <w:kern w:val="0"/>
              <w:sz w:val="24"/>
            </w:rPr>
          </w:pPr>
          <w:r>
            <w:rPr>
              <w:rFonts w:hint="default" w:ascii="宋体" w:eastAsia="Times New Roman"/>
              <w:kern w:val="0"/>
              <w:sz w:val="24"/>
            </w:rPr>
            <w:pict>
              <v:shape id="_x0000_i1025" o:spt="75" type="#_x0000_t75" style="height:15.95pt;width:15.95pt;" filled="f" stroked="f" coordsize="21600,21600">
                <v:path/>
                <v:fill on="f" focussize="0,0"/>
                <v:stroke on="f"/>
                <v:imagedata r:id="rId1" o:title=""/>
                <o:lock v:ext="edit" aspectratio="t"/>
                <w10:wrap type="none"/>
                <w10:anchorlock/>
              </v:shape>
            </w:pict>
          </w:r>
        </w:p>
      </w:tc>
      <w:tc>
        <w:tcPr>
          <w:tcW w:w="8669" w:type="dxa"/>
          <w:tcBorders>
            <w:top w:val="nil"/>
            <w:left w:val="nil"/>
            <w:bottom w:val="nil"/>
            <w:right w:val="nil"/>
            <w:tl2br w:val="nil"/>
            <w:tr2bl w:val="nil"/>
          </w:tcBorders>
          <w:noWrap w:val="0"/>
          <w:vAlign w:val="center"/>
        </w:tcPr>
        <w:p>
          <w:pPr>
            <w:autoSpaceDE w:val="0"/>
            <w:autoSpaceDN w:val="0"/>
            <w:adjustRightInd w:val="0"/>
            <w:spacing w:before="30" w:beforeLines="0" w:afterLines="0" w:line="211" w:lineRule="exact"/>
            <w:ind w:left="15"/>
            <w:jc w:val="right"/>
            <w:rPr>
              <w:rFonts w:hint="default" w:ascii="宋体"/>
              <w:color w:val="000000"/>
              <w:kern w:val="0"/>
              <w:sz w:val="21"/>
            </w:rPr>
          </w:pPr>
          <w:r>
            <w:rPr>
              <w:rFonts w:hint="eastAsia" w:ascii="宋体"/>
              <w:color w:val="000000"/>
              <w:kern w:val="0"/>
              <w:sz w:val="21"/>
            </w:rPr>
            <w:t>创金合信聚利债券型证券投资基金2016年年度报告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9030" w:type="dxa"/>
          <w:gridSpan w:val="2"/>
          <w:tcBorders>
            <w:top w:val="single" w:color="000000" w:sz="8" w:space="0"/>
            <w:left w:val="nil"/>
            <w:bottom w:val="nil"/>
            <w:right w:val="nil"/>
            <w:tl2br w:val="nil"/>
            <w:tr2bl w:val="nil"/>
          </w:tcBorders>
          <w:noWrap w:val="0"/>
          <w:vAlign w:val="top"/>
        </w:tcPr>
        <w:p>
          <w:pPr>
            <w:autoSpaceDE w:val="0"/>
            <w:autoSpaceDN w:val="0"/>
            <w:adjustRightInd w:val="0"/>
            <w:spacing w:beforeLines="0" w:afterLines="0"/>
            <w:jc w:val="left"/>
            <w:rPr>
              <w:rFonts w:hint="default" w:ascii="Arial"/>
              <w:color w:val="000000"/>
              <w:kern w:val="0"/>
              <w:sz w:val="21"/>
            </w:rPr>
          </w:pPr>
        </w:p>
      </w:tc>
    </w:tr>
  </w:tbl>
  <w:p>
    <w:pPr>
      <w:spacing w:beforeLines="0" w:afterLines="0"/>
      <w:rPr>
        <w:rFonts w:hint="default"/>
        <w:sz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20D8A"/>
    <w:multiLevelType w:val="multilevel"/>
    <w:tmpl w:val="58D20D8A"/>
    <w:lvl w:ilvl="0" w:tentative="0">
      <w:start w:val="3"/>
      <w:numFmt w:val="decimal"/>
      <w:lvlText w:val="(%1)"/>
      <w:lvlJc w:val="left"/>
      <w:rPr>
        <w:rFonts w:hint="default" w:ascii="Times New Roman"/>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B972D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iPriority="39" w:semiHidden="0" w:name="toc 1"/>
    <w:lsdException w:uiPriority="39" w:semiHidden="0"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nhideWhenUsed="0" w:uiPriority="99" w:semiHidden="0" w:name="Normal Indent"/>
    <w:lsdException w:unhideWhenUsed="0" w:uiPriority="99" w:semiHidden="0" w:name="footnote text"/>
    <w:lsdException w:unhideWhenUsed="0" w:uiPriority="99" w:semiHidden="0" w:name="annotation text"/>
    <w:lsdException w:uiPriority="99" w:semiHidden="0" w:name="header"/>
    <w:lsdException w:uiPriority="99" w:semiHidden="0" w:name="footer"/>
    <w:lsdException w:unhideWhenUsed="0" w:uiPriority="99" w:semiHidden="0" w:name="index heading"/>
    <w:lsdException w:qFormat="1" w:uiPriority="35"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qFormat="1" w:uiPriority="99" w:name="toa heading"/>
    <w:lsdException w:unhideWhenUsed="0" w:uiPriority="99" w:semiHidden="0" w:name="List"/>
    <w:lsdException w:unhideWhenUsed="0" w:uiPriority="99" w:semiHidden="0" w:name="List Bullet"/>
    <w:lsdException w:qFormat="1" w:uiPriority="99" w:name="List Number"/>
    <w:lsdException w:qFormat="1" w:uiPriority="99"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iPriority="10" w:name="Title"/>
    <w:lsdException w:unhideWhenUsed="0" w:uiPriority="99" w:semiHidden="0" w:name="Closing"/>
    <w:lsdException w:unhideWhenUsed="0" w:uiPriority="99" w:semiHidden="0" w:name="Signature"/>
    <w:lsdException w:uiPriority="1" w:semiHidden="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qFormat="1" w:uiPriority="99" w:name="List Continue 4"/>
    <w:lsdException w:qFormat="1" w:uiPriority="99" w:name="List Continue 5"/>
    <w:lsdException w:qFormat="1" w:uiPriority="99" w:name="Message Header"/>
    <w:lsdException w:qFormat="1" w:uiPriority="11"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iPriority="99" w:semiHidden="0" w:name="Hyperlink"/>
    <w:lsdException w:unhideWhenUsed="0" w:uiPriority="99" w:semiHidden="0" w:name="FollowedHyperlink"/>
    <w:lsdException w:qFormat="1" w:uiPriority="22" w:name="Strong"/>
    <w:lsdException w:qFormat="1" w:uiPriority="20" w:name="Emphasis"/>
    <w:lsdException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nhideWhenUsed="0" w:uiPriority="99" w:semiHidden="0"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iPriority="99" w:semiHidden="0" w:name="Balloon Text"/>
    <w:lsdException w:qFormat="1" w:uiPriority="59" w:name="Table Grid"/>
    <w:lsdException w:unhideWhenUsed="0" w:uiPriority="99" w:semiHidden="0" w:name="Table Theme"/>
    <w:lsdException w:qFormat="1" w:uiPriority="60" w:name="Light Shading"/>
    <w:lsdException w:qFormat="1" w:uiPriority="61" w:name="Light List"/>
    <w:lsdException w:qFormat="1" w:uiPriority="62" w:name="Light Grid"/>
    <w:lsdException w:qFormat="1" w:uiPriority="63" w:name="Medium Shading 1"/>
    <w:lsdException w:qFormat="1" w:uiPriority="64" w:name="Medium Shading 2"/>
    <w:lsdException w:qFormat="1" w:uiPriority="65" w:name="Medium List 1"/>
    <w:lsdException w:qFormat="1" w:uiPriority="66" w:name="Medium List 2"/>
    <w:lsdException w:qFormat="1" w:uiPriority="67" w:name="Medium Grid 1"/>
    <w:lsdException w:qFormat="1" w:uiPriority="68" w:name="Medium Grid 2"/>
    <w:lsdException w:qFormat="1" w:uiPriority="69" w:name="Medium Grid 3"/>
    <w:lsdException w:qFormat="1" w:uiPriority="70" w:name="Dark List"/>
    <w:lsdException w:qFormat="1" w:uiPriority="71" w:name="Colorful Shading"/>
    <w:lsdException w:qFormat="1" w:uiPriority="72" w:name="Colorful List"/>
    <w:lsdException w:qFormat="1" w:uiPriority="73" w:name="Colorful Grid"/>
    <w:lsdException w:qFormat="1" w:uiPriority="60" w:name="Light Shading Accent 1"/>
    <w:lsdException w:qFormat="1" w:uiPriority="61" w:name="Light List Accent 1"/>
    <w:lsdException w:qFormat="1" w:uiPriority="62" w:name="Light Grid Accent 1"/>
    <w:lsdException w:qFormat="1" w:uiPriority="63" w:name="Medium Shading 1 Accent 1"/>
    <w:lsdException w:qFormat="1" w:uiPriority="64" w:name="Medium Shading 2 Accent 1"/>
    <w:lsdException w:qFormat="1" w:uiPriority="65" w:name="Medium List 1 Accent 1"/>
    <w:lsdException w:qFormat="1" w:uiPriority="66" w:name="Medium List 2 Accent 1"/>
    <w:lsdException w:qFormat="1" w:uiPriority="67" w:name="Medium Grid 1 Accent 1"/>
    <w:lsdException w:qFormat="1" w:uiPriority="68" w:name="Medium Grid 2 Accent 1"/>
    <w:lsdException w:qFormat="1" w:uiPriority="69" w:name="Medium Grid 3 Accent 1"/>
    <w:lsdException w:qFormat="1" w:uiPriority="70" w:name="Dark List Accent 1"/>
    <w:lsdException w:qFormat="1" w:uiPriority="71" w:name="Colorful Shading Accent 1"/>
    <w:lsdException w:qFormat="1" w:uiPriority="72" w:name="Colorful List Accent 1"/>
    <w:lsdException w:qFormat="1" w:uiPriority="73" w:name="Colorful Grid Accent 1"/>
    <w:lsdException w:qFormat="1" w:uiPriority="60" w:name="Light Shading Accent 2"/>
    <w:lsdException w:qFormat="1" w:uiPriority="61" w:name="Light List Accent 2"/>
    <w:lsdException w:qFormat="1" w:uiPriority="62" w:name="Light Grid Accent 2"/>
    <w:lsdException w:qFormat="1" w:uiPriority="63" w:name="Medium Shading 1 Accent 2"/>
    <w:lsdException w:qFormat="1" w:uiPriority="64" w:name="Medium Shading 2 Accent 2"/>
    <w:lsdException w:qFormat="1" w:uiPriority="65" w:name="Medium List 1 Accent 2"/>
    <w:lsdException w:qFormat="1" w:uiPriority="66" w:name="Medium List 2 Accent 2"/>
    <w:lsdException w:qFormat="1" w:uiPriority="67" w:name="Medium Grid 1 Accent 2"/>
    <w:lsdException w:qFormat="1" w:uiPriority="68" w:name="Medium Grid 2 Accent 2"/>
    <w:lsdException w:qFormat="1" w:uiPriority="69" w:name="Medium Grid 3 Accent 2"/>
    <w:lsdException w:qFormat="1" w:uiPriority="70" w:name="Dark List Accent 2"/>
    <w:lsdException w:qFormat="1" w:uiPriority="71" w:name="Colorful Shading Accent 2"/>
    <w:lsdException w:qFormat="1" w:uiPriority="72" w:name="Colorful List Accent 2"/>
    <w:lsdException w:qFormat="1" w:uiPriority="73" w:name="Colorful Grid Accent 2"/>
    <w:lsdException w:qFormat="1" w:uiPriority="60" w:name="Light Shading Accent 3"/>
    <w:lsdException w:qFormat="1" w:uiPriority="61" w:name="Light List Accent 3"/>
    <w:lsdException w:qFormat="1" w:uiPriority="62" w:name="Light Grid Accent 3"/>
    <w:lsdException w:qFormat="1" w:uiPriority="63" w:name="Medium Shading 1 Accent 3"/>
    <w:lsdException w:qFormat="1" w:uiPriority="64" w:name="Medium Shading 2 Accent 3"/>
    <w:lsdException w:qFormat="1" w:uiPriority="65" w:name="Medium List 1 Accent 3"/>
    <w:lsdException w:qFormat="1" w:uiPriority="66" w:name="Medium List 2 Accent 3"/>
    <w:lsdException w:qFormat="1" w:uiPriority="67" w:name="Medium Grid 1 Accent 3"/>
    <w:lsdException w:qFormat="1" w:uiPriority="68" w:name="Medium Grid 2 Accent 3"/>
    <w:lsdException w:qFormat="1" w:uiPriority="69" w:name="Medium Grid 3 Accent 3"/>
    <w:lsdException w:qFormat="1" w:uiPriority="70" w:name="Dark List Accent 3"/>
    <w:lsdException w:qFormat="1" w:uiPriority="71" w:name="Colorful Shading Accent 3"/>
    <w:lsdException w:qFormat="1" w:uiPriority="72" w:name="Colorful List Accent 3"/>
    <w:lsdException w:qFormat="1" w:uiPriority="73" w:name="Colorful Grid Accent 3"/>
    <w:lsdException w:qFormat="1" w:uiPriority="60" w:name="Light Shading Accent 4"/>
    <w:lsdException w:qFormat="1" w:uiPriority="61" w:name="Light List Accent 4"/>
    <w:lsdException w:qFormat="1" w:uiPriority="62" w:name="Light Grid Accent 4"/>
    <w:lsdException w:qFormat="1" w:uiPriority="63" w:name="Medium Shading 1 Accent 4"/>
    <w:lsdException w:qFormat="1" w:uiPriority="64" w:name="Medium Shading 2 Accent 4"/>
    <w:lsdException w:qFormat="1" w:uiPriority="65" w:name="Medium List 1 Accent 4"/>
    <w:lsdException w:qFormat="1" w:uiPriority="66" w:name="Medium List 2 Accent 4"/>
    <w:lsdException w:qFormat="1" w:uiPriority="67" w:name="Medium Grid 1 Accent 4"/>
    <w:lsdException w:qFormat="1" w:uiPriority="68" w:name="Medium Grid 2 Accent 4"/>
    <w:lsdException w:qFormat="1" w:uiPriority="69" w:name="Medium Grid 3 Accent 4"/>
    <w:lsdException w:qFormat="1" w:uiPriority="70" w:name="Dark List Accent 4"/>
    <w:lsdException w:qFormat="1" w:uiPriority="71" w:name="Colorful Shading Accent 4"/>
    <w:lsdException w:qFormat="1" w:uiPriority="72" w:name="Colorful List Accent 4"/>
    <w:lsdException w:qFormat="1" w:uiPriority="73" w:name="Colorful Grid Accent 4"/>
    <w:lsdException w:qFormat="1" w:uiPriority="60" w:name="Light Shading Accent 5"/>
    <w:lsdException w:qFormat="1" w:uiPriority="61" w:name="Light List Accent 5"/>
    <w:lsdException w:qFormat="1" w:uiPriority="62" w:name="Light Grid Accent 5"/>
    <w:lsdException w:qFormat="1" w:uiPriority="63" w:name="Medium Shading 1 Accent 5"/>
    <w:lsdException w:qFormat="1" w:uiPriority="64" w:name="Medium Shading 2 Accent 5"/>
    <w:lsdException w:qFormat="1" w:uiPriority="65" w:name="Medium List 1 Accent 5"/>
    <w:lsdException w:qFormat="1" w:uiPriority="66" w:name="Medium List 2 Accent 5"/>
    <w:lsdException w:qFormat="1" w:uiPriority="67" w:name="Medium Grid 1 Accent 5"/>
    <w:lsdException w:qFormat="1" w:uiPriority="68" w:name="Medium Grid 2 Accent 5"/>
    <w:lsdException w:qFormat="1" w:uiPriority="69" w:name="Medium Grid 3 Accent 5"/>
    <w:lsdException w:qFormat="1" w:uiPriority="70" w:name="Dark List Accent 5"/>
    <w:lsdException w:qFormat="1" w:uiPriority="71" w:name="Colorful Shading Accent 5"/>
    <w:lsdException w:qFormat="1" w:uiPriority="72" w:name="Colorful List Accent 5"/>
    <w:lsdException w:qFormat="1" w:uiPriority="73" w:name="Colorful Grid Accent 5"/>
    <w:lsdException w:qFormat="1" w:uiPriority="60" w:name="Light Shading Accent 6"/>
    <w:lsdException w:qFormat="1" w:uiPriority="61" w:name="Light List Accent 6"/>
    <w:lsdException w:qFormat="1" w:uiPriority="62" w:name="Light Grid Accent 6"/>
    <w:lsdException w:qFormat="1" w:uiPriority="63" w:name="Medium Shading 1 Accent 6"/>
    <w:lsdException w:qFormat="1" w:uiPriority="64" w:name="Medium Shading 2 Accent 6"/>
    <w:lsdException w:qFormat="1" w:uiPriority="65" w:name="Medium List 1 Accent 6"/>
    <w:lsdException w:qFormat="1" w:uiPriority="66" w:name="Medium List 2 Accent 6"/>
    <w:lsdException w:qFormat="1" w:uiPriority="67" w:name="Medium Grid 1 Accent 6"/>
    <w:lsdException w:qFormat="1" w:uiPriority="68" w:name="Medium Grid 2 Accent 6"/>
    <w:lsdException w:qFormat="1" w:uiPriority="69" w:name="Medium Grid 3 Accent 6"/>
    <w:lsdException w:qFormat="1" w:uiPriority="70" w:name="Dark List Accent 6"/>
    <w:lsdException w:qFormat="1" w:uiPriority="71" w:name="Colorful Shading Accent 6"/>
    <w:lsdException w:qFormat="1" w:uiPriority="72" w:name="Colorful List Accent 6"/>
    <w:lsdException w:qFormat="1" w:uiPriority="73" w:name="Colorful Grid Accent 6"/>
  </w:latentStyles>
  <w:style w:type="paragraph" w:default="1" w:styleId="1">
    <w:name w:val="Normal"/>
    <w:unhideWhenUsed/>
    <w:qFormat/>
    <w:uiPriority w:val="0"/>
    <w:pPr>
      <w:widowControl w:val="0"/>
      <w:spacing w:beforeLines="0" w:afterLines="0"/>
      <w:jc w:val="both"/>
    </w:pPr>
    <w:rPr>
      <w:rFonts w:hint="eastAsia" w:ascii="Calibri" w:hAnsi="Calibri" w:eastAsia="宋体"/>
      <w:kern w:val="2"/>
      <w:sz w:val="21"/>
      <w:lang w:val="en-US" w:eastAsia="zh-CN"/>
    </w:rPr>
  </w:style>
  <w:style w:type="character" w:default="1" w:styleId="9">
    <w:name w:val="Default Paragraph Font"/>
    <w:unhideWhenUsed/>
    <w:uiPriority w:val="1"/>
    <w:rPr>
      <w:rFonts w:hint="default"/>
      <w:sz w:val="24"/>
    </w:rPr>
  </w:style>
  <w:style w:type="table" w:default="1" w:styleId="8">
    <w:name w:val="Normal Table"/>
    <w:uiPriority w:val="99"/>
    <w:tblPr>
      <w:tblCellMar>
        <w:top w:w="0" w:type="dxa"/>
        <w:left w:w="108" w:type="dxa"/>
        <w:bottom w:w="0" w:type="dxa"/>
        <w:right w:w="108" w:type="dxa"/>
      </w:tblCellMar>
    </w:tblPr>
  </w:style>
  <w:style w:type="paragraph" w:styleId="2">
    <w:name w:val="Document Map"/>
    <w:basedOn w:val="1"/>
    <w:link w:val="13"/>
    <w:unhideWhenUsed/>
    <w:uiPriority w:val="99"/>
    <w:pPr>
      <w:spacing w:beforeLines="0" w:afterLines="0"/>
    </w:pPr>
    <w:rPr>
      <w:rFonts w:hint="eastAsia" w:ascii="宋体"/>
      <w:sz w:val="18"/>
    </w:rPr>
  </w:style>
  <w:style w:type="paragraph" w:styleId="3">
    <w:name w:val="Balloon Text"/>
    <w:basedOn w:val="1"/>
    <w:link w:val="12"/>
    <w:unhideWhenUsed/>
    <w:uiPriority w:val="99"/>
    <w:pPr>
      <w:spacing w:beforeLines="0" w:afterLines="0"/>
    </w:pPr>
    <w:rPr>
      <w:rFonts w:hint="eastAsia"/>
      <w:sz w:val="18"/>
    </w:rPr>
  </w:style>
  <w:style w:type="paragraph" w:styleId="4">
    <w:name w:val="footer"/>
    <w:basedOn w:val="1"/>
    <w:link w:val="14"/>
    <w:unhideWhenUsed/>
    <w:uiPriority w:val="99"/>
    <w:pPr>
      <w:tabs>
        <w:tab w:val="center" w:pos="4153"/>
        <w:tab w:val="right" w:pos="8306"/>
      </w:tabs>
      <w:snapToGrid w:val="0"/>
      <w:spacing w:beforeLines="0" w:afterLines="0"/>
      <w:jc w:val="left"/>
    </w:pPr>
    <w:rPr>
      <w:rFonts w:hint="eastAsia"/>
      <w:sz w:val="18"/>
    </w:rPr>
  </w:style>
  <w:style w:type="paragraph" w:styleId="5">
    <w:name w:val="header"/>
    <w:basedOn w:val="1"/>
    <w:link w:val="11"/>
    <w:unhideWhenUsed/>
    <w:uiPriority w:val="99"/>
    <w:pPr>
      <w:pBdr>
        <w:bottom w:val="single" w:color="auto" w:sz="6" w:space="1"/>
      </w:pBdr>
      <w:tabs>
        <w:tab w:val="center" w:pos="4153"/>
        <w:tab w:val="right" w:pos="8306"/>
      </w:tabs>
      <w:snapToGrid w:val="0"/>
      <w:spacing w:beforeLines="0" w:afterLines="0"/>
      <w:jc w:val="center"/>
    </w:pPr>
    <w:rPr>
      <w:rFonts w:hint="eastAsia"/>
      <w:sz w:val="18"/>
    </w:rPr>
  </w:style>
  <w:style w:type="paragraph" w:styleId="6">
    <w:name w:val="toc 1"/>
    <w:basedOn w:val="1"/>
    <w:next w:val="1"/>
    <w:unhideWhenUsed/>
    <w:uiPriority w:val="39"/>
    <w:pPr>
      <w:spacing w:beforeLines="0" w:afterLines="0"/>
    </w:pPr>
    <w:rPr>
      <w:rFonts w:hint="eastAsia"/>
      <w:sz w:val="21"/>
    </w:rPr>
  </w:style>
  <w:style w:type="paragraph" w:styleId="7">
    <w:name w:val="toc 2"/>
    <w:basedOn w:val="1"/>
    <w:next w:val="1"/>
    <w:unhideWhenUsed/>
    <w:uiPriority w:val="39"/>
    <w:pPr>
      <w:spacing w:beforeLines="0" w:afterLines="0"/>
      <w:ind w:left="420" w:leftChars="200"/>
    </w:pPr>
    <w:rPr>
      <w:rFonts w:hint="eastAsia"/>
      <w:sz w:val="21"/>
    </w:rPr>
  </w:style>
  <w:style w:type="character" w:styleId="10">
    <w:name w:val="Hyperlink"/>
    <w:basedOn w:val="9"/>
    <w:unhideWhenUsed/>
    <w:uiPriority w:val="99"/>
    <w:rPr>
      <w:rFonts w:hint="default" w:ascii="Times New Roman"/>
      <w:color w:val="0000FF"/>
      <w:sz w:val="24"/>
      <w:u w:val="single"/>
    </w:rPr>
  </w:style>
  <w:style w:type="character" w:customStyle="1" w:styleId="11">
    <w:name w:val="页眉 字符"/>
    <w:basedOn w:val="9"/>
    <w:link w:val="5"/>
    <w:unhideWhenUsed/>
    <w:locked/>
    <w:uiPriority w:val="99"/>
    <w:rPr>
      <w:rFonts w:hint="default" w:ascii="Calibri"/>
      <w:sz w:val="18"/>
    </w:rPr>
  </w:style>
  <w:style w:type="character" w:customStyle="1" w:styleId="12">
    <w:name w:val="批注框文本 字符"/>
    <w:basedOn w:val="9"/>
    <w:link w:val="3"/>
    <w:unhideWhenUsed/>
    <w:locked/>
    <w:uiPriority w:val="99"/>
    <w:rPr>
      <w:rFonts w:hint="default" w:ascii="Calibri"/>
      <w:sz w:val="18"/>
    </w:rPr>
  </w:style>
  <w:style w:type="character" w:customStyle="1" w:styleId="13">
    <w:name w:val="文档结构图 字符"/>
    <w:basedOn w:val="9"/>
    <w:link w:val="2"/>
    <w:unhideWhenUsed/>
    <w:locked/>
    <w:uiPriority w:val="99"/>
    <w:rPr>
      <w:rFonts w:hint="eastAsia" w:ascii="宋体" w:hAnsi="Calibri" w:eastAsia="宋体"/>
      <w:sz w:val="18"/>
    </w:rPr>
  </w:style>
  <w:style w:type="character" w:customStyle="1" w:styleId="14">
    <w:name w:val="页脚 字符"/>
    <w:basedOn w:val="9"/>
    <w:link w:val="4"/>
    <w:unhideWhenUsed/>
    <w:locked/>
    <w:uiPriority w:val="99"/>
    <w:rPr>
      <w:rFonts w:hint="default" w:ascii="Calibri"/>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Office_11.1.0.9208_F1E327BC-269C-435d-A152-05C5408002CA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2019-12-26T14:04:10Z</dcterms:created>
  <cp:lastModifiedBy>Administrator</cp:lastModifiedBy>
  <dcterms:modified xsi:type="dcterms:W3CDTF">2019-12-26T14:04:12Z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