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创金合信聚利债券型证券投资基金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099988"/>
      <w:r>
        <w:rPr>
          <w:rFonts w:hint="eastAsia" w:hAnsi="Calibri"/>
          <w:b/>
          <w:color w:val="000000"/>
        </w:rPr>
        <w:t>§1  重要提示及目录</w:t>
      </w:r>
      <w:bookmarkEnd w:id="0"/>
      <w:r>
        <w:rPr>
          <w:rFonts w:hint="eastAsia"/>
        </w:rPr>
        <w:t xml:space="preserve"> </w:t>
      </w:r>
    </w:p>
    <w:p>
      <w:pPr>
        <w:pStyle w:val="14"/>
        <w:rPr>
          <w:rFonts w:hint="eastAsia"/>
        </w:rPr>
      </w:pPr>
      <w:bookmarkStart w:id="1" w:name="_Toc51009998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099990"/>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"_Toc510099988"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_Toc510099988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"_Toc510099989"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_Toc510099989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_Toc510099990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"_Toc510099991"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_Toc510099991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_Toc510099992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_Toc510099993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_Toc510099994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_Toc510099995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_Toc510099996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"_Toc510099997"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_Toc510099997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_Toc510099998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_Toc510099999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_Toc510100000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"_Toc510100001"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_Toc510100001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_Toc510100002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"_Toc510100003"</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_Toc510100003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"_Toc510100004"</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_Toc510100004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"_Toc510100005"</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_Toc510100005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"_Toc510100006"</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_Toc510100006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"_Toc510100007"</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_Toc510100007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"_Toc510100008"</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_Toc510100008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_Toc510100009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_Toc510100010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"_Toc510100011"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_Toc510100011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_Toc510100012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_Toc510100013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_Toc510100014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"_Toc510100015"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_Toc510100015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_Toc510100016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_Toc510100017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"_Toc510100018"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_Toc510100018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_Toc510100019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_Toc510100020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_Toc510100021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_Toc510100022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"_Toc510100023"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_Toc510100023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_Toc510100024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_Toc510100025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_Toc510100026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_Toc510100027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"_Toc510100028"</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_Toc510100028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"_Toc510100029"</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_Toc510100029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"_Toc510100030"</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_Toc510100030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"_Toc510100031"</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_Toc510100031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"_Toc510100032"</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_Toc510100032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"_Toc510100033"</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_Toc510100033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"_Toc510100034"</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_Toc510100034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"_Toc510100035"</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_Toc510100035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"_Toc510100036"</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_Toc510100036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"_Toc510100037"</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_Toc510100037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"_Toc510100038"</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_Toc510100038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"_Toc510100039"</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_Toc510100039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"_Toc510100040"</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_Toc510100040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"_Toc510100041"</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_Toc510100041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"_Toc510100042"</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_Toc510100042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"_Toc510100043"</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_Toc510100043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"_Toc510100044"</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_Toc510100044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"_Toc510100045"</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_Toc510100045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"_Toc510100046"</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_Toc510100046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"_Toc510100047"</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_Toc510100047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"_Toc510100048"</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_Toc510100048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"_Toc510100049"</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_Toc510100049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"_Toc510100050"</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_Toc510100050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"_Toc510100051"</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_Toc510100051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"_Toc510100052"</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_Toc510100052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"_Toc510100053"</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_Toc510100053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"_Toc510100054"</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_Toc510100054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"_Toc510100055"</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_Toc510100055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"_Toc510100056"</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_Toc510100056 \h </w:instrText>
      </w:r>
      <w:r>
        <w:rPr>
          <w:lang/>
        </w:rPr>
        <w:fldChar w:fldCharType="separate"/>
      </w:r>
      <w:r>
        <w:rPr>
          <w:lang/>
        </w:rPr>
        <w:t>69</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09999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09999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聚利债券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2015年05月15日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48,992,684.74份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001200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41,435,324.56份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7,557,360.18份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09999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普通债券的投资中主要基于对国家财政政策、货币政策的深入分析以及对宏观经济的动态跟踪，采用久期控制下的主动性投资策略，主要包括：久期控制、期限结构配置、信用风险控制、跨市场套利和相对价值判断等管理手段，对债券市场、债券收益率曲线以及各种债券价格的变化进行预测，相机而动、积极调整。</w:t>
            </w:r>
            <w:r>
              <w:rPr>
                <w:rFonts w:hint="eastAsia"/>
              </w:rPr>
              <w:br w:type="textWrapping"/>
            </w:r>
            <w:r>
              <w:rPr>
                <w:rFonts w:hint="eastAsia"/>
              </w:rPr>
              <w:t>  回购套利策略是本基金重要的操作策略之一，把信用产品投资和回购交易结合起来，管理人根据信用产品的特征，在信用风险和流动性风险可控的前提下，或者通过回购融资来博取超额收益，或者通过回购的不断滚动来套取信用债收益率和资金成本的利差。</w:t>
            </w:r>
            <w:r>
              <w:rPr>
                <w:rFonts w:hint="eastAsia"/>
              </w:rPr>
              <w:br w:type="textWrapping"/>
            </w:r>
            <w:r>
              <w:rPr>
                <w:rFonts w:hint="eastAsia"/>
              </w:rPr>
              <w:t>  当本基金管理人判断市场出现明显的趋势性投资机会时，本基金可以直接参与股票市场投资，努力获取超额收益。在股市场投资过程中，本基金主要采取自下而上的投资策略，利用数量化投资技术与基本面研究相结合的研究方法，对以下三类上市公司进行投资：</w:t>
            </w:r>
            <w:r>
              <w:rPr>
                <w:rFonts w:hint="eastAsia"/>
              </w:rPr>
              <w:br w:type="textWrapping"/>
            </w:r>
            <w:r>
              <w:rPr>
                <w:rFonts w:hint="eastAsia"/>
              </w:rPr>
              <w:t>  （1）现金流充沛、行业竞争优势明显、具有良好的现金分红记录或现金分红潜力的优质上市公司；</w:t>
            </w:r>
            <w:r>
              <w:rPr>
                <w:rFonts w:hint="eastAsia"/>
              </w:rPr>
              <w:br w:type="textWrapping"/>
            </w:r>
            <w:r>
              <w:rPr>
                <w:rFonts w:hint="eastAsia"/>
              </w:rPr>
              <w:t>  （2）投资价值明显被市场低估的上市公司；</w:t>
            </w:r>
            <w:r>
              <w:rPr>
                <w:rFonts w:hint="eastAsia"/>
              </w:rPr>
              <w:br w:type="textWrapping"/>
            </w:r>
            <w:r>
              <w:rPr>
                <w:rFonts w:hint="eastAsia"/>
              </w:rPr>
              <w:t>  （3）未来盈利水平具有明显增长潜力且估值合理的上市公司。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中债综合（全价）指数收益率×90%+沪深300指数收益率×10%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本基金为债券型基金，其长期平均预期风险和预期收益率低于股票基金、混合基金，高于货币市场基金。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09999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09999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09999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09999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09999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509"/>
        <w:gridCol w:w="1177"/>
        <w:gridCol w:w="1177"/>
        <w:gridCol w:w="1177"/>
        <w:gridCol w:w="1177"/>
        <w:gridCol w:w="1414"/>
        <w:gridCol w:w="1414"/>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2015年5月15日（基金合同生效日）-2015年12月31日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-4,362,558.14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-896,486.21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-3,351,300.27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64,340.75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10,138,275.50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2,665,847.49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-2,493,542.37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-8,947,742.06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-163,876.48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11,960,111.24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3,302,058.08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-222,433.88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-138,792.83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4,187,305.07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657,760.74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7,272,663.51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2,098,261.88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43,073,241.53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7,755,116.25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91,520,118.77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17,529,516.91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131,836,849.30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39,715,178.93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09999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创金合信聚利债券A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7"/>
        <w:rPr>
          <w:rFonts w:hint="eastAsia"/>
        </w:rPr>
      </w:pPr>
      <w:r>
        <w:rPr>
          <w:rFonts w:hint="eastAsia" w:hAnsi="Calibri"/>
          <w:color w:val="000000"/>
        </w:rPr>
        <w:t>创金合信聚利债券C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1199_FB010010_20180002_2.jpg" type="#_x0000_t75" style="height:286.2pt;width:441pt;" filled="f" stroked="f" coordsize="21600,21600">
            <v:path/>
            <v:fill on="f" focussize="0,0"/>
            <v:stroke on="f"/>
            <v:imagedata r:id="rId10" grayscale="f" bilevel="f" o:title="CN_50990000_001199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1199_FB010010_20180002_3.jpg" type="#_x0000_t75" style="height:286.2pt;width:441pt;" filled="f" stroked="f" coordsize="21600,21600">
            <v:path/>
            <v:fill on="f" focussize="0,0"/>
            <v:stroke on="f"/>
            <v:imagedata r:id="rId11" grayscale="f" bilevel="f" o:title="CN_50990000_001199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1199_FB010010_20180002_4.jpg" type="#_x0000_t75" style="height:285.95pt;width:440.6pt;" filled="f" stroked="f" coordsize="21600,21600">
            <v:path/>
            <v:fill on="f" focussize="0,0"/>
            <v:stroke on="f"/>
            <v:imagedata r:id="rId12" grayscale="f" bilevel="f" o:title="CN_50990000_001199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1199_FB010010_20180002_5.jpg" type="#_x0000_t75" style="height:285.95pt;width:440.6pt;" filled="f" stroked="f" coordsize="21600,21600">
            <v:path/>
            <v:fill on="f" focussize="0,0"/>
            <v:stroke on="f"/>
            <v:imagedata r:id="rId13" grayscale="f" bilevel="f" o:title="CN_50990000_001199_FB010010_20180002_5"/>
            <o:lock v:ext="edit" grouping="f" rotation="f" aspectratio="t"/>
            <w10:wrap type="none"/>
            <w10:anchorlock/>
          </v:shape>
        </w:pict>
      </w:r>
    </w:p>
    <w:p>
      <w:pPr>
        <w:pStyle w:val="14"/>
        <w:rPr>
          <w:rFonts w:hint="eastAsia"/>
        </w:rPr>
      </w:pPr>
      <w:bookmarkStart w:id="12" w:name="_Toc510100000"/>
      <w:r>
        <w:rPr>
          <w:rFonts w:hint="eastAsia" w:hAnsi="Calibri"/>
          <w:b/>
          <w:color w:val="000000"/>
        </w:rPr>
        <w:t>3.3 过去三年基金的利润分配情况</w:t>
      </w:r>
      <w:bookmarkEnd w:id="12"/>
    </w:p>
    <w:p>
      <w:pPr>
        <w:pStyle w:val="20"/>
        <w:rPr>
          <w:rFonts w:hint="eastAsia"/>
        </w:rPr>
      </w:pPr>
      <w:r>
        <w:rPr>
          <w:rFonts w:hint="eastAsia"/>
        </w:rPr>
        <w:t>本基金自基金合同生效日（2015年5月15日）至本报告期末未发生利润分配。</w:t>
      </w:r>
    </w:p>
    <w:p>
      <w:pPr>
        <w:pStyle w:val="13"/>
        <w:rPr>
          <w:rFonts w:hint="eastAsia"/>
        </w:rPr>
      </w:pPr>
      <w:bookmarkStart w:id="13" w:name="_Toc51010000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00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003"/>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004"/>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005"/>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聚利债券A基金份额净值为1.040元;本报告期内，基金份额净值增长率为-4.06%，同期业绩比较基准收益率为-1.08%;截至报告期末创金合信聚利债券C基金份额净值为1.026元;本报告期内，基金份额净值增长率为-4.47%，同期业绩比较基准收益率为-1.08%。</w:t>
      </w:r>
    </w:p>
    <w:p>
      <w:pPr>
        <w:widowControl/>
        <w:jc w:val="left"/>
        <w:rPr>
          <w:rFonts w:hint="eastAsia" w:ascii="宋体" w:hAnsi="宋体" w:cs="宋体"/>
          <w:kern w:val="0"/>
          <w:sz w:val="24"/>
          <w:szCs w:val="24"/>
        </w:rPr>
      </w:pPr>
    </w:p>
    <w:p>
      <w:pPr>
        <w:pStyle w:val="14"/>
        <w:rPr>
          <w:rFonts w:hint="eastAsia"/>
        </w:rPr>
      </w:pPr>
      <w:bookmarkStart w:id="18" w:name="_Toc510100006"/>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0007"/>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008"/>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009"/>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010"/>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001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012"/>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00013"/>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聚利债券型证券投资基金的管理人--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本报告期内，创金合信聚利债券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00014"/>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聚利债券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0001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01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普华永道中天审字(2018)第21830号</w:t>
            </w:r>
          </w:p>
        </w:tc>
      </w:tr>
    </w:tbl>
    <w:p>
      <w:pPr>
        <w:widowControl/>
        <w:jc w:val="left"/>
        <w:rPr>
          <w:rFonts w:hint="eastAsia" w:ascii="宋体" w:hAnsi="宋体" w:cs="宋体"/>
          <w:kern w:val="0"/>
          <w:sz w:val="24"/>
          <w:szCs w:val="24"/>
        </w:rPr>
      </w:pPr>
    </w:p>
    <w:p>
      <w:pPr>
        <w:pStyle w:val="14"/>
        <w:rPr>
          <w:rFonts w:hint="eastAsia"/>
        </w:rPr>
      </w:pPr>
      <w:bookmarkStart w:id="29" w:name="_Toc51010001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我们审计了创金合信聚利债券型证券投资基金 (以下简称"创金合信聚利债券型基金")的财务报表，包括2017年12月31日的资产负债表，2017年度的利润表和所有者权益(基金净值)变动表以及财务报表附注。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聚利债券型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按照中国注册会计师职业道德守则，我们独立于创金合信聚利债券型基金，并履行了职业道德方面的其他责任。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聚利债券型基金的持续经营能力，披露与持续经营相关的事项(如适用)，并运用持续经营假设，除非基金管理人管理层计划清算创金合信聚利债券型基金、终止运营或别无其他现实的选择。 基金管理人治理层负责监督创金合信聚利债券型基金的财务报告过程。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聚利债券型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聚利债券型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01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019"/>
      <w:r>
        <w:rPr>
          <w:rFonts w:hint="eastAsia"/>
          <w:b/>
          <w:bCs/>
        </w:rPr>
        <w:t>7.1 资产负债表</w:t>
      </w:r>
      <w:bookmarkEnd w:id="31"/>
    </w:p>
    <w:p>
      <w:pPr>
        <w:pStyle w:val="17"/>
        <w:rPr>
          <w:rFonts w:hint="eastAsia"/>
        </w:rPr>
      </w:pPr>
      <w:r>
        <w:rPr>
          <w:rFonts w:hint="eastAsia"/>
        </w:rPr>
        <w:t>会计主体：创金合信聚利债券型证券投资基金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2,277,415.67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35,760.70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122,804,763.68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21,603,696.00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101,201,067.68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2,974,553.80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142,372,987.16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1,153,078.24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653,695.23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31,673.98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185,446.96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52,984.84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6,063.23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18,763.48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5,362,134.23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33,323,351.48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142,372,987.16</w:t>
            </w:r>
          </w:p>
        </w:tc>
      </w:tr>
    </w:tbl>
    <w:p>
      <w:pPr>
        <w:pStyle w:val="20"/>
        <w:rPr>
          <w:rFonts w:hint="eastAsia"/>
        </w:rPr>
      </w:pPr>
      <w:r>
        <w:rPr>
          <w:rFonts w:hint="eastAsia"/>
        </w:rPr>
        <w:t>注：1.报告截止日2017年12月31日，基金份额总额48,992,684.74份，其中下属A类基金份额41,435,324.56份，C类基金份额7,557,360.18份。下属A类基金份额净值1.040元，C类基金份额净值1.026元。</w:t>
      </w:r>
    </w:p>
    <w:p>
      <w:pPr>
        <w:pStyle w:val="14"/>
        <w:rPr>
          <w:rFonts w:hint="eastAsia"/>
        </w:rPr>
      </w:pPr>
      <w:bookmarkStart w:id="32" w:name="_Toc510100020"/>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会计主体：创金合信聚利债券型证券投资基金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2,568,781.11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5,363,147.84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109,164.02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2,450,390.25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5,223,519.81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30,464.01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-6,052,053.40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-6,510,477.72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-3,765,310.18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99,034.00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-5,824,659.02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77,917.12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1,778,667.83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2,217,546.76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940,745.43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268,784.42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95,785.81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191,915.50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492,453.80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492,453.80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227,861.80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r>
    </w:tbl>
    <w:p>
      <w:pPr>
        <w:pStyle w:val="14"/>
        <w:rPr>
          <w:rFonts w:hint="eastAsia"/>
        </w:rPr>
      </w:pPr>
      <w:bookmarkStart w:id="33" w:name="_Toc510100021"/>
      <w:r>
        <w:rPr>
          <w:rFonts w:hint="eastAsia"/>
          <w:b/>
          <w:bCs/>
        </w:rPr>
        <w:t>7.3 所有者权益（基金净值）变动表</w:t>
      </w:r>
      <w:bookmarkEnd w:id="33"/>
    </w:p>
    <w:p>
      <w:pPr>
        <w:pStyle w:val="17"/>
        <w:rPr>
          <w:rFonts w:hint="eastAsia"/>
        </w:rPr>
      </w:pPr>
      <w:r>
        <w:rPr>
          <w:rFonts w:hint="eastAsia"/>
        </w:rPr>
        <w:t>会计主体：创金合信聚利债券型证券投资基金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-51,744,765.19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-3,447,797.04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-55,192,562.23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2,569,140.63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185,324.67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2,754,465.30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-54,313,905.82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-3,633,121.71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-57,947,027.53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160,464,845.14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11,087,183.09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171,552,028.23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-59,727,395.21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6,336,621.20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-53,390,774.01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321,274,574.53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31,856,537.44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353,131,111.97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-381,001,969.74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-25,519,916.24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-406,521,885.98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022"/>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聚利债券型证券投资基金(以下简称"本基金")经中国证券监督管理委员会(以下简称"中国证监会")证监许可[2015]472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385,473,879.28元，业经普华永道中天会计师事务所(特殊普通合伙)普华永道中天验字(2015)第481号验资报告予以验证。经向中国证监会备案，《创金合信聚利债券型证券投资基金基金合同》于2015年5月15日正式生效，基金合同生效日的基金份额总额为385,546,708.18份基金份额，其中认购资金利息折合72,828.90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聚利债券型证券投资基金基金合同》的有关规定，本基金的投资范围为具有良好流动性的金融工具，包括国内依法发行上市的股票(含中小板、创业板及其他经中国证监会核准上市的股票)、权证等权益类资产及债券等固定收益类金融工具以及法律法规或中国证监会允许基金投资的其他金融工具(但须符合中国证监会相关规定)。本基金的业绩比较基准为：中债综合(全价)指数收益率×90%+沪深300指数收益率×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聚利债券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1、在符合有关基金分红条件的前提下，本基金每年收益分配次数最多为12次，每份基金份额每次收益分配比例不得低于该次该类基金份额可供分配利润的30%，若《基金合同》生效不满3个月可不进行收益分配；</w:t>
      </w:r>
      <w:r>
        <w:rPr>
          <w:rFonts w:hint="eastAsia"/>
        </w:rPr>
        <w:br w:type="textWrapping"/>
      </w:r>
      <w:r>
        <w:rPr>
          <w:rFonts w:hint="eastAsia"/>
        </w:rPr>
        <w:t>  2、本基金收益分配方式分两种：现金分红与红利再投资，基金份额持有人可对A类基金份额、C类基金份额分别选择不同的分红方式，选择采取红利再投资方式的，基金份额的分红金额将转为同一类别基金份额进行再投资；若投资者不选择，本基金默认的收益分配方式是现金分红；</w:t>
      </w:r>
      <w:r>
        <w:rPr>
          <w:rFonts w:hint="eastAsia"/>
        </w:rPr>
        <w:br w:type="textWrapping"/>
      </w:r>
      <w:r>
        <w:rPr>
          <w:rFonts w:hint="eastAsia"/>
        </w:rPr>
        <w:t>  3、基金收益分配后基金份额净值不能低于面值：即基金收益分配基准日的基金份额净值减去每单位基金份额收益分配金额后不能低于面值；</w:t>
      </w:r>
      <w:r>
        <w:rPr>
          <w:rFonts w:hint="eastAsia"/>
        </w:rPr>
        <w:br w:type="textWrapping"/>
      </w:r>
      <w:r>
        <w:rPr>
          <w:rFonts w:hint="eastAsia"/>
        </w:rPr>
        <w:t>  4、由于本基金A类基金份额不收取销售服务费，而C类基金份额收取销售服务费，各基金份额类别对应的可供分配利润将有所不同，基金管理人可对各类别基金份额分别制定收益分配方案，同一类别内的每一基金份额享有同等分配权；</w:t>
      </w:r>
      <w:r>
        <w:rPr>
          <w:rFonts w:hint="eastAsia"/>
        </w:rPr>
        <w:br w:type="textWrapping"/>
      </w:r>
      <w:r>
        <w:rPr>
          <w:rFonts w:hint="eastAsia"/>
        </w:rPr>
        <w:t>  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该组成部分能够在日常活动中产生收入、发生费用；(2)本基金的基金管理人能够定期评价该组成部分的经营成果，以决定向其配置资源、评价其业绩；(3)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9,964,663.10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-284,730.10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51,137,880.31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-1,136,284.01</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24,449,536.89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21,603,696.00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-2,845,840.89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72,099,229.48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71,966,067.68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-133,161.80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29,622,610.00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29,235,000.00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-387,610.00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101,721,839.48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101,201,067.68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-520,771.80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126,171,376.37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122,804,763.68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-3,366,612.69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12,992.29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600,012.42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1,550,938.67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66,871.92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创金合信聚利债券A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84,422,593.58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84,422,593.58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1,700,294.96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1,700,294.96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-44,687,563.98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-44,687,563.98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创金合信聚利债券C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16,314,856.35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16,314,856.35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868,845.67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868,845.67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-9,626,341.84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-9,626,341.84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创金合信聚利债券A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4,187,305.07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2,910,220.12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7,097,525.19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-4,362,558.14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1,869,015.77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-2,493,542.37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-47,180.81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-2,918,885.04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-2,966,065.85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126,745.44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-55,046.25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-3,037,765.04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-3,092,811.29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-222,433.88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1,860,350.85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1,637,916.97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创金合信聚利债券C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657,760.74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556,899.82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1,214,660.56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-896,486.21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361,312.91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-535,173.30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99,932.64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-581,663.83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-481,731.19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-13,157.06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71,736.29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58,579.23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113,089.70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-653,400.12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-540,310.42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-138,792.83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336,548.90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197,756.07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87,166.55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23,756.58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109,164.02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43,146,155.40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69,594,005.71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47,727,706.59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73,359,315.89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-3,765,310.18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279,364,497.25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941,356,766.14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275,920,278.79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929,939,665.31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5,275,654.98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14,261,302.37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99,034.00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99,034.00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-5,824,659.02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2,561,110.79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-3,242,056.89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-330,782.11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-2,582,602.13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-5,824,659.02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77,917.12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77,917.12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107,357.74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173,450.50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191,915.50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9,662.00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227,861.80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04"/>
        <w:gridCol w:w="1863"/>
        <w:gridCol w:w="1104"/>
        <w:gridCol w:w="186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9,905,905.00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本基金于本期末及上年度可比期间未通过关联方交易单元进行权证交易。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876"/>
        <w:gridCol w:w="1686"/>
        <w:gridCol w:w="1416"/>
        <w:gridCol w:w="1956"/>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65"/>
        <w:gridCol w:w="1875"/>
        <w:gridCol w:w="1119"/>
        <w:gridCol w:w="18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64,064,210.71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141,782,416.89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35.01%</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94"/>
        <w:gridCol w:w="1821"/>
        <w:gridCol w:w="1198"/>
        <w:gridCol w:w="182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1,065,700,000.00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35.11%</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940,745.43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323,379.01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464,791.15</w:t>
            </w:r>
          </w:p>
        </w:tc>
      </w:tr>
    </w:tbl>
    <w:p>
      <w:pPr>
        <w:pStyle w:val="20"/>
        <w:rPr>
          <w:rFonts w:hint="eastAsia"/>
        </w:rPr>
      </w:pPr>
      <w:r>
        <w:rPr>
          <w:rFonts w:hint="eastAsia"/>
        </w:rPr>
        <w:t>注：支付基金管理人创金合信基金管理有限公司的管理人报酬按前一日基金资产净值0.70%的年费率计提，逐日累计至每月月底，按月支付。其计算公式为：</w:t>
      </w:r>
      <w:r>
        <w:rPr>
          <w:rFonts w:hint="eastAsia"/>
        </w:rPr>
        <w:br w:type="textWrapping"/>
      </w:r>
      <w:r>
        <w:rPr>
          <w:rFonts w:hint="eastAsia"/>
        </w:rPr>
        <w:t>日管理人报酬＝前一日基金资产净值X 0.70%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268,784.42</w:t>
            </w:r>
          </w:p>
        </w:tc>
      </w:tr>
    </w:tbl>
    <w:p>
      <w:pPr>
        <w:pStyle w:val="20"/>
        <w:rPr>
          <w:rFonts w:hint="eastAsia"/>
        </w:rPr>
      </w:pPr>
      <w:r>
        <w:rPr>
          <w:rFonts w:hint="eastAsia"/>
        </w:rPr>
        <w:t>注：支付基金托管人中国工商银行的托管费按前一日基金资产净值0.20%的年费率计提，逐日累计至每月月底，按月支付。其计算公式为：</w:t>
      </w:r>
      <w:r>
        <w:rPr>
          <w:rFonts w:hint="eastAsia"/>
        </w:rPr>
        <w:br w:type="textWrapping"/>
      </w:r>
      <w:r>
        <w:rPr>
          <w:rFonts w:hint="eastAsia"/>
        </w:rPr>
        <w:t>日托管费＝前一日基金资产净值X 0.20%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529"/>
        <w:gridCol w:w="2529"/>
        <w:gridCol w:w="1460"/>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93,349.88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93,349.88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93,485.61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93,485.61</w:t>
            </w:r>
          </w:p>
        </w:tc>
      </w:tr>
    </w:tbl>
    <w:p>
      <w:pPr>
        <w:pStyle w:val="20"/>
        <w:rPr>
          <w:rFonts w:hint="eastAsia"/>
        </w:rPr>
      </w:pPr>
      <w:r>
        <w:rPr>
          <w:rFonts w:hint="eastAsia"/>
        </w:rPr>
        <w:t>注：支付基金销售机构的销售服务费按前一日C类基金的基金资产净值0.4%的年费率计提，逐日累计至每月月底，按月支付给创金合信基金管理有限公司，再由创金合信基金管理有限公司计算并支付给各基金销售机构。其计算公式为：日销售服务费＝C类基金前一日基金资产净值× 0.4%/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354"/>
        <w:gridCol w:w="1033"/>
        <w:gridCol w:w="1681"/>
        <w:gridCol w:w="1032"/>
        <w:gridCol w:w="1033"/>
        <w:gridCol w:w="1032"/>
        <w:gridCol w:w="1033"/>
      </w:tblGrid>
      <w:tr>
        <w:tblPrEx>
          <w:tblCellMar>
            <w:top w:w="0" w:type="dxa"/>
            <w:left w:w="108" w:type="dxa"/>
            <w:bottom w:w="0" w:type="dxa"/>
            <w:right w:w="108" w:type="dxa"/>
          </w:tblCellMar>
        </w:tblPrEx>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银行间市场交易的</w:t>
            </w:r>
          </w:p>
          <w:p>
            <w:pPr>
              <w:pStyle w:val="18"/>
              <w:wordWrap w:val="0"/>
              <w:rPr>
                <w:rFonts w:hint="eastAsia"/>
              </w:rPr>
            </w:pPr>
            <w:r>
              <w:rPr>
                <w:rFonts w:hint="eastAsia"/>
              </w:rPr>
              <w:t>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基金正回购</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利息支出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20,580,636.34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7"/>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2"/>
        <w:gridCol w:w="1441"/>
        <w:gridCol w:w="1441"/>
        <w:gridCol w:w="1574"/>
        <w:gridCol w:w="1477"/>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87,166.55</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本基金于本期末未持有因认购新发/增发证券而流通受限的证券。</w:t>
      </w: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本基金未持有暂时停牌等流通受限股票。</w:t>
      </w: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基金从事证券交易所债券正回购交易形成的卖出回购证券款余额4,500,000.00元，于2018年1月2日到期。该类交易要求本基金在回购期内持有的证券交易所交易的债券和/或在新质押式回购下转入质押库的债券，按证券交易所规定的比例折算为标准券后，不低于债券回购交易的余额。</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r>
        <w:rPr>
          <w:rFonts w:hint="eastAsia"/>
        </w:rPr>
        <w:br w:type="textWrapping"/>
      </w:r>
      <w:r>
        <w:rPr>
          <w:rFonts w:hint="eastAsia"/>
        </w:rPr>
        <w:t>  </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5,992,200.00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5,992,200.00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17,300,351.50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21,355,960.20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20,424,951.80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23,860,713.38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49,992,194.10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37,725,303.30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95,208,867.68</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4500000.00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55598966.44元，超过经确认的当日净赎回金额。于2017年12月31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108"/>
        <w:gridCol w:w="1371"/>
        <w:gridCol w:w="1371"/>
        <w:gridCol w:w="1371"/>
        <w:gridCol w:w="1371"/>
        <w:gridCol w:w="1453"/>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11,810,701.80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18,675,741.50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9,835,220.00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10,884,879.29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862,134.23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5,362,134.23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10,022,745.06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2,277,415.67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2,277,415.67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35,760.70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35,760.70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14,046,560.20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38,706,864.30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48,447,643.18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122,804,763.68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2,974,553.80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29,072,967.91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38,706,864.30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48,447,643.18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26,145,511.77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142,372,987.16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1,153,078.24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1,153,078.24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653,695.23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653,695.23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185,446.96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185,446.96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52,984.84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6,063.23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18,763.48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2,323,351.48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33,323,351.48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-1,927,032.09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38,706,864.30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48,447,643.18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23,822,160.29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-1,003,342.17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1,030,799.29</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21,603,696.00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21,603,696.00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于2017年12月31日，本基金持有的交易性权益类投资公允价值占基金资产净值的比例为19.04%(2016 年12月31日：19.81%)，因此除市场利率和外汇汇率以外的市场价格因素的变动对于本基金资产净值无重大影响(2016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25,416,413.00元，属于第二层次的余额为24,585,183.30元，无属于第三层次的余额(2016年12月31日：第一层次37,461,751.48元，第二层次85,343,012.20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023"/>
      <w:r>
        <w:rPr>
          <w:rFonts w:hint="eastAsia" w:hAnsi="Calibri"/>
          <w:b/>
          <w:color w:val="000000"/>
        </w:rPr>
        <w:t>§8 投资组合报告</w:t>
      </w:r>
      <w:bookmarkEnd w:id="35"/>
    </w:p>
    <w:p>
      <w:pPr>
        <w:pStyle w:val="14"/>
        <w:rPr>
          <w:rFonts w:hint="eastAsia"/>
        </w:rPr>
      </w:pPr>
      <w:bookmarkStart w:id="36" w:name="_Toc51010002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3,672,672.51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1,216,223.20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025"/>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026"/>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w:t>
            </w:r>
          </w:p>
        </w:tc>
      </w:tr>
    </w:tbl>
    <w:p>
      <w:pPr>
        <w:pStyle w:val="14"/>
        <w:rPr>
          <w:rFonts w:hint="eastAsia"/>
        </w:rPr>
      </w:pPr>
      <w:bookmarkStart w:id="39" w:name="_Toc510100027"/>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1,172,043.10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33,242,832.80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43,146,155.40</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028"/>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17,024,993.30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20,700,310.00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79.33</w:t>
            </w:r>
          </w:p>
        </w:tc>
      </w:tr>
    </w:tbl>
    <w:p>
      <w:pPr>
        <w:pStyle w:val="14"/>
        <w:rPr>
          <w:rFonts w:hint="eastAsia"/>
        </w:rPr>
      </w:pPr>
      <w:bookmarkStart w:id="41" w:name="_Toc510100029"/>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4,963,830.00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4,913,460.00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16天风01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bl>
    <w:p>
      <w:pPr>
        <w:pStyle w:val="14"/>
        <w:rPr>
          <w:rFonts w:hint="eastAsia"/>
        </w:rPr>
      </w:pPr>
      <w:bookmarkStart w:id="42" w:name="_Toc510100030"/>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03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03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03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0034"/>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035"/>
      <w:r>
        <w:rPr>
          <w:rFonts w:hint="eastAsia"/>
          <w:b/>
          <w:bCs/>
        </w:rPr>
        <w:t>8.12 投资组合报告附注</w:t>
      </w:r>
      <w:bookmarkEnd w:id="47"/>
    </w:p>
    <w:p>
      <w:pPr>
        <w:pStyle w:val="15"/>
        <w:rPr>
          <w:rFonts w:hint="eastAsia"/>
        </w:rPr>
      </w:pPr>
      <w:r>
        <w:rPr>
          <w:rFonts w:hint="eastAsia"/>
          <w:b/>
          <w:bCs/>
        </w:rPr>
        <w:t>8.12.1 2017年5月19日， 国海证券股份有限公司（下称"国海证券"，股票代码：000750）收到中国证券监督管理委员会《限制业务活动、责令增加内部合规检查次数事先告知书》（机构部函〔2017〕1260号），认定公司存在内部管理混乱、合规风控失效、资产管理业务运作违规等违规行为，并按照《证券公司监督管理条例》第七十条的规定，拟作出在行政监督管理措施正式下发之日起一年内，暂不受理债券承销业务有关文件，暂停资产管理产品备案，暂停新开证券账户；责令增加内部合规检查次数等监督管理措施决定。</w:t>
      </w:r>
      <w:r>
        <w:rPr>
          <w:rFonts w:hint="eastAsia"/>
          <w:b/>
          <w:bCs/>
        </w:rPr>
        <w:br w:type="textWrapping"/>
      </w:r>
      <w:r>
        <w:rPr>
          <w:rFonts w:hint="eastAsia"/>
          <w:b/>
          <w:bCs/>
        </w:rPr>
        <w:t>  本基金投研人员分析认为，在受到处罚后，国海证券改正态度积极，并迅速做出反应，查找不足，积极整改，该事件发生后该公司经营状况正常，相关处罚未实质影响公司的经营状况，公司实际信用风险水平未发生根本改变。本基金基金经理依据基金合同和公司投资管理制度，在投资授权范围内，经正常投资决策程序对"15国海债"进行了投资。</w:t>
      </w:r>
      <w:r>
        <w:rPr>
          <w:rFonts w:hint="eastAsia"/>
          <w:b/>
          <w:bCs/>
        </w:rPr>
        <w:br w:type="textWrapping"/>
      </w:r>
      <w:r>
        <w:rPr>
          <w:rFonts w:hint="eastAsia"/>
          <w:b/>
          <w:bCs/>
        </w:rPr>
        <w:t>  2017年12月29日三一重工股份有限公司董事会发布关于高级管理人员违规买卖公司股票的公告，公司副总裁谢志霞先生于2017年8月30日至11月2日累计买入公司股票23600股，并于2017年11月10日全部卖出。该交易行为违反了《证券法》、《上海证券交易所股票上市规则》、《上海证券交易所上市公司股票及董事、监事、高级管理人员减持股份实施细则》的相关规定，公司董事会对该公司高级管理人员进行了处罚。</w:t>
      </w:r>
      <w:r>
        <w:rPr>
          <w:rFonts w:hint="eastAsia"/>
          <w:b/>
          <w:bCs/>
        </w:rPr>
        <w:br w:type="textWrapping"/>
      </w:r>
      <w:r>
        <w:rPr>
          <w:rFonts w:hint="eastAsia"/>
          <w:b/>
          <w:bCs/>
        </w:rPr>
        <w:t>  本基金投研人员分析认为，该事件不影响公司正常经营。并且，在当前宏观经济好转的大背景下，三一重工作为工程机械龙头，具有竞争力，经营情况向好，维持推荐评级。本基金基金经理依据基金合同和公司投资管理制度，在投资授权范围内，经正常投资决策程序对三一转债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1,216,223.20</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4,913,460.00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电气转债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036"/>
      <w:r>
        <w:rPr>
          <w:rFonts w:hint="eastAsia" w:hAnsi="Calibri"/>
          <w:b/>
          <w:color w:val="000000"/>
        </w:rPr>
        <w:t>§9  基金份额持有人信息</w:t>
      </w:r>
      <w:bookmarkEnd w:id="48"/>
    </w:p>
    <w:p>
      <w:pPr>
        <w:pStyle w:val="14"/>
        <w:rPr>
          <w:rFonts w:hint="eastAsia"/>
        </w:rPr>
      </w:pPr>
      <w:bookmarkStart w:id="49" w:name="_Toc510100037"/>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79,836.85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41,435,231.35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39,986.03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48,992,591.53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510100038"/>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88"/>
        <w:gridCol w:w="1829"/>
        <w:gridCol w:w="1977"/>
        <w:gridCol w:w="2051"/>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0.2100%</w:t>
            </w:r>
          </w:p>
        </w:tc>
      </w:tr>
    </w:tbl>
    <w:p>
      <w:pPr>
        <w:widowControl/>
        <w:jc w:val="left"/>
        <w:rPr>
          <w:rFonts w:hint="eastAsia" w:ascii="宋体" w:hAnsi="宋体" w:cs="宋体"/>
          <w:kern w:val="0"/>
          <w:sz w:val="24"/>
          <w:szCs w:val="24"/>
        </w:rPr>
      </w:pPr>
    </w:p>
    <w:p>
      <w:pPr>
        <w:pStyle w:val="14"/>
        <w:rPr>
          <w:rFonts w:hint="eastAsia"/>
        </w:rPr>
      </w:pPr>
      <w:bookmarkStart w:id="51" w:name="_Toc510100039"/>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0004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基金合同生效日(2015年05月15日)基金份额总额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305,115,514.93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80,431,193.25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84,422,593.58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16,314,856.35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1,700,294.96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868,845.67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44,687,563.98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9,626,341.84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41,435,324.56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7,557,360.18</w:t>
            </w:r>
          </w:p>
        </w:tc>
      </w:tr>
    </w:tbl>
    <w:p>
      <w:pPr>
        <w:pStyle w:val="13"/>
        <w:rPr>
          <w:rFonts w:hint="eastAsia"/>
        </w:rPr>
      </w:pPr>
      <w:bookmarkStart w:id="53" w:name="_Toc51010004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042"/>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043"/>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044"/>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045"/>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046"/>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本报告期内本基金未更换会计师事务所,本年度支付给普华永道中天会计师事务所(特殊普通合伙)审计费用60,000.00元,该审计机构连续提供审计服务的年限为3年。</w:t>
      </w:r>
    </w:p>
    <w:p>
      <w:pPr>
        <w:pStyle w:val="14"/>
        <w:rPr>
          <w:rFonts w:hint="eastAsia"/>
        </w:rPr>
      </w:pPr>
      <w:bookmarkStart w:id="59" w:name="_Toc510100047"/>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048"/>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20"/>
        <w:gridCol w:w="1050"/>
        <w:gridCol w:w="1276"/>
        <w:gridCol w:w="1070"/>
        <w:gridCol w:w="69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4,422,912.00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57,706,333.61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41,837.71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2,437,950.00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1,756.08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11,157,592.59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7,987.15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727"/>
        <w:gridCol w:w="1050"/>
        <w:gridCol w:w="769"/>
        <w:gridCol w:w="1050"/>
        <w:gridCol w:w="599"/>
        <w:gridCol w:w="1050"/>
        <w:gridCol w:w="59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64,064,210.71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785,200,000.00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2,775,360.75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251,045,374.64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1,736,979,000.00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2,363,324.46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52,480,515.66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475,900,000.00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049"/>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创金合信基金管理有限公司关于创金合信聚利债券型证券投资基金增加国泰君安证券为代销机构的公告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05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051"/>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052"/>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05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054"/>
      <w:r>
        <w:rPr>
          <w:rFonts w:hint="eastAsia"/>
          <w:b/>
          <w:bCs/>
        </w:rPr>
        <w:t>13.1 备查文件目录</w:t>
      </w:r>
      <w:r>
        <w:rPr>
          <w:rFonts w:hint="eastAsia"/>
        </w:rPr>
        <w:t>.</w:t>
      </w:r>
      <w:bookmarkEnd w:id="66"/>
    </w:p>
    <w:p>
      <w:pPr>
        <w:pStyle w:val="20"/>
        <w:rPr>
          <w:rFonts w:hint="eastAsia"/>
        </w:rPr>
      </w:pPr>
      <w:r>
        <w:rPr>
          <w:rFonts w:hint="eastAsia"/>
        </w:rPr>
        <w:t>  1、《创金合信聚利债券型证券投资基金基金合同》；</w:t>
      </w:r>
      <w:r>
        <w:rPr>
          <w:rFonts w:hint="eastAsia"/>
        </w:rPr>
        <w:br w:type="textWrapping"/>
      </w:r>
      <w:r>
        <w:rPr>
          <w:rFonts w:hint="eastAsia"/>
        </w:rPr>
        <w:t>  2、《创金合信聚利债券型证券投资基金托管协议》；</w:t>
      </w:r>
      <w:r>
        <w:rPr>
          <w:rFonts w:hint="eastAsia"/>
        </w:rPr>
        <w:br w:type="textWrapping"/>
      </w:r>
      <w:r>
        <w:rPr>
          <w:rFonts w:hint="eastAsia"/>
        </w:rPr>
        <w:t>  3、创金合信聚利债券型证券投资基金2017年年度报告</w:t>
      </w:r>
    </w:p>
    <w:p>
      <w:pPr>
        <w:pStyle w:val="14"/>
        <w:rPr>
          <w:rFonts w:hint="eastAsia"/>
        </w:rPr>
      </w:pPr>
      <w:bookmarkStart w:id="67" w:name="_Toc510100055"/>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056"/>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页，共69页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创金合信聚利债券型证券投资基金2017年年度报告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18EC"/>
    <w:rsid w:val="002A0836"/>
    <w:rsid w:val="007F18EC"/>
    <w:rsid w:val="00803D61"/>
    <w:rsid w:val="008D0C6F"/>
    <w:rsid w:val="22944A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8013</Words>
  <Characters>45679</Characters>
  <Lines>380</Lines>
  <Paragraphs>107</Paragraphs>
  <TotalTime>0</TotalTime>
  <ScaleCrop>false</ScaleCrop>
  <LinksUpToDate>false</LinksUpToDate>
  <CharactersWithSpaces>53585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2018-03-29T07:17:00Z</dcterms:created>
  <dc:creator>贺祎琪</dc:creator>
  <cp:lastModifiedBy>Administrator</cp:lastModifiedBy>
  <dcterms:modified xsi:type="dcterms:W3CDTF">2019-12-26T14:04:15Z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