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108" w:type="dxa"/>
        <w:tblLayout w:type="fixed"/>
        <w:tblCellMar>
          <w:top w:w="0" w:type="dxa"/>
          <w:left w:w="108" w:type="dxa"/>
          <w:bottom w:w="0" w:type="dxa"/>
          <w:right w:w="108" w:type="dxa"/>
        </w:tblCellMar>
      </w:tblPr>
      <w:tblGrid>
        <w:gridCol w:w="2888"/>
      </w:tblGrid>
      <w:tr>
        <w:tblPrEx>
          <w:tblCellMar>
            <w:top w:w="0" w:type="dxa"/>
            <w:left w:w="108" w:type="dxa"/>
            <w:bottom w:w="0" w:type="dxa"/>
            <w:right w:w="108" w:type="dxa"/>
          </w:tblCellMar>
        </w:tblPrEx>
        <w:trPr>
          <w:wBefore w:w="0" w:type="dxa"/>
        </w:trPr>
        <w:tc>
          <w:tcPr>
            <w:tcW w:w="2888" w:type="dxa"/>
            <w:tcBorders>
              <w:top w:val="nil"/>
              <w:left w:val="nil"/>
              <w:bottom w:val="nil"/>
              <w:right w:val="nil"/>
            </w:tcBorders>
            <w:noWrap w:val="0"/>
            <w:vAlign w:val="top"/>
          </w:tcPr>
          <w:p>
            <w:pPr>
              <w:spacing w:line="288" w:lineRule="auto"/>
              <w:jc w:val="left"/>
              <w:rPr>
                <w:rFonts w:ascii="MS Sans Serif" w:hAnsi="MS Sans Serif" w:eastAsia="Times New Roman" w:cs="MS Sans Serif"/>
                <w:color w:val="000000"/>
                <w:sz w:val="9"/>
                <w:szCs w:val="9"/>
              </w:rPr>
            </w:pPr>
            <w:bookmarkStart w:id="67" w:name="_GoBack"/>
            <w:bookmarkEnd w:id="67"/>
          </w:p>
        </w:tc>
      </w:tr>
    </w:tbl>
    <w:p>
      <w:pPr>
        <w:spacing w:line="288" w:lineRule="auto"/>
        <w:jc w:val="left"/>
        <w:rPr>
          <w:rFonts w:ascii="MS Sans Serif" w:hAnsi="MS Sans Serif" w:eastAsia="Times New Roman" w:cs="MS Sans Serif"/>
          <w:color w:val="000000"/>
          <w:sz w:val="2"/>
          <w:szCs w:val="2"/>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before="30" w:line="288" w:lineRule="auto"/>
        <w:ind w:left="15"/>
        <w:jc w:val="center"/>
        <w:rPr>
          <w:rFonts w:ascii="宋体" w:hAnsi="宋体" w:cs="宋体"/>
          <w:b/>
          <w:bCs/>
          <w:color w:val="000000"/>
          <w:sz w:val="24"/>
          <w:szCs w:val="24"/>
        </w:rPr>
      </w:pPr>
      <w:r>
        <w:rPr>
          <w:rFonts w:hint="eastAsia" w:ascii="宋体" w:hAnsi="宋体" w:cs="宋体"/>
          <w:b/>
          <w:bCs/>
          <w:color w:val="000000"/>
          <w:sz w:val="24"/>
          <w:szCs w:val="24"/>
        </w:rPr>
        <w:t>创金合信沪港深研究精选灵活配置混合型证券投资基金</w:t>
      </w:r>
      <w:r>
        <w:rPr>
          <w:rFonts w:ascii="宋体" w:hAnsi="宋体" w:cs="宋体"/>
          <w:b/>
          <w:bCs/>
          <w:color w:val="000000"/>
          <w:sz w:val="24"/>
          <w:szCs w:val="24"/>
        </w:rPr>
        <w:t>2015</w:t>
      </w:r>
      <w:r>
        <w:rPr>
          <w:rFonts w:hint="eastAsia" w:ascii="宋体" w:hAnsi="宋体" w:cs="宋体"/>
          <w:b/>
          <w:bCs/>
          <w:color w:val="000000"/>
          <w:sz w:val="24"/>
          <w:szCs w:val="24"/>
        </w:rPr>
        <w:t>年年度报告</w:t>
      </w:r>
    </w:p>
    <w:p>
      <w:pPr>
        <w:spacing w:line="288" w:lineRule="auto"/>
        <w:jc w:val="center"/>
        <w:rPr>
          <w:rFonts w:ascii="宋体" w:hAnsi="宋体" w:cs="宋体"/>
          <w:b/>
          <w:bCs/>
          <w:color w:val="000000"/>
          <w:sz w:val="24"/>
          <w:szCs w:val="24"/>
        </w:rPr>
      </w:pPr>
    </w:p>
    <w:p>
      <w:pPr>
        <w:spacing w:before="30" w:line="288" w:lineRule="auto"/>
        <w:ind w:left="15"/>
        <w:jc w:val="center"/>
        <w:rPr>
          <w:rFonts w:ascii="宋体" w:hAnsi="宋体" w:cs="宋体"/>
          <w:b/>
          <w:bCs/>
          <w:color w:val="000000"/>
          <w:sz w:val="24"/>
          <w:szCs w:val="24"/>
        </w:rPr>
      </w:pPr>
      <w:r>
        <w:rPr>
          <w:rFonts w:ascii="宋体" w:hAnsi="宋体" w:cs="宋体"/>
          <w:b/>
          <w:bCs/>
          <w:color w:val="000000"/>
          <w:sz w:val="24"/>
          <w:szCs w:val="24"/>
        </w:rPr>
        <w:t>2015</w:t>
      </w:r>
      <w:r>
        <w:rPr>
          <w:rFonts w:hint="eastAsia" w:ascii="宋体" w:hAnsi="宋体" w:cs="宋体"/>
          <w:b/>
          <w:bCs/>
          <w:color w:val="000000"/>
          <w:sz w:val="24"/>
          <w:szCs w:val="24"/>
        </w:rPr>
        <w:t>年</w:t>
      </w:r>
      <w:r>
        <w:rPr>
          <w:rFonts w:ascii="宋体" w:hAnsi="宋体" w:cs="宋体"/>
          <w:b/>
          <w:bCs/>
          <w:color w:val="000000"/>
          <w:sz w:val="24"/>
          <w:szCs w:val="24"/>
        </w:rPr>
        <w:t>12</w:t>
      </w:r>
      <w:r>
        <w:rPr>
          <w:rFonts w:hint="eastAsia" w:ascii="宋体" w:hAnsi="宋体" w:cs="宋体"/>
          <w:b/>
          <w:bCs/>
          <w:color w:val="000000"/>
          <w:sz w:val="24"/>
          <w:szCs w:val="24"/>
        </w:rPr>
        <w:t>月</w:t>
      </w:r>
      <w:r>
        <w:rPr>
          <w:rFonts w:ascii="宋体" w:hAnsi="宋体" w:cs="宋体"/>
          <w:b/>
          <w:bCs/>
          <w:color w:val="000000"/>
          <w:sz w:val="24"/>
          <w:szCs w:val="24"/>
        </w:rPr>
        <w:t>31</w:t>
      </w:r>
      <w:r>
        <w:rPr>
          <w:rFonts w:hint="eastAsia" w:ascii="宋体" w:hAnsi="宋体" w:cs="宋体"/>
          <w:b/>
          <w:bCs/>
          <w:color w:val="000000"/>
          <w:sz w:val="24"/>
          <w:szCs w:val="24"/>
        </w:rPr>
        <w:t>日</w:t>
      </w:r>
    </w:p>
    <w:p>
      <w:pPr>
        <w:spacing w:line="288" w:lineRule="auto"/>
        <w:jc w:val="center"/>
        <w:rPr>
          <w:rFonts w:ascii="宋体" w:hAnsi="宋体" w:cs="宋体"/>
          <w:b/>
          <w:bCs/>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line="288" w:lineRule="auto"/>
        <w:jc w:val="center"/>
        <w:rPr>
          <w:rFonts w:ascii="宋体" w:hAnsi="宋体" w:cs="宋体"/>
          <w:color w:val="000000"/>
          <w:sz w:val="24"/>
          <w:szCs w:val="24"/>
        </w:rPr>
      </w:pPr>
    </w:p>
    <w:p>
      <w:pPr>
        <w:spacing w:before="30" w:line="288" w:lineRule="auto"/>
        <w:ind w:left="15" w:firstLine="482"/>
        <w:jc w:val="center"/>
        <w:rPr>
          <w:rFonts w:ascii="宋体" w:hAnsi="宋体" w:cs="宋体"/>
          <w:b/>
          <w:bCs/>
          <w:color w:val="000000"/>
          <w:sz w:val="24"/>
          <w:szCs w:val="24"/>
        </w:rPr>
      </w:pPr>
      <w:r>
        <w:rPr>
          <w:rFonts w:hint="eastAsia" w:ascii="宋体" w:hAnsi="宋体" w:cs="宋体"/>
          <w:b/>
          <w:bCs/>
          <w:color w:val="000000"/>
          <w:sz w:val="24"/>
          <w:szCs w:val="24"/>
        </w:rPr>
        <w:t>基金管理人：创金合信基金管理有限公司</w:t>
      </w:r>
    </w:p>
    <w:p>
      <w:pPr>
        <w:spacing w:line="288" w:lineRule="auto"/>
        <w:jc w:val="center"/>
        <w:rPr>
          <w:rFonts w:ascii="宋体" w:hAnsi="宋体" w:cs="宋体"/>
          <w:color w:val="000000"/>
          <w:sz w:val="24"/>
          <w:szCs w:val="24"/>
        </w:rPr>
      </w:pPr>
    </w:p>
    <w:p>
      <w:pPr>
        <w:spacing w:before="30" w:line="288" w:lineRule="auto"/>
        <w:ind w:left="15" w:firstLine="482"/>
        <w:jc w:val="center"/>
        <w:rPr>
          <w:rFonts w:ascii="宋体" w:hAnsi="宋体" w:cs="宋体"/>
          <w:b/>
          <w:bCs/>
          <w:color w:val="000000"/>
          <w:sz w:val="24"/>
          <w:szCs w:val="24"/>
        </w:rPr>
      </w:pPr>
      <w:r>
        <w:rPr>
          <w:rFonts w:hint="eastAsia" w:ascii="宋体" w:hAnsi="宋体" w:cs="宋体"/>
          <w:b/>
          <w:bCs/>
          <w:color w:val="000000"/>
          <w:sz w:val="24"/>
          <w:szCs w:val="24"/>
        </w:rPr>
        <w:t>基金托管人：中国工商银行股份有限公司</w:t>
      </w:r>
    </w:p>
    <w:p>
      <w:pPr>
        <w:spacing w:line="288" w:lineRule="auto"/>
        <w:jc w:val="center"/>
        <w:rPr>
          <w:rFonts w:ascii="宋体" w:hAnsi="宋体" w:cs="宋体"/>
          <w:color w:val="000000"/>
          <w:sz w:val="24"/>
          <w:szCs w:val="24"/>
        </w:rPr>
      </w:pPr>
    </w:p>
    <w:p>
      <w:pPr>
        <w:spacing w:before="30" w:line="288" w:lineRule="auto"/>
        <w:ind w:left="15" w:firstLine="482"/>
        <w:rPr>
          <w:rFonts w:ascii="宋体" w:hAnsi="宋体" w:cs="宋体"/>
          <w:b/>
          <w:bCs/>
          <w:color w:val="000000"/>
          <w:sz w:val="24"/>
          <w:szCs w:val="24"/>
        </w:rPr>
      </w:pPr>
      <w:r>
        <w:rPr>
          <w:rFonts w:hint="eastAsia" w:ascii="宋体" w:hAnsi="宋体" w:cs="宋体"/>
          <w:b/>
          <w:bCs/>
          <w:color w:val="000000"/>
          <w:sz w:val="24"/>
          <w:szCs w:val="24"/>
        </w:rPr>
        <w:t xml:space="preserve">                 送出日期：</w:t>
      </w:r>
      <w:r>
        <w:rPr>
          <w:rFonts w:ascii="宋体" w:hAnsi="宋体" w:cs="宋体"/>
          <w:b/>
          <w:bCs/>
          <w:color w:val="000000"/>
          <w:sz w:val="24"/>
          <w:szCs w:val="24"/>
        </w:rPr>
        <w:t>2016</w:t>
      </w:r>
      <w:r>
        <w:rPr>
          <w:rFonts w:hint="eastAsia" w:ascii="宋体" w:hAnsi="宋体" w:cs="宋体"/>
          <w:b/>
          <w:bCs/>
          <w:color w:val="000000"/>
          <w:sz w:val="24"/>
          <w:szCs w:val="24"/>
        </w:rPr>
        <w:t>年</w:t>
      </w:r>
      <w:r>
        <w:rPr>
          <w:rFonts w:ascii="宋体" w:hAnsi="宋体" w:cs="宋体"/>
          <w:b/>
          <w:bCs/>
          <w:color w:val="000000"/>
          <w:sz w:val="24"/>
          <w:szCs w:val="24"/>
        </w:rPr>
        <w:t>3</w:t>
      </w:r>
      <w:r>
        <w:rPr>
          <w:rFonts w:hint="eastAsia" w:ascii="宋体" w:hAnsi="宋体" w:cs="宋体"/>
          <w:b/>
          <w:bCs/>
          <w:color w:val="000000"/>
          <w:sz w:val="24"/>
          <w:szCs w:val="24"/>
        </w:rPr>
        <w:t>月</w:t>
      </w:r>
      <w:r>
        <w:rPr>
          <w:rFonts w:ascii="宋体" w:hAnsi="宋体" w:cs="宋体"/>
          <w:b/>
          <w:bCs/>
          <w:color w:val="000000"/>
          <w:sz w:val="24"/>
          <w:szCs w:val="24"/>
        </w:rPr>
        <w:t>2</w:t>
      </w:r>
      <w:r>
        <w:rPr>
          <w:rFonts w:hint="eastAsia" w:ascii="宋体" w:hAnsi="宋体" w:cs="宋体"/>
          <w:b/>
          <w:bCs/>
          <w:color w:val="000000"/>
          <w:sz w:val="24"/>
          <w:szCs w:val="24"/>
        </w:rPr>
        <w:t>6日</w:t>
      </w:r>
    </w:p>
    <w:p>
      <w:pPr>
        <w:spacing w:line="288" w:lineRule="auto"/>
        <w:jc w:val="left"/>
        <w:rPr>
          <w:sz w:val="24"/>
          <w:szCs w:val="24"/>
        </w:rPr>
        <w:sectPr>
          <w:headerReference r:id="rId3" w:type="default"/>
          <w:pgSz w:w="11926" w:h="16867"/>
          <w:pgMar w:top="1418" w:right="1418" w:bottom="853" w:left="1418" w:header="851" w:footer="992" w:gutter="0"/>
          <w:cols w:space="720" w:num="1"/>
        </w:sectPr>
      </w:pPr>
    </w:p>
    <w:p>
      <w:pPr>
        <w:spacing w:before="30" w:line="288" w:lineRule="auto"/>
        <w:ind w:left="15"/>
        <w:jc w:val="center"/>
        <w:outlineLvl w:val="0"/>
        <w:rPr>
          <w:rFonts w:ascii="宋体" w:hAnsi="宋体" w:cs="宋体"/>
          <w:b/>
          <w:bCs/>
          <w:color w:val="000000"/>
          <w:sz w:val="24"/>
          <w:szCs w:val="24"/>
        </w:rPr>
      </w:pPr>
      <w:bookmarkStart w:id="0" w:name="_Toc445827346"/>
      <w:r>
        <w:rPr>
          <w:rFonts w:hint="eastAsia" w:ascii="宋体" w:hAnsi="宋体" w:cs="宋体"/>
          <w:b/>
          <w:bCs/>
          <w:color w:val="000000"/>
          <w:sz w:val="24"/>
          <w:szCs w:val="24"/>
        </w:rPr>
        <w:t>§</w:t>
      </w:r>
      <w:r>
        <w:rPr>
          <w:rFonts w:ascii="宋体" w:hAnsi="宋体" w:cs="宋体"/>
          <w:b/>
          <w:bCs/>
          <w:color w:val="000000"/>
          <w:sz w:val="24"/>
          <w:szCs w:val="24"/>
        </w:rPr>
        <w:t xml:space="preserve">1  </w:t>
      </w:r>
      <w:r>
        <w:rPr>
          <w:rFonts w:hint="eastAsia" w:ascii="宋体" w:hAnsi="宋体" w:cs="宋体"/>
          <w:b/>
          <w:bCs/>
          <w:color w:val="000000"/>
          <w:sz w:val="24"/>
          <w:szCs w:val="24"/>
        </w:rPr>
        <w:t>重要提示及目录</w:t>
      </w:r>
      <w:bookmarkEnd w:id="0"/>
    </w:p>
    <w:p>
      <w:pPr>
        <w:spacing w:line="288" w:lineRule="auto"/>
        <w:jc w:val="left"/>
        <w:rPr>
          <w:rFonts w:ascii="MS Sans Serif" w:hAnsi="MS Sans Serif" w:eastAsia="Times New Roman" w:cs="MS Sans Serif"/>
          <w:color w:val="000000"/>
          <w:sz w:val="24"/>
          <w:szCs w:val="24"/>
        </w:rPr>
      </w:pPr>
    </w:p>
    <w:p>
      <w:pPr>
        <w:spacing w:before="30" w:line="288" w:lineRule="auto"/>
        <w:ind w:left="15"/>
        <w:jc w:val="left"/>
        <w:outlineLvl w:val="1"/>
        <w:rPr>
          <w:rFonts w:ascii="宋体" w:hAnsi="宋体" w:cs="宋体"/>
          <w:b/>
          <w:bCs/>
          <w:color w:val="000000"/>
          <w:sz w:val="24"/>
          <w:szCs w:val="24"/>
        </w:rPr>
      </w:pPr>
      <w:bookmarkStart w:id="1" w:name="_Toc445827347"/>
      <w:r>
        <w:rPr>
          <w:rFonts w:ascii="宋体" w:hAnsi="宋体" w:cs="宋体"/>
          <w:b/>
          <w:bCs/>
          <w:color w:val="000000"/>
          <w:sz w:val="24"/>
          <w:szCs w:val="24"/>
        </w:rPr>
        <w:t xml:space="preserve">1.1 </w:t>
      </w:r>
      <w:r>
        <w:rPr>
          <w:rFonts w:hint="eastAsia" w:ascii="宋体" w:hAnsi="宋体" w:cs="宋体"/>
          <w:b/>
          <w:bCs/>
          <w:color w:val="000000"/>
          <w:sz w:val="24"/>
          <w:szCs w:val="24"/>
        </w:rPr>
        <w:t>重要提示</w:t>
      </w:r>
      <w:bookmarkEnd w:id="1"/>
    </w:p>
    <w:tbl>
      <w:tblPr>
        <w:tblStyle w:val="10"/>
        <w:tblW w:w="0" w:type="auto"/>
        <w:tblInd w:w="108" w:type="dxa"/>
        <w:tblLayout w:type="fixed"/>
        <w:tblCellMar>
          <w:top w:w="0" w:type="dxa"/>
          <w:left w:w="108" w:type="dxa"/>
          <w:bottom w:w="0" w:type="dxa"/>
          <w:right w:w="108" w:type="dxa"/>
        </w:tblCellMar>
      </w:tblPr>
      <w:tblGrid>
        <w:gridCol w:w="9028"/>
      </w:tblGrid>
      <w:tr>
        <w:tblPrEx>
          <w:tblCellMar>
            <w:top w:w="0" w:type="dxa"/>
            <w:left w:w="108" w:type="dxa"/>
            <w:bottom w:w="0" w:type="dxa"/>
            <w:right w:w="108" w:type="dxa"/>
          </w:tblCellMar>
        </w:tblPrEx>
        <w:trPr>
          <w:wBefore w:w="0" w:type="dxa"/>
        </w:trPr>
        <w:tc>
          <w:tcPr>
            <w:tcW w:w="9028" w:type="dxa"/>
            <w:tcBorders>
              <w:top w:val="single" w:color="000000" w:sz="8" w:space="0"/>
              <w:left w:val="single" w:color="000000" w:sz="8" w:space="0"/>
              <w:bottom w:val="single" w:color="000000" w:sz="8" w:space="0"/>
              <w:right w:val="single" w:color="000000" w:sz="8" w:space="0"/>
            </w:tcBorders>
            <w:noWrap w:val="0"/>
            <w:vAlign w:val="center"/>
          </w:tcPr>
          <w:p>
            <w:pPr>
              <w:spacing w:before="30" w:line="288" w:lineRule="auto"/>
              <w:ind w:left="15"/>
              <w:jc w:val="left"/>
              <w:rPr>
                <w:rFonts w:ascii="宋体" w:hAnsi="宋体" w:cs="宋体"/>
                <w:color w:val="000000"/>
                <w:sz w:val="24"/>
                <w:szCs w:val="24"/>
              </w:rPr>
            </w:pPr>
            <w:r>
              <w:rPr>
                <w:rFonts w:hint="eastAsia" w:ascii="宋体" w:hAnsi="宋体" w:cs="宋体"/>
                <w:color w:val="000000"/>
                <w:sz w:val="24"/>
                <w:szCs w:val="24"/>
              </w:rPr>
              <w:t xml:space="preserve">    基金管理人的董事会、董事保证本报告所载资料不存在虚假记载、误导性陈述或重大遗漏，并对其内容的真实性、准确性和完整性承担个别及连带的法律责任。本年度报告已经全部独立董事签字同意，并由董事长签发。</w:t>
            </w:r>
          </w:p>
          <w:p>
            <w:pPr>
              <w:spacing w:before="30" w:line="288" w:lineRule="auto"/>
              <w:ind w:left="15"/>
              <w:jc w:val="left"/>
              <w:rPr>
                <w:rFonts w:ascii="宋体" w:hAnsi="宋体" w:cs="宋体"/>
                <w:color w:val="000000"/>
                <w:sz w:val="24"/>
                <w:szCs w:val="24"/>
              </w:rPr>
            </w:pPr>
            <w:r>
              <w:rPr>
                <w:rFonts w:hint="eastAsia" w:ascii="宋体" w:hAnsi="宋体" w:cs="宋体"/>
                <w:color w:val="000000"/>
                <w:sz w:val="24"/>
                <w:szCs w:val="24"/>
              </w:rPr>
              <w:t xml:space="preserve">    基金托管人中国工商银行股份有限公司根据本基金合同规定，于</w:t>
            </w:r>
            <w:r>
              <w:rPr>
                <w:rFonts w:ascii="宋体" w:hAnsi="宋体" w:cs="宋体"/>
                <w:color w:val="000000"/>
                <w:sz w:val="24"/>
                <w:szCs w:val="24"/>
              </w:rPr>
              <w:t>2016</w:t>
            </w:r>
            <w:r>
              <w:rPr>
                <w:rFonts w:hint="eastAsia" w:ascii="宋体" w:hAnsi="宋体" w:cs="宋体"/>
                <w:color w:val="000000"/>
                <w:sz w:val="24"/>
                <w:szCs w:val="24"/>
              </w:rPr>
              <w:t>年</w:t>
            </w:r>
            <w:r>
              <w:rPr>
                <w:rFonts w:ascii="宋体" w:hAnsi="宋体" w:cs="宋体"/>
                <w:color w:val="000000"/>
                <w:sz w:val="24"/>
                <w:szCs w:val="24"/>
              </w:rPr>
              <w:t xml:space="preserve"> </w:t>
            </w:r>
            <w:r>
              <w:rPr>
                <w:rFonts w:hint="eastAsia" w:ascii="宋体" w:hAnsi="宋体" w:cs="宋体"/>
                <w:color w:val="000000"/>
                <w:sz w:val="24"/>
                <w:szCs w:val="24"/>
              </w:rPr>
              <w:t>3</w:t>
            </w:r>
            <w:r>
              <w:rPr>
                <w:rFonts w:ascii="宋体" w:hAnsi="宋体" w:cs="宋体"/>
                <w:color w:val="000000"/>
                <w:sz w:val="24"/>
                <w:szCs w:val="24"/>
              </w:rPr>
              <w:t xml:space="preserve"> </w:t>
            </w:r>
            <w:r>
              <w:rPr>
                <w:rFonts w:hint="eastAsia" w:ascii="宋体" w:hAnsi="宋体" w:cs="宋体"/>
                <w:color w:val="000000"/>
                <w:sz w:val="24"/>
                <w:szCs w:val="24"/>
              </w:rPr>
              <w:t>月23日复核了本报告中的财务指标、净值表现、利润分配情况、财务会计报告、投资组合报告等内容，保证复核内容不存在虚假记载、误导性陈述或者重大遗漏。　　</w:t>
            </w:r>
          </w:p>
          <w:p>
            <w:pPr>
              <w:spacing w:before="30" w:line="288" w:lineRule="auto"/>
              <w:ind w:left="15"/>
              <w:jc w:val="left"/>
              <w:rPr>
                <w:rFonts w:ascii="宋体" w:hAnsi="宋体" w:cs="宋体"/>
                <w:color w:val="000000"/>
                <w:sz w:val="24"/>
                <w:szCs w:val="24"/>
              </w:rPr>
            </w:pPr>
            <w:r>
              <w:rPr>
                <w:rFonts w:hint="eastAsia" w:ascii="宋体" w:hAnsi="宋体" w:cs="宋体"/>
                <w:color w:val="000000"/>
                <w:sz w:val="24"/>
                <w:szCs w:val="24"/>
              </w:rPr>
              <w:t xml:space="preserve">    基金管理人承诺以诚实信用、勤勉尽责的原则管理和运用基金资产，但不保证基金一定盈利。</w:t>
            </w:r>
          </w:p>
          <w:p>
            <w:pPr>
              <w:spacing w:before="30" w:line="288" w:lineRule="auto"/>
              <w:ind w:left="15"/>
              <w:jc w:val="left"/>
              <w:rPr>
                <w:rFonts w:ascii="宋体" w:hAnsi="宋体" w:cs="宋体"/>
                <w:color w:val="000000"/>
                <w:sz w:val="24"/>
                <w:szCs w:val="24"/>
              </w:rPr>
            </w:pPr>
            <w:r>
              <w:rPr>
                <w:rFonts w:hint="eastAsia" w:ascii="宋体" w:hAnsi="宋体" w:cs="宋体"/>
                <w:color w:val="000000"/>
                <w:sz w:val="24"/>
                <w:szCs w:val="24"/>
              </w:rPr>
              <w:t xml:space="preserve">    基金的过往业绩并不代表其未来表现。投资有风险，投资者在作出投资决策前应仔细阅读本基金的招募说明书及其更新。</w:t>
            </w:r>
          </w:p>
          <w:p>
            <w:pPr>
              <w:spacing w:before="30" w:line="288" w:lineRule="auto"/>
              <w:ind w:left="15"/>
              <w:jc w:val="left"/>
              <w:rPr>
                <w:rFonts w:ascii="宋体" w:hAnsi="宋体" w:cs="宋体"/>
                <w:color w:val="000000"/>
                <w:sz w:val="24"/>
                <w:szCs w:val="24"/>
              </w:rPr>
            </w:pPr>
            <w:r>
              <w:rPr>
                <w:rFonts w:hint="eastAsia" w:ascii="宋体" w:hAnsi="宋体" w:cs="宋体"/>
                <w:color w:val="000000"/>
                <w:sz w:val="24"/>
                <w:szCs w:val="24"/>
              </w:rPr>
              <w:t xml:space="preserve">    普华永道中天会计师事务所（特殊普通合伙）为本基金出具了无保留意见的审计报告，基金管理人在本报告中对相关事项亦有详细说明，请投资者注意阅读。</w:t>
            </w:r>
          </w:p>
          <w:p>
            <w:pPr>
              <w:spacing w:before="30" w:line="288" w:lineRule="auto"/>
              <w:ind w:left="15"/>
              <w:jc w:val="left"/>
              <w:rPr>
                <w:rFonts w:ascii="宋体" w:hAnsi="宋体" w:cs="宋体"/>
                <w:color w:val="000000"/>
                <w:sz w:val="24"/>
                <w:szCs w:val="24"/>
              </w:rPr>
            </w:pPr>
            <w:r>
              <w:rPr>
                <w:rFonts w:hint="eastAsia" w:ascii="宋体" w:hAnsi="宋体" w:cs="宋体"/>
                <w:color w:val="000000"/>
                <w:sz w:val="24"/>
                <w:szCs w:val="24"/>
              </w:rPr>
              <w:t xml:space="preserve">    本报告期自</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日（基金合同生效日）起至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日止。</w:t>
            </w:r>
          </w:p>
        </w:tc>
      </w:tr>
    </w:tbl>
    <w:p>
      <w:pPr>
        <w:spacing w:line="288" w:lineRule="auto"/>
        <w:jc w:val="left"/>
        <w:rPr>
          <w:sz w:val="24"/>
          <w:szCs w:val="24"/>
        </w:rPr>
        <w:sectPr>
          <w:pgSz w:w="11926" w:h="16867"/>
          <w:pgMar w:top="1418" w:right="1418" w:bottom="853" w:left="1418" w:header="851" w:footer="992" w:gutter="0"/>
          <w:cols w:space="720" w:num="1"/>
        </w:sectPr>
      </w:pPr>
    </w:p>
    <w:p>
      <w:pPr>
        <w:spacing w:before="30" w:line="288" w:lineRule="auto"/>
        <w:ind w:left="15"/>
        <w:jc w:val="left"/>
        <w:outlineLvl w:val="1"/>
        <w:rPr>
          <w:rFonts w:ascii="宋体" w:hAnsi="宋体" w:cs="宋体"/>
          <w:b/>
          <w:bCs/>
          <w:color w:val="000000"/>
          <w:sz w:val="24"/>
          <w:szCs w:val="24"/>
        </w:rPr>
      </w:pPr>
      <w:bookmarkStart w:id="2" w:name="_Toc445827348"/>
      <w:r>
        <w:rPr>
          <w:rFonts w:ascii="宋体" w:hAnsi="宋体" w:cs="宋体"/>
          <w:b/>
          <w:bCs/>
          <w:color w:val="000000"/>
          <w:sz w:val="24"/>
          <w:szCs w:val="24"/>
        </w:rPr>
        <w:t xml:space="preserve">1.2  </w:t>
      </w:r>
      <w:r>
        <w:rPr>
          <w:rFonts w:hint="eastAsia" w:ascii="宋体" w:hAnsi="宋体" w:cs="宋体"/>
          <w:b/>
          <w:bCs/>
          <w:color w:val="000000"/>
          <w:sz w:val="24"/>
          <w:szCs w:val="24"/>
        </w:rPr>
        <w:t>目录</w:t>
      </w:r>
      <w:bookmarkEnd w:id="2"/>
    </w:p>
    <w:p>
      <w:pPr>
        <w:pStyle w:val="14"/>
        <w:jc w:val="center"/>
        <w:rPr>
          <w:color w:val="auto"/>
        </w:rPr>
      </w:pPr>
      <w:r>
        <w:rPr>
          <w:color w:val="auto"/>
          <w:lang w:val="zh-CN"/>
        </w:rPr>
        <w:t>目录</w:t>
      </w:r>
    </w:p>
    <w:p>
      <w:pPr>
        <w:pStyle w:val="7"/>
        <w:tabs>
          <w:tab w:val="right" w:leader="dot" w:pos="9080"/>
        </w:tabs>
        <w:rPr>
          <w:lang/>
        </w:rPr>
      </w:pPr>
      <w:r>
        <w:fldChar w:fldCharType="begin"/>
      </w:r>
      <w:r>
        <w:instrText xml:space="preserve"> TOC \o "1-3" \h \z \u </w:instrText>
      </w:r>
      <w:r>
        <w:fldChar w:fldCharType="separate"/>
      </w:r>
      <w:r>
        <w:rPr>
          <w:lang/>
        </w:rPr>
        <w:fldChar w:fldCharType="begin"/>
      </w:r>
      <w:r>
        <w:rPr>
          <w:lang/>
        </w:rPr>
        <w:instrText xml:space="preserve">HYPERLINK \l "_Toc445827346"</w:instrText>
      </w:r>
      <w:r>
        <w:rPr>
          <w:lang/>
        </w:rPr>
        <w:fldChar w:fldCharType="separate"/>
      </w:r>
      <w:r>
        <w:rPr>
          <w:rStyle w:val="12"/>
          <w:rFonts w:ascii="宋体" w:hAnsi="宋体" w:cs="宋体"/>
          <w:b/>
          <w:bCs/>
          <w:lang/>
        </w:rPr>
        <w:t xml:space="preserve">§1  </w:t>
      </w:r>
      <w:r>
        <w:rPr>
          <w:rStyle w:val="12"/>
          <w:rFonts w:hint="eastAsia" w:ascii="宋体" w:hAnsi="宋体" w:cs="宋体"/>
          <w:b/>
          <w:bCs/>
          <w:lang/>
        </w:rPr>
        <w:t>重要提示及目录</w:t>
      </w:r>
      <w:r>
        <w:rPr>
          <w:lang/>
        </w:rPr>
        <w:tab/>
      </w:r>
      <w:r>
        <w:rPr>
          <w:lang/>
        </w:rPr>
        <w:fldChar w:fldCharType="begin"/>
      </w:r>
      <w:r>
        <w:rPr>
          <w:lang/>
        </w:rPr>
        <w:instrText xml:space="preserve"> PAGEREF _Toc445827346 \h </w:instrText>
      </w:r>
      <w:r>
        <w:rPr>
          <w:lang/>
        </w:rPr>
        <w:fldChar w:fldCharType="separate"/>
      </w:r>
      <w:r>
        <w:rPr>
          <w:lang/>
        </w:rPr>
        <w:t>2</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"_Toc445827347"</w:instrText>
      </w:r>
      <w:r>
        <w:rPr>
          <w:lang/>
        </w:rPr>
        <w:fldChar w:fldCharType="separate"/>
      </w:r>
      <w:r>
        <w:rPr>
          <w:rStyle w:val="12"/>
          <w:rFonts w:ascii="宋体" w:hAnsi="宋体" w:cs="宋体"/>
          <w:b/>
          <w:bCs/>
          <w:lang/>
        </w:rPr>
        <w:t xml:space="preserve">1.1 </w:t>
      </w:r>
      <w:r>
        <w:rPr>
          <w:rStyle w:val="12"/>
          <w:rFonts w:hint="eastAsia" w:ascii="宋体" w:hAnsi="宋体" w:cs="宋体"/>
          <w:b/>
          <w:bCs/>
          <w:lang/>
        </w:rPr>
        <w:t>重要提示</w:t>
      </w:r>
      <w:r>
        <w:rPr>
          <w:lang/>
        </w:rPr>
        <w:tab/>
      </w:r>
      <w:r>
        <w:rPr>
          <w:lang/>
        </w:rPr>
        <w:fldChar w:fldCharType="begin"/>
      </w:r>
      <w:r>
        <w:rPr>
          <w:lang/>
        </w:rPr>
        <w:instrText xml:space="preserve"> PAGEREF _Toc445827347 \h </w:instrText>
      </w:r>
      <w:r>
        <w:rPr>
          <w:lang/>
        </w:rPr>
        <w:fldChar w:fldCharType="separate"/>
      </w:r>
      <w:r>
        <w:rPr>
          <w:lang/>
        </w:rPr>
        <w:t>2</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"_Toc445827348"</w:instrText>
      </w:r>
      <w:r>
        <w:rPr>
          <w:lang/>
        </w:rPr>
        <w:fldChar w:fldCharType="separate"/>
      </w:r>
      <w:r>
        <w:rPr>
          <w:rStyle w:val="12"/>
          <w:rFonts w:ascii="宋体" w:hAnsi="宋体" w:cs="宋体"/>
          <w:b/>
          <w:bCs/>
          <w:lang/>
        </w:rPr>
        <w:t xml:space="preserve">1.2  </w:t>
      </w:r>
      <w:r>
        <w:rPr>
          <w:rStyle w:val="12"/>
          <w:rFonts w:hint="eastAsia" w:ascii="宋体" w:hAnsi="宋体" w:cs="宋体"/>
          <w:b/>
          <w:bCs/>
          <w:lang/>
        </w:rPr>
        <w:t>目录</w:t>
      </w:r>
      <w:r>
        <w:rPr>
          <w:lang/>
        </w:rPr>
        <w:tab/>
      </w:r>
      <w:r>
        <w:rPr>
          <w:lang/>
        </w:rPr>
        <w:fldChar w:fldCharType="begin"/>
      </w:r>
      <w:r>
        <w:rPr>
          <w:lang/>
        </w:rPr>
        <w:instrText xml:space="preserve"> PAGEREF _Toc445827348 \h </w:instrText>
      </w:r>
      <w:r>
        <w:rPr>
          <w:lang/>
        </w:rPr>
        <w:fldChar w:fldCharType="separate"/>
      </w:r>
      <w:r>
        <w:rPr>
          <w:lang/>
        </w:rPr>
        <w:t>3</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"_Toc445827349"</w:instrText>
      </w:r>
      <w:r>
        <w:rPr>
          <w:lang/>
        </w:rPr>
        <w:fldChar w:fldCharType="separate"/>
      </w:r>
      <w:r>
        <w:rPr>
          <w:rStyle w:val="12"/>
          <w:rFonts w:ascii="宋体" w:hAnsi="宋体" w:cs="宋体"/>
          <w:b/>
          <w:bCs/>
          <w:lang/>
        </w:rPr>
        <w:t xml:space="preserve">§2  </w:t>
      </w:r>
      <w:r>
        <w:rPr>
          <w:rStyle w:val="12"/>
          <w:rFonts w:hint="eastAsia" w:ascii="宋体" w:hAnsi="宋体" w:cs="宋体"/>
          <w:b/>
          <w:bCs/>
          <w:lang/>
        </w:rPr>
        <w:t>基金简介</w:t>
      </w:r>
      <w:r>
        <w:rPr>
          <w:lang/>
        </w:rPr>
        <w:tab/>
      </w:r>
      <w:r>
        <w:rPr>
          <w:lang/>
        </w:rPr>
        <w:fldChar w:fldCharType="begin"/>
      </w:r>
      <w:r>
        <w:rPr>
          <w:lang/>
        </w:rPr>
        <w:instrText xml:space="preserve"> PAGEREF _Toc445827349 \h </w:instrText>
      </w:r>
      <w:r>
        <w:rPr>
          <w:lang/>
        </w:rPr>
        <w:fldChar w:fldCharType="separate"/>
      </w:r>
      <w:r>
        <w:rPr>
          <w:lang/>
        </w:rPr>
        <w:t>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"_Toc445827350"</w:instrText>
      </w:r>
      <w:r>
        <w:rPr>
          <w:lang/>
        </w:rPr>
        <w:fldChar w:fldCharType="separate"/>
      </w:r>
      <w:r>
        <w:rPr>
          <w:rStyle w:val="12"/>
          <w:rFonts w:ascii="宋体" w:hAnsi="宋体" w:cs="宋体"/>
          <w:b/>
          <w:bCs/>
          <w:lang/>
        </w:rPr>
        <w:t xml:space="preserve">2.1 </w:t>
      </w:r>
      <w:r>
        <w:rPr>
          <w:rStyle w:val="12"/>
          <w:rFonts w:hint="eastAsia" w:ascii="宋体" w:hAnsi="宋体" w:cs="宋体"/>
          <w:b/>
          <w:bCs/>
          <w:lang/>
        </w:rPr>
        <w:t>基金基本情况</w:t>
      </w:r>
      <w:r>
        <w:rPr>
          <w:lang/>
        </w:rPr>
        <w:tab/>
      </w:r>
      <w:r>
        <w:rPr>
          <w:lang/>
        </w:rPr>
        <w:fldChar w:fldCharType="begin"/>
      </w:r>
      <w:r>
        <w:rPr>
          <w:lang/>
        </w:rPr>
        <w:instrText xml:space="preserve"> PAGEREF _Toc445827350 \h </w:instrText>
      </w:r>
      <w:r>
        <w:rPr>
          <w:lang/>
        </w:rPr>
        <w:fldChar w:fldCharType="separate"/>
      </w:r>
      <w:r>
        <w:rPr>
          <w:lang/>
        </w:rPr>
        <w:t>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"_Toc445827351"</w:instrText>
      </w:r>
      <w:r>
        <w:rPr>
          <w:lang/>
        </w:rPr>
        <w:fldChar w:fldCharType="separate"/>
      </w:r>
      <w:r>
        <w:rPr>
          <w:rStyle w:val="12"/>
          <w:rFonts w:ascii="宋体" w:hAnsi="宋体" w:cs="宋体"/>
          <w:b/>
          <w:bCs/>
          <w:lang/>
        </w:rPr>
        <w:t xml:space="preserve">2.2 </w:t>
      </w:r>
      <w:r>
        <w:rPr>
          <w:rStyle w:val="12"/>
          <w:rFonts w:hint="eastAsia" w:ascii="宋体" w:hAnsi="宋体" w:cs="宋体"/>
          <w:b/>
          <w:bCs/>
          <w:lang/>
        </w:rPr>
        <w:t>基金产品说明</w:t>
      </w:r>
      <w:r>
        <w:rPr>
          <w:lang/>
        </w:rPr>
        <w:tab/>
      </w:r>
      <w:r>
        <w:rPr>
          <w:lang/>
        </w:rPr>
        <w:fldChar w:fldCharType="begin"/>
      </w:r>
      <w:r>
        <w:rPr>
          <w:lang/>
        </w:rPr>
        <w:instrText xml:space="preserve"> PAGEREF _Toc445827351 \h </w:instrText>
      </w:r>
      <w:r>
        <w:rPr>
          <w:lang/>
        </w:rPr>
        <w:fldChar w:fldCharType="separate"/>
      </w:r>
      <w:r>
        <w:rPr>
          <w:lang/>
        </w:rPr>
        <w:t>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"_Toc445827352"</w:instrText>
      </w:r>
      <w:r>
        <w:rPr>
          <w:lang/>
        </w:rPr>
        <w:fldChar w:fldCharType="separate"/>
      </w:r>
      <w:r>
        <w:rPr>
          <w:rStyle w:val="12"/>
          <w:rFonts w:ascii="宋体" w:hAnsi="宋体" w:cs="宋体"/>
          <w:b/>
          <w:bCs/>
          <w:lang/>
        </w:rPr>
        <w:t xml:space="preserve">2.3 </w:t>
      </w:r>
      <w:r>
        <w:rPr>
          <w:rStyle w:val="12"/>
          <w:rFonts w:hint="eastAsia" w:ascii="宋体" w:hAnsi="宋体" w:cs="宋体"/>
          <w:b/>
          <w:bCs/>
          <w:lang/>
        </w:rPr>
        <w:t>基金管理人和基金托管人</w:t>
      </w:r>
      <w:r>
        <w:rPr>
          <w:lang/>
        </w:rPr>
        <w:tab/>
      </w:r>
      <w:r>
        <w:rPr>
          <w:lang/>
        </w:rPr>
        <w:fldChar w:fldCharType="begin"/>
      </w:r>
      <w:r>
        <w:rPr>
          <w:lang/>
        </w:rPr>
        <w:instrText xml:space="preserve"> PAGEREF _Toc445827352 \h </w:instrText>
      </w:r>
      <w:r>
        <w:rPr>
          <w:lang/>
        </w:rPr>
        <w:fldChar w:fldCharType="separate"/>
      </w:r>
      <w:r>
        <w:rPr>
          <w:lang/>
        </w:rPr>
        <w:t>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"_Toc445827353"</w:instrText>
      </w:r>
      <w:r>
        <w:rPr>
          <w:lang/>
        </w:rPr>
        <w:fldChar w:fldCharType="separate"/>
      </w:r>
      <w:r>
        <w:rPr>
          <w:rStyle w:val="12"/>
          <w:rFonts w:ascii="宋体" w:hAnsi="宋体" w:cs="宋体"/>
          <w:b/>
          <w:bCs/>
          <w:lang/>
        </w:rPr>
        <w:t xml:space="preserve">2.4 </w:t>
      </w:r>
      <w:r>
        <w:rPr>
          <w:rStyle w:val="12"/>
          <w:rFonts w:hint="eastAsia" w:ascii="宋体" w:hAnsi="宋体" w:cs="宋体"/>
          <w:b/>
          <w:bCs/>
          <w:lang/>
        </w:rPr>
        <w:t>信息披露方式</w:t>
      </w:r>
      <w:r>
        <w:rPr>
          <w:lang/>
        </w:rPr>
        <w:tab/>
      </w:r>
      <w:r>
        <w:rPr>
          <w:lang/>
        </w:rPr>
        <w:fldChar w:fldCharType="begin"/>
      </w:r>
      <w:r>
        <w:rPr>
          <w:lang/>
        </w:rPr>
        <w:instrText xml:space="preserve"> PAGEREF _Toc445827353 \h </w:instrText>
      </w:r>
      <w:r>
        <w:rPr>
          <w:lang/>
        </w:rPr>
        <w:fldChar w:fldCharType="separate"/>
      </w:r>
      <w:r>
        <w:rPr>
          <w:lang/>
        </w:rPr>
        <w:t>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"_Toc445827354"</w:instrText>
      </w:r>
      <w:r>
        <w:rPr>
          <w:lang/>
        </w:rPr>
        <w:fldChar w:fldCharType="separate"/>
      </w:r>
      <w:r>
        <w:rPr>
          <w:rStyle w:val="12"/>
          <w:rFonts w:ascii="宋体" w:hAnsi="宋体" w:cs="宋体"/>
          <w:b/>
          <w:bCs/>
          <w:lang/>
        </w:rPr>
        <w:t xml:space="preserve">2.5 </w:t>
      </w:r>
      <w:r>
        <w:rPr>
          <w:rStyle w:val="12"/>
          <w:rFonts w:hint="eastAsia" w:ascii="宋体" w:hAnsi="宋体" w:cs="宋体"/>
          <w:b/>
          <w:bCs/>
          <w:lang/>
        </w:rPr>
        <w:t>其他相关资料</w:t>
      </w:r>
      <w:r>
        <w:rPr>
          <w:lang/>
        </w:rPr>
        <w:tab/>
      </w:r>
      <w:r>
        <w:rPr>
          <w:lang/>
        </w:rPr>
        <w:fldChar w:fldCharType="begin"/>
      </w:r>
      <w:r>
        <w:rPr>
          <w:lang/>
        </w:rPr>
        <w:instrText xml:space="preserve"> PAGEREF _Toc445827354 \h </w:instrText>
      </w:r>
      <w:r>
        <w:rPr>
          <w:lang/>
        </w:rPr>
        <w:fldChar w:fldCharType="separate"/>
      </w:r>
      <w:r>
        <w:rPr>
          <w:lang/>
        </w:rPr>
        <w:t>6</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"_Toc445827355"</w:instrText>
      </w:r>
      <w:r>
        <w:rPr>
          <w:lang/>
        </w:rPr>
        <w:fldChar w:fldCharType="separate"/>
      </w:r>
      <w:r>
        <w:rPr>
          <w:rStyle w:val="12"/>
          <w:rFonts w:ascii="宋体" w:hAnsi="宋体" w:cs="宋体"/>
          <w:b/>
          <w:bCs/>
          <w:lang/>
        </w:rPr>
        <w:t xml:space="preserve">§3  </w:t>
      </w:r>
      <w:r>
        <w:rPr>
          <w:rStyle w:val="12"/>
          <w:rFonts w:hint="eastAsia" w:ascii="宋体" w:hAnsi="宋体" w:cs="宋体"/>
          <w:b/>
          <w:bCs/>
          <w:lang/>
        </w:rPr>
        <w:t>主要财务指标、基金净值表现及利润分配情况</w:t>
      </w:r>
      <w:r>
        <w:rPr>
          <w:lang/>
        </w:rPr>
        <w:tab/>
      </w:r>
      <w:r>
        <w:rPr>
          <w:lang/>
        </w:rPr>
        <w:fldChar w:fldCharType="begin"/>
      </w:r>
      <w:r>
        <w:rPr>
          <w:lang/>
        </w:rPr>
        <w:instrText xml:space="preserve"> PAGEREF _Toc445827355 \h </w:instrText>
      </w:r>
      <w:r>
        <w:rPr>
          <w:lang/>
        </w:rPr>
        <w:fldChar w:fldCharType="separate"/>
      </w:r>
      <w:r>
        <w:rPr>
          <w:lang/>
        </w:rPr>
        <w:t>7</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"_Toc445827356"</w:instrText>
      </w:r>
      <w:r>
        <w:rPr>
          <w:lang/>
        </w:rPr>
        <w:fldChar w:fldCharType="separate"/>
      </w:r>
      <w:r>
        <w:rPr>
          <w:rStyle w:val="12"/>
          <w:rFonts w:ascii="宋体" w:hAnsi="宋体" w:cs="宋体"/>
          <w:b/>
          <w:bCs/>
          <w:lang/>
        </w:rPr>
        <w:t xml:space="preserve">3.1 </w:t>
      </w:r>
      <w:r>
        <w:rPr>
          <w:rStyle w:val="12"/>
          <w:rFonts w:hint="eastAsia" w:ascii="宋体" w:hAnsi="宋体" w:cs="宋体"/>
          <w:b/>
          <w:bCs/>
          <w:lang/>
        </w:rPr>
        <w:t>主要会计数据和财务指标</w:t>
      </w:r>
      <w:r>
        <w:rPr>
          <w:lang/>
        </w:rPr>
        <w:tab/>
      </w:r>
      <w:r>
        <w:rPr>
          <w:lang/>
        </w:rPr>
        <w:fldChar w:fldCharType="begin"/>
      </w:r>
      <w:r>
        <w:rPr>
          <w:lang/>
        </w:rPr>
        <w:instrText xml:space="preserve"> PAGEREF _Toc445827356 \h </w:instrText>
      </w:r>
      <w:r>
        <w:rPr>
          <w:lang/>
        </w:rPr>
        <w:fldChar w:fldCharType="separate"/>
      </w:r>
      <w:r>
        <w:rPr>
          <w:lang/>
        </w:rPr>
        <w:t>7</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"_Toc445827357"</w:instrText>
      </w:r>
      <w:r>
        <w:rPr>
          <w:lang/>
        </w:rPr>
        <w:fldChar w:fldCharType="separate"/>
      </w:r>
      <w:r>
        <w:rPr>
          <w:rStyle w:val="12"/>
          <w:rFonts w:ascii="宋体" w:hAnsi="宋体" w:cs="宋体"/>
          <w:b/>
          <w:bCs/>
          <w:lang/>
        </w:rPr>
        <w:t xml:space="preserve">3.2 </w:t>
      </w:r>
      <w:r>
        <w:rPr>
          <w:rStyle w:val="12"/>
          <w:rFonts w:hint="eastAsia" w:ascii="宋体" w:hAnsi="宋体" w:cs="宋体"/>
          <w:b/>
          <w:bCs/>
          <w:lang/>
        </w:rPr>
        <w:t>基金净值表现</w:t>
      </w:r>
      <w:r>
        <w:rPr>
          <w:lang/>
        </w:rPr>
        <w:tab/>
      </w:r>
      <w:r>
        <w:rPr>
          <w:lang/>
        </w:rPr>
        <w:fldChar w:fldCharType="begin"/>
      </w:r>
      <w:r>
        <w:rPr>
          <w:lang/>
        </w:rPr>
        <w:instrText xml:space="preserve"> PAGEREF _Toc445827357 \h </w:instrText>
      </w:r>
      <w:r>
        <w:rPr>
          <w:lang/>
        </w:rPr>
        <w:fldChar w:fldCharType="separate"/>
      </w:r>
      <w:r>
        <w:rPr>
          <w:lang/>
        </w:rPr>
        <w:t>7</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"_Toc445827358"</w:instrText>
      </w:r>
      <w:r>
        <w:rPr>
          <w:lang/>
        </w:rPr>
        <w:fldChar w:fldCharType="separate"/>
      </w:r>
      <w:r>
        <w:rPr>
          <w:rStyle w:val="12"/>
          <w:rFonts w:ascii="宋体" w:hAnsi="宋体" w:cs="宋体"/>
          <w:b/>
          <w:bCs/>
          <w:lang/>
        </w:rPr>
        <w:t xml:space="preserve">3.3 </w:t>
      </w:r>
      <w:r>
        <w:rPr>
          <w:rStyle w:val="12"/>
          <w:rFonts w:hint="eastAsia" w:ascii="宋体" w:hAnsi="宋体" w:cs="宋体"/>
          <w:b/>
          <w:bCs/>
          <w:lang/>
        </w:rPr>
        <w:t>过去三年基金的利润分配情况</w:t>
      </w:r>
      <w:r>
        <w:rPr>
          <w:lang/>
        </w:rPr>
        <w:tab/>
      </w:r>
      <w:r>
        <w:rPr>
          <w:lang/>
        </w:rPr>
        <w:fldChar w:fldCharType="begin"/>
      </w:r>
      <w:r>
        <w:rPr>
          <w:lang/>
        </w:rPr>
        <w:instrText xml:space="preserve"> PAGEREF _Toc445827358 \h </w:instrText>
      </w:r>
      <w:r>
        <w:rPr>
          <w:lang/>
        </w:rPr>
        <w:fldChar w:fldCharType="separate"/>
      </w:r>
      <w:r>
        <w:rPr>
          <w:lang/>
        </w:rPr>
        <w:t>9</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"_Toc445827359"</w:instrText>
      </w:r>
      <w:r>
        <w:rPr>
          <w:lang/>
        </w:rPr>
        <w:fldChar w:fldCharType="separate"/>
      </w:r>
      <w:r>
        <w:rPr>
          <w:rStyle w:val="12"/>
          <w:rFonts w:ascii="宋体" w:hAnsi="宋体" w:cs="宋体"/>
          <w:b/>
          <w:bCs/>
          <w:lang/>
        </w:rPr>
        <w:t xml:space="preserve">§4  </w:t>
      </w:r>
      <w:r>
        <w:rPr>
          <w:rStyle w:val="12"/>
          <w:rFonts w:hint="eastAsia" w:ascii="宋体" w:hAnsi="宋体" w:cs="宋体"/>
          <w:b/>
          <w:bCs/>
          <w:lang/>
        </w:rPr>
        <w:t>管理人报告</w:t>
      </w:r>
      <w:r>
        <w:rPr>
          <w:lang/>
        </w:rPr>
        <w:tab/>
      </w:r>
      <w:r>
        <w:rPr>
          <w:lang/>
        </w:rPr>
        <w:fldChar w:fldCharType="begin"/>
      </w:r>
      <w:r>
        <w:rPr>
          <w:lang/>
        </w:rPr>
        <w:instrText xml:space="preserve"> PAGEREF _Toc445827359 \h </w:instrText>
      </w:r>
      <w:r>
        <w:rPr>
          <w:lang/>
        </w:rPr>
        <w:fldChar w:fldCharType="separate"/>
      </w:r>
      <w:r>
        <w:rPr>
          <w:lang/>
        </w:rPr>
        <w:t>9</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"_Toc445827360"</w:instrText>
      </w:r>
      <w:r>
        <w:rPr>
          <w:lang/>
        </w:rPr>
        <w:fldChar w:fldCharType="separate"/>
      </w:r>
      <w:r>
        <w:rPr>
          <w:rStyle w:val="12"/>
          <w:rFonts w:ascii="宋体" w:hAnsi="宋体" w:cs="宋体"/>
          <w:b/>
          <w:bCs/>
          <w:lang/>
        </w:rPr>
        <w:t xml:space="preserve">4.1 </w:t>
      </w:r>
      <w:r>
        <w:rPr>
          <w:rStyle w:val="12"/>
          <w:rFonts w:hint="eastAsia" w:ascii="宋体" w:hAnsi="宋体" w:cs="宋体"/>
          <w:b/>
          <w:bCs/>
          <w:lang/>
        </w:rPr>
        <w:t>基金管理人及基金经理情况</w:t>
      </w:r>
      <w:r>
        <w:rPr>
          <w:lang/>
        </w:rPr>
        <w:tab/>
      </w:r>
      <w:r>
        <w:rPr>
          <w:lang/>
        </w:rPr>
        <w:fldChar w:fldCharType="begin"/>
      </w:r>
      <w:r>
        <w:rPr>
          <w:lang/>
        </w:rPr>
        <w:instrText xml:space="preserve"> PAGEREF _Toc445827360 \h </w:instrText>
      </w:r>
      <w:r>
        <w:rPr>
          <w:lang/>
        </w:rPr>
        <w:fldChar w:fldCharType="separate"/>
      </w:r>
      <w:r>
        <w:rPr>
          <w:lang/>
        </w:rPr>
        <w:t>9</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"_Toc445827361"</w:instrText>
      </w:r>
      <w:r>
        <w:rPr>
          <w:lang/>
        </w:rPr>
        <w:fldChar w:fldCharType="separate"/>
      </w:r>
      <w:r>
        <w:rPr>
          <w:rStyle w:val="12"/>
          <w:rFonts w:ascii="宋体" w:hAnsi="宋体" w:cs="宋体"/>
          <w:b/>
          <w:bCs/>
          <w:lang/>
        </w:rPr>
        <w:t xml:space="preserve">4.2 </w:t>
      </w:r>
      <w:r>
        <w:rPr>
          <w:rStyle w:val="12"/>
          <w:rFonts w:hint="eastAsia" w:ascii="宋体" w:hAnsi="宋体" w:cs="宋体"/>
          <w:b/>
          <w:bCs/>
          <w:lang/>
        </w:rPr>
        <w:t>管理人对报告期内本基金运作遵规守信情况的说明</w:t>
      </w:r>
      <w:r>
        <w:rPr>
          <w:lang/>
        </w:rPr>
        <w:tab/>
      </w:r>
      <w:r>
        <w:rPr>
          <w:lang/>
        </w:rPr>
        <w:fldChar w:fldCharType="begin"/>
      </w:r>
      <w:r>
        <w:rPr>
          <w:lang/>
        </w:rPr>
        <w:instrText xml:space="preserve"> PAGEREF _Toc445827361 \h </w:instrText>
      </w:r>
      <w:r>
        <w:rPr>
          <w:lang/>
        </w:rPr>
        <w:fldChar w:fldCharType="separate"/>
      </w:r>
      <w:r>
        <w:rPr>
          <w:lang/>
        </w:rPr>
        <w:t>11</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"_Toc445827362"</w:instrText>
      </w:r>
      <w:r>
        <w:rPr>
          <w:lang/>
        </w:rPr>
        <w:fldChar w:fldCharType="separate"/>
      </w:r>
      <w:r>
        <w:rPr>
          <w:rStyle w:val="12"/>
          <w:rFonts w:ascii="宋体" w:hAnsi="宋体" w:cs="宋体"/>
          <w:b/>
          <w:bCs/>
          <w:lang/>
        </w:rPr>
        <w:t xml:space="preserve">4.3 </w:t>
      </w:r>
      <w:r>
        <w:rPr>
          <w:rStyle w:val="12"/>
          <w:rFonts w:hint="eastAsia" w:ascii="宋体" w:hAnsi="宋体" w:cs="宋体"/>
          <w:b/>
          <w:bCs/>
          <w:lang/>
        </w:rPr>
        <w:t>管理人对报告期内公平交易情况的专项说明</w:t>
      </w:r>
      <w:r>
        <w:rPr>
          <w:lang/>
        </w:rPr>
        <w:tab/>
      </w:r>
      <w:r>
        <w:rPr>
          <w:lang/>
        </w:rPr>
        <w:fldChar w:fldCharType="begin"/>
      </w:r>
      <w:r>
        <w:rPr>
          <w:lang/>
        </w:rPr>
        <w:instrText xml:space="preserve"> PAGEREF _Toc445827362 \h </w:instrText>
      </w:r>
      <w:r>
        <w:rPr>
          <w:lang/>
        </w:rPr>
        <w:fldChar w:fldCharType="separate"/>
      </w:r>
      <w:r>
        <w:rPr>
          <w:lang/>
        </w:rPr>
        <w:t>11</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"_Toc445827363"</w:instrText>
      </w:r>
      <w:r>
        <w:rPr>
          <w:lang/>
        </w:rPr>
        <w:fldChar w:fldCharType="separate"/>
      </w:r>
      <w:r>
        <w:rPr>
          <w:rStyle w:val="12"/>
          <w:rFonts w:ascii="宋体" w:hAnsi="宋体" w:cs="宋体"/>
          <w:b/>
          <w:bCs/>
          <w:lang/>
        </w:rPr>
        <w:t xml:space="preserve">4.4 </w:t>
      </w:r>
      <w:r>
        <w:rPr>
          <w:rStyle w:val="12"/>
          <w:rFonts w:hint="eastAsia" w:ascii="宋体" w:hAnsi="宋体" w:cs="宋体"/>
          <w:b/>
          <w:bCs/>
          <w:lang/>
        </w:rPr>
        <w:t>管理人对报告期内基金的投资策略和业绩表现的说明</w:t>
      </w:r>
      <w:r>
        <w:rPr>
          <w:lang/>
        </w:rPr>
        <w:tab/>
      </w:r>
      <w:r>
        <w:rPr>
          <w:lang/>
        </w:rPr>
        <w:fldChar w:fldCharType="begin"/>
      </w:r>
      <w:r>
        <w:rPr>
          <w:lang/>
        </w:rPr>
        <w:instrText xml:space="preserve"> PAGEREF _Toc445827363 \h </w:instrText>
      </w:r>
      <w:r>
        <w:rPr>
          <w:lang/>
        </w:rPr>
        <w:fldChar w:fldCharType="separate"/>
      </w:r>
      <w:r>
        <w:rPr>
          <w:lang/>
        </w:rPr>
        <w:t>13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"_Toc445827364"</w:instrText>
      </w:r>
      <w:r>
        <w:rPr>
          <w:lang/>
        </w:rPr>
        <w:fldChar w:fldCharType="separate"/>
      </w:r>
      <w:r>
        <w:rPr>
          <w:rStyle w:val="12"/>
          <w:rFonts w:ascii="宋体" w:hAnsi="宋体" w:cs="宋体"/>
          <w:b/>
          <w:bCs/>
          <w:lang/>
        </w:rPr>
        <w:t xml:space="preserve">4.5 </w:t>
      </w:r>
      <w:r>
        <w:rPr>
          <w:rStyle w:val="12"/>
          <w:rFonts w:hint="eastAsia" w:ascii="宋体" w:hAnsi="宋体" w:cs="宋体"/>
          <w:b/>
          <w:bCs/>
          <w:lang/>
        </w:rPr>
        <w:t>管理人对宏观经济、证券市场及行业走势的简要展望</w:t>
      </w:r>
      <w:r>
        <w:rPr>
          <w:lang/>
        </w:rPr>
        <w:tab/>
      </w:r>
      <w:r>
        <w:rPr>
          <w:lang/>
        </w:rPr>
        <w:fldChar w:fldCharType="begin"/>
      </w:r>
      <w:r>
        <w:rPr>
          <w:lang/>
        </w:rPr>
        <w:instrText xml:space="preserve"> PAGEREF _Toc445827364 \h </w:instrText>
      </w:r>
      <w:r>
        <w:rPr>
          <w:lang/>
        </w:rPr>
        <w:fldChar w:fldCharType="separate"/>
      </w:r>
      <w:r>
        <w:rPr>
          <w:lang/>
        </w:rPr>
        <w:t>13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"_Toc445827365"</w:instrText>
      </w:r>
      <w:r>
        <w:rPr>
          <w:lang/>
        </w:rPr>
        <w:fldChar w:fldCharType="separate"/>
      </w:r>
      <w:r>
        <w:rPr>
          <w:rStyle w:val="12"/>
          <w:rFonts w:ascii="宋体" w:hAnsi="宋体" w:cs="宋体"/>
          <w:b/>
          <w:bCs/>
          <w:lang/>
        </w:rPr>
        <w:t xml:space="preserve">4.6 </w:t>
      </w:r>
      <w:r>
        <w:rPr>
          <w:rStyle w:val="12"/>
          <w:rFonts w:hint="eastAsia" w:ascii="宋体" w:hAnsi="宋体" w:cs="宋体"/>
          <w:b/>
          <w:bCs/>
          <w:lang/>
        </w:rPr>
        <w:t>管理人内部有关本基金的监察稽核工作情况</w:t>
      </w:r>
      <w:r>
        <w:rPr>
          <w:lang/>
        </w:rPr>
        <w:tab/>
      </w:r>
      <w:r>
        <w:rPr>
          <w:lang/>
        </w:rPr>
        <w:fldChar w:fldCharType="begin"/>
      </w:r>
      <w:r>
        <w:rPr>
          <w:lang/>
        </w:rPr>
        <w:instrText xml:space="preserve"> PAGEREF _Toc445827365 \h </w:instrText>
      </w:r>
      <w:r>
        <w:rPr>
          <w:lang/>
        </w:rPr>
        <w:fldChar w:fldCharType="separate"/>
      </w:r>
      <w:r>
        <w:rPr>
          <w:lang/>
        </w:rPr>
        <w:t>14</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"_Toc445827366"</w:instrText>
      </w:r>
      <w:r>
        <w:rPr>
          <w:lang/>
        </w:rPr>
        <w:fldChar w:fldCharType="separate"/>
      </w:r>
      <w:r>
        <w:rPr>
          <w:rStyle w:val="12"/>
          <w:rFonts w:ascii="宋体" w:hAnsi="宋体" w:cs="宋体"/>
          <w:b/>
          <w:bCs/>
          <w:lang/>
        </w:rPr>
        <w:t xml:space="preserve">4.7 </w:t>
      </w:r>
      <w:r>
        <w:rPr>
          <w:rStyle w:val="12"/>
          <w:rFonts w:hint="eastAsia" w:ascii="宋体" w:hAnsi="宋体" w:cs="宋体"/>
          <w:b/>
          <w:bCs/>
          <w:lang/>
        </w:rPr>
        <w:t>管理人对报告期内基金估值程序等事项的说明</w:t>
      </w:r>
      <w:r>
        <w:rPr>
          <w:lang/>
        </w:rPr>
        <w:tab/>
      </w:r>
      <w:r>
        <w:rPr>
          <w:lang/>
        </w:rPr>
        <w:fldChar w:fldCharType="begin"/>
      </w:r>
      <w:r>
        <w:rPr>
          <w:lang/>
        </w:rPr>
        <w:instrText xml:space="preserve"> PAGEREF _Toc445827366 \h </w:instrText>
      </w:r>
      <w:r>
        <w:rPr>
          <w:lang/>
        </w:rPr>
        <w:fldChar w:fldCharType="separate"/>
      </w:r>
      <w:r>
        <w:rPr>
          <w:lang/>
        </w:rPr>
        <w:t>15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"_Toc445827367"</w:instrText>
      </w:r>
      <w:r>
        <w:rPr>
          <w:lang/>
        </w:rPr>
        <w:fldChar w:fldCharType="separate"/>
      </w:r>
      <w:r>
        <w:rPr>
          <w:rStyle w:val="12"/>
          <w:rFonts w:ascii="宋体" w:hAnsi="宋体" w:cs="宋体"/>
          <w:b/>
          <w:bCs/>
          <w:lang/>
        </w:rPr>
        <w:t xml:space="preserve">4.8 </w:t>
      </w:r>
      <w:r>
        <w:rPr>
          <w:rStyle w:val="12"/>
          <w:rFonts w:hint="eastAsia" w:ascii="宋体" w:hAnsi="宋体" w:cs="宋体"/>
          <w:b/>
          <w:bCs/>
          <w:lang/>
        </w:rPr>
        <w:t>管理人对报告期内基金利润分配情况的说明</w:t>
      </w:r>
      <w:r>
        <w:rPr>
          <w:lang/>
        </w:rPr>
        <w:tab/>
      </w:r>
      <w:r>
        <w:rPr>
          <w:lang/>
        </w:rPr>
        <w:fldChar w:fldCharType="begin"/>
      </w:r>
      <w:r>
        <w:rPr>
          <w:lang/>
        </w:rPr>
        <w:instrText xml:space="preserve"> PAGEREF _Toc445827367 \h </w:instrText>
      </w:r>
      <w:r>
        <w:rPr>
          <w:lang/>
        </w:rPr>
        <w:fldChar w:fldCharType="separate"/>
      </w:r>
      <w:r>
        <w:rPr>
          <w:lang/>
        </w:rPr>
        <w:t>15</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"_Toc445827368"</w:instrText>
      </w:r>
      <w:r>
        <w:rPr>
          <w:lang/>
        </w:rPr>
        <w:fldChar w:fldCharType="separate"/>
      </w:r>
      <w:r>
        <w:rPr>
          <w:rStyle w:val="12"/>
          <w:rFonts w:ascii="宋体" w:hAnsi="宋体" w:cs="宋体"/>
          <w:b/>
          <w:bCs/>
          <w:lang/>
        </w:rPr>
        <w:t xml:space="preserve">§5  </w:t>
      </w:r>
      <w:r>
        <w:rPr>
          <w:rStyle w:val="12"/>
          <w:rFonts w:hint="eastAsia" w:ascii="宋体" w:hAnsi="宋体" w:cs="宋体"/>
          <w:b/>
          <w:bCs/>
          <w:lang/>
        </w:rPr>
        <w:t>托管人报告</w:t>
      </w:r>
      <w:r>
        <w:rPr>
          <w:lang/>
        </w:rPr>
        <w:tab/>
      </w:r>
      <w:r>
        <w:rPr>
          <w:lang/>
        </w:rPr>
        <w:fldChar w:fldCharType="begin"/>
      </w:r>
      <w:r>
        <w:rPr>
          <w:lang/>
        </w:rPr>
        <w:instrText xml:space="preserve"> PAGEREF _Toc445827368 \h </w:instrText>
      </w:r>
      <w:r>
        <w:rPr>
          <w:lang/>
        </w:rPr>
        <w:fldChar w:fldCharType="separate"/>
      </w:r>
      <w:r>
        <w:rPr>
          <w:lang/>
        </w:rPr>
        <w:t>16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"_Toc445827369"</w:instrText>
      </w:r>
      <w:r>
        <w:rPr>
          <w:lang/>
        </w:rPr>
        <w:fldChar w:fldCharType="separate"/>
      </w:r>
      <w:r>
        <w:rPr>
          <w:rStyle w:val="12"/>
          <w:rFonts w:ascii="宋体" w:hAnsi="宋体" w:cs="宋体"/>
          <w:b/>
          <w:bCs/>
          <w:lang/>
        </w:rPr>
        <w:t xml:space="preserve">5.1 </w:t>
      </w:r>
      <w:r>
        <w:rPr>
          <w:rStyle w:val="12"/>
          <w:rFonts w:hint="eastAsia" w:ascii="宋体" w:hAnsi="宋体" w:cs="宋体"/>
          <w:b/>
          <w:bCs/>
          <w:lang/>
        </w:rPr>
        <w:t>报告期内本基金托管人遵规守信情况声明</w:t>
      </w:r>
      <w:r>
        <w:rPr>
          <w:lang/>
        </w:rPr>
        <w:tab/>
      </w:r>
      <w:r>
        <w:rPr>
          <w:lang/>
        </w:rPr>
        <w:fldChar w:fldCharType="begin"/>
      </w:r>
      <w:r>
        <w:rPr>
          <w:lang/>
        </w:rPr>
        <w:instrText xml:space="preserve"> PAGEREF _Toc445827369 \h </w:instrText>
      </w:r>
      <w:r>
        <w:rPr>
          <w:lang/>
        </w:rPr>
        <w:fldChar w:fldCharType="separate"/>
      </w:r>
      <w:r>
        <w:rPr>
          <w:lang/>
        </w:rPr>
        <w:t>16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"_Toc445827370"</w:instrText>
      </w:r>
      <w:r>
        <w:rPr>
          <w:lang/>
        </w:rPr>
        <w:fldChar w:fldCharType="separate"/>
      </w:r>
      <w:r>
        <w:rPr>
          <w:rStyle w:val="12"/>
          <w:rFonts w:ascii="宋体" w:hAnsi="宋体" w:cs="宋体"/>
          <w:b/>
          <w:bCs/>
          <w:lang/>
        </w:rPr>
        <w:t xml:space="preserve">5.2 </w:t>
      </w:r>
      <w:r>
        <w:rPr>
          <w:rStyle w:val="12"/>
          <w:rFonts w:hint="eastAsia" w:ascii="宋体" w:hAnsi="宋体" w:cs="宋体"/>
          <w:b/>
          <w:bCs/>
          <w:lang/>
        </w:rPr>
        <w:t>托管人对报告期内本基金投资运作遵规守信、净值计算、利润分配等情况的说明</w:t>
      </w:r>
      <w:r>
        <w:rPr>
          <w:lang/>
        </w:rPr>
        <w:tab/>
      </w:r>
      <w:r>
        <w:rPr>
          <w:lang/>
        </w:rPr>
        <w:fldChar w:fldCharType="begin"/>
      </w:r>
      <w:r>
        <w:rPr>
          <w:lang/>
        </w:rPr>
        <w:instrText xml:space="preserve"> PAGEREF _Toc445827370 \h </w:instrText>
      </w:r>
      <w:r>
        <w:rPr>
          <w:lang/>
        </w:rPr>
        <w:fldChar w:fldCharType="separate"/>
      </w:r>
      <w:r>
        <w:rPr>
          <w:lang/>
        </w:rPr>
        <w:t>16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"_Toc445827371"</w:instrText>
      </w:r>
      <w:r>
        <w:rPr>
          <w:lang/>
        </w:rPr>
        <w:fldChar w:fldCharType="separate"/>
      </w:r>
      <w:r>
        <w:rPr>
          <w:rStyle w:val="12"/>
          <w:rFonts w:ascii="宋体" w:hAnsi="宋体" w:cs="宋体"/>
          <w:b/>
          <w:bCs/>
          <w:lang/>
        </w:rPr>
        <w:t xml:space="preserve">5.3 </w:t>
      </w:r>
      <w:r>
        <w:rPr>
          <w:rStyle w:val="12"/>
          <w:rFonts w:hint="eastAsia" w:ascii="宋体" w:hAnsi="宋体" w:cs="宋体"/>
          <w:b/>
          <w:bCs/>
          <w:lang/>
        </w:rPr>
        <w:t>托管人对本年度报告中财务信息等内容的真实、准确和完整发表意见</w:t>
      </w:r>
      <w:r>
        <w:rPr>
          <w:lang/>
        </w:rPr>
        <w:tab/>
      </w:r>
      <w:r>
        <w:rPr>
          <w:lang/>
        </w:rPr>
        <w:fldChar w:fldCharType="begin"/>
      </w:r>
      <w:r>
        <w:rPr>
          <w:lang/>
        </w:rPr>
        <w:instrText xml:space="preserve"> PAGEREF _Toc445827371 \h </w:instrText>
      </w:r>
      <w:r>
        <w:rPr>
          <w:lang/>
        </w:rPr>
        <w:fldChar w:fldCharType="separate"/>
      </w:r>
      <w:r>
        <w:rPr>
          <w:lang/>
        </w:rPr>
        <w:t>16</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"_Toc445827372"</w:instrText>
      </w:r>
      <w:r>
        <w:rPr>
          <w:lang/>
        </w:rPr>
        <w:fldChar w:fldCharType="separate"/>
      </w:r>
      <w:r>
        <w:rPr>
          <w:rStyle w:val="12"/>
          <w:rFonts w:ascii="宋体" w:hAnsi="宋体" w:cs="宋体"/>
          <w:b/>
          <w:bCs/>
          <w:lang/>
        </w:rPr>
        <w:t xml:space="preserve">§6  </w:t>
      </w:r>
      <w:r>
        <w:rPr>
          <w:rStyle w:val="12"/>
          <w:rFonts w:hint="eastAsia" w:ascii="宋体" w:hAnsi="宋体" w:cs="宋体"/>
          <w:b/>
          <w:bCs/>
          <w:lang/>
        </w:rPr>
        <w:t>审计报告</w:t>
      </w:r>
      <w:r>
        <w:rPr>
          <w:lang/>
        </w:rPr>
        <w:tab/>
      </w:r>
      <w:r>
        <w:rPr>
          <w:lang/>
        </w:rPr>
        <w:fldChar w:fldCharType="begin"/>
      </w:r>
      <w:r>
        <w:rPr>
          <w:lang/>
        </w:rPr>
        <w:instrText xml:space="preserve"> PAGEREF _Toc445827372 \h </w:instrText>
      </w:r>
      <w:r>
        <w:rPr>
          <w:lang/>
        </w:rPr>
        <w:fldChar w:fldCharType="separate"/>
      </w:r>
      <w:r>
        <w:rPr>
          <w:lang/>
        </w:rPr>
        <w:t>16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"_Toc445827373"</w:instrText>
      </w:r>
      <w:r>
        <w:rPr>
          <w:lang/>
        </w:rPr>
        <w:fldChar w:fldCharType="separate"/>
      </w:r>
      <w:r>
        <w:rPr>
          <w:rStyle w:val="12"/>
          <w:rFonts w:ascii="宋体" w:hAnsi="宋体" w:cs="宋体"/>
          <w:b/>
          <w:bCs/>
          <w:lang/>
        </w:rPr>
        <w:t xml:space="preserve">6.1 </w:t>
      </w:r>
      <w:r>
        <w:rPr>
          <w:rStyle w:val="12"/>
          <w:rFonts w:hint="eastAsia" w:ascii="宋体" w:hAnsi="宋体" w:cs="宋体"/>
          <w:b/>
          <w:bCs/>
          <w:lang/>
        </w:rPr>
        <w:t>审计报告基本信息</w:t>
      </w:r>
      <w:r>
        <w:rPr>
          <w:lang/>
        </w:rPr>
        <w:tab/>
      </w:r>
      <w:r>
        <w:rPr>
          <w:lang/>
        </w:rPr>
        <w:fldChar w:fldCharType="begin"/>
      </w:r>
      <w:r>
        <w:rPr>
          <w:lang/>
        </w:rPr>
        <w:instrText xml:space="preserve"> PAGEREF _Toc445827373 \h </w:instrText>
      </w:r>
      <w:r>
        <w:rPr>
          <w:lang/>
        </w:rPr>
        <w:fldChar w:fldCharType="separate"/>
      </w:r>
      <w:r>
        <w:rPr>
          <w:lang/>
        </w:rPr>
        <w:t>16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"_Toc445827374"</w:instrText>
      </w:r>
      <w:r>
        <w:rPr>
          <w:lang/>
        </w:rPr>
        <w:fldChar w:fldCharType="separate"/>
      </w:r>
      <w:r>
        <w:rPr>
          <w:rStyle w:val="12"/>
          <w:rFonts w:ascii="宋体" w:hAnsi="宋体" w:cs="宋体"/>
          <w:b/>
          <w:bCs/>
          <w:lang/>
        </w:rPr>
        <w:t xml:space="preserve">6.2 </w:t>
      </w:r>
      <w:r>
        <w:rPr>
          <w:rStyle w:val="12"/>
          <w:rFonts w:hint="eastAsia" w:ascii="宋体" w:hAnsi="宋体" w:cs="宋体"/>
          <w:b/>
          <w:bCs/>
          <w:lang/>
        </w:rPr>
        <w:t>审计报告的基本内容</w:t>
      </w:r>
      <w:r>
        <w:rPr>
          <w:lang/>
        </w:rPr>
        <w:tab/>
      </w:r>
      <w:r>
        <w:rPr>
          <w:lang/>
        </w:rPr>
        <w:fldChar w:fldCharType="begin"/>
      </w:r>
      <w:r>
        <w:rPr>
          <w:lang/>
        </w:rPr>
        <w:instrText xml:space="preserve"> PAGEREF _Toc445827374 \h </w:instrText>
      </w:r>
      <w:r>
        <w:rPr>
          <w:lang/>
        </w:rPr>
        <w:fldChar w:fldCharType="separate"/>
      </w:r>
      <w:r>
        <w:rPr>
          <w:lang/>
        </w:rPr>
        <w:t>16</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"_Toc445827375"</w:instrText>
      </w:r>
      <w:r>
        <w:rPr>
          <w:lang/>
        </w:rPr>
        <w:fldChar w:fldCharType="separate"/>
      </w:r>
      <w:r>
        <w:rPr>
          <w:rStyle w:val="12"/>
          <w:rFonts w:ascii="宋体" w:hAnsi="宋体" w:cs="宋体"/>
          <w:b/>
          <w:bCs/>
          <w:lang/>
        </w:rPr>
        <w:t xml:space="preserve">§7  </w:t>
      </w:r>
      <w:r>
        <w:rPr>
          <w:rStyle w:val="12"/>
          <w:rFonts w:hint="eastAsia" w:ascii="宋体" w:hAnsi="宋体" w:cs="宋体"/>
          <w:b/>
          <w:bCs/>
          <w:lang/>
        </w:rPr>
        <w:t>年度财务报表</w:t>
      </w:r>
      <w:r>
        <w:rPr>
          <w:lang/>
        </w:rPr>
        <w:tab/>
      </w:r>
      <w:r>
        <w:rPr>
          <w:lang/>
        </w:rPr>
        <w:fldChar w:fldCharType="begin"/>
      </w:r>
      <w:r>
        <w:rPr>
          <w:lang/>
        </w:rPr>
        <w:instrText xml:space="preserve"> PAGEREF _Toc445827375 \h </w:instrText>
      </w:r>
      <w:r>
        <w:rPr>
          <w:lang/>
        </w:rPr>
        <w:fldChar w:fldCharType="separate"/>
      </w:r>
      <w:r>
        <w:rPr>
          <w:lang/>
        </w:rPr>
        <w:t>18</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"_Toc445827376"</w:instrText>
      </w:r>
      <w:r>
        <w:rPr>
          <w:lang/>
        </w:rPr>
        <w:fldChar w:fldCharType="separate"/>
      </w:r>
      <w:r>
        <w:rPr>
          <w:rStyle w:val="12"/>
          <w:rFonts w:ascii="宋体" w:hAnsi="宋体" w:cs="宋体"/>
          <w:b/>
          <w:bCs/>
          <w:lang/>
        </w:rPr>
        <w:t xml:space="preserve">7.1 </w:t>
      </w:r>
      <w:r>
        <w:rPr>
          <w:rStyle w:val="12"/>
          <w:rFonts w:hint="eastAsia" w:ascii="宋体" w:hAnsi="宋体" w:cs="宋体"/>
          <w:b/>
          <w:bCs/>
          <w:lang/>
        </w:rPr>
        <w:t>资产负债表</w:t>
      </w:r>
      <w:r>
        <w:rPr>
          <w:lang/>
        </w:rPr>
        <w:tab/>
      </w:r>
      <w:r>
        <w:rPr>
          <w:lang/>
        </w:rPr>
        <w:fldChar w:fldCharType="begin"/>
      </w:r>
      <w:r>
        <w:rPr>
          <w:lang/>
        </w:rPr>
        <w:instrText xml:space="preserve"> PAGEREF _Toc445827376 \h </w:instrText>
      </w:r>
      <w:r>
        <w:rPr>
          <w:lang/>
        </w:rPr>
        <w:fldChar w:fldCharType="separate"/>
      </w:r>
      <w:r>
        <w:rPr>
          <w:lang/>
        </w:rPr>
        <w:t>18</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"_Toc445827377"</w:instrText>
      </w:r>
      <w:r>
        <w:rPr>
          <w:lang/>
        </w:rPr>
        <w:fldChar w:fldCharType="separate"/>
      </w:r>
      <w:r>
        <w:rPr>
          <w:rStyle w:val="12"/>
          <w:rFonts w:ascii="宋体" w:hAnsi="宋体" w:cs="宋体"/>
          <w:b/>
          <w:bCs/>
          <w:lang/>
        </w:rPr>
        <w:t xml:space="preserve">7.2 </w:t>
      </w:r>
      <w:r>
        <w:rPr>
          <w:rStyle w:val="12"/>
          <w:rFonts w:hint="eastAsia" w:ascii="宋体" w:hAnsi="宋体" w:cs="宋体"/>
          <w:b/>
          <w:bCs/>
          <w:lang/>
        </w:rPr>
        <w:t>利润表</w:t>
      </w:r>
      <w:r>
        <w:rPr>
          <w:lang/>
        </w:rPr>
        <w:tab/>
      </w:r>
      <w:r>
        <w:rPr>
          <w:lang/>
        </w:rPr>
        <w:fldChar w:fldCharType="begin"/>
      </w:r>
      <w:r>
        <w:rPr>
          <w:lang/>
        </w:rPr>
        <w:instrText xml:space="preserve"> PAGEREF _Toc445827377 \h </w:instrText>
      </w:r>
      <w:r>
        <w:rPr>
          <w:lang/>
        </w:rPr>
        <w:fldChar w:fldCharType="separate"/>
      </w:r>
      <w:r>
        <w:rPr>
          <w:lang/>
        </w:rPr>
        <w:t>20</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"_Toc445827378"</w:instrText>
      </w:r>
      <w:r>
        <w:rPr>
          <w:lang/>
        </w:rPr>
        <w:fldChar w:fldCharType="separate"/>
      </w:r>
      <w:r>
        <w:rPr>
          <w:rStyle w:val="12"/>
          <w:rFonts w:ascii="宋体" w:hAnsi="宋体" w:cs="宋体"/>
          <w:b/>
          <w:bCs/>
          <w:lang/>
        </w:rPr>
        <w:t xml:space="preserve">7.3 </w:t>
      </w:r>
      <w:r>
        <w:rPr>
          <w:rStyle w:val="12"/>
          <w:rFonts w:hint="eastAsia" w:ascii="宋体" w:hAnsi="宋体" w:cs="宋体"/>
          <w:b/>
          <w:bCs/>
          <w:lang/>
        </w:rPr>
        <w:t>所有者权益（基金净值）变动表</w:t>
      </w:r>
      <w:r>
        <w:rPr>
          <w:lang/>
        </w:rPr>
        <w:tab/>
      </w:r>
      <w:r>
        <w:rPr>
          <w:lang/>
        </w:rPr>
        <w:fldChar w:fldCharType="begin"/>
      </w:r>
      <w:r>
        <w:rPr>
          <w:lang/>
        </w:rPr>
        <w:instrText xml:space="preserve"> PAGEREF _Toc445827378 \h </w:instrText>
      </w:r>
      <w:r>
        <w:rPr>
          <w:lang/>
        </w:rPr>
        <w:fldChar w:fldCharType="separate"/>
      </w:r>
      <w:r>
        <w:rPr>
          <w:lang/>
        </w:rPr>
        <w:t>21</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"_Toc445827379"</w:instrText>
      </w:r>
      <w:r>
        <w:rPr>
          <w:lang/>
        </w:rPr>
        <w:fldChar w:fldCharType="separate"/>
      </w:r>
      <w:r>
        <w:rPr>
          <w:rStyle w:val="12"/>
          <w:rFonts w:ascii="宋体" w:hAnsi="宋体" w:cs="宋体"/>
          <w:b/>
          <w:bCs/>
          <w:lang/>
        </w:rPr>
        <w:t xml:space="preserve">7.4 </w:t>
      </w:r>
      <w:r>
        <w:rPr>
          <w:rStyle w:val="12"/>
          <w:rFonts w:hint="eastAsia" w:ascii="宋体" w:hAnsi="宋体" w:cs="宋体"/>
          <w:b/>
          <w:bCs/>
          <w:lang/>
        </w:rPr>
        <w:t>报表</w:t>
      </w:r>
      <w:bookmarkStart w:id="3" w:name="_Hlt446334592"/>
      <w:bookmarkStart w:id="4" w:name="_Hlt446334593"/>
      <w:r>
        <w:rPr>
          <w:rStyle w:val="12"/>
          <w:rFonts w:hint="eastAsia" w:ascii="宋体" w:hAnsi="宋体" w:cs="宋体"/>
          <w:b/>
          <w:bCs/>
          <w:lang/>
        </w:rPr>
        <w:t>附</w:t>
      </w:r>
      <w:bookmarkEnd w:id="3"/>
      <w:bookmarkEnd w:id="4"/>
      <w:r>
        <w:rPr>
          <w:rStyle w:val="12"/>
          <w:rFonts w:hint="eastAsia" w:ascii="宋体" w:hAnsi="宋体" w:cs="宋体"/>
          <w:b/>
          <w:bCs/>
          <w:lang/>
        </w:rPr>
        <w:t>注</w:t>
      </w:r>
      <w:r>
        <w:rPr>
          <w:lang/>
        </w:rPr>
        <w:tab/>
      </w:r>
      <w:r>
        <w:rPr>
          <w:lang/>
        </w:rPr>
        <w:fldChar w:fldCharType="begin"/>
      </w:r>
      <w:r>
        <w:rPr>
          <w:lang/>
        </w:rPr>
        <w:instrText xml:space="preserve"> PAGEREF _Toc445827379 \h </w:instrText>
      </w:r>
      <w:r>
        <w:rPr>
          <w:lang/>
        </w:rPr>
        <w:fldChar w:fldCharType="separate"/>
      </w:r>
      <w:r>
        <w:rPr>
          <w:lang/>
        </w:rPr>
        <w:t>22</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"_Toc445827380"</w:instrText>
      </w:r>
      <w:r>
        <w:rPr>
          <w:lang/>
        </w:rPr>
        <w:fldChar w:fldCharType="separate"/>
      </w:r>
      <w:r>
        <w:rPr>
          <w:rStyle w:val="12"/>
          <w:rFonts w:ascii="宋体" w:hAnsi="宋体" w:cs="宋体"/>
          <w:b/>
          <w:bCs/>
          <w:lang/>
        </w:rPr>
        <w:t xml:space="preserve">§8  </w:t>
      </w:r>
      <w:r>
        <w:rPr>
          <w:rStyle w:val="12"/>
          <w:rFonts w:hint="eastAsia" w:ascii="宋体" w:hAnsi="宋体" w:cs="宋体"/>
          <w:b/>
          <w:bCs/>
          <w:lang/>
        </w:rPr>
        <w:t>投资组合报告</w:t>
      </w:r>
      <w:r>
        <w:rPr>
          <w:lang/>
        </w:rPr>
        <w:tab/>
      </w:r>
      <w:r>
        <w:rPr>
          <w:lang/>
        </w:rPr>
        <w:fldChar w:fldCharType="begin"/>
      </w:r>
      <w:r>
        <w:rPr>
          <w:lang/>
        </w:rPr>
        <w:instrText xml:space="preserve"> PAGEREF _Toc445827380 \h </w:instrText>
      </w:r>
      <w:r>
        <w:rPr>
          <w:lang/>
        </w:rPr>
        <w:fldChar w:fldCharType="separate"/>
      </w:r>
      <w:r>
        <w:rPr>
          <w:lang/>
        </w:rPr>
        <w:t>44</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"_Toc445827381"</w:instrText>
      </w:r>
      <w:r>
        <w:rPr>
          <w:lang/>
        </w:rPr>
        <w:fldChar w:fldCharType="separate"/>
      </w:r>
      <w:r>
        <w:rPr>
          <w:rStyle w:val="12"/>
          <w:rFonts w:ascii="宋体" w:hAnsi="宋体" w:cs="宋体"/>
          <w:b/>
          <w:bCs/>
          <w:lang/>
        </w:rPr>
        <w:t xml:space="preserve">8.1 </w:t>
      </w:r>
      <w:r>
        <w:rPr>
          <w:rStyle w:val="12"/>
          <w:rFonts w:hint="eastAsia" w:ascii="宋体" w:hAnsi="宋体" w:cs="宋体"/>
          <w:b/>
          <w:bCs/>
          <w:lang/>
        </w:rPr>
        <w:t>期末基金资产组合情况</w:t>
      </w:r>
      <w:r>
        <w:rPr>
          <w:lang/>
        </w:rPr>
        <w:tab/>
      </w:r>
      <w:r>
        <w:rPr>
          <w:lang/>
        </w:rPr>
        <w:fldChar w:fldCharType="begin"/>
      </w:r>
      <w:r>
        <w:rPr>
          <w:lang/>
        </w:rPr>
        <w:instrText xml:space="preserve"> PAGEREF _Toc445827381 \h </w:instrText>
      </w:r>
      <w:r>
        <w:rPr>
          <w:lang/>
        </w:rPr>
        <w:fldChar w:fldCharType="separate"/>
      </w:r>
      <w:r>
        <w:rPr>
          <w:lang/>
        </w:rPr>
        <w:t>44</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"_Toc445827382"</w:instrText>
      </w:r>
      <w:r>
        <w:rPr>
          <w:lang/>
        </w:rPr>
        <w:fldChar w:fldCharType="separate"/>
      </w:r>
      <w:r>
        <w:rPr>
          <w:rStyle w:val="12"/>
          <w:rFonts w:ascii="宋体" w:hAnsi="宋体" w:cs="宋体"/>
          <w:b/>
          <w:bCs/>
          <w:lang/>
        </w:rPr>
        <w:t xml:space="preserve">8.2.1 </w:t>
      </w:r>
      <w:r>
        <w:rPr>
          <w:rStyle w:val="12"/>
          <w:rFonts w:hint="eastAsia" w:ascii="宋体" w:hAnsi="宋体" w:cs="宋体"/>
          <w:b/>
          <w:bCs/>
          <w:lang/>
        </w:rPr>
        <w:t>报告期末按行业分类的境内股票投资组合</w:t>
      </w:r>
      <w:r>
        <w:rPr>
          <w:lang/>
        </w:rPr>
        <w:tab/>
      </w:r>
      <w:r>
        <w:rPr>
          <w:lang/>
        </w:rPr>
        <w:fldChar w:fldCharType="begin"/>
      </w:r>
      <w:r>
        <w:rPr>
          <w:lang/>
        </w:rPr>
        <w:instrText xml:space="preserve"> PAGEREF _Toc445827382 \h </w:instrText>
      </w:r>
      <w:r>
        <w:rPr>
          <w:lang/>
        </w:rPr>
        <w:fldChar w:fldCharType="separate"/>
      </w:r>
      <w:r>
        <w:rPr>
          <w:lang/>
        </w:rPr>
        <w:t>45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"_Toc445827383"</w:instrText>
      </w:r>
      <w:r>
        <w:rPr>
          <w:lang/>
        </w:rPr>
        <w:fldChar w:fldCharType="separate"/>
      </w:r>
      <w:r>
        <w:rPr>
          <w:rStyle w:val="12"/>
          <w:rFonts w:ascii="宋体" w:hAnsi="宋体" w:cs="宋体"/>
          <w:b/>
          <w:bCs/>
          <w:lang/>
        </w:rPr>
        <w:t xml:space="preserve">8.3 </w:t>
      </w:r>
      <w:r>
        <w:rPr>
          <w:rStyle w:val="12"/>
          <w:rFonts w:hint="eastAsia" w:ascii="宋体" w:hAnsi="宋体" w:cs="宋体"/>
          <w:b/>
          <w:bCs/>
          <w:lang/>
        </w:rPr>
        <w:t>期末按公允价值占基金资产净值比例大小排序的所有股票投资明细</w:t>
      </w:r>
      <w:r>
        <w:rPr>
          <w:lang/>
        </w:rPr>
        <w:tab/>
      </w:r>
      <w:r>
        <w:rPr>
          <w:lang/>
        </w:rPr>
        <w:fldChar w:fldCharType="begin"/>
      </w:r>
      <w:r>
        <w:rPr>
          <w:lang/>
        </w:rPr>
        <w:instrText xml:space="preserve"> PAGEREF _Toc445827383 \h </w:instrText>
      </w:r>
      <w:r>
        <w:rPr>
          <w:lang/>
        </w:rPr>
        <w:fldChar w:fldCharType="separate"/>
      </w:r>
      <w:r>
        <w:rPr>
          <w:lang/>
        </w:rPr>
        <w:t>47</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"_Toc445827384"</w:instrText>
      </w:r>
      <w:r>
        <w:rPr>
          <w:lang/>
        </w:rPr>
        <w:fldChar w:fldCharType="separate"/>
      </w:r>
      <w:r>
        <w:rPr>
          <w:rStyle w:val="12"/>
          <w:rFonts w:ascii="宋体" w:hAnsi="宋体" w:cs="宋体"/>
          <w:b/>
          <w:bCs/>
          <w:lang/>
        </w:rPr>
        <w:t xml:space="preserve">8.4 </w:t>
      </w:r>
      <w:r>
        <w:rPr>
          <w:rStyle w:val="12"/>
          <w:rFonts w:hint="eastAsia" w:ascii="宋体" w:hAnsi="宋体" w:cs="宋体"/>
          <w:b/>
          <w:bCs/>
          <w:lang/>
        </w:rPr>
        <w:t>报告期内股票投资组合的重大变动</w:t>
      </w:r>
      <w:r>
        <w:rPr>
          <w:lang/>
        </w:rPr>
        <w:tab/>
      </w:r>
      <w:r>
        <w:rPr>
          <w:lang/>
        </w:rPr>
        <w:fldChar w:fldCharType="begin"/>
      </w:r>
      <w:r>
        <w:rPr>
          <w:lang/>
        </w:rPr>
        <w:instrText xml:space="preserve"> PAGEREF _Toc445827384 \h </w:instrText>
      </w:r>
      <w:r>
        <w:rPr>
          <w:lang/>
        </w:rPr>
        <w:fldChar w:fldCharType="separate"/>
      </w:r>
      <w:r>
        <w:rPr>
          <w:lang/>
        </w:rPr>
        <w:t>48</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"_Toc445827385"</w:instrText>
      </w:r>
      <w:r>
        <w:rPr>
          <w:lang/>
        </w:rPr>
        <w:fldChar w:fldCharType="separate"/>
      </w:r>
      <w:r>
        <w:rPr>
          <w:rStyle w:val="12"/>
          <w:rFonts w:ascii="宋体" w:hAnsi="宋体" w:cs="宋体"/>
          <w:b/>
          <w:bCs/>
          <w:lang/>
        </w:rPr>
        <w:t xml:space="preserve">8.5 </w:t>
      </w:r>
      <w:r>
        <w:rPr>
          <w:rStyle w:val="12"/>
          <w:rFonts w:hint="eastAsia" w:ascii="宋体" w:hAnsi="宋体" w:cs="宋体"/>
          <w:b/>
          <w:bCs/>
          <w:lang/>
        </w:rPr>
        <w:t>期末按债券品种分类的债券投资组合</w:t>
      </w:r>
      <w:r>
        <w:rPr>
          <w:lang/>
        </w:rPr>
        <w:tab/>
      </w:r>
      <w:r>
        <w:rPr>
          <w:lang/>
        </w:rPr>
        <w:fldChar w:fldCharType="begin"/>
      </w:r>
      <w:r>
        <w:rPr>
          <w:lang/>
        </w:rPr>
        <w:instrText xml:space="preserve"> PAGEREF _Toc445827385 \h </w:instrText>
      </w:r>
      <w:r>
        <w:rPr>
          <w:lang/>
        </w:rPr>
        <w:fldChar w:fldCharType="separate"/>
      </w:r>
      <w:r>
        <w:rPr>
          <w:lang/>
        </w:rPr>
        <w:t>50</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"_Toc445827386"</w:instrText>
      </w:r>
      <w:r>
        <w:rPr>
          <w:lang/>
        </w:rPr>
        <w:fldChar w:fldCharType="separate"/>
      </w:r>
      <w:r>
        <w:rPr>
          <w:rStyle w:val="12"/>
          <w:rFonts w:ascii="宋体" w:hAnsi="宋体" w:cs="宋体"/>
          <w:b/>
          <w:bCs/>
          <w:lang/>
        </w:rPr>
        <w:t xml:space="preserve">8.6 </w:t>
      </w:r>
      <w:r>
        <w:rPr>
          <w:rStyle w:val="12"/>
          <w:rFonts w:hint="eastAsia" w:ascii="宋体" w:hAnsi="宋体" w:cs="宋体"/>
          <w:b/>
          <w:bCs/>
          <w:lang/>
        </w:rPr>
        <w:t>期末按公允价值占基金资产净值比例大小排序的前五名债券投资明细</w:t>
      </w:r>
      <w:r>
        <w:rPr>
          <w:lang/>
        </w:rPr>
        <w:tab/>
      </w:r>
      <w:r>
        <w:rPr>
          <w:lang/>
        </w:rPr>
        <w:fldChar w:fldCharType="begin"/>
      </w:r>
      <w:r>
        <w:rPr>
          <w:lang/>
        </w:rPr>
        <w:instrText xml:space="preserve"> PAGEREF _Toc445827386 \h </w:instrText>
      </w:r>
      <w:r>
        <w:rPr>
          <w:lang/>
        </w:rPr>
        <w:fldChar w:fldCharType="separate"/>
      </w:r>
      <w:r>
        <w:rPr>
          <w:lang/>
        </w:rPr>
        <w:t>50</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"_Toc445827387"</w:instrText>
      </w:r>
      <w:r>
        <w:rPr>
          <w:lang/>
        </w:rPr>
        <w:fldChar w:fldCharType="separate"/>
      </w:r>
      <w:r>
        <w:rPr>
          <w:rStyle w:val="12"/>
          <w:rFonts w:ascii="宋体" w:hAnsi="宋体" w:cs="宋体"/>
          <w:b/>
          <w:bCs/>
          <w:lang/>
        </w:rPr>
        <w:t xml:space="preserve">8.7 </w:t>
      </w:r>
      <w:r>
        <w:rPr>
          <w:rStyle w:val="12"/>
          <w:rFonts w:hint="eastAsia" w:ascii="宋体" w:hAnsi="宋体" w:cs="宋体"/>
          <w:b/>
          <w:bCs/>
          <w:lang/>
        </w:rPr>
        <w:t>期末按公允价值占基金资产净值比例大小排序的所有资产支持证券投资明细</w:t>
      </w:r>
      <w:r>
        <w:rPr>
          <w:lang/>
        </w:rPr>
        <w:tab/>
      </w:r>
      <w:r>
        <w:rPr>
          <w:lang/>
        </w:rPr>
        <w:fldChar w:fldCharType="begin"/>
      </w:r>
      <w:r>
        <w:rPr>
          <w:lang/>
        </w:rPr>
        <w:instrText xml:space="preserve"> PAGEREF _Toc445827387 \h </w:instrText>
      </w:r>
      <w:r>
        <w:rPr>
          <w:lang/>
        </w:rPr>
        <w:fldChar w:fldCharType="separate"/>
      </w:r>
      <w:r>
        <w:rPr>
          <w:lang/>
        </w:rPr>
        <w:t>50</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"_Toc445827388"</w:instrText>
      </w:r>
      <w:r>
        <w:rPr>
          <w:lang/>
        </w:rPr>
        <w:fldChar w:fldCharType="separate"/>
      </w:r>
      <w:r>
        <w:rPr>
          <w:rStyle w:val="12"/>
          <w:rFonts w:ascii="宋体" w:hAnsi="宋体" w:cs="宋体"/>
          <w:b/>
          <w:bCs/>
          <w:lang/>
        </w:rPr>
        <w:t xml:space="preserve">8.8 </w:t>
      </w:r>
      <w:r>
        <w:rPr>
          <w:rStyle w:val="12"/>
          <w:rFonts w:hint="eastAsia" w:ascii="宋体" w:hAnsi="宋体" w:cs="宋体"/>
          <w:b/>
          <w:bCs/>
          <w:lang/>
        </w:rPr>
        <w:t>报告期末按公允价值占基金资产净值比例大小排序的前五名贵金属投资明细</w:t>
      </w:r>
      <w:r>
        <w:rPr>
          <w:lang/>
        </w:rPr>
        <w:tab/>
      </w:r>
      <w:r>
        <w:rPr>
          <w:lang/>
        </w:rPr>
        <w:fldChar w:fldCharType="begin"/>
      </w:r>
      <w:r>
        <w:rPr>
          <w:lang/>
        </w:rPr>
        <w:instrText xml:space="preserve"> PAGEREF _Toc445827388 \h </w:instrText>
      </w:r>
      <w:r>
        <w:rPr>
          <w:lang/>
        </w:rPr>
        <w:fldChar w:fldCharType="separate"/>
      </w:r>
      <w:r>
        <w:rPr>
          <w:lang/>
        </w:rPr>
        <w:t>50</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"_Toc445827389"</w:instrText>
      </w:r>
      <w:r>
        <w:rPr>
          <w:lang/>
        </w:rPr>
        <w:fldChar w:fldCharType="separate"/>
      </w:r>
      <w:r>
        <w:rPr>
          <w:rStyle w:val="12"/>
          <w:rFonts w:ascii="宋体" w:hAnsi="宋体" w:cs="宋体"/>
          <w:b/>
          <w:bCs/>
          <w:lang/>
        </w:rPr>
        <w:t xml:space="preserve">8.9 </w:t>
      </w:r>
      <w:r>
        <w:rPr>
          <w:rStyle w:val="12"/>
          <w:rFonts w:hint="eastAsia" w:ascii="宋体" w:hAnsi="宋体" w:cs="宋体"/>
          <w:b/>
          <w:bCs/>
          <w:lang/>
        </w:rPr>
        <w:t>期末按公允价值占基金资产净值比例大小排序的前五名权证投资明细</w:t>
      </w:r>
      <w:r>
        <w:rPr>
          <w:lang/>
        </w:rPr>
        <w:tab/>
      </w:r>
      <w:r>
        <w:rPr>
          <w:lang/>
        </w:rPr>
        <w:fldChar w:fldCharType="begin"/>
      </w:r>
      <w:r>
        <w:rPr>
          <w:lang/>
        </w:rPr>
        <w:instrText xml:space="preserve"> PAGEREF _Toc445827389 \h </w:instrText>
      </w:r>
      <w:r>
        <w:rPr>
          <w:lang/>
        </w:rPr>
        <w:fldChar w:fldCharType="separate"/>
      </w:r>
      <w:r>
        <w:rPr>
          <w:lang/>
        </w:rPr>
        <w:t>51</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"_Toc445827390"</w:instrText>
      </w:r>
      <w:r>
        <w:rPr>
          <w:lang/>
        </w:rPr>
        <w:fldChar w:fldCharType="separate"/>
      </w:r>
      <w:r>
        <w:rPr>
          <w:rStyle w:val="12"/>
          <w:rFonts w:ascii="宋体" w:hAnsi="宋体" w:cs="宋体"/>
          <w:b/>
          <w:bCs/>
          <w:lang/>
        </w:rPr>
        <w:t xml:space="preserve">8.10 </w:t>
      </w:r>
      <w:r>
        <w:rPr>
          <w:rStyle w:val="12"/>
          <w:rFonts w:hint="eastAsia" w:ascii="宋体" w:hAnsi="宋体" w:cs="宋体"/>
          <w:b/>
          <w:bCs/>
          <w:lang/>
        </w:rPr>
        <w:t>报告期末本基金投资的股指期货交易情况说明</w:t>
      </w:r>
      <w:r>
        <w:rPr>
          <w:lang/>
        </w:rPr>
        <w:tab/>
      </w:r>
      <w:r>
        <w:rPr>
          <w:lang/>
        </w:rPr>
        <w:fldChar w:fldCharType="begin"/>
      </w:r>
      <w:r>
        <w:rPr>
          <w:lang/>
        </w:rPr>
        <w:instrText xml:space="preserve"> PAGEREF _Toc445827390 \h </w:instrText>
      </w:r>
      <w:r>
        <w:rPr>
          <w:lang/>
        </w:rPr>
        <w:fldChar w:fldCharType="separate"/>
      </w:r>
      <w:r>
        <w:rPr>
          <w:lang/>
        </w:rPr>
        <w:t>51</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"_Toc445827391"</w:instrText>
      </w:r>
      <w:r>
        <w:rPr>
          <w:lang/>
        </w:rPr>
        <w:fldChar w:fldCharType="separate"/>
      </w:r>
      <w:r>
        <w:rPr>
          <w:rStyle w:val="12"/>
          <w:rFonts w:ascii="宋体" w:hAnsi="宋体" w:cs="宋体"/>
          <w:b/>
          <w:bCs/>
          <w:lang/>
        </w:rPr>
        <w:t xml:space="preserve">8.11 </w:t>
      </w:r>
      <w:r>
        <w:rPr>
          <w:rStyle w:val="12"/>
          <w:rFonts w:hint="eastAsia" w:ascii="宋体" w:hAnsi="宋体" w:cs="宋体"/>
          <w:b/>
          <w:bCs/>
          <w:lang/>
        </w:rPr>
        <w:t>报告期末本基金投资的国债期货交易情况说明</w:t>
      </w:r>
      <w:r>
        <w:rPr>
          <w:lang/>
        </w:rPr>
        <w:tab/>
      </w:r>
      <w:r>
        <w:rPr>
          <w:lang/>
        </w:rPr>
        <w:fldChar w:fldCharType="begin"/>
      </w:r>
      <w:r>
        <w:rPr>
          <w:lang/>
        </w:rPr>
        <w:instrText xml:space="preserve"> PAGEREF _Toc445827391 \h </w:instrText>
      </w:r>
      <w:r>
        <w:rPr>
          <w:lang/>
        </w:rPr>
        <w:fldChar w:fldCharType="separate"/>
      </w:r>
      <w:r>
        <w:rPr>
          <w:lang/>
        </w:rPr>
        <w:t>51</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"_Toc445827392"</w:instrText>
      </w:r>
      <w:r>
        <w:rPr>
          <w:lang/>
        </w:rPr>
        <w:fldChar w:fldCharType="separate"/>
      </w:r>
      <w:r>
        <w:rPr>
          <w:rStyle w:val="12"/>
          <w:rFonts w:ascii="宋体" w:hAnsi="宋体" w:cs="宋体"/>
          <w:b/>
          <w:bCs/>
          <w:lang/>
        </w:rPr>
        <w:t xml:space="preserve">8.12 </w:t>
      </w:r>
      <w:r>
        <w:rPr>
          <w:rStyle w:val="12"/>
          <w:rFonts w:hint="eastAsia" w:ascii="宋体" w:hAnsi="宋体" w:cs="宋体"/>
          <w:b/>
          <w:bCs/>
          <w:lang/>
        </w:rPr>
        <w:t>投资组合报告附注</w:t>
      </w:r>
      <w:r>
        <w:rPr>
          <w:lang/>
        </w:rPr>
        <w:tab/>
      </w:r>
      <w:r>
        <w:rPr>
          <w:lang/>
        </w:rPr>
        <w:fldChar w:fldCharType="begin"/>
      </w:r>
      <w:r>
        <w:rPr>
          <w:lang/>
        </w:rPr>
        <w:instrText xml:space="preserve"> PAGEREF _Toc445827392 \h </w:instrText>
      </w:r>
      <w:r>
        <w:rPr>
          <w:lang/>
        </w:rPr>
        <w:fldChar w:fldCharType="separate"/>
      </w:r>
      <w:r>
        <w:rPr>
          <w:lang/>
        </w:rPr>
        <w:t>51</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"_Toc445827393"</w:instrText>
      </w:r>
      <w:r>
        <w:rPr>
          <w:lang/>
        </w:rPr>
        <w:fldChar w:fldCharType="separate"/>
      </w:r>
      <w:r>
        <w:rPr>
          <w:rStyle w:val="12"/>
          <w:rFonts w:ascii="宋体" w:hAnsi="宋体" w:cs="宋体"/>
          <w:b/>
          <w:bCs/>
          <w:lang/>
        </w:rPr>
        <w:t xml:space="preserve">§9  </w:t>
      </w:r>
      <w:r>
        <w:rPr>
          <w:rStyle w:val="12"/>
          <w:rFonts w:hint="eastAsia" w:ascii="宋体" w:hAnsi="宋体" w:cs="宋体"/>
          <w:b/>
          <w:bCs/>
          <w:lang/>
        </w:rPr>
        <w:t>基金份额持有人信息</w:t>
      </w:r>
      <w:r>
        <w:rPr>
          <w:lang/>
        </w:rPr>
        <w:tab/>
      </w:r>
      <w:r>
        <w:rPr>
          <w:lang/>
        </w:rPr>
        <w:fldChar w:fldCharType="begin"/>
      </w:r>
      <w:r>
        <w:rPr>
          <w:lang/>
        </w:rPr>
        <w:instrText xml:space="preserve"> PAGEREF _Toc445827393 \h </w:instrText>
      </w:r>
      <w:r>
        <w:rPr>
          <w:lang/>
        </w:rPr>
        <w:fldChar w:fldCharType="separate"/>
      </w:r>
      <w:r>
        <w:rPr>
          <w:lang/>
        </w:rPr>
        <w:t>52</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"_Toc445827394"</w:instrText>
      </w:r>
      <w:r>
        <w:rPr>
          <w:lang/>
        </w:rPr>
        <w:fldChar w:fldCharType="separate"/>
      </w:r>
      <w:r>
        <w:rPr>
          <w:rStyle w:val="12"/>
          <w:rFonts w:ascii="宋体" w:hAnsi="宋体" w:cs="宋体"/>
          <w:b/>
          <w:bCs/>
          <w:lang/>
        </w:rPr>
        <w:t xml:space="preserve">9.1 </w:t>
      </w:r>
      <w:r>
        <w:rPr>
          <w:rStyle w:val="12"/>
          <w:rFonts w:hint="eastAsia" w:ascii="宋体" w:hAnsi="宋体" w:cs="宋体"/>
          <w:b/>
          <w:bCs/>
          <w:lang/>
        </w:rPr>
        <w:t>期末基金份额持有人户数及持有人结构</w:t>
      </w:r>
      <w:r>
        <w:rPr>
          <w:lang/>
        </w:rPr>
        <w:tab/>
      </w:r>
      <w:r>
        <w:rPr>
          <w:lang/>
        </w:rPr>
        <w:fldChar w:fldCharType="begin"/>
      </w:r>
      <w:r>
        <w:rPr>
          <w:lang/>
        </w:rPr>
        <w:instrText xml:space="preserve"> PAGEREF _Toc445827394 \h </w:instrText>
      </w:r>
      <w:r>
        <w:rPr>
          <w:lang/>
        </w:rPr>
        <w:fldChar w:fldCharType="separate"/>
      </w:r>
      <w:r>
        <w:rPr>
          <w:lang/>
        </w:rPr>
        <w:t>52</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"_Toc445827395"</w:instrText>
      </w:r>
      <w:r>
        <w:rPr>
          <w:lang/>
        </w:rPr>
        <w:fldChar w:fldCharType="separate"/>
      </w:r>
      <w:r>
        <w:rPr>
          <w:rStyle w:val="12"/>
          <w:rFonts w:ascii="宋体" w:hAnsi="宋体" w:cs="宋体"/>
          <w:b/>
          <w:bCs/>
          <w:lang/>
        </w:rPr>
        <w:t xml:space="preserve">9.2 </w:t>
      </w:r>
      <w:r>
        <w:rPr>
          <w:rStyle w:val="12"/>
          <w:rFonts w:hint="eastAsia" w:ascii="宋体" w:hAnsi="宋体" w:cs="宋体"/>
          <w:b/>
          <w:bCs/>
          <w:lang/>
        </w:rPr>
        <w:t>期末基金管理人的从业人员持有本基金的情况</w:t>
      </w:r>
      <w:r>
        <w:rPr>
          <w:lang/>
        </w:rPr>
        <w:tab/>
      </w:r>
      <w:r>
        <w:rPr>
          <w:lang/>
        </w:rPr>
        <w:fldChar w:fldCharType="begin"/>
      </w:r>
      <w:r>
        <w:rPr>
          <w:lang/>
        </w:rPr>
        <w:instrText xml:space="preserve"> PAGEREF _Toc445827395 \h </w:instrText>
      </w:r>
      <w:r>
        <w:rPr>
          <w:lang/>
        </w:rPr>
        <w:fldChar w:fldCharType="separate"/>
      </w:r>
      <w:r>
        <w:rPr>
          <w:lang/>
        </w:rPr>
        <w:t>52</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"_Toc445827396"</w:instrText>
      </w:r>
      <w:r>
        <w:rPr>
          <w:lang/>
        </w:rPr>
        <w:fldChar w:fldCharType="separate"/>
      </w:r>
      <w:r>
        <w:rPr>
          <w:rStyle w:val="12"/>
          <w:rFonts w:ascii="宋体" w:hAnsi="宋体" w:cs="宋体"/>
          <w:b/>
          <w:bCs/>
          <w:lang/>
        </w:rPr>
        <w:t xml:space="preserve">9.3 </w:t>
      </w:r>
      <w:r>
        <w:rPr>
          <w:rStyle w:val="12"/>
          <w:rFonts w:hint="eastAsia" w:ascii="宋体" w:hAnsi="宋体" w:cs="宋体"/>
          <w:b/>
          <w:bCs/>
          <w:lang/>
        </w:rPr>
        <w:t>期末基金管理人的从业人员持有本开放式基金份额总量区间情况</w:t>
      </w:r>
      <w:r>
        <w:rPr>
          <w:lang/>
        </w:rPr>
        <w:tab/>
      </w:r>
      <w:r>
        <w:rPr>
          <w:lang/>
        </w:rPr>
        <w:fldChar w:fldCharType="begin"/>
      </w:r>
      <w:r>
        <w:rPr>
          <w:lang/>
        </w:rPr>
        <w:instrText xml:space="preserve"> PAGEREF _Toc445827396 \h </w:instrText>
      </w:r>
      <w:r>
        <w:rPr>
          <w:lang/>
        </w:rPr>
        <w:fldChar w:fldCharType="separate"/>
      </w:r>
      <w:r>
        <w:rPr>
          <w:lang/>
        </w:rPr>
        <w:t>53</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"_Toc445827397"</w:instrText>
      </w:r>
      <w:r>
        <w:rPr>
          <w:lang/>
        </w:rPr>
        <w:fldChar w:fldCharType="separate"/>
      </w:r>
      <w:r>
        <w:rPr>
          <w:rStyle w:val="12"/>
          <w:rFonts w:ascii="宋体" w:hAnsi="宋体" w:cs="宋体"/>
          <w:b/>
          <w:bCs/>
          <w:lang/>
        </w:rPr>
        <w:t xml:space="preserve">§10 </w:t>
      </w:r>
      <w:r>
        <w:rPr>
          <w:rStyle w:val="12"/>
          <w:rFonts w:hint="eastAsia" w:ascii="宋体" w:hAnsi="宋体" w:cs="宋体"/>
          <w:b/>
          <w:bCs/>
          <w:lang/>
        </w:rPr>
        <w:t>开放式基金份额变动</w:t>
      </w:r>
      <w:r>
        <w:rPr>
          <w:lang/>
        </w:rPr>
        <w:tab/>
      </w:r>
      <w:r>
        <w:rPr>
          <w:lang/>
        </w:rPr>
        <w:fldChar w:fldCharType="begin"/>
      </w:r>
      <w:r>
        <w:rPr>
          <w:lang/>
        </w:rPr>
        <w:instrText xml:space="preserve"> PAGEREF _Toc445827397 \h </w:instrText>
      </w:r>
      <w:r>
        <w:rPr>
          <w:lang/>
        </w:rPr>
        <w:fldChar w:fldCharType="separate"/>
      </w:r>
      <w:r>
        <w:rPr>
          <w:lang/>
        </w:rPr>
        <w:t>53</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"_Toc445827398"</w:instrText>
      </w:r>
      <w:r>
        <w:rPr>
          <w:lang/>
        </w:rPr>
        <w:fldChar w:fldCharType="separate"/>
      </w:r>
      <w:r>
        <w:rPr>
          <w:rStyle w:val="12"/>
          <w:rFonts w:ascii="宋体" w:hAnsi="宋体" w:cs="宋体"/>
          <w:b/>
          <w:bCs/>
          <w:lang/>
        </w:rPr>
        <w:t xml:space="preserve">§11 </w:t>
      </w:r>
      <w:r>
        <w:rPr>
          <w:rStyle w:val="12"/>
          <w:rFonts w:hint="eastAsia" w:ascii="宋体" w:hAnsi="宋体" w:cs="宋体"/>
          <w:b/>
          <w:bCs/>
          <w:lang/>
        </w:rPr>
        <w:t>重大事件揭示</w:t>
      </w:r>
      <w:r>
        <w:rPr>
          <w:lang/>
        </w:rPr>
        <w:tab/>
      </w:r>
      <w:r>
        <w:rPr>
          <w:lang/>
        </w:rPr>
        <w:fldChar w:fldCharType="begin"/>
      </w:r>
      <w:r>
        <w:rPr>
          <w:lang/>
        </w:rPr>
        <w:instrText xml:space="preserve"> PAGEREF _Toc445827398 \h </w:instrText>
      </w:r>
      <w:r>
        <w:rPr>
          <w:lang/>
        </w:rPr>
        <w:fldChar w:fldCharType="separate"/>
      </w:r>
      <w:r>
        <w:rPr>
          <w:lang/>
        </w:rPr>
        <w:t>53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"_Toc445827399"</w:instrText>
      </w:r>
      <w:r>
        <w:rPr>
          <w:lang/>
        </w:rPr>
        <w:fldChar w:fldCharType="separate"/>
      </w:r>
      <w:r>
        <w:rPr>
          <w:rStyle w:val="12"/>
          <w:rFonts w:ascii="宋体" w:hAnsi="宋体" w:cs="宋体"/>
          <w:b/>
          <w:bCs/>
          <w:lang/>
        </w:rPr>
        <w:t xml:space="preserve">11.1 </w:t>
      </w:r>
      <w:r>
        <w:rPr>
          <w:rStyle w:val="12"/>
          <w:rFonts w:hint="eastAsia" w:ascii="宋体" w:hAnsi="宋体" w:cs="宋体"/>
          <w:b/>
          <w:bCs/>
          <w:lang/>
        </w:rPr>
        <w:t>基金份额持有人大会决议</w:t>
      </w:r>
      <w:r>
        <w:rPr>
          <w:lang/>
        </w:rPr>
        <w:tab/>
      </w:r>
      <w:r>
        <w:rPr>
          <w:lang/>
        </w:rPr>
        <w:fldChar w:fldCharType="begin"/>
      </w:r>
      <w:r>
        <w:rPr>
          <w:lang/>
        </w:rPr>
        <w:instrText xml:space="preserve"> PAGEREF _Toc445827399 \h </w:instrText>
      </w:r>
      <w:r>
        <w:rPr>
          <w:lang/>
        </w:rPr>
        <w:fldChar w:fldCharType="separate"/>
      </w:r>
      <w:r>
        <w:rPr>
          <w:lang/>
        </w:rPr>
        <w:t>53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"_Toc445827400"</w:instrText>
      </w:r>
      <w:r>
        <w:rPr>
          <w:lang/>
        </w:rPr>
        <w:fldChar w:fldCharType="separate"/>
      </w:r>
      <w:r>
        <w:rPr>
          <w:rStyle w:val="12"/>
          <w:rFonts w:ascii="宋体" w:hAnsi="宋体" w:cs="宋体"/>
          <w:b/>
          <w:bCs/>
          <w:lang/>
        </w:rPr>
        <w:t xml:space="preserve">11.2 </w:t>
      </w:r>
      <w:r>
        <w:rPr>
          <w:rStyle w:val="12"/>
          <w:rFonts w:hint="eastAsia" w:ascii="宋体" w:hAnsi="宋体" w:cs="宋体"/>
          <w:b/>
          <w:bCs/>
          <w:lang/>
        </w:rPr>
        <w:t>基金管理人、基金托管人的专门基金托管部门的重大人事变动</w:t>
      </w:r>
      <w:r>
        <w:rPr>
          <w:lang/>
        </w:rPr>
        <w:tab/>
      </w:r>
      <w:r>
        <w:rPr>
          <w:lang/>
        </w:rPr>
        <w:fldChar w:fldCharType="begin"/>
      </w:r>
      <w:r>
        <w:rPr>
          <w:lang/>
        </w:rPr>
        <w:instrText xml:space="preserve"> PAGEREF _Toc445827400 \h </w:instrText>
      </w:r>
      <w:r>
        <w:rPr>
          <w:lang/>
        </w:rPr>
        <w:fldChar w:fldCharType="separate"/>
      </w:r>
      <w:r>
        <w:rPr>
          <w:lang/>
        </w:rPr>
        <w:t>53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"_Toc445827401"</w:instrText>
      </w:r>
      <w:r>
        <w:rPr>
          <w:lang/>
        </w:rPr>
        <w:fldChar w:fldCharType="separate"/>
      </w:r>
      <w:r>
        <w:rPr>
          <w:rStyle w:val="12"/>
          <w:rFonts w:ascii="宋体" w:hAnsi="宋体" w:cs="宋体"/>
          <w:b/>
          <w:bCs/>
          <w:lang/>
        </w:rPr>
        <w:t xml:space="preserve">11.3 </w:t>
      </w:r>
      <w:r>
        <w:rPr>
          <w:rStyle w:val="12"/>
          <w:rFonts w:hint="eastAsia" w:ascii="宋体" w:hAnsi="宋体" w:cs="宋体"/>
          <w:b/>
          <w:bCs/>
          <w:lang/>
        </w:rPr>
        <w:t>涉及基金管理人、基金财产、基金托管业务的诉讼</w:t>
      </w:r>
      <w:r>
        <w:rPr>
          <w:lang/>
        </w:rPr>
        <w:tab/>
      </w:r>
      <w:r>
        <w:rPr>
          <w:lang/>
        </w:rPr>
        <w:fldChar w:fldCharType="begin"/>
      </w:r>
      <w:r>
        <w:rPr>
          <w:lang/>
        </w:rPr>
        <w:instrText xml:space="preserve"> PAGEREF _Toc445827401 \h </w:instrText>
      </w:r>
      <w:r>
        <w:rPr>
          <w:lang/>
        </w:rPr>
        <w:fldChar w:fldCharType="separate"/>
      </w:r>
      <w:r>
        <w:rPr>
          <w:lang/>
        </w:rPr>
        <w:t>53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"_Toc445827402"</w:instrText>
      </w:r>
      <w:r>
        <w:rPr>
          <w:lang/>
        </w:rPr>
        <w:fldChar w:fldCharType="separate"/>
      </w:r>
      <w:r>
        <w:rPr>
          <w:rStyle w:val="12"/>
          <w:rFonts w:ascii="宋体" w:hAnsi="宋体" w:cs="宋体"/>
          <w:b/>
          <w:bCs/>
          <w:lang/>
        </w:rPr>
        <w:t xml:space="preserve">11.4 </w:t>
      </w:r>
      <w:r>
        <w:rPr>
          <w:rStyle w:val="12"/>
          <w:rFonts w:hint="eastAsia" w:ascii="宋体" w:hAnsi="宋体" w:cs="宋体"/>
          <w:b/>
          <w:bCs/>
          <w:lang/>
        </w:rPr>
        <w:t>基金投资策略的改变</w:t>
      </w:r>
      <w:r>
        <w:rPr>
          <w:lang/>
        </w:rPr>
        <w:tab/>
      </w:r>
      <w:r>
        <w:rPr>
          <w:lang/>
        </w:rPr>
        <w:fldChar w:fldCharType="begin"/>
      </w:r>
      <w:r>
        <w:rPr>
          <w:lang/>
        </w:rPr>
        <w:instrText xml:space="preserve"> PAGEREF _Toc445827402 \h </w:instrText>
      </w:r>
      <w:r>
        <w:rPr>
          <w:lang/>
        </w:rPr>
        <w:fldChar w:fldCharType="separate"/>
      </w:r>
      <w:r>
        <w:rPr>
          <w:lang/>
        </w:rPr>
        <w:t>53</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"_Toc445827403"</w:instrText>
      </w:r>
      <w:r>
        <w:rPr>
          <w:lang/>
        </w:rPr>
        <w:fldChar w:fldCharType="separate"/>
      </w:r>
      <w:r>
        <w:rPr>
          <w:rStyle w:val="12"/>
          <w:rFonts w:ascii="宋体" w:hAnsi="宋体" w:cs="宋体"/>
          <w:b/>
          <w:bCs/>
          <w:lang/>
        </w:rPr>
        <w:t xml:space="preserve">11.5 </w:t>
      </w:r>
      <w:r>
        <w:rPr>
          <w:rStyle w:val="12"/>
          <w:rFonts w:hint="eastAsia" w:ascii="宋体" w:hAnsi="宋体" w:cs="宋体"/>
          <w:b/>
          <w:bCs/>
          <w:lang/>
        </w:rPr>
        <w:t>为基金进行审计的会计师事务所情况</w:t>
      </w:r>
      <w:r>
        <w:rPr>
          <w:lang/>
        </w:rPr>
        <w:tab/>
      </w:r>
      <w:r>
        <w:rPr>
          <w:lang/>
        </w:rPr>
        <w:fldChar w:fldCharType="begin"/>
      </w:r>
      <w:r>
        <w:rPr>
          <w:lang/>
        </w:rPr>
        <w:instrText xml:space="preserve"> PAGEREF _Toc445827403 \h </w:instrText>
      </w:r>
      <w:r>
        <w:rPr>
          <w:lang/>
        </w:rPr>
        <w:fldChar w:fldCharType="separate"/>
      </w:r>
      <w:r>
        <w:rPr>
          <w:lang/>
        </w:rPr>
        <w:t>54</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"_Toc445827404"</w:instrText>
      </w:r>
      <w:r>
        <w:rPr>
          <w:lang/>
        </w:rPr>
        <w:fldChar w:fldCharType="separate"/>
      </w:r>
      <w:r>
        <w:rPr>
          <w:rStyle w:val="12"/>
          <w:rFonts w:ascii="宋体" w:hAnsi="宋体" w:cs="宋体"/>
          <w:b/>
          <w:bCs/>
          <w:lang/>
        </w:rPr>
        <w:t xml:space="preserve">11.6 </w:t>
      </w:r>
      <w:r>
        <w:rPr>
          <w:rStyle w:val="12"/>
          <w:rFonts w:hint="eastAsia" w:ascii="宋体" w:hAnsi="宋体" w:cs="宋体"/>
          <w:b/>
          <w:bCs/>
          <w:lang/>
        </w:rPr>
        <w:t>管理人、托管人及其高级管理人员受稽查或处罚等情况</w:t>
      </w:r>
      <w:r>
        <w:rPr>
          <w:lang/>
        </w:rPr>
        <w:tab/>
      </w:r>
      <w:r>
        <w:rPr>
          <w:lang/>
        </w:rPr>
        <w:fldChar w:fldCharType="begin"/>
      </w:r>
      <w:r>
        <w:rPr>
          <w:lang/>
        </w:rPr>
        <w:instrText xml:space="preserve"> PAGEREF _Toc445827404 \h </w:instrText>
      </w:r>
      <w:r>
        <w:rPr>
          <w:lang/>
        </w:rPr>
        <w:fldChar w:fldCharType="separate"/>
      </w:r>
      <w:r>
        <w:rPr>
          <w:lang/>
        </w:rPr>
        <w:t>54</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"_Toc445827405"</w:instrText>
      </w:r>
      <w:r>
        <w:rPr>
          <w:lang/>
        </w:rPr>
        <w:fldChar w:fldCharType="separate"/>
      </w:r>
      <w:r>
        <w:rPr>
          <w:rStyle w:val="12"/>
          <w:rFonts w:ascii="宋体" w:hAnsi="宋体" w:cs="宋体"/>
          <w:b/>
          <w:bCs/>
          <w:lang/>
        </w:rPr>
        <w:t xml:space="preserve">11.7 </w:t>
      </w:r>
      <w:r>
        <w:rPr>
          <w:rStyle w:val="12"/>
          <w:rFonts w:hint="eastAsia" w:ascii="宋体" w:hAnsi="宋体" w:cs="宋体"/>
          <w:b/>
          <w:bCs/>
          <w:lang/>
        </w:rPr>
        <w:t>基金租用证券公司交易单元的有关情况</w:t>
      </w:r>
      <w:r>
        <w:rPr>
          <w:lang/>
        </w:rPr>
        <w:tab/>
      </w:r>
      <w:r>
        <w:rPr>
          <w:lang/>
        </w:rPr>
        <w:fldChar w:fldCharType="begin"/>
      </w:r>
      <w:r>
        <w:rPr>
          <w:lang/>
        </w:rPr>
        <w:instrText xml:space="preserve"> PAGEREF _Toc445827405 \h </w:instrText>
      </w:r>
      <w:r>
        <w:rPr>
          <w:lang/>
        </w:rPr>
        <w:fldChar w:fldCharType="separate"/>
      </w:r>
      <w:r>
        <w:rPr>
          <w:lang/>
        </w:rPr>
        <w:t>54</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"_Toc445827406"</w:instrText>
      </w:r>
      <w:r>
        <w:rPr>
          <w:lang/>
        </w:rPr>
        <w:fldChar w:fldCharType="separate"/>
      </w:r>
      <w:r>
        <w:rPr>
          <w:rStyle w:val="12"/>
          <w:rFonts w:ascii="宋体" w:hAnsi="宋体" w:cs="宋体"/>
          <w:b/>
          <w:bCs/>
          <w:lang/>
        </w:rPr>
        <w:t xml:space="preserve">11.8 </w:t>
      </w:r>
      <w:r>
        <w:rPr>
          <w:rStyle w:val="12"/>
          <w:rFonts w:hint="eastAsia" w:ascii="宋体" w:hAnsi="宋体" w:cs="宋体"/>
          <w:b/>
          <w:bCs/>
          <w:lang/>
        </w:rPr>
        <w:t>其他重大事件</w:t>
      </w:r>
      <w:r>
        <w:rPr>
          <w:lang/>
        </w:rPr>
        <w:tab/>
      </w:r>
      <w:r>
        <w:rPr>
          <w:lang/>
        </w:rPr>
        <w:fldChar w:fldCharType="begin"/>
      </w:r>
      <w:r>
        <w:rPr>
          <w:lang/>
        </w:rPr>
        <w:instrText xml:space="preserve"> PAGEREF _Toc445827406 \h </w:instrText>
      </w:r>
      <w:r>
        <w:rPr>
          <w:lang/>
        </w:rPr>
        <w:fldChar w:fldCharType="separate"/>
      </w:r>
      <w:r>
        <w:rPr>
          <w:lang/>
        </w:rPr>
        <w:t>55</w:t>
      </w:r>
      <w:r>
        <w:rPr>
          <w:lang/>
        </w:rPr>
        <w:fldChar w:fldCharType="end"/>
      </w:r>
      <w:r>
        <w:rPr>
          <w:lang/>
        </w:rPr>
        <w:fldChar w:fldCharType="end"/>
      </w:r>
    </w:p>
    <w:p>
      <w:pPr>
        <w:pStyle w:val="7"/>
        <w:tabs>
          <w:tab w:val="right" w:leader="dot" w:pos="9080"/>
        </w:tabs>
        <w:rPr>
          <w:lang/>
        </w:rPr>
      </w:pPr>
      <w:r>
        <w:rPr>
          <w:lang/>
        </w:rPr>
        <w:fldChar w:fldCharType="begin"/>
      </w:r>
      <w:r>
        <w:rPr>
          <w:lang/>
        </w:rPr>
        <w:instrText xml:space="preserve">HYPERLINK \l "_Toc445827407"</w:instrText>
      </w:r>
      <w:r>
        <w:rPr>
          <w:lang/>
        </w:rPr>
        <w:fldChar w:fldCharType="separate"/>
      </w:r>
      <w:r>
        <w:rPr>
          <w:rStyle w:val="12"/>
          <w:rFonts w:ascii="宋体" w:hAnsi="宋体" w:cs="宋体"/>
          <w:b/>
          <w:bCs/>
          <w:lang/>
        </w:rPr>
        <w:t xml:space="preserve">§12 </w:t>
      </w:r>
      <w:r>
        <w:rPr>
          <w:rStyle w:val="12"/>
          <w:rFonts w:hint="eastAsia" w:ascii="宋体" w:hAnsi="宋体" w:cs="宋体"/>
          <w:b/>
          <w:bCs/>
          <w:lang/>
        </w:rPr>
        <w:t>备查文件目录</w:t>
      </w:r>
      <w:r>
        <w:rPr>
          <w:lang/>
        </w:rPr>
        <w:tab/>
      </w:r>
      <w:r>
        <w:rPr>
          <w:lang/>
        </w:rPr>
        <w:fldChar w:fldCharType="begin"/>
      </w:r>
      <w:r>
        <w:rPr>
          <w:lang/>
        </w:rPr>
        <w:instrText xml:space="preserve"> PAGEREF _Toc445827407 \h </w:instrText>
      </w:r>
      <w:r>
        <w:rPr>
          <w:lang/>
        </w:rPr>
        <w:fldChar w:fldCharType="separate"/>
      </w:r>
      <w:r>
        <w:rPr>
          <w:lang/>
        </w:rPr>
        <w:t>55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"_Toc445827408"</w:instrText>
      </w:r>
      <w:r>
        <w:rPr>
          <w:lang/>
        </w:rPr>
        <w:fldChar w:fldCharType="separate"/>
      </w:r>
      <w:r>
        <w:rPr>
          <w:rStyle w:val="12"/>
          <w:rFonts w:ascii="宋体" w:hAnsi="宋体" w:cs="宋体"/>
          <w:b/>
          <w:bCs/>
          <w:lang/>
        </w:rPr>
        <w:t xml:space="preserve">12.1 </w:t>
      </w:r>
      <w:r>
        <w:rPr>
          <w:rStyle w:val="12"/>
          <w:rFonts w:hint="eastAsia" w:ascii="宋体" w:hAnsi="宋体" w:cs="宋体"/>
          <w:b/>
          <w:bCs/>
          <w:lang/>
        </w:rPr>
        <w:t>备查文件目录</w:t>
      </w:r>
      <w:r>
        <w:rPr>
          <w:lang/>
        </w:rPr>
        <w:tab/>
      </w:r>
      <w:r>
        <w:rPr>
          <w:lang/>
        </w:rPr>
        <w:fldChar w:fldCharType="begin"/>
      </w:r>
      <w:r>
        <w:rPr>
          <w:lang/>
        </w:rPr>
        <w:instrText xml:space="preserve"> PAGEREF _Toc445827408 \h </w:instrText>
      </w:r>
      <w:r>
        <w:rPr>
          <w:lang/>
        </w:rPr>
        <w:fldChar w:fldCharType="separate"/>
      </w:r>
      <w:r>
        <w:rPr>
          <w:lang/>
        </w:rPr>
        <w:t>55</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"_Toc445827409"</w:instrText>
      </w:r>
      <w:r>
        <w:rPr>
          <w:lang/>
        </w:rPr>
        <w:fldChar w:fldCharType="separate"/>
      </w:r>
      <w:r>
        <w:rPr>
          <w:rStyle w:val="12"/>
          <w:rFonts w:ascii="宋体" w:hAnsi="宋体" w:cs="宋体"/>
          <w:b/>
          <w:bCs/>
          <w:lang/>
        </w:rPr>
        <w:t xml:space="preserve">12.2 </w:t>
      </w:r>
      <w:r>
        <w:rPr>
          <w:rStyle w:val="12"/>
          <w:rFonts w:hint="eastAsia" w:ascii="宋体" w:hAnsi="宋体" w:cs="宋体"/>
          <w:b/>
          <w:bCs/>
          <w:lang/>
        </w:rPr>
        <w:t>存放地点</w:t>
      </w:r>
      <w:r>
        <w:rPr>
          <w:lang/>
        </w:rPr>
        <w:tab/>
      </w:r>
      <w:r>
        <w:rPr>
          <w:lang/>
        </w:rPr>
        <w:fldChar w:fldCharType="begin"/>
      </w:r>
      <w:r>
        <w:rPr>
          <w:lang/>
        </w:rPr>
        <w:instrText xml:space="preserve"> PAGEREF _Toc445827409 \h </w:instrText>
      </w:r>
      <w:r>
        <w:rPr>
          <w:lang/>
        </w:rPr>
        <w:fldChar w:fldCharType="separate"/>
      </w:r>
      <w:r>
        <w:rPr>
          <w:lang/>
        </w:rPr>
        <w:t>56</w:t>
      </w:r>
      <w:r>
        <w:rPr>
          <w:lang/>
        </w:rPr>
        <w:fldChar w:fldCharType="end"/>
      </w:r>
      <w:r>
        <w:rPr>
          <w:lang/>
        </w:rPr>
        <w:fldChar w:fldCharType="end"/>
      </w:r>
    </w:p>
    <w:p>
      <w:pPr>
        <w:pStyle w:val="8"/>
        <w:tabs>
          <w:tab w:val="right" w:leader="dot" w:pos="9080"/>
        </w:tabs>
        <w:rPr>
          <w:lang/>
        </w:rPr>
      </w:pPr>
      <w:r>
        <w:rPr>
          <w:lang/>
        </w:rPr>
        <w:fldChar w:fldCharType="begin"/>
      </w:r>
      <w:r>
        <w:rPr>
          <w:lang/>
        </w:rPr>
        <w:instrText xml:space="preserve">HYPERLINK \l "_Toc445827410"</w:instrText>
      </w:r>
      <w:r>
        <w:rPr>
          <w:lang/>
        </w:rPr>
        <w:fldChar w:fldCharType="separate"/>
      </w:r>
      <w:r>
        <w:rPr>
          <w:rStyle w:val="12"/>
          <w:rFonts w:ascii="宋体" w:hAnsi="宋体" w:cs="宋体"/>
          <w:b/>
          <w:bCs/>
          <w:lang/>
        </w:rPr>
        <w:t xml:space="preserve">12.3 </w:t>
      </w:r>
      <w:r>
        <w:rPr>
          <w:rStyle w:val="12"/>
          <w:rFonts w:hint="eastAsia" w:ascii="宋体" w:hAnsi="宋体" w:cs="宋体"/>
          <w:b/>
          <w:bCs/>
          <w:lang/>
        </w:rPr>
        <w:t>查阅方式</w:t>
      </w:r>
      <w:r>
        <w:rPr>
          <w:lang/>
        </w:rPr>
        <w:tab/>
      </w:r>
      <w:r>
        <w:rPr>
          <w:lang/>
        </w:rPr>
        <w:fldChar w:fldCharType="begin"/>
      </w:r>
      <w:r>
        <w:rPr>
          <w:lang/>
        </w:rPr>
        <w:instrText xml:space="preserve"> PAGEREF _Toc445827410 \h </w:instrText>
      </w:r>
      <w:r>
        <w:rPr>
          <w:lang/>
        </w:rPr>
        <w:fldChar w:fldCharType="separate"/>
      </w:r>
      <w:r>
        <w:rPr>
          <w:lang/>
        </w:rPr>
        <w:t>56</w:t>
      </w:r>
      <w:r>
        <w:rPr>
          <w:lang/>
        </w:rPr>
        <w:fldChar w:fldCharType="end"/>
      </w:r>
      <w:r>
        <w:rPr>
          <w:lang/>
        </w:rPr>
        <w:fldChar w:fldCharType="end"/>
      </w:r>
    </w:p>
    <w:p>
      <w:r>
        <w:fldChar w:fldCharType="end"/>
      </w:r>
    </w:p>
    <w:p>
      <w:pPr>
        <w:spacing w:before="30" w:line="288" w:lineRule="auto"/>
        <w:ind w:left="15"/>
        <w:jc w:val="left"/>
        <w:outlineLvl w:val="1"/>
        <w:rPr>
          <w:rFonts w:ascii="宋体" w:hAnsi="宋体" w:cs="宋体"/>
          <w:b/>
          <w:bCs/>
          <w:color w:val="000000"/>
          <w:sz w:val="24"/>
          <w:szCs w:val="24"/>
        </w:rPr>
      </w:pPr>
    </w:p>
    <w:p>
      <w:pPr>
        <w:spacing w:before="30" w:line="288" w:lineRule="auto"/>
        <w:ind w:left="15"/>
        <w:jc w:val="left"/>
        <w:rPr>
          <w:rFonts w:ascii="宋体" w:hAnsi="宋体" w:cs="宋体"/>
          <w:b/>
          <w:bCs/>
          <w:color w:val="000000"/>
          <w:sz w:val="24"/>
          <w:szCs w:val="24"/>
        </w:rPr>
        <w:sectPr>
          <w:pgSz w:w="11926" w:h="16867"/>
          <w:pgMar w:top="1418" w:right="1418" w:bottom="853" w:left="1418" w:header="851" w:footer="992" w:gutter="0"/>
          <w:cols w:space="720" w:num="1"/>
        </w:sectPr>
      </w:pPr>
    </w:p>
    <w:p>
      <w:pPr>
        <w:spacing w:before="29" w:line="288" w:lineRule="auto"/>
        <w:ind w:left="15"/>
        <w:jc w:val="center"/>
        <w:outlineLvl w:val="0"/>
        <w:rPr>
          <w:rFonts w:ascii="宋体" w:hAnsi="宋体" w:cs="宋体"/>
          <w:b/>
          <w:bCs/>
          <w:color w:val="000000"/>
          <w:sz w:val="24"/>
          <w:szCs w:val="24"/>
        </w:rPr>
      </w:pPr>
      <w:bookmarkStart w:id="5" w:name="_Toc445827349"/>
      <w:r>
        <w:rPr>
          <w:rFonts w:hint="eastAsia" w:ascii="宋体" w:hAnsi="宋体" w:cs="宋体"/>
          <w:b/>
          <w:bCs/>
          <w:color w:val="000000"/>
          <w:sz w:val="24"/>
          <w:szCs w:val="24"/>
        </w:rPr>
        <w:t>§</w:t>
      </w:r>
      <w:r>
        <w:rPr>
          <w:rFonts w:ascii="宋体" w:hAnsi="宋体" w:cs="宋体"/>
          <w:b/>
          <w:bCs/>
          <w:color w:val="000000"/>
          <w:sz w:val="24"/>
          <w:szCs w:val="24"/>
        </w:rPr>
        <w:t xml:space="preserve">2  </w:t>
      </w:r>
      <w:r>
        <w:rPr>
          <w:rFonts w:hint="eastAsia" w:ascii="宋体" w:hAnsi="宋体" w:cs="宋体"/>
          <w:b/>
          <w:bCs/>
          <w:color w:val="000000"/>
          <w:sz w:val="24"/>
          <w:szCs w:val="24"/>
        </w:rPr>
        <w:t>基金简介</w:t>
      </w:r>
      <w:bookmarkEnd w:id="5"/>
    </w:p>
    <w:p>
      <w:pPr>
        <w:spacing w:line="288" w:lineRule="auto"/>
        <w:jc w:val="left"/>
        <w:rPr>
          <w:rFonts w:ascii="MS Sans Serif" w:hAnsi="MS Sans Serif" w:eastAsia="Times New Roman" w:cs="MS Sans Serif"/>
          <w:color w:val="000000"/>
          <w:sz w:val="24"/>
          <w:szCs w:val="24"/>
        </w:rPr>
      </w:pPr>
    </w:p>
    <w:p>
      <w:pPr>
        <w:spacing w:before="29" w:line="288" w:lineRule="auto"/>
        <w:ind w:left="15"/>
        <w:jc w:val="left"/>
        <w:outlineLvl w:val="1"/>
        <w:rPr>
          <w:rFonts w:ascii="宋体" w:hAnsi="宋体" w:cs="宋体"/>
          <w:b/>
          <w:bCs/>
          <w:color w:val="000000"/>
          <w:sz w:val="24"/>
          <w:szCs w:val="24"/>
        </w:rPr>
      </w:pPr>
      <w:bookmarkStart w:id="6" w:name="_Toc445827350"/>
      <w:r>
        <w:rPr>
          <w:rFonts w:ascii="宋体" w:hAnsi="宋体" w:cs="宋体"/>
          <w:b/>
          <w:bCs/>
          <w:color w:val="000000"/>
          <w:sz w:val="24"/>
          <w:szCs w:val="24"/>
        </w:rPr>
        <w:t xml:space="preserve">2.1 </w:t>
      </w:r>
      <w:r>
        <w:rPr>
          <w:rFonts w:hint="eastAsia" w:ascii="宋体" w:hAnsi="宋体" w:cs="宋体"/>
          <w:b/>
          <w:bCs/>
          <w:color w:val="000000"/>
          <w:sz w:val="24"/>
          <w:szCs w:val="24"/>
        </w:rPr>
        <w:t>基金基本情况</w:t>
      </w:r>
      <w:bookmarkEnd w:id="6"/>
    </w:p>
    <w:tbl>
      <w:tblPr>
        <w:tblStyle w:val="10"/>
        <w:tblW w:w="0" w:type="auto"/>
        <w:tblInd w:w="108" w:type="dxa"/>
        <w:tblLayout w:type="fixed"/>
        <w:tblCellMar>
          <w:top w:w="0" w:type="dxa"/>
          <w:left w:w="108" w:type="dxa"/>
          <w:bottom w:w="0" w:type="dxa"/>
          <w:right w:w="108" w:type="dxa"/>
        </w:tblCellMar>
      </w:tblPr>
      <w:tblGrid>
        <w:gridCol w:w="2977"/>
        <w:gridCol w:w="6051"/>
      </w:tblGrid>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基金名称</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创金合信沪港深研究精选灵活配置混合型证券投资基金</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基金简称</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创金沪港深精选混合</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基金主代码</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001662</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基金运作方式</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契约型开放式</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基金管理人</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创金合信基金管理有限公司</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基金托管人</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中国工商银行股份有限公司</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报告期末基金份额总额</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248,272,977.05</w:t>
            </w:r>
          </w:p>
        </w:tc>
      </w:tr>
      <w:tr>
        <w:tblPrEx>
          <w:tblCellMar>
            <w:top w:w="0" w:type="dxa"/>
            <w:left w:w="108" w:type="dxa"/>
            <w:bottom w:w="0" w:type="dxa"/>
            <w:right w:w="108" w:type="dxa"/>
          </w:tblCellMar>
        </w:tblPrEx>
        <w:trPr>
          <w:wBefore w:w="0" w:type="dxa"/>
        </w:trPr>
        <w:tc>
          <w:tcPr>
            <w:tcW w:w="297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基金合同存续期</w:t>
            </w:r>
          </w:p>
        </w:tc>
        <w:tc>
          <w:tcPr>
            <w:tcW w:w="60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不定期</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7" w:name="_Toc445827351"/>
      <w:r>
        <w:rPr>
          <w:rFonts w:ascii="宋体" w:hAnsi="宋体" w:cs="宋体"/>
          <w:b/>
          <w:bCs/>
          <w:color w:val="000000"/>
          <w:sz w:val="24"/>
          <w:szCs w:val="24"/>
        </w:rPr>
        <w:t xml:space="preserve">2.2 </w:t>
      </w:r>
      <w:r>
        <w:rPr>
          <w:rFonts w:hint="eastAsia" w:ascii="宋体" w:hAnsi="宋体" w:cs="宋体"/>
          <w:b/>
          <w:bCs/>
          <w:color w:val="000000"/>
          <w:sz w:val="24"/>
          <w:szCs w:val="24"/>
        </w:rPr>
        <w:t>基金产品说明</w:t>
      </w:r>
      <w:bookmarkEnd w:id="7"/>
    </w:p>
    <w:tbl>
      <w:tblPr>
        <w:tblStyle w:val="10"/>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积极进行资产配置，深入挖掘受益于国家经济增长和转型过程中涌现出来的持续成长性良好的和业绩稳定增长的优秀企业进行积极投资，充分分享中国经济增长和优化资产配置的成果，在有效控制风险的前提下，力争为基金份额持有人提供长期稳定的投资回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本基金以</w:t>
            </w:r>
            <w:r>
              <w:rPr>
                <w:rFonts w:hint="eastAsia" w:ascii="宋体" w:hAnsi="宋体" w:cs="宋体"/>
                <w:sz w:val="24"/>
                <w:szCs w:val="24"/>
              </w:rPr>
              <w:t>“底线思维”</w:t>
            </w:r>
            <w:r>
              <w:rPr>
                <w:rFonts w:hint="eastAsia" w:ascii="宋体" w:hAnsi="宋体" w:cs="宋体"/>
                <w:color w:val="000000"/>
                <w:sz w:val="24"/>
                <w:szCs w:val="24"/>
              </w:rPr>
              <w:t>为原则，将组合最大回撤风险控制在能够承受的范围之内；抛弃乐观幻想，明确区分主观期望与市场现实。其次要严格考察风险收益比，承担仓位风险要有回报。操作策略方面重点关注四种类型：其一是深</w:t>
            </w:r>
            <w:r>
              <w:rPr>
                <w:rFonts w:ascii="宋体" w:hAnsi="宋体" w:cs="宋体"/>
                <w:color w:val="000000"/>
                <w:sz w:val="24"/>
                <w:szCs w:val="24"/>
              </w:rPr>
              <w:t>V</w:t>
            </w:r>
            <w:r>
              <w:rPr>
                <w:rFonts w:hint="eastAsia" w:ascii="宋体" w:hAnsi="宋体" w:cs="宋体"/>
                <w:color w:val="000000"/>
                <w:sz w:val="24"/>
                <w:szCs w:val="24"/>
              </w:rPr>
              <w:t>型超跌反弹的机会；其二是主题轮动行情中的分散潜伏、轮种轮收策略；其三是密切关注大小市值风格轮动机会，捕捉短暂的大市值风格补涨机会；第四是中小市值个股的个性化超额收益策略。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沪深</w:t>
            </w:r>
            <w:r>
              <w:rPr>
                <w:rFonts w:ascii="宋体" w:hAnsi="宋体" w:cs="宋体"/>
                <w:color w:val="000000"/>
                <w:sz w:val="24"/>
                <w:szCs w:val="24"/>
              </w:rPr>
              <w:t xml:space="preserve">300 </w:t>
            </w:r>
            <w:r>
              <w:rPr>
                <w:rFonts w:hint="eastAsia" w:ascii="宋体" w:hAnsi="宋体" w:cs="宋体"/>
                <w:color w:val="000000"/>
                <w:sz w:val="24"/>
                <w:szCs w:val="24"/>
              </w:rPr>
              <w:t>指数收益率×</w:t>
            </w:r>
            <w:r>
              <w:rPr>
                <w:rFonts w:ascii="宋体" w:hAnsi="宋体" w:cs="宋体"/>
                <w:color w:val="000000"/>
                <w:sz w:val="24"/>
                <w:szCs w:val="24"/>
              </w:rPr>
              <w:t>40</w:t>
            </w:r>
            <w:r>
              <w:rPr>
                <w:rFonts w:hint="eastAsia" w:ascii="宋体" w:hAnsi="宋体" w:cs="宋体"/>
                <w:color w:val="000000"/>
                <w:sz w:val="24"/>
                <w:szCs w:val="24"/>
              </w:rPr>
              <w:t>％＋恒生指数收益率×</w:t>
            </w:r>
            <w:r>
              <w:rPr>
                <w:rFonts w:ascii="宋体" w:hAnsi="宋体" w:cs="宋体"/>
                <w:color w:val="000000"/>
                <w:sz w:val="24"/>
                <w:szCs w:val="24"/>
              </w:rPr>
              <w:t>20</w:t>
            </w:r>
            <w:r>
              <w:rPr>
                <w:rFonts w:hint="eastAsia" w:ascii="宋体" w:hAnsi="宋体" w:cs="宋体"/>
                <w:color w:val="000000"/>
                <w:sz w:val="24"/>
                <w:szCs w:val="24"/>
              </w:rPr>
              <w:t>％＋中债总指数（全价）收益率×</w:t>
            </w:r>
            <w:r>
              <w:rPr>
                <w:rFonts w:ascii="宋体" w:hAnsi="宋体" w:cs="宋体"/>
                <w:color w:val="000000"/>
                <w:sz w:val="24"/>
                <w:szCs w:val="24"/>
              </w:rPr>
              <w:t>40</w:t>
            </w: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本基金是混合型证券投资基金，属于证券投资基金中的中等风险品种，本基金的预期收益和预期风险高于货币市场基金、债券型基金，低于股票型基金。</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8" w:name="_Toc445827352"/>
      <w:r>
        <w:rPr>
          <w:rFonts w:ascii="宋体" w:hAnsi="宋体" w:cs="宋体"/>
          <w:b/>
          <w:bCs/>
          <w:color w:val="000000"/>
          <w:sz w:val="24"/>
          <w:szCs w:val="24"/>
        </w:rPr>
        <w:t xml:space="preserve">2.3 </w:t>
      </w:r>
      <w:r>
        <w:rPr>
          <w:rFonts w:hint="eastAsia" w:ascii="宋体" w:hAnsi="宋体" w:cs="宋体"/>
          <w:b/>
          <w:bCs/>
          <w:color w:val="000000"/>
          <w:sz w:val="24"/>
          <w:szCs w:val="24"/>
        </w:rPr>
        <w:t>基金管理人和基金托管人</w:t>
      </w:r>
      <w:bookmarkEnd w:id="8"/>
    </w:p>
    <w:tbl>
      <w:tblPr>
        <w:tblStyle w:val="10"/>
        <w:tblW w:w="0" w:type="auto"/>
        <w:tblInd w:w="108" w:type="dxa"/>
        <w:tblLayout w:type="fixed"/>
        <w:tblCellMar>
          <w:top w:w="0" w:type="dxa"/>
          <w:left w:w="108" w:type="dxa"/>
          <w:bottom w:w="0" w:type="dxa"/>
          <w:right w:w="108" w:type="dxa"/>
        </w:tblCellMar>
      </w:tblPr>
      <w:tblGrid>
        <w:gridCol w:w="1082"/>
        <w:gridCol w:w="1444"/>
        <w:gridCol w:w="3428"/>
        <w:gridCol w:w="3074"/>
      </w:tblGrid>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项目</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基金管理人</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基金托管人</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名称</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创金合信基金管理有限公司</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中国工商银行股份有限公司</w:t>
            </w:r>
          </w:p>
        </w:tc>
      </w:tr>
      <w:tr>
        <w:tblPrEx>
          <w:tblCellMar>
            <w:top w:w="0" w:type="dxa"/>
            <w:left w:w="108" w:type="dxa"/>
            <w:bottom w:w="0" w:type="dxa"/>
            <w:right w:w="108" w:type="dxa"/>
          </w:tblCellMar>
        </w:tblPrEx>
        <w:trPr>
          <w:wBefore w:w="0" w:type="dxa"/>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姓名</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梁绍锋</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洪渊</w:t>
            </w:r>
          </w:p>
        </w:tc>
      </w:tr>
      <w:tr>
        <w:tblPrEx>
          <w:tblCellMar>
            <w:top w:w="0" w:type="dxa"/>
            <w:left w:w="108" w:type="dxa"/>
            <w:bottom w:w="0" w:type="dxa"/>
            <w:right w:w="108" w:type="dxa"/>
          </w:tblCellMar>
        </w:tblPrEx>
        <w:trPr>
          <w:wBefore w:w="0" w:type="dxa"/>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联系电话</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0755-23838908</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010-66105799</w:t>
            </w:r>
          </w:p>
        </w:tc>
      </w:tr>
      <w:tr>
        <w:tblPrEx>
          <w:tblCellMar>
            <w:top w:w="0" w:type="dxa"/>
            <w:left w:w="108" w:type="dxa"/>
            <w:bottom w:w="0" w:type="dxa"/>
            <w:right w:w="108" w:type="dxa"/>
          </w:tblCellMar>
        </w:tblPrEx>
        <w:trPr>
          <w:wBefore w:w="0" w:type="dxa"/>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电子邮箱</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liangshaofeng@cjhxfund.com</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custody@icbc.com.cn</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客户服务电话</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400-868-0666</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95588</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传真</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0755-25832571</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010-66105798</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注册地址</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深圳市前海深港合作区前湾一路</w:t>
            </w:r>
            <w:r>
              <w:rPr>
                <w:rFonts w:ascii="宋体" w:hAnsi="宋体" w:cs="宋体"/>
                <w:color w:val="000000"/>
                <w:sz w:val="24"/>
                <w:szCs w:val="24"/>
              </w:rPr>
              <w:t xml:space="preserve"> 1</w:t>
            </w:r>
            <w:r>
              <w:rPr>
                <w:rFonts w:hint="eastAsia" w:ascii="宋体" w:hAnsi="宋体" w:cs="宋体"/>
                <w:color w:val="000000"/>
                <w:sz w:val="24"/>
                <w:szCs w:val="24"/>
              </w:rPr>
              <w:t>号</w:t>
            </w:r>
            <w:r>
              <w:rPr>
                <w:rFonts w:ascii="宋体" w:hAnsi="宋体" w:cs="宋体"/>
                <w:color w:val="000000"/>
                <w:sz w:val="24"/>
                <w:szCs w:val="24"/>
              </w:rPr>
              <w:t>A</w:t>
            </w:r>
            <w:r>
              <w:rPr>
                <w:rFonts w:hint="eastAsia" w:ascii="宋体" w:hAnsi="宋体" w:cs="宋体"/>
                <w:color w:val="000000"/>
                <w:sz w:val="24"/>
                <w:szCs w:val="24"/>
              </w:rPr>
              <w:t>栋</w:t>
            </w:r>
            <w:r>
              <w:rPr>
                <w:rFonts w:ascii="宋体" w:hAnsi="宋体" w:cs="宋体"/>
                <w:color w:val="000000"/>
                <w:sz w:val="24"/>
                <w:szCs w:val="24"/>
              </w:rPr>
              <w:t xml:space="preserve">201 </w:t>
            </w:r>
            <w:r>
              <w:rPr>
                <w:rFonts w:hint="eastAsia" w:ascii="宋体" w:hAnsi="宋体" w:cs="宋体"/>
                <w:color w:val="000000"/>
                <w:sz w:val="24"/>
                <w:szCs w:val="24"/>
              </w:rPr>
              <w:t>室</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北京市西城区复兴门内大街</w:t>
            </w:r>
            <w:r>
              <w:rPr>
                <w:rFonts w:ascii="宋体" w:hAnsi="宋体" w:cs="宋体"/>
                <w:color w:val="000000"/>
                <w:sz w:val="24"/>
                <w:szCs w:val="24"/>
              </w:rPr>
              <w:t>55</w:t>
            </w:r>
            <w:r>
              <w:rPr>
                <w:rFonts w:hint="eastAsia" w:ascii="宋体" w:hAnsi="宋体" w:cs="宋体"/>
                <w:color w:val="000000"/>
                <w:sz w:val="24"/>
                <w:szCs w:val="24"/>
              </w:rPr>
              <w:t>号</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办公地址</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深圳市福田中心区福华一路</w:t>
            </w:r>
            <w:r>
              <w:rPr>
                <w:rFonts w:ascii="宋体" w:hAnsi="宋体" w:cs="宋体"/>
                <w:color w:val="000000"/>
                <w:sz w:val="24"/>
                <w:szCs w:val="24"/>
              </w:rPr>
              <w:t>115</w:t>
            </w:r>
            <w:r>
              <w:rPr>
                <w:rFonts w:hint="eastAsia" w:ascii="宋体" w:hAnsi="宋体" w:cs="宋体"/>
                <w:color w:val="000000"/>
                <w:sz w:val="24"/>
                <w:szCs w:val="24"/>
              </w:rPr>
              <w:t>号投行大厦</w:t>
            </w:r>
            <w:r>
              <w:rPr>
                <w:rFonts w:ascii="宋体" w:hAnsi="宋体" w:cs="宋体"/>
                <w:color w:val="000000"/>
                <w:sz w:val="24"/>
                <w:szCs w:val="24"/>
              </w:rPr>
              <w:t>15</w:t>
            </w:r>
            <w:r>
              <w:rPr>
                <w:rFonts w:hint="eastAsia" w:ascii="宋体" w:hAnsi="宋体" w:cs="宋体"/>
                <w:color w:val="000000"/>
                <w:sz w:val="24"/>
                <w:szCs w:val="24"/>
              </w:rPr>
              <w:t>层</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北京市西城区复兴门内大街</w:t>
            </w:r>
            <w:r>
              <w:rPr>
                <w:rFonts w:ascii="宋体" w:hAnsi="宋体" w:cs="宋体"/>
                <w:color w:val="000000"/>
                <w:sz w:val="24"/>
                <w:szCs w:val="24"/>
              </w:rPr>
              <w:t>55</w:t>
            </w:r>
            <w:r>
              <w:rPr>
                <w:rFonts w:hint="eastAsia" w:ascii="宋体" w:hAnsi="宋体" w:cs="宋体"/>
                <w:color w:val="000000"/>
                <w:sz w:val="24"/>
                <w:szCs w:val="24"/>
              </w:rPr>
              <w:t>号</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邮政编码</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518000</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100140</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法定代表人</w:t>
            </w:r>
          </w:p>
        </w:tc>
        <w:tc>
          <w:tcPr>
            <w:tcW w:w="34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刘学民</w:t>
            </w:r>
          </w:p>
        </w:tc>
        <w:tc>
          <w:tcPr>
            <w:tcW w:w="30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姜建清</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9" w:name="_Toc445827353"/>
      <w:r>
        <w:rPr>
          <w:rFonts w:ascii="宋体" w:hAnsi="宋体" w:cs="宋体"/>
          <w:b/>
          <w:bCs/>
          <w:color w:val="000000"/>
          <w:sz w:val="24"/>
          <w:szCs w:val="24"/>
        </w:rPr>
        <w:t xml:space="preserve">2.4 </w:t>
      </w:r>
      <w:r>
        <w:rPr>
          <w:rFonts w:hint="eastAsia" w:ascii="宋体" w:hAnsi="宋体" w:cs="宋体"/>
          <w:b/>
          <w:bCs/>
          <w:color w:val="000000"/>
          <w:sz w:val="24"/>
          <w:szCs w:val="24"/>
        </w:rPr>
        <w:t>信息披露方式</w:t>
      </w:r>
      <w:bookmarkEnd w:id="9"/>
    </w:p>
    <w:tbl>
      <w:tblPr>
        <w:tblStyle w:val="10"/>
        <w:tblW w:w="0" w:type="auto"/>
        <w:tblInd w:w="108" w:type="dxa"/>
        <w:tblLayout w:type="fixed"/>
        <w:tblCellMar>
          <w:top w:w="0" w:type="dxa"/>
          <w:left w:w="108" w:type="dxa"/>
          <w:bottom w:w="0" w:type="dxa"/>
          <w:right w:w="108" w:type="dxa"/>
        </w:tblCellMar>
      </w:tblPr>
      <w:tblGrid>
        <w:gridCol w:w="2526"/>
        <w:gridCol w:w="6502"/>
      </w:tblGrid>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中国证券报</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www.cjhxfund.com</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深圳市福田区福华一路</w:t>
            </w:r>
            <w:r>
              <w:rPr>
                <w:rFonts w:ascii="宋体" w:hAnsi="宋体" w:cs="宋体"/>
                <w:color w:val="000000"/>
                <w:sz w:val="24"/>
                <w:szCs w:val="24"/>
              </w:rPr>
              <w:t>115</w:t>
            </w:r>
            <w:r>
              <w:rPr>
                <w:rFonts w:hint="eastAsia" w:ascii="宋体" w:hAnsi="宋体" w:cs="宋体"/>
                <w:color w:val="000000"/>
                <w:sz w:val="24"/>
                <w:szCs w:val="24"/>
              </w:rPr>
              <w:t>号投行大厦</w:t>
            </w:r>
            <w:r>
              <w:rPr>
                <w:rFonts w:ascii="宋体" w:hAnsi="宋体" w:cs="宋体"/>
                <w:color w:val="000000"/>
                <w:sz w:val="24"/>
                <w:szCs w:val="24"/>
              </w:rPr>
              <w:t>15</w:t>
            </w:r>
            <w:r>
              <w:rPr>
                <w:rFonts w:hint="eastAsia" w:ascii="宋体" w:hAnsi="宋体" w:cs="宋体"/>
                <w:color w:val="000000"/>
                <w:sz w:val="24"/>
                <w:szCs w:val="24"/>
              </w:rPr>
              <w:t>楼</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10" w:name="_Toc445827354"/>
      <w:r>
        <w:rPr>
          <w:rFonts w:ascii="宋体" w:hAnsi="宋体" w:cs="宋体"/>
          <w:b/>
          <w:bCs/>
          <w:color w:val="000000"/>
          <w:sz w:val="24"/>
          <w:szCs w:val="24"/>
        </w:rPr>
        <w:t xml:space="preserve">2.5 </w:t>
      </w:r>
      <w:r>
        <w:rPr>
          <w:rFonts w:hint="eastAsia" w:ascii="宋体" w:hAnsi="宋体" w:cs="宋体"/>
          <w:b/>
          <w:bCs/>
          <w:color w:val="000000"/>
          <w:sz w:val="24"/>
          <w:szCs w:val="24"/>
        </w:rPr>
        <w:t>其他相关资料</w:t>
      </w:r>
      <w:bookmarkEnd w:id="10"/>
    </w:p>
    <w:tbl>
      <w:tblPr>
        <w:tblStyle w:val="10"/>
        <w:tblW w:w="0" w:type="auto"/>
        <w:tblInd w:w="108" w:type="dxa"/>
        <w:tblLayout w:type="fixed"/>
        <w:tblCellMar>
          <w:top w:w="0" w:type="dxa"/>
          <w:left w:w="108" w:type="dxa"/>
          <w:bottom w:w="0" w:type="dxa"/>
          <w:right w:w="108" w:type="dxa"/>
        </w:tblCellMar>
      </w:tblPr>
      <w:tblGrid>
        <w:gridCol w:w="2165"/>
        <w:gridCol w:w="3251"/>
        <w:gridCol w:w="3612"/>
      </w:tblGrid>
      <w:tr>
        <w:tblPrEx>
          <w:tblCellMar>
            <w:top w:w="0" w:type="dxa"/>
            <w:left w:w="108" w:type="dxa"/>
            <w:bottom w:w="0" w:type="dxa"/>
            <w:right w:w="108" w:type="dxa"/>
          </w:tblCellMar>
        </w:tblPrEx>
        <w:trPr>
          <w:wBefore w:w="0" w:type="dxa"/>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办公地址</w:t>
            </w:r>
          </w:p>
        </w:tc>
      </w:tr>
      <w:tr>
        <w:tblPrEx>
          <w:tblCellMar>
            <w:top w:w="0" w:type="dxa"/>
            <w:left w:w="108" w:type="dxa"/>
            <w:bottom w:w="0" w:type="dxa"/>
            <w:right w:w="108" w:type="dxa"/>
          </w:tblCellMar>
        </w:tblPrEx>
        <w:trPr>
          <w:wBefore w:w="0" w:type="dxa"/>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上海市黄浦区湖滨路</w:t>
            </w:r>
            <w:r>
              <w:rPr>
                <w:rFonts w:ascii="宋体" w:hAnsi="宋体" w:cs="宋体"/>
                <w:color w:val="000000"/>
                <w:sz w:val="24"/>
                <w:szCs w:val="24"/>
              </w:rPr>
              <w:t>202</w:t>
            </w:r>
            <w:r>
              <w:rPr>
                <w:rFonts w:hint="eastAsia" w:ascii="宋体" w:hAnsi="宋体" w:cs="宋体"/>
                <w:color w:val="000000"/>
                <w:sz w:val="24"/>
                <w:szCs w:val="24"/>
              </w:rPr>
              <w:t>号普华永道中心</w:t>
            </w:r>
            <w:r>
              <w:rPr>
                <w:rFonts w:ascii="宋体" w:hAnsi="宋体" w:cs="宋体"/>
                <w:color w:val="000000"/>
                <w:sz w:val="24"/>
                <w:szCs w:val="24"/>
              </w:rPr>
              <w:t>11</w:t>
            </w:r>
            <w:r>
              <w:rPr>
                <w:rFonts w:hint="eastAsia" w:ascii="宋体" w:hAnsi="宋体" w:cs="宋体"/>
                <w:color w:val="000000"/>
                <w:sz w:val="24"/>
                <w:szCs w:val="24"/>
              </w:rPr>
              <w:t>楼</w:t>
            </w:r>
          </w:p>
        </w:tc>
      </w:tr>
      <w:tr>
        <w:tblPrEx>
          <w:tblCellMar>
            <w:top w:w="0" w:type="dxa"/>
            <w:left w:w="108" w:type="dxa"/>
            <w:bottom w:w="0" w:type="dxa"/>
            <w:right w:w="108" w:type="dxa"/>
          </w:tblCellMar>
        </w:tblPrEx>
        <w:trPr>
          <w:wBefore w:w="0" w:type="dxa"/>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深圳市福田区福华一路</w:t>
            </w:r>
            <w:r>
              <w:rPr>
                <w:rFonts w:ascii="宋体" w:hAnsi="宋体" w:cs="宋体"/>
                <w:color w:val="000000"/>
                <w:sz w:val="24"/>
                <w:szCs w:val="24"/>
              </w:rPr>
              <w:t>115</w:t>
            </w:r>
            <w:r>
              <w:rPr>
                <w:rFonts w:hint="eastAsia" w:ascii="宋体" w:hAnsi="宋体" w:cs="宋体"/>
                <w:color w:val="000000"/>
                <w:sz w:val="24"/>
                <w:szCs w:val="24"/>
              </w:rPr>
              <w:t>号投行大厦</w:t>
            </w:r>
            <w:r>
              <w:rPr>
                <w:rFonts w:ascii="宋体" w:hAnsi="宋体" w:cs="宋体"/>
                <w:color w:val="000000"/>
                <w:sz w:val="24"/>
                <w:szCs w:val="24"/>
              </w:rPr>
              <w:t>15</w:t>
            </w:r>
            <w:r>
              <w:rPr>
                <w:rFonts w:hint="eastAsia" w:ascii="宋体" w:hAnsi="宋体" w:cs="宋体"/>
                <w:color w:val="000000"/>
                <w:sz w:val="24"/>
                <w:szCs w:val="24"/>
              </w:rPr>
              <w:t>楼</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11" w:name="_Toc445827355"/>
      <w:r>
        <w:rPr>
          <w:rFonts w:hint="eastAsia" w:ascii="宋体" w:hAnsi="宋体" w:cs="宋体"/>
          <w:b/>
          <w:bCs/>
          <w:color w:val="000000"/>
          <w:sz w:val="24"/>
          <w:szCs w:val="24"/>
        </w:rPr>
        <w:t>§</w:t>
      </w:r>
      <w:r>
        <w:rPr>
          <w:rFonts w:ascii="宋体" w:hAnsi="宋体" w:cs="宋体"/>
          <w:b/>
          <w:bCs/>
          <w:color w:val="000000"/>
          <w:sz w:val="24"/>
          <w:szCs w:val="24"/>
        </w:rPr>
        <w:t xml:space="preserve">3  </w:t>
      </w:r>
      <w:r>
        <w:rPr>
          <w:rFonts w:hint="eastAsia" w:ascii="宋体" w:hAnsi="宋体" w:cs="宋体"/>
          <w:b/>
          <w:bCs/>
          <w:color w:val="000000"/>
          <w:sz w:val="24"/>
          <w:szCs w:val="24"/>
        </w:rPr>
        <w:t>主要财务指标、基金净值表现及利润分配情况</w:t>
      </w:r>
      <w:bookmarkEnd w:id="11"/>
    </w:p>
    <w:p>
      <w:pPr>
        <w:spacing w:before="29" w:line="288" w:lineRule="auto"/>
        <w:ind w:left="15"/>
        <w:jc w:val="left"/>
        <w:outlineLvl w:val="1"/>
        <w:rPr>
          <w:rFonts w:ascii="宋体" w:hAnsi="宋体" w:cs="宋体"/>
          <w:b/>
          <w:bCs/>
          <w:color w:val="000000"/>
          <w:sz w:val="24"/>
          <w:szCs w:val="24"/>
        </w:rPr>
      </w:pPr>
      <w:bookmarkStart w:id="12" w:name="_Toc445827356"/>
      <w:r>
        <w:rPr>
          <w:rFonts w:ascii="宋体" w:hAnsi="宋体" w:cs="宋体"/>
          <w:b/>
          <w:bCs/>
          <w:color w:val="000000"/>
          <w:sz w:val="24"/>
          <w:szCs w:val="24"/>
        </w:rPr>
        <w:t xml:space="preserve">3.1 </w:t>
      </w:r>
      <w:r>
        <w:rPr>
          <w:rFonts w:hint="eastAsia" w:ascii="宋体" w:hAnsi="宋体" w:cs="宋体"/>
          <w:b/>
          <w:bCs/>
          <w:color w:val="000000"/>
          <w:sz w:val="24"/>
          <w:szCs w:val="24"/>
        </w:rPr>
        <w:t>主要会计数据和财务指标</w:t>
      </w:r>
      <w:bookmarkEnd w:id="12"/>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3.1.1 </w:t>
            </w:r>
            <w:r>
              <w:rPr>
                <w:rFonts w:hint="eastAsia" w:ascii="宋体" w:hAnsi="宋体" w:cs="宋体"/>
                <w:b/>
                <w:bCs/>
                <w:color w:val="000000"/>
                <w:sz w:val="24"/>
                <w:szCs w:val="24"/>
              </w:rPr>
              <w:t>期间数据和指标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本期已实现收益</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330,503.29</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-1,109,530.26</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-0.0039</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本期加权平均净值利润率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-0.39%</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本期基金份额净值增长率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-0.50%</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3.1.2 </w:t>
            </w:r>
            <w:r>
              <w:rPr>
                <w:rFonts w:hint="eastAsia" w:ascii="宋体" w:hAnsi="宋体" w:cs="宋体"/>
                <w:b/>
                <w:bCs/>
                <w:color w:val="000000"/>
                <w:sz w:val="24"/>
                <w:szCs w:val="24"/>
              </w:rPr>
              <w:t>期末数据和指标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年末</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期末可供分配利润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-1,302,557.89</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-0.0052</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期末基金资产净值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246,970,419.16</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期末基金份额净值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0.995</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3.1.3 </w:t>
            </w:r>
            <w:r>
              <w:rPr>
                <w:rFonts w:hint="eastAsia" w:ascii="宋体" w:hAnsi="宋体" w:cs="宋体"/>
                <w:b/>
                <w:bCs/>
                <w:color w:val="000000"/>
                <w:sz w:val="24"/>
                <w:szCs w:val="24"/>
              </w:rPr>
              <w:t>累计期末指标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年末</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基金份额累计净值增长率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-0.50%</w:t>
            </w:r>
          </w:p>
        </w:tc>
      </w:tr>
    </w:tbl>
    <w:p>
      <w:pPr>
        <w:spacing w:before="29" w:line="288" w:lineRule="auto"/>
        <w:ind w:left="15"/>
        <w:jc w:val="left"/>
        <w:rPr>
          <w:rFonts w:ascii="宋体" w:hAnsi="宋体" w:cs="宋体"/>
          <w:color w:val="000000"/>
        </w:rPr>
      </w:pPr>
      <w:r>
        <w:rPr>
          <w:rFonts w:hint="eastAsia" w:ascii="宋体" w:hAnsi="宋体" w:cs="宋体"/>
          <w:color w:val="000000"/>
        </w:rPr>
        <w:t>注：</w:t>
      </w:r>
      <w:r>
        <w:rPr>
          <w:rFonts w:ascii="宋体" w:hAnsi="宋体" w:cs="宋体"/>
          <w:color w:val="000000"/>
        </w:rPr>
        <w:t>1</w:t>
      </w:r>
      <w:r>
        <w:rPr>
          <w:rFonts w:hint="eastAsia" w:ascii="宋体" w:hAnsi="宋体" w:cs="宋体"/>
          <w:color w:val="000000"/>
        </w:rPr>
        <w:t>、上述基金业绩指标不包括持有人交易基金的各项费用</w:t>
      </w:r>
      <w:r>
        <w:rPr>
          <w:rFonts w:ascii="宋体" w:hAnsi="宋体" w:cs="宋体"/>
          <w:color w:val="000000"/>
        </w:rPr>
        <w:t>,</w:t>
      </w:r>
      <w:r>
        <w:rPr>
          <w:rFonts w:hint="eastAsia" w:ascii="宋体" w:hAnsi="宋体" w:cs="宋体"/>
          <w:color w:val="000000"/>
        </w:rPr>
        <w:t>计入费用后实际收益水平要低于所列数字。</w:t>
      </w:r>
    </w:p>
    <w:p>
      <w:pPr>
        <w:spacing w:before="29" w:line="288" w:lineRule="auto"/>
        <w:ind w:left="15"/>
        <w:jc w:val="left"/>
        <w:rPr>
          <w:rFonts w:ascii="宋体" w:hAnsi="宋体" w:cs="宋体"/>
          <w:color w:val="000000"/>
        </w:rPr>
      </w:pPr>
      <w:r>
        <w:rPr>
          <w:rFonts w:ascii="宋体" w:hAnsi="宋体" w:cs="宋体"/>
          <w:color w:val="000000"/>
        </w:rPr>
        <w:t>2</w:t>
      </w:r>
      <w:r>
        <w:rPr>
          <w:rFonts w:hint="eastAsia" w:ascii="宋体" w:hAnsi="宋体" w:cs="宋体"/>
          <w:color w:val="000000"/>
        </w:rPr>
        <w:t>、本期已实现收益指基金本期利息收入、投资收益、其他收入</w:t>
      </w:r>
      <w:r>
        <w:rPr>
          <w:rFonts w:ascii="宋体" w:hAnsi="宋体" w:cs="宋体"/>
          <w:color w:val="000000"/>
        </w:rPr>
        <w:t>(</w:t>
      </w:r>
      <w:r>
        <w:rPr>
          <w:rFonts w:hint="eastAsia" w:ascii="宋体" w:hAnsi="宋体" w:cs="宋体"/>
          <w:color w:val="000000"/>
        </w:rPr>
        <w:t>不含公允价值变动收益</w:t>
      </w:r>
      <w:r>
        <w:rPr>
          <w:rFonts w:ascii="宋体" w:hAnsi="宋体" w:cs="宋体"/>
          <w:color w:val="000000"/>
        </w:rPr>
        <w:t>)</w:t>
      </w:r>
      <w:r>
        <w:rPr>
          <w:rFonts w:hint="eastAsia" w:ascii="宋体" w:hAnsi="宋体" w:cs="宋体"/>
          <w:color w:val="000000"/>
        </w:rPr>
        <w:t>扣除相关费用后的余额</w:t>
      </w:r>
      <w:r>
        <w:rPr>
          <w:rFonts w:ascii="宋体" w:hAnsi="宋体" w:cs="宋体"/>
          <w:color w:val="000000"/>
        </w:rPr>
        <w:t>,</w:t>
      </w:r>
      <w:r>
        <w:rPr>
          <w:rFonts w:hint="eastAsia" w:ascii="宋体" w:hAnsi="宋体" w:cs="宋体"/>
          <w:color w:val="000000"/>
        </w:rPr>
        <w:t>本期利润为本期已实现收益加上本期公允价值变动收益。</w:t>
      </w:r>
    </w:p>
    <w:p>
      <w:pPr>
        <w:spacing w:before="29" w:line="288" w:lineRule="auto"/>
        <w:ind w:left="15"/>
        <w:jc w:val="left"/>
        <w:rPr>
          <w:rFonts w:ascii="宋体" w:hAnsi="宋体" w:cs="宋体"/>
          <w:color w:val="000000"/>
        </w:rPr>
      </w:pPr>
      <w:r>
        <w:rPr>
          <w:rFonts w:ascii="宋体" w:hAnsi="宋体" w:cs="宋体"/>
          <w:color w:val="000000"/>
        </w:rPr>
        <w:t>3</w:t>
      </w:r>
      <w:r>
        <w:rPr>
          <w:rFonts w:hint="eastAsia" w:ascii="宋体" w:hAnsi="宋体" w:cs="宋体"/>
          <w:color w:val="000000"/>
        </w:rPr>
        <w:t>、期末可供分配利润是采用资产负债表中未分配利润与未分配利润中已实现部分的孰低数，表中的</w:t>
      </w:r>
      <w:r>
        <w:rPr>
          <w:rFonts w:ascii="宋体" w:hAnsi="宋体" w:cs="宋体"/>
          <w:color w:val="000000"/>
        </w:rPr>
        <w:t>"</w:t>
      </w:r>
      <w:r>
        <w:rPr>
          <w:rFonts w:hint="eastAsia" w:ascii="宋体" w:hAnsi="宋体" w:cs="宋体"/>
          <w:color w:val="000000"/>
        </w:rPr>
        <w:t>期末</w:t>
      </w:r>
      <w:r>
        <w:rPr>
          <w:rFonts w:ascii="宋体" w:hAnsi="宋体" w:cs="宋体"/>
          <w:color w:val="000000"/>
        </w:rPr>
        <w:t>"</w:t>
      </w:r>
      <w:r>
        <w:rPr>
          <w:rFonts w:hint="eastAsia" w:ascii="宋体" w:hAnsi="宋体" w:cs="宋体"/>
          <w:color w:val="000000"/>
        </w:rPr>
        <w:t>均指报告期最后一日，即</w:t>
      </w:r>
      <w:r>
        <w:rPr>
          <w:rFonts w:ascii="宋体" w:hAnsi="宋体" w:cs="宋体"/>
          <w:color w:val="000000"/>
        </w:rPr>
        <w:t>2015</w:t>
      </w:r>
      <w:r>
        <w:rPr>
          <w:rFonts w:hint="eastAsia" w:ascii="宋体" w:hAnsi="宋体" w:cs="宋体"/>
          <w:color w:val="000000"/>
        </w:rPr>
        <w:t>年</w:t>
      </w:r>
      <w:r>
        <w:rPr>
          <w:rFonts w:ascii="宋体" w:hAnsi="宋体" w:cs="宋体"/>
          <w:color w:val="000000"/>
        </w:rPr>
        <w:t>12</w:t>
      </w:r>
      <w:r>
        <w:rPr>
          <w:rFonts w:hint="eastAsia" w:ascii="宋体" w:hAnsi="宋体" w:cs="宋体"/>
          <w:color w:val="000000"/>
        </w:rPr>
        <w:t>月</w:t>
      </w:r>
      <w:r>
        <w:rPr>
          <w:rFonts w:ascii="宋体" w:hAnsi="宋体" w:cs="宋体"/>
          <w:color w:val="000000"/>
        </w:rPr>
        <w:t>31</w:t>
      </w:r>
      <w:r>
        <w:rPr>
          <w:rFonts w:hint="eastAsia" w:ascii="宋体" w:hAnsi="宋体" w:cs="宋体"/>
          <w:color w:val="000000"/>
        </w:rPr>
        <w:t>日。</w:t>
      </w:r>
    </w:p>
    <w:p>
      <w:pPr>
        <w:spacing w:before="29" w:line="288" w:lineRule="auto"/>
        <w:ind w:left="15"/>
        <w:jc w:val="left"/>
        <w:rPr>
          <w:rFonts w:ascii="宋体" w:hAnsi="宋体" w:cs="宋体"/>
          <w:color w:val="000000"/>
        </w:rPr>
      </w:pPr>
      <w:r>
        <w:rPr>
          <w:rFonts w:ascii="宋体" w:hAnsi="宋体" w:cs="宋体"/>
          <w:color w:val="000000"/>
        </w:rPr>
        <w:t>4</w:t>
      </w:r>
      <w:r>
        <w:rPr>
          <w:rFonts w:hint="eastAsia" w:ascii="宋体" w:hAnsi="宋体" w:cs="宋体"/>
          <w:color w:val="000000"/>
        </w:rPr>
        <w:t>、本基金合同生效日为</w:t>
      </w:r>
      <w:r>
        <w:rPr>
          <w:rFonts w:ascii="宋体" w:hAnsi="宋体" w:cs="宋体"/>
          <w:color w:val="000000"/>
        </w:rPr>
        <w:t>2015</w:t>
      </w:r>
      <w:r>
        <w:rPr>
          <w:rFonts w:hint="eastAsia" w:ascii="宋体" w:hAnsi="宋体" w:cs="宋体"/>
          <w:color w:val="000000"/>
        </w:rPr>
        <w:t>年</w:t>
      </w:r>
      <w:r>
        <w:rPr>
          <w:rFonts w:ascii="宋体" w:hAnsi="宋体" w:cs="宋体"/>
          <w:color w:val="000000"/>
        </w:rPr>
        <w:t>8</w:t>
      </w:r>
      <w:r>
        <w:rPr>
          <w:rFonts w:hint="eastAsia" w:ascii="宋体" w:hAnsi="宋体" w:cs="宋体"/>
          <w:color w:val="000000"/>
        </w:rPr>
        <w:t>月</w:t>
      </w:r>
      <w:r>
        <w:rPr>
          <w:rFonts w:ascii="宋体" w:hAnsi="宋体" w:cs="宋体"/>
          <w:color w:val="000000"/>
        </w:rPr>
        <w:t>24</w:t>
      </w:r>
      <w:r>
        <w:rPr>
          <w:rFonts w:hint="eastAsia" w:ascii="宋体" w:hAnsi="宋体" w:cs="宋体"/>
          <w:color w:val="000000"/>
        </w:rPr>
        <w:t>日，截至报告期末，本基金成立不满一年。合同生效当期的相关数据和指标按实际存续期计算。</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13" w:name="_Toc445827357"/>
      <w:r>
        <w:rPr>
          <w:rFonts w:ascii="宋体" w:hAnsi="宋体" w:cs="宋体"/>
          <w:b/>
          <w:bCs/>
          <w:color w:val="000000"/>
          <w:sz w:val="24"/>
          <w:szCs w:val="24"/>
        </w:rPr>
        <w:t xml:space="preserve">3.2 </w:t>
      </w:r>
      <w:r>
        <w:rPr>
          <w:rFonts w:hint="eastAsia" w:ascii="宋体" w:hAnsi="宋体" w:cs="宋体"/>
          <w:b/>
          <w:bCs/>
          <w:color w:val="000000"/>
          <w:sz w:val="24"/>
          <w:szCs w:val="24"/>
        </w:rPr>
        <w:t>基金净值表现</w:t>
      </w:r>
      <w:bookmarkEnd w:id="13"/>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3.2.1 </w:t>
      </w:r>
      <w:r>
        <w:rPr>
          <w:rFonts w:hint="eastAsia" w:ascii="宋体" w:hAnsi="宋体" w:cs="宋体"/>
          <w:b/>
          <w:bCs/>
          <w:color w:val="000000"/>
          <w:sz w:val="24"/>
          <w:szCs w:val="24"/>
        </w:rPr>
        <w:t>基金份额净值增长率及其与同期业绩比较基准收益率的比较</w:t>
      </w:r>
    </w:p>
    <w:tbl>
      <w:tblPr>
        <w:tblStyle w:val="10"/>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阶段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①</w:t>
            </w:r>
            <w:r>
              <w:rPr>
                <w:rFonts w:ascii="宋体" w:hAnsi="宋体" w:cs="宋体"/>
                <w:color w:val="000000"/>
                <w:sz w:val="24"/>
                <w:szCs w:val="24"/>
              </w:rPr>
              <w:t>-</w:t>
            </w:r>
            <w:r>
              <w:rPr>
                <w:rFonts w:hint="eastAsia" w:ascii="宋体" w:hAnsi="宋体" w:cs="宋体"/>
                <w:color w:val="00000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②</w:t>
            </w:r>
            <w:r>
              <w:rPr>
                <w:rFonts w:ascii="宋体" w:hAnsi="宋体" w:cs="宋体"/>
                <w:color w:val="000000"/>
                <w:sz w:val="24"/>
                <w:szCs w:val="24"/>
              </w:rPr>
              <w:t>-</w:t>
            </w:r>
            <w:r>
              <w:rPr>
                <w:rFonts w:hint="eastAsia" w:ascii="宋体" w:hAnsi="宋体" w:cs="宋体"/>
                <w:color w:val="000000"/>
                <w:sz w:val="24"/>
                <w:szCs w:val="24"/>
              </w:rPr>
              <w:t>④</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0.34%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8.64%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0.82%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-9.14%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-0.48%</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自基金合同生效日起至今（</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08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1.12%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-3.40%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eastAsia="Times New Roman"/>
                <w:color w:val="000000"/>
                <w:sz w:val="24"/>
                <w:szCs w:val="24"/>
              </w:rPr>
              <w:t>-0.83%</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3.2.2 </w:t>
      </w:r>
      <w:r>
        <w:rPr>
          <w:rFonts w:hint="eastAsia" w:ascii="宋体" w:hAnsi="宋体" w:cs="宋体"/>
          <w:b/>
          <w:bCs/>
          <w:color w:val="000000"/>
          <w:sz w:val="24"/>
          <w:szCs w:val="24"/>
        </w:rPr>
        <w:t>自基金合同生效以来基金份额累计净值增长率变动及其与同期业绩比较基准收益率变动的比较</w:t>
      </w:r>
    </w:p>
    <w:p>
      <w:pPr>
        <w:spacing w:line="288" w:lineRule="auto"/>
        <w:jc w:val="left"/>
        <w:rPr>
          <w:rFonts w:ascii="MS Sans Serif" w:hAnsi="MS Sans Serif" w:eastAsia="Times New Roman" w:cs="MS Sans Serif"/>
          <w:color w:val="000000"/>
          <w:sz w:val="7"/>
          <w:szCs w:val="7"/>
        </w:rPr>
      </w:pPr>
    </w:p>
    <w:p>
      <w:pPr>
        <w:spacing w:line="288" w:lineRule="auto"/>
        <w:jc w:val="left"/>
        <w:rPr>
          <w:sz w:val="24"/>
          <w:szCs w:val="24"/>
        </w:rPr>
      </w:pPr>
      <w:r>
        <w:rPr>
          <w:rFonts w:ascii="宋体"/>
          <w:kern w:val="0"/>
          <w:sz w:val="24"/>
          <w:szCs w:val="24"/>
        </w:rPr>
        <w:pict>
          <v:shape id="_x0000_i1026" o:spt="75" type="#_x0000_t75" style="height:211.7pt;width:443.95pt;" filled="f" stroked="f" coordsize="21600,21600">
            <v:path/>
            <v:fill on="f" focussize="0,0"/>
            <v:stroke on="f"/>
            <v:imagedata r:id="rId5" o:title=""/>
            <o:lock v:ext="edit" aspectratio="t"/>
            <w10:wrap type="none"/>
            <w10:anchorlock/>
          </v:shape>
        </w:pict>
      </w:r>
    </w:p>
    <w:p>
      <w:pPr>
        <w:spacing w:before="29" w:line="288" w:lineRule="auto"/>
        <w:ind w:left="15"/>
        <w:jc w:val="left"/>
        <w:rPr>
          <w:rFonts w:ascii="宋体" w:hAnsi="宋体" w:cs="宋体"/>
          <w:color w:val="000000"/>
        </w:rPr>
      </w:pPr>
      <w:r>
        <w:rPr>
          <w:rFonts w:hint="eastAsia" w:ascii="宋体" w:hAnsi="宋体" w:cs="宋体"/>
          <w:color w:val="000000"/>
        </w:rPr>
        <w:t>注：</w:t>
      </w:r>
      <w:r>
        <w:rPr>
          <w:rFonts w:ascii="宋体" w:hAnsi="宋体" w:cs="宋体"/>
          <w:color w:val="000000"/>
        </w:rPr>
        <w:t>1</w:t>
      </w:r>
      <w:r>
        <w:rPr>
          <w:rFonts w:hint="eastAsia" w:ascii="宋体" w:hAnsi="宋体" w:cs="宋体"/>
          <w:color w:val="000000"/>
        </w:rPr>
        <w:t>、本基金基金合同于</w:t>
      </w:r>
      <w:r>
        <w:rPr>
          <w:rFonts w:ascii="宋体" w:hAnsi="宋体" w:cs="宋体"/>
          <w:color w:val="000000"/>
        </w:rPr>
        <w:t>2015</w:t>
      </w:r>
      <w:r>
        <w:rPr>
          <w:rFonts w:hint="eastAsia" w:ascii="宋体" w:hAnsi="宋体" w:cs="宋体"/>
          <w:color w:val="000000"/>
        </w:rPr>
        <w:t>年</w:t>
      </w:r>
      <w:r>
        <w:rPr>
          <w:rFonts w:ascii="宋体" w:hAnsi="宋体" w:cs="宋体"/>
          <w:color w:val="000000"/>
        </w:rPr>
        <w:t>8</w:t>
      </w:r>
      <w:r>
        <w:rPr>
          <w:rFonts w:hint="eastAsia" w:ascii="宋体" w:hAnsi="宋体" w:cs="宋体"/>
          <w:color w:val="000000"/>
        </w:rPr>
        <w:t>月</w:t>
      </w:r>
      <w:r>
        <w:rPr>
          <w:rFonts w:ascii="宋体" w:hAnsi="宋体" w:cs="宋体"/>
          <w:color w:val="000000"/>
        </w:rPr>
        <w:t>24</w:t>
      </w:r>
      <w:r>
        <w:rPr>
          <w:rFonts w:hint="eastAsia" w:ascii="宋体" w:hAnsi="宋体" w:cs="宋体"/>
          <w:color w:val="000000"/>
        </w:rPr>
        <w:t>日生效。</w:t>
      </w:r>
    </w:p>
    <w:p>
      <w:pPr>
        <w:spacing w:before="29" w:line="288" w:lineRule="auto"/>
        <w:ind w:left="15"/>
        <w:jc w:val="left"/>
        <w:rPr>
          <w:rFonts w:ascii="宋体" w:hAnsi="宋体" w:cs="宋体"/>
          <w:color w:val="000000"/>
        </w:rPr>
      </w:pPr>
      <w:r>
        <w:rPr>
          <w:rFonts w:ascii="宋体" w:hAnsi="宋体" w:cs="宋体"/>
          <w:color w:val="000000"/>
        </w:rPr>
        <w:t>2</w:t>
      </w:r>
      <w:r>
        <w:rPr>
          <w:rFonts w:hint="eastAsia" w:ascii="宋体" w:hAnsi="宋体" w:cs="宋体"/>
          <w:color w:val="000000"/>
        </w:rPr>
        <w:t>、根据本基金基金合同的约定，本基金自基金合同生效之日起</w:t>
      </w:r>
      <w:r>
        <w:rPr>
          <w:rFonts w:ascii="宋体" w:hAnsi="宋体" w:cs="宋体"/>
          <w:color w:val="000000"/>
        </w:rPr>
        <w:t>6</w:t>
      </w:r>
      <w:r>
        <w:rPr>
          <w:rFonts w:hint="eastAsia" w:ascii="宋体" w:hAnsi="宋体" w:cs="宋体"/>
          <w:color w:val="000000"/>
        </w:rPr>
        <w:t>个月内为建仓期，建仓期结束时本基金的投资组合比例符合基金合同的有关规定。</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3.2.3 </w:t>
      </w:r>
      <w:r>
        <w:rPr>
          <w:rFonts w:hint="eastAsia" w:ascii="宋体" w:hAnsi="宋体" w:cs="宋体"/>
          <w:b/>
          <w:bCs/>
          <w:color w:val="000000"/>
          <w:sz w:val="24"/>
          <w:szCs w:val="24"/>
        </w:rPr>
        <w:t>自基金合同生效以来基金每年净值增长率及其与同期业绩比较基准收益率的比较</w:t>
      </w:r>
    </w:p>
    <w:p>
      <w:pPr>
        <w:spacing w:line="288" w:lineRule="auto"/>
        <w:jc w:val="left"/>
        <w:rPr>
          <w:sz w:val="24"/>
          <w:szCs w:val="24"/>
        </w:rPr>
      </w:pPr>
      <w:r>
        <w:rPr>
          <w:rFonts w:ascii="宋体"/>
          <w:kern w:val="0"/>
          <w:sz w:val="24"/>
          <w:szCs w:val="24"/>
        </w:rPr>
        <w:pict>
          <v:shape id="_x0000_i1027" o:spt="75" type="#_x0000_t75" style="height:211.7pt;width:441pt;" filled="f" stroked="f" coordsize="21600,21600">
            <v:path/>
            <v:fill on="f" focussize="0,0"/>
            <v:stroke on="f"/>
            <v:imagedata r:id="rId6" o:title=""/>
            <o:lock v:ext="edit" aspectratio="t"/>
            <w10:wrap type="none"/>
            <w10:anchorlock/>
          </v:shape>
        </w:pict>
      </w:r>
    </w:p>
    <w:p>
      <w:pPr>
        <w:spacing w:before="29" w:line="288" w:lineRule="auto"/>
        <w:ind w:left="15"/>
        <w:jc w:val="left"/>
        <w:rPr>
          <w:rFonts w:ascii="宋体" w:hAnsi="宋体" w:cs="宋体"/>
          <w:color w:val="000000"/>
        </w:rPr>
      </w:pPr>
      <w:r>
        <w:rPr>
          <w:rFonts w:hint="eastAsia" w:ascii="宋体" w:hAnsi="宋体" w:cs="宋体"/>
          <w:color w:val="000000"/>
        </w:rPr>
        <w:t>注：合同生效当年按实际存续期计算，不按整个自然年度进行折算。</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14" w:name="_Toc445827358"/>
      <w:r>
        <w:rPr>
          <w:rFonts w:ascii="宋体" w:hAnsi="宋体" w:cs="宋体"/>
          <w:b/>
          <w:bCs/>
          <w:color w:val="000000"/>
          <w:sz w:val="24"/>
          <w:szCs w:val="24"/>
        </w:rPr>
        <w:t xml:space="preserve">3.3 </w:t>
      </w:r>
      <w:r>
        <w:rPr>
          <w:rFonts w:hint="eastAsia" w:ascii="宋体" w:hAnsi="宋体" w:cs="宋体"/>
          <w:b/>
          <w:bCs/>
          <w:color w:val="000000"/>
          <w:sz w:val="24"/>
          <w:szCs w:val="24"/>
        </w:rPr>
        <w:t>过去三年基金的利润分配情况</w:t>
      </w:r>
      <w:bookmarkEnd w:id="14"/>
    </w:p>
    <w:p>
      <w:pPr>
        <w:spacing w:before="29" w:line="288" w:lineRule="auto"/>
        <w:ind w:left="15" w:firstLine="360" w:firstLineChars="150"/>
        <w:jc w:val="left"/>
        <w:rPr>
          <w:rFonts w:ascii="宋体" w:hAnsi="宋体" w:cs="宋体"/>
          <w:color w:val="000000"/>
          <w:sz w:val="24"/>
          <w:szCs w:val="24"/>
        </w:rPr>
      </w:pPr>
      <w:r>
        <w:rPr>
          <w:rFonts w:hint="eastAsia" w:ascii="宋体" w:hAnsi="宋体" w:cs="宋体"/>
          <w:color w:val="000000"/>
          <w:sz w:val="24"/>
          <w:szCs w:val="24"/>
        </w:rPr>
        <w:t>本基金自基金合同生效日（</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日）至本报告期末未发生利润分配。</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15" w:name="_Toc445827359"/>
      <w:r>
        <w:rPr>
          <w:rFonts w:hint="eastAsia" w:ascii="宋体" w:hAnsi="宋体" w:cs="宋体"/>
          <w:b/>
          <w:bCs/>
          <w:color w:val="000000"/>
          <w:sz w:val="24"/>
          <w:szCs w:val="24"/>
        </w:rPr>
        <w:t>§</w:t>
      </w:r>
      <w:r>
        <w:rPr>
          <w:rFonts w:ascii="宋体" w:hAnsi="宋体" w:cs="宋体"/>
          <w:b/>
          <w:bCs/>
          <w:color w:val="000000"/>
          <w:sz w:val="24"/>
          <w:szCs w:val="24"/>
        </w:rPr>
        <w:t xml:space="preserve">4  </w:t>
      </w:r>
      <w:r>
        <w:rPr>
          <w:rFonts w:hint="eastAsia" w:ascii="宋体" w:hAnsi="宋体" w:cs="宋体"/>
          <w:b/>
          <w:bCs/>
          <w:color w:val="000000"/>
          <w:sz w:val="24"/>
          <w:szCs w:val="24"/>
        </w:rPr>
        <w:t>管理人报告</w:t>
      </w:r>
      <w:bookmarkEnd w:id="15"/>
    </w:p>
    <w:p>
      <w:pPr>
        <w:spacing w:line="288" w:lineRule="auto"/>
        <w:jc w:val="left"/>
        <w:rPr>
          <w:rFonts w:ascii="MS Sans Serif" w:hAnsi="MS Sans Serif" w:eastAsia="Times New Roman" w:cs="MS Sans Serif"/>
          <w:color w:val="000000"/>
          <w:sz w:val="24"/>
          <w:szCs w:val="24"/>
        </w:rPr>
      </w:pPr>
    </w:p>
    <w:p>
      <w:pPr>
        <w:spacing w:before="29" w:line="288" w:lineRule="auto"/>
        <w:ind w:left="15"/>
        <w:jc w:val="left"/>
        <w:outlineLvl w:val="1"/>
        <w:rPr>
          <w:rFonts w:ascii="宋体" w:hAnsi="宋体" w:cs="宋体"/>
          <w:b/>
          <w:bCs/>
          <w:color w:val="000000"/>
          <w:sz w:val="24"/>
          <w:szCs w:val="24"/>
        </w:rPr>
      </w:pPr>
      <w:bookmarkStart w:id="16" w:name="_Toc445827360"/>
      <w:r>
        <w:rPr>
          <w:rFonts w:ascii="宋体" w:hAnsi="宋体" w:cs="宋体"/>
          <w:b/>
          <w:bCs/>
          <w:color w:val="000000"/>
          <w:sz w:val="24"/>
          <w:szCs w:val="24"/>
        </w:rPr>
        <w:t xml:space="preserve">4.1 </w:t>
      </w:r>
      <w:r>
        <w:rPr>
          <w:rFonts w:hint="eastAsia" w:ascii="宋体" w:hAnsi="宋体" w:cs="宋体"/>
          <w:b/>
          <w:bCs/>
          <w:color w:val="000000"/>
          <w:sz w:val="24"/>
          <w:szCs w:val="24"/>
        </w:rPr>
        <w:t>基金管理人及基金经理情况</w:t>
      </w:r>
      <w:bookmarkEnd w:id="16"/>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4.1.1 </w:t>
      </w:r>
      <w:r>
        <w:rPr>
          <w:rFonts w:hint="eastAsia" w:ascii="宋体" w:hAnsi="宋体" w:cs="宋体"/>
          <w:b/>
          <w:bCs/>
          <w:color w:val="000000"/>
          <w:sz w:val="24"/>
          <w:szCs w:val="24"/>
        </w:rPr>
        <w:t>基金管理人及其管理基金的经验</w:t>
      </w:r>
    </w:p>
    <w:p>
      <w:pPr>
        <w:autoSpaceDE w:val="0"/>
        <w:autoSpaceDN w:val="0"/>
        <w:adjustRightInd w:val="0"/>
        <w:spacing w:line="288" w:lineRule="auto"/>
        <w:ind w:left="15" w:firstLine="480" w:firstLineChars="200"/>
        <w:jc w:val="left"/>
        <w:rPr>
          <w:rFonts w:ascii="宋体"/>
          <w:kern w:val="0"/>
          <w:sz w:val="24"/>
        </w:rPr>
      </w:pPr>
      <w:r>
        <w:rPr>
          <w:rFonts w:ascii="宋体"/>
          <w:kern w:val="0"/>
          <w:sz w:val="24"/>
        </w:rPr>
        <w:t>创金合信基金管理有限公司于2014年7月3日获得中国证监会批复，2014年7月9日正式注册成立，注册地为深圳市。公司由第一创业证券股份有限公司、深圳市金合信投资合伙企业（有限合伙）共同出资设立。公司注册资本1.7亿元人民币，股东出资情况为：第一创业证券股份有限公司出资11,900亿元，占公司注册资本的70%；深圳市金合信投资合伙企业（有限合伙）出资5,100万元，占公司注册资本的30%。</w:t>
      </w:r>
    </w:p>
    <w:p>
      <w:pPr>
        <w:autoSpaceDE w:val="0"/>
        <w:autoSpaceDN w:val="0"/>
        <w:adjustRightInd w:val="0"/>
        <w:spacing w:line="288" w:lineRule="auto"/>
        <w:ind w:left="15" w:firstLine="480" w:firstLineChars="200"/>
        <w:jc w:val="left"/>
        <w:rPr>
          <w:rFonts w:ascii="宋体"/>
          <w:kern w:val="0"/>
          <w:sz w:val="24"/>
        </w:rPr>
      </w:pPr>
      <w:r>
        <w:rPr>
          <w:rFonts w:ascii="宋体"/>
          <w:kern w:val="0"/>
          <w:sz w:val="24"/>
        </w:rPr>
        <w:t>公司始终坚持“客户利益至上”，致力于为客户实现长期稳定的投资回报，做客户投资理财的亲密伙伴。</w:t>
      </w:r>
    </w:p>
    <w:p>
      <w:pPr>
        <w:spacing w:before="29" w:line="288" w:lineRule="auto"/>
        <w:ind w:left="15" w:firstLine="482"/>
        <w:jc w:val="left"/>
        <w:rPr>
          <w:rFonts w:ascii="宋体" w:hAnsi="宋体" w:cs="宋体"/>
          <w:color w:val="000000"/>
          <w:sz w:val="24"/>
          <w:szCs w:val="24"/>
        </w:rPr>
      </w:pPr>
      <w:r>
        <w:rPr>
          <w:rFonts w:ascii="宋体"/>
          <w:kern w:val="0"/>
          <w:sz w:val="24"/>
        </w:rPr>
        <w:t>报告期内，本公司共发行7只公募基金。截至2015年12月31日，本公司共管理7只公募基金，其中混合型产品3只、指数型产品2只、债券型产品1只和货币型产品1只；管理的公募基金规模为44.22亿元。</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4.1.2 </w:t>
      </w:r>
      <w:r>
        <w:rPr>
          <w:rFonts w:hint="eastAsia" w:ascii="宋体" w:hAnsi="宋体" w:cs="宋体"/>
          <w:b/>
          <w:bCs/>
          <w:color w:val="000000"/>
          <w:sz w:val="24"/>
          <w:szCs w:val="24"/>
        </w:rPr>
        <w:t>基金经理（或基金经理小组）及基金经理助理简介</w:t>
      </w:r>
    </w:p>
    <w:tbl>
      <w:tblPr>
        <w:tblStyle w:val="10"/>
        <w:tblW w:w="0" w:type="auto"/>
        <w:tblInd w:w="108" w:type="dxa"/>
        <w:tblLayout w:type="fixed"/>
        <w:tblCellMar>
          <w:top w:w="0" w:type="dxa"/>
          <w:left w:w="108" w:type="dxa"/>
          <w:bottom w:w="0" w:type="dxa"/>
          <w:right w:w="108" w:type="dxa"/>
        </w:tblCellMar>
      </w:tblPr>
      <w:tblGrid>
        <w:gridCol w:w="1082"/>
        <w:gridCol w:w="1083"/>
        <w:gridCol w:w="1445"/>
        <w:gridCol w:w="1445"/>
        <w:gridCol w:w="1083"/>
        <w:gridCol w:w="2890"/>
      </w:tblGrid>
      <w:tr>
        <w:tblPrEx>
          <w:tblCellMar>
            <w:top w:w="0" w:type="dxa"/>
            <w:left w:w="108" w:type="dxa"/>
            <w:bottom w:w="0" w:type="dxa"/>
            <w:right w:w="108" w:type="dxa"/>
          </w:tblCellMar>
        </w:tblPrEx>
        <w:trPr>
          <w:wBefore w:w="0" w:type="dxa"/>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说明</w:t>
            </w:r>
          </w:p>
        </w:tc>
      </w:tr>
      <w:tr>
        <w:tblPrEx>
          <w:tblCellMar>
            <w:top w:w="0" w:type="dxa"/>
            <w:left w:w="108" w:type="dxa"/>
            <w:bottom w:w="0" w:type="dxa"/>
            <w:right w:w="108" w:type="dxa"/>
          </w:tblCellMar>
        </w:tblPrEx>
        <w:trPr>
          <w:wBefore w:w="0" w:type="dxa"/>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center"/>
              <w:rPr>
                <w:sz w:val="20"/>
                <w:szCs w:val="20"/>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center"/>
              <w:rPr>
                <w:sz w:val="20"/>
                <w:szCs w:val="20"/>
              </w:rPr>
            </w:pPr>
          </w:p>
        </w:tc>
      </w:tr>
      <w:tr>
        <w:tblPrEx>
          <w:tblCellMar>
            <w:top w:w="0" w:type="dxa"/>
            <w:left w:w="108" w:type="dxa"/>
            <w:bottom w:w="0" w:type="dxa"/>
            <w:right w:w="108" w:type="dxa"/>
          </w:tblCellMar>
        </w:tblPrEx>
        <w:trPr>
          <w:wBefore w:w="0" w:type="dxa"/>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李晗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李晗先生，中国国籍，中南财经政法大学硕士，金融风险管理师（</w:t>
            </w:r>
            <w:r>
              <w:rPr>
                <w:rFonts w:ascii="宋体" w:hAnsi="宋体" w:cs="宋体"/>
                <w:color w:val="000000"/>
                <w:sz w:val="24"/>
                <w:szCs w:val="24"/>
              </w:rPr>
              <w:t>FRM</w:t>
            </w:r>
            <w:r>
              <w:rPr>
                <w:rFonts w:hint="eastAsia" w:ascii="宋体" w:hAnsi="宋体" w:cs="宋体"/>
                <w:color w:val="000000"/>
                <w:sz w:val="24"/>
                <w:szCs w:val="24"/>
              </w:rPr>
              <w:t>），权益投资基金经理。</w:t>
            </w:r>
            <w:r>
              <w:rPr>
                <w:rFonts w:ascii="宋体" w:hAnsi="宋体" w:cs="宋体"/>
                <w:color w:val="000000"/>
                <w:sz w:val="24"/>
                <w:szCs w:val="24"/>
              </w:rPr>
              <w:t xml:space="preserve"> </w:t>
            </w:r>
            <w:r>
              <w:rPr>
                <w:rFonts w:hint="eastAsia" w:ascii="宋体" w:hAnsi="宋体" w:cs="宋体"/>
                <w:color w:val="000000"/>
                <w:sz w:val="24"/>
                <w:szCs w:val="24"/>
              </w:rPr>
              <w:t>投资中注重基本面研究，寻找行业和企业发展的拐点，擅长挖掘估值合理的持续成长股，与优质企业共同成长中获取丰厚回报。</w:t>
            </w:r>
            <w:r>
              <w:rPr>
                <w:rFonts w:ascii="宋体" w:hAnsi="宋体" w:cs="宋体"/>
                <w:color w:val="000000"/>
                <w:sz w:val="24"/>
                <w:szCs w:val="24"/>
              </w:rPr>
              <w:t xml:space="preserve"> </w:t>
            </w:r>
            <w:r>
              <w:rPr>
                <w:rFonts w:hint="eastAsia" w:ascii="宋体" w:hAnsi="宋体" w:cs="宋体"/>
                <w:color w:val="000000"/>
                <w:sz w:val="24"/>
                <w:szCs w:val="24"/>
              </w:rPr>
              <w:t>曾任职于海航集团从事并购整合业务。此后任职于鹏华基金，从事专户业务、企业年金业务的研究工作。</w:t>
            </w:r>
            <w:r>
              <w:rPr>
                <w:rFonts w:ascii="宋体" w:hAnsi="宋体" w:cs="宋体"/>
                <w:color w:val="000000"/>
                <w:sz w:val="24"/>
                <w:szCs w:val="24"/>
              </w:rPr>
              <w:t xml:space="preserve"> 2009</w:t>
            </w:r>
            <w:r>
              <w:rPr>
                <w:rFonts w:hint="eastAsia" w:ascii="宋体" w:hAnsi="宋体" w:cs="宋体"/>
                <w:color w:val="000000"/>
                <w:sz w:val="24"/>
                <w:szCs w:val="24"/>
              </w:rPr>
              <w:t>年</w:t>
            </w:r>
            <w:r>
              <w:rPr>
                <w:rFonts w:ascii="宋体" w:hAnsi="宋体" w:cs="宋体"/>
                <w:color w:val="000000"/>
                <w:sz w:val="24"/>
                <w:szCs w:val="24"/>
              </w:rPr>
              <w:t>11</w:t>
            </w:r>
            <w:r>
              <w:rPr>
                <w:rFonts w:hint="eastAsia" w:ascii="宋体" w:hAnsi="宋体" w:cs="宋体"/>
                <w:color w:val="000000"/>
                <w:sz w:val="24"/>
                <w:szCs w:val="24"/>
              </w:rPr>
              <w:t>月加盟第一创业证券资产管理部，曾担任多个集合理财产品投资主办，投资经验丰富。</w:t>
            </w:r>
          </w:p>
        </w:tc>
      </w:tr>
      <w:tr>
        <w:tblPrEx>
          <w:tblCellMar>
            <w:top w:w="0" w:type="dxa"/>
            <w:left w:w="108" w:type="dxa"/>
            <w:bottom w:w="0" w:type="dxa"/>
            <w:right w:w="108" w:type="dxa"/>
          </w:tblCellMar>
        </w:tblPrEx>
        <w:trPr>
          <w:wBefore w:w="0" w:type="dxa"/>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张荣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张荣先生，中国国籍，北京大学金融学硕士。</w:t>
            </w:r>
            <w:r>
              <w:rPr>
                <w:rFonts w:ascii="宋体" w:hAnsi="宋体" w:cs="宋体"/>
                <w:color w:val="000000"/>
                <w:sz w:val="24"/>
                <w:szCs w:val="24"/>
              </w:rPr>
              <w:t xml:space="preserve"> 2004</w:t>
            </w:r>
            <w:r>
              <w:rPr>
                <w:rFonts w:hint="eastAsia" w:ascii="宋体" w:hAnsi="宋体" w:cs="宋体"/>
                <w:color w:val="000000"/>
                <w:sz w:val="24"/>
                <w:szCs w:val="24"/>
              </w:rPr>
              <w:t>年就职于深圳银监局从事银行监管工作，历任多家银行监管员。</w:t>
            </w:r>
            <w:r>
              <w:rPr>
                <w:rFonts w:ascii="宋体" w:hAnsi="宋体" w:cs="宋体"/>
                <w:color w:val="000000"/>
                <w:sz w:val="24"/>
                <w:szCs w:val="24"/>
              </w:rPr>
              <w:t xml:space="preserve"> 2010</w:t>
            </w:r>
            <w:r>
              <w:rPr>
                <w:rFonts w:hint="eastAsia" w:ascii="宋体" w:hAnsi="宋体" w:cs="宋体"/>
                <w:color w:val="000000"/>
                <w:sz w:val="24"/>
                <w:szCs w:val="24"/>
              </w:rPr>
              <w:t>年加入第一创业证券资产管理部，历任金融行业研究主管、投资主办等职务。</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月加入创金合信基金管理有限公司担任高级研究员。</w:t>
            </w:r>
          </w:p>
        </w:tc>
      </w:tr>
      <w:tr>
        <w:tblPrEx>
          <w:tblCellMar>
            <w:top w:w="0" w:type="dxa"/>
            <w:left w:w="108" w:type="dxa"/>
            <w:bottom w:w="0" w:type="dxa"/>
            <w:right w:w="108" w:type="dxa"/>
          </w:tblCellMar>
        </w:tblPrEx>
        <w:trPr>
          <w:wBefore w:w="0" w:type="dxa"/>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陈玉辉</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本基金基金经理、投资一部总监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陈玉辉先生，中国国籍，经济学硕士，</w:t>
            </w:r>
            <w:r>
              <w:rPr>
                <w:rFonts w:ascii="宋体" w:hAnsi="宋体" w:cs="宋体"/>
                <w:color w:val="000000"/>
                <w:sz w:val="24"/>
                <w:szCs w:val="24"/>
              </w:rPr>
              <w:t>2003</w:t>
            </w:r>
            <w:r>
              <w:rPr>
                <w:rFonts w:hint="eastAsia" w:ascii="宋体" w:hAnsi="宋体" w:cs="宋体"/>
                <w:color w:val="000000"/>
                <w:sz w:val="24"/>
                <w:szCs w:val="24"/>
              </w:rPr>
              <w:t>年</w:t>
            </w:r>
            <w:r>
              <w:rPr>
                <w:rFonts w:ascii="宋体" w:hAnsi="宋体" w:cs="宋体"/>
                <w:color w:val="000000"/>
                <w:sz w:val="24"/>
                <w:szCs w:val="24"/>
              </w:rPr>
              <w:t>6</w:t>
            </w:r>
            <w:r>
              <w:rPr>
                <w:rFonts w:hint="eastAsia" w:ascii="宋体" w:hAnsi="宋体" w:cs="宋体"/>
                <w:color w:val="000000"/>
                <w:sz w:val="24"/>
                <w:szCs w:val="24"/>
              </w:rPr>
              <w:t>月加入新疆证券有限责任公司，从事石化行业研究；</w:t>
            </w:r>
            <w:r>
              <w:rPr>
                <w:rFonts w:ascii="宋体" w:hAnsi="宋体" w:cs="宋体"/>
                <w:color w:val="000000"/>
                <w:sz w:val="24"/>
                <w:szCs w:val="24"/>
              </w:rPr>
              <w:t>2005</w:t>
            </w:r>
            <w:r>
              <w:rPr>
                <w:rFonts w:hint="eastAsia" w:ascii="宋体" w:hAnsi="宋体" w:cs="宋体"/>
                <w:color w:val="000000"/>
                <w:sz w:val="24"/>
                <w:szCs w:val="24"/>
              </w:rPr>
              <w:t>年度获中央电视台、中国证券报联合评选的首届“全国十佳证券分析师”。</w:t>
            </w:r>
            <w:r>
              <w:rPr>
                <w:rFonts w:ascii="宋体" w:hAnsi="宋体" w:cs="宋体"/>
                <w:color w:val="000000"/>
                <w:sz w:val="24"/>
                <w:szCs w:val="24"/>
              </w:rPr>
              <w:t>2006</w:t>
            </w:r>
            <w:r>
              <w:rPr>
                <w:rFonts w:hint="eastAsia" w:ascii="宋体" w:hAnsi="宋体" w:cs="宋体"/>
                <w:color w:val="000000"/>
                <w:sz w:val="24"/>
                <w:szCs w:val="24"/>
              </w:rPr>
              <w:t>年</w:t>
            </w:r>
            <w:r>
              <w:rPr>
                <w:rFonts w:ascii="宋体" w:hAnsi="宋体" w:cs="宋体"/>
                <w:color w:val="000000"/>
                <w:sz w:val="24"/>
                <w:szCs w:val="24"/>
              </w:rPr>
              <w:t>1</w:t>
            </w:r>
            <w:r>
              <w:rPr>
                <w:rFonts w:hint="eastAsia" w:ascii="宋体" w:hAnsi="宋体" w:cs="宋体"/>
                <w:color w:val="000000"/>
                <w:sz w:val="24"/>
                <w:szCs w:val="24"/>
              </w:rPr>
              <w:t>月加入东方证券股份有限公司研究所，任化工行业研究员。</w:t>
            </w:r>
            <w:r>
              <w:rPr>
                <w:rFonts w:ascii="宋体" w:hAnsi="宋体" w:cs="宋体"/>
                <w:color w:val="000000"/>
                <w:sz w:val="24"/>
                <w:szCs w:val="24"/>
              </w:rPr>
              <w:t>2008</w:t>
            </w:r>
            <w:r>
              <w:rPr>
                <w:rFonts w:hint="eastAsia" w:ascii="宋体" w:hAnsi="宋体" w:cs="宋体"/>
                <w:color w:val="000000"/>
                <w:sz w:val="24"/>
                <w:szCs w:val="24"/>
              </w:rPr>
              <w:t>年</w:t>
            </w:r>
            <w:r>
              <w:rPr>
                <w:rFonts w:ascii="宋体" w:hAnsi="宋体" w:cs="宋体"/>
                <w:color w:val="000000"/>
                <w:sz w:val="24"/>
                <w:szCs w:val="24"/>
              </w:rPr>
              <w:t>3</w:t>
            </w:r>
            <w:r>
              <w:rPr>
                <w:rFonts w:hint="eastAsia" w:ascii="宋体" w:hAnsi="宋体" w:cs="宋体"/>
                <w:color w:val="000000"/>
                <w:sz w:val="24"/>
                <w:szCs w:val="24"/>
              </w:rPr>
              <w:t>月加入招商基金管理有限公司，历任研究部副总监、总监，并于</w:t>
            </w:r>
            <w:r>
              <w:rPr>
                <w:rFonts w:ascii="宋体" w:hAnsi="宋体" w:cs="宋体"/>
                <w:color w:val="000000"/>
                <w:sz w:val="24"/>
                <w:szCs w:val="24"/>
              </w:rPr>
              <w:t>2012</w:t>
            </w:r>
            <w:r>
              <w:rPr>
                <w:rFonts w:hint="eastAsia" w:ascii="宋体" w:hAnsi="宋体" w:cs="宋体"/>
                <w:color w:val="000000"/>
                <w:sz w:val="24"/>
                <w:szCs w:val="24"/>
              </w:rPr>
              <w:t>年</w:t>
            </w:r>
            <w:r>
              <w:rPr>
                <w:rFonts w:ascii="宋体" w:hAnsi="宋体" w:cs="宋体"/>
                <w:color w:val="000000"/>
                <w:sz w:val="24"/>
                <w:szCs w:val="24"/>
              </w:rPr>
              <w:t>11</w:t>
            </w:r>
            <w:r>
              <w:rPr>
                <w:rFonts w:hint="eastAsia" w:ascii="宋体" w:hAnsi="宋体" w:cs="宋体"/>
                <w:color w:val="000000"/>
                <w:sz w:val="24"/>
                <w:szCs w:val="24"/>
              </w:rPr>
              <w:t>月</w:t>
            </w:r>
            <w:r>
              <w:rPr>
                <w:rFonts w:ascii="宋体" w:hAnsi="宋体" w:cs="宋体"/>
                <w:color w:val="000000"/>
                <w:sz w:val="24"/>
                <w:szCs w:val="24"/>
              </w:rPr>
              <w:t>14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4</w:t>
            </w:r>
            <w:r>
              <w:rPr>
                <w:rFonts w:hint="eastAsia" w:ascii="宋体" w:hAnsi="宋体" w:cs="宋体"/>
                <w:color w:val="000000"/>
                <w:sz w:val="24"/>
                <w:szCs w:val="24"/>
              </w:rPr>
              <w:t>月</w:t>
            </w:r>
            <w:r>
              <w:rPr>
                <w:rFonts w:ascii="宋体" w:hAnsi="宋体" w:cs="宋体"/>
                <w:color w:val="000000"/>
                <w:sz w:val="24"/>
                <w:szCs w:val="24"/>
              </w:rPr>
              <w:t>10</w:t>
            </w:r>
            <w:r>
              <w:rPr>
                <w:rFonts w:hint="eastAsia" w:ascii="宋体" w:hAnsi="宋体" w:cs="宋体"/>
                <w:color w:val="000000"/>
                <w:sz w:val="24"/>
                <w:szCs w:val="24"/>
              </w:rPr>
              <w:t>日担任招商大盘蓝筹股票型证券投资基金的基金经理。</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7</w:t>
            </w:r>
            <w:r>
              <w:rPr>
                <w:rFonts w:hint="eastAsia" w:ascii="宋体" w:hAnsi="宋体" w:cs="宋体"/>
                <w:color w:val="000000"/>
                <w:sz w:val="24"/>
                <w:szCs w:val="24"/>
              </w:rPr>
              <w:t>月任创金合信基金管理有限公司投资一部总监。</w:t>
            </w:r>
          </w:p>
        </w:tc>
      </w:tr>
    </w:tbl>
    <w:p>
      <w:pPr>
        <w:spacing w:before="29" w:line="288" w:lineRule="auto"/>
        <w:ind w:left="15"/>
        <w:jc w:val="left"/>
        <w:rPr>
          <w:rFonts w:ascii="宋体" w:hAnsi="宋体" w:cs="宋体"/>
          <w:color w:val="000000"/>
        </w:rPr>
      </w:pPr>
      <w:r>
        <w:rPr>
          <w:rFonts w:hint="eastAsia" w:ascii="宋体" w:hAnsi="宋体" w:cs="宋体"/>
          <w:color w:val="000000"/>
        </w:rPr>
        <w:t>注：</w:t>
      </w:r>
      <w:r>
        <w:rPr>
          <w:rFonts w:ascii="宋体" w:hAnsi="宋体" w:cs="宋体"/>
          <w:color w:val="000000"/>
        </w:rPr>
        <w:t>1</w:t>
      </w:r>
      <w:r>
        <w:rPr>
          <w:rFonts w:hint="eastAsia" w:ascii="宋体" w:hAnsi="宋体" w:cs="宋体"/>
          <w:color w:val="000000"/>
        </w:rPr>
        <w:t>、本基金首任基金经理的任职日期为本基金合同生效日，离任日期、后任基金经理的任职日期指公司作出决定的公告（生效）日期；</w:t>
      </w:r>
    </w:p>
    <w:p>
      <w:pPr>
        <w:spacing w:before="29" w:line="288" w:lineRule="auto"/>
        <w:ind w:left="15"/>
        <w:jc w:val="left"/>
        <w:rPr>
          <w:rFonts w:ascii="宋体" w:hAnsi="宋体" w:cs="宋体"/>
          <w:color w:val="000000"/>
        </w:rPr>
      </w:pPr>
      <w:r>
        <w:rPr>
          <w:rFonts w:ascii="宋体" w:hAnsi="宋体" w:cs="宋体"/>
          <w:color w:val="000000"/>
        </w:rPr>
        <w:t>2</w:t>
      </w:r>
      <w:r>
        <w:rPr>
          <w:rFonts w:hint="eastAsia" w:ascii="宋体" w:hAnsi="宋体" w:cs="宋体"/>
          <w:color w:val="000000"/>
        </w:rPr>
        <w:t>、证券从业年限计算的起止时间按照从事证券行业开始时间计算。</w:t>
      </w:r>
    </w:p>
    <w:p>
      <w:pPr>
        <w:spacing w:before="29" w:line="288" w:lineRule="auto"/>
        <w:ind w:left="15"/>
        <w:jc w:val="left"/>
        <w:rPr>
          <w:rFonts w:ascii="宋体" w:hAnsi="宋体" w:cs="宋体"/>
          <w:color w:val="000000"/>
        </w:rPr>
      </w:pPr>
      <w:r>
        <w:rPr>
          <w:rFonts w:ascii="宋体" w:hAnsi="宋体" w:cs="宋体"/>
          <w:color w:val="000000"/>
        </w:rPr>
        <w:t>3</w:t>
      </w:r>
      <w:r>
        <w:rPr>
          <w:rFonts w:hint="eastAsia" w:ascii="宋体" w:hAnsi="宋体" w:cs="宋体"/>
          <w:color w:val="000000"/>
        </w:rPr>
        <w:t>、证券从业的含义遵从行业协会《证券业从业人员资格管理办法》的相关规定。</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17" w:name="_Toc445827361"/>
      <w:r>
        <w:rPr>
          <w:rFonts w:ascii="宋体" w:hAnsi="宋体" w:cs="宋体"/>
          <w:b/>
          <w:bCs/>
          <w:color w:val="000000"/>
          <w:sz w:val="24"/>
          <w:szCs w:val="24"/>
        </w:rPr>
        <w:t xml:space="preserve">4.2 </w:t>
      </w:r>
      <w:r>
        <w:rPr>
          <w:rFonts w:hint="eastAsia" w:ascii="宋体" w:hAnsi="宋体" w:cs="宋体"/>
          <w:b/>
          <w:bCs/>
          <w:color w:val="000000"/>
          <w:sz w:val="24"/>
          <w:szCs w:val="24"/>
        </w:rPr>
        <w:t>管理人对报告期内本基金运作遵规守信情况的说明</w:t>
      </w:r>
      <w:bookmarkEnd w:id="17"/>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沪港深研究精选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18" w:name="_Toc445827362"/>
      <w:r>
        <w:rPr>
          <w:rFonts w:ascii="宋体" w:hAnsi="宋体" w:cs="宋体"/>
          <w:b/>
          <w:bCs/>
          <w:color w:val="000000"/>
          <w:sz w:val="24"/>
          <w:szCs w:val="24"/>
        </w:rPr>
        <w:t xml:space="preserve">4.3 </w:t>
      </w:r>
      <w:r>
        <w:rPr>
          <w:rFonts w:hint="eastAsia" w:ascii="宋体" w:hAnsi="宋体" w:cs="宋体"/>
          <w:b/>
          <w:bCs/>
          <w:color w:val="000000"/>
          <w:sz w:val="24"/>
          <w:szCs w:val="24"/>
        </w:rPr>
        <w:t>管理人对报告期内公平交易情况的专项说明</w:t>
      </w:r>
      <w:bookmarkEnd w:id="18"/>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4.3.1 </w:t>
      </w:r>
      <w:r>
        <w:rPr>
          <w:rFonts w:hint="eastAsia" w:ascii="宋体" w:hAnsi="宋体" w:cs="宋体"/>
          <w:b/>
          <w:bCs/>
          <w:color w:val="000000"/>
          <w:sz w:val="24"/>
          <w:szCs w:val="24"/>
        </w:rPr>
        <w:t>公平交易制度和控制方法</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w:t>
      </w:r>
      <w:r>
        <w:rPr>
          <w:rFonts w:ascii="宋体" w:hAnsi="宋体" w:cs="宋体"/>
          <w:color w:val="000000"/>
          <w:sz w:val="24"/>
          <w:szCs w:val="24"/>
        </w:rPr>
        <w:t>2011</w:t>
      </w:r>
      <w:r>
        <w:rPr>
          <w:rFonts w:hint="eastAsia" w:ascii="宋体" w:hAnsi="宋体" w:cs="宋体"/>
          <w:color w:val="00000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、授权、研究分析与投资决策的内部控制</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、交易执行的内部控制</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、交易指令分配的控制</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所有投资对象的投资指令必须经由交易室总监或其授权人审核后分配至交易员执行。</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、公平交易监控</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hAnsi="宋体" w:cs="宋体"/>
          <w:color w:val="000000"/>
          <w:sz w:val="24"/>
          <w:szCs w:val="24"/>
        </w:rPr>
        <w:t>1</w:t>
      </w:r>
      <w:r>
        <w:rPr>
          <w:rFonts w:hint="eastAsia" w:ascii="宋体" w:hAnsi="宋体" w:cs="宋体"/>
          <w:color w:val="000000"/>
          <w:sz w:val="24"/>
          <w:szCs w:val="24"/>
        </w:rPr>
        <w:t>日内、</w:t>
      </w:r>
      <w:r>
        <w:rPr>
          <w:rFonts w:ascii="宋体" w:hAnsi="宋体" w:cs="宋体"/>
          <w:color w:val="000000"/>
          <w:sz w:val="24"/>
          <w:szCs w:val="24"/>
        </w:rPr>
        <w:t>3</w:t>
      </w:r>
      <w:r>
        <w:rPr>
          <w:rFonts w:hint="eastAsia" w:ascii="宋体" w:hAnsi="宋体" w:cs="宋体"/>
          <w:color w:val="000000"/>
          <w:sz w:val="24"/>
          <w:szCs w:val="24"/>
        </w:rPr>
        <w:t>日、</w:t>
      </w:r>
      <w:r>
        <w:rPr>
          <w:rFonts w:ascii="宋体" w:hAnsi="宋体" w:cs="宋体"/>
          <w:color w:val="000000"/>
          <w:sz w:val="24"/>
          <w:szCs w:val="24"/>
        </w:rPr>
        <w:t>5</w:t>
      </w:r>
      <w:r>
        <w:rPr>
          <w:rFonts w:hint="eastAsia" w:ascii="宋体" w:hAnsi="宋体" w:cs="宋体"/>
          <w:color w:val="00000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4.3.2 </w:t>
      </w:r>
      <w:r>
        <w:rPr>
          <w:rFonts w:hint="eastAsia" w:ascii="宋体" w:hAnsi="宋体" w:cs="宋体"/>
          <w:b/>
          <w:bCs/>
          <w:color w:val="000000"/>
          <w:sz w:val="24"/>
          <w:szCs w:val="24"/>
        </w:rPr>
        <w:t>公平交易制度的执行情况</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本报告期内，本基金管理人严格执行《证券投资基金管理公司公平交易制度指导意见（</w:t>
      </w:r>
      <w:r>
        <w:rPr>
          <w:rFonts w:ascii="宋体" w:hAnsi="宋体" w:cs="宋体"/>
          <w:color w:val="000000"/>
          <w:sz w:val="24"/>
          <w:szCs w:val="24"/>
        </w:rPr>
        <w:t>2011</w:t>
      </w:r>
      <w:r>
        <w:rPr>
          <w:rFonts w:hint="eastAsia" w:ascii="宋体" w:hAnsi="宋体" w:cs="宋体"/>
          <w:color w:val="000000"/>
          <w:sz w:val="24"/>
          <w:szCs w:val="24"/>
        </w:rPr>
        <w:t>年修订）》，完善相应制度及流程，通过系统和人工等各种方式在各业务环节严格控制交易公平执行，公平对待旗下管理的所有投资组合。本报告期内本基金管理人根据《证券投资基金管理公司公平交易制度指导意见（</w:t>
      </w:r>
      <w:r>
        <w:rPr>
          <w:rFonts w:ascii="宋体" w:hAnsi="宋体" w:cs="宋体"/>
          <w:color w:val="000000"/>
          <w:sz w:val="24"/>
          <w:szCs w:val="24"/>
        </w:rPr>
        <w:t>2011</w:t>
      </w:r>
      <w:r>
        <w:rPr>
          <w:rFonts w:hint="eastAsia" w:ascii="宋体" w:hAnsi="宋体" w:cs="宋体"/>
          <w:color w:val="000000"/>
          <w:sz w:val="24"/>
          <w:szCs w:val="24"/>
        </w:rPr>
        <w:t>年修订）》及《创金合信基金管理有限公司公平交易制度》对本年度同向交易价差进行了专项分析，未发现异常交易情况。</w:t>
      </w:r>
    </w:p>
    <w:p>
      <w:pPr>
        <w:spacing w:line="288" w:lineRule="auto"/>
        <w:jc w:val="left"/>
        <w:rPr>
          <w:rFonts w:ascii="MS Sans Serif" w:hAnsi="MS Sans Serif" w:eastAsia="Times New Roman" w:cs="MS Sans Serif"/>
          <w:color w:val="000000"/>
          <w:sz w:val="16"/>
          <w:szCs w:val="16"/>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4.3.3 </w:t>
      </w:r>
      <w:r>
        <w:rPr>
          <w:rFonts w:hint="eastAsia" w:ascii="宋体" w:hAnsi="宋体" w:cs="宋体"/>
          <w:b/>
          <w:bCs/>
          <w:color w:val="000000"/>
          <w:sz w:val="24"/>
          <w:szCs w:val="24"/>
        </w:rPr>
        <w:t>异常交易行为的专项说明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本基金本报告期内未发现异常交易行为。</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19" w:name="_Toc445827363"/>
      <w:r>
        <w:rPr>
          <w:rFonts w:ascii="宋体" w:hAnsi="宋体" w:cs="宋体"/>
          <w:b/>
          <w:bCs/>
          <w:color w:val="000000"/>
          <w:sz w:val="24"/>
          <w:szCs w:val="24"/>
        </w:rPr>
        <w:t xml:space="preserve">4.4 </w:t>
      </w:r>
      <w:r>
        <w:rPr>
          <w:rFonts w:hint="eastAsia" w:ascii="宋体" w:hAnsi="宋体" w:cs="宋体"/>
          <w:b/>
          <w:bCs/>
          <w:color w:val="000000"/>
          <w:sz w:val="24"/>
          <w:szCs w:val="24"/>
        </w:rPr>
        <w:t>管理人对报告期内基金的投资策略和业绩表现的说明</w:t>
      </w:r>
      <w:bookmarkEnd w:id="19"/>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4.4.1 </w:t>
      </w:r>
      <w:r>
        <w:rPr>
          <w:rFonts w:hint="eastAsia" w:ascii="宋体" w:hAnsi="宋体" w:cs="宋体"/>
          <w:b/>
          <w:bCs/>
          <w:color w:val="000000"/>
          <w:sz w:val="24"/>
          <w:szCs w:val="24"/>
        </w:rPr>
        <w:t>报告期内基金投资策略和运作分析</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本基金成立于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日，在成立初期暂时采取类</w:t>
      </w:r>
      <w:r>
        <w:rPr>
          <w:rFonts w:ascii="宋体" w:hAnsi="宋体" w:cs="宋体"/>
          <w:color w:val="000000"/>
          <w:sz w:val="24"/>
          <w:szCs w:val="24"/>
        </w:rPr>
        <w:t>CPPI</w:t>
      </w:r>
      <w:r>
        <w:rPr>
          <w:rFonts w:hint="eastAsia" w:ascii="宋体" w:hAnsi="宋体" w:cs="宋体"/>
          <w:color w:val="000000"/>
          <w:sz w:val="24"/>
          <w:szCs w:val="24"/>
        </w:rPr>
        <w:t>动态保本策略进行操作，以控制组合净值最大回撤。报告期内基金仓位水平随基金净值进行动态调整，但整体维持在较低水平，组合净值波动幅度较小。</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4.4.2 </w:t>
      </w:r>
      <w:r>
        <w:rPr>
          <w:rFonts w:hint="eastAsia" w:ascii="宋体" w:hAnsi="宋体" w:cs="宋体"/>
          <w:b/>
          <w:bCs/>
          <w:color w:val="000000"/>
          <w:sz w:val="24"/>
          <w:szCs w:val="24"/>
        </w:rPr>
        <w:t>报告期内基金的业绩表现</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本报告期末基金份额净值为</w:t>
      </w:r>
      <w:r>
        <w:rPr>
          <w:rFonts w:ascii="宋体" w:hAnsi="宋体" w:cs="宋体"/>
          <w:color w:val="000000"/>
          <w:sz w:val="24"/>
          <w:szCs w:val="24"/>
        </w:rPr>
        <w:t>0.995</w:t>
      </w:r>
      <w:r>
        <w:rPr>
          <w:rFonts w:hint="eastAsia" w:ascii="宋体" w:hAnsi="宋体" w:cs="宋体"/>
          <w:color w:val="000000"/>
          <w:sz w:val="24"/>
          <w:szCs w:val="24"/>
        </w:rPr>
        <w:t>元，自成立后跌幅为</w:t>
      </w:r>
      <w:r>
        <w:rPr>
          <w:rFonts w:ascii="宋体" w:hAnsi="宋体" w:cs="宋体"/>
          <w:color w:val="000000"/>
          <w:sz w:val="24"/>
          <w:szCs w:val="24"/>
        </w:rPr>
        <w:t>0.50%</w:t>
      </w:r>
      <w:r>
        <w:rPr>
          <w:rFonts w:hint="eastAsia" w:ascii="宋体" w:hAnsi="宋体" w:cs="宋体"/>
          <w:color w:val="000000"/>
          <w:sz w:val="24"/>
          <w:szCs w:val="24"/>
        </w:rPr>
        <w:t>，业绩比较基准收益率为2.90%。</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0" w:name="_Toc445827364"/>
      <w:r>
        <w:rPr>
          <w:rFonts w:ascii="宋体" w:hAnsi="宋体" w:cs="宋体"/>
          <w:b/>
          <w:bCs/>
          <w:color w:val="000000"/>
          <w:sz w:val="24"/>
          <w:szCs w:val="24"/>
        </w:rPr>
        <w:t xml:space="preserve">4.5 </w:t>
      </w:r>
      <w:r>
        <w:rPr>
          <w:rFonts w:hint="eastAsia" w:ascii="宋体" w:hAnsi="宋体" w:cs="宋体"/>
          <w:b/>
          <w:bCs/>
          <w:color w:val="000000"/>
          <w:sz w:val="24"/>
          <w:szCs w:val="24"/>
        </w:rPr>
        <w:t>管理人对宏观经济、证券市场及行业走势的简要展望</w:t>
      </w:r>
      <w:bookmarkEnd w:id="20"/>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、市场回顾：本轮</w:t>
      </w:r>
      <w:r>
        <w:rPr>
          <w:rFonts w:ascii="宋体" w:hAnsi="宋体" w:cs="宋体"/>
          <w:color w:val="000000"/>
          <w:sz w:val="24"/>
          <w:szCs w:val="24"/>
        </w:rPr>
        <w:t>A</w:t>
      </w:r>
      <w:r>
        <w:rPr>
          <w:rFonts w:hint="eastAsia" w:ascii="宋体" w:hAnsi="宋体" w:cs="宋体"/>
          <w:color w:val="000000"/>
          <w:sz w:val="24"/>
          <w:szCs w:val="24"/>
        </w:rPr>
        <w:t>股市场上涨起于</w:t>
      </w:r>
      <w:r>
        <w:rPr>
          <w:rFonts w:ascii="宋体" w:hAnsi="宋体" w:cs="宋体"/>
          <w:color w:val="000000"/>
          <w:sz w:val="24"/>
          <w:szCs w:val="24"/>
        </w:rPr>
        <w:t>2012</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4</w:t>
      </w:r>
      <w:r>
        <w:rPr>
          <w:rFonts w:hint="eastAsia" w:ascii="宋体" w:hAnsi="宋体" w:cs="宋体"/>
          <w:color w:val="000000"/>
          <w:sz w:val="24"/>
          <w:szCs w:val="24"/>
        </w:rPr>
        <w:t>日，持续时间已达</w:t>
      </w:r>
      <w:r>
        <w:rPr>
          <w:rFonts w:ascii="宋体" w:hAnsi="宋体" w:cs="宋体"/>
          <w:color w:val="000000"/>
          <w:sz w:val="24"/>
          <w:szCs w:val="24"/>
        </w:rPr>
        <w:t>3</w:t>
      </w:r>
      <w:r>
        <w:rPr>
          <w:rFonts w:hint="eastAsia" w:ascii="宋体" w:hAnsi="宋体" w:cs="宋体"/>
          <w:color w:val="000000"/>
          <w:sz w:val="24"/>
          <w:szCs w:val="24"/>
        </w:rPr>
        <w:t>年，创有史以来最长时间牛市。各风格指数截至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r>
        <w:rPr>
          <w:rFonts w:ascii="宋体" w:hAnsi="宋体" w:cs="宋体"/>
          <w:color w:val="000000"/>
          <w:sz w:val="24"/>
          <w:szCs w:val="24"/>
        </w:rPr>
        <w:t>3</w:t>
      </w:r>
      <w:r>
        <w:rPr>
          <w:rFonts w:hint="eastAsia" w:ascii="宋体" w:hAnsi="宋体" w:cs="宋体"/>
          <w:color w:val="000000"/>
          <w:sz w:val="24"/>
          <w:szCs w:val="24"/>
        </w:rPr>
        <w:t>年累计涨幅分别为创业板指</w:t>
      </w:r>
      <w:r>
        <w:rPr>
          <w:rFonts w:ascii="宋体" w:hAnsi="宋体" w:cs="宋体"/>
          <w:color w:val="000000"/>
          <w:sz w:val="24"/>
          <w:szCs w:val="24"/>
        </w:rPr>
        <w:t>360%</w:t>
      </w:r>
      <w:r>
        <w:rPr>
          <w:rFonts w:hint="eastAsia" w:ascii="宋体" w:hAnsi="宋体" w:cs="宋体"/>
          <w:color w:val="000000"/>
          <w:sz w:val="24"/>
          <w:szCs w:val="24"/>
        </w:rPr>
        <w:t>，中证</w:t>
      </w:r>
      <w:r>
        <w:rPr>
          <w:rFonts w:ascii="宋体" w:hAnsi="宋体" w:cs="宋体"/>
          <w:color w:val="000000"/>
          <w:sz w:val="24"/>
          <w:szCs w:val="24"/>
        </w:rPr>
        <w:t>1000</w:t>
      </w:r>
      <w:r>
        <w:rPr>
          <w:rFonts w:hint="eastAsia" w:ascii="宋体" w:hAnsi="宋体" w:cs="宋体"/>
          <w:color w:val="000000"/>
          <w:sz w:val="24"/>
          <w:szCs w:val="24"/>
        </w:rPr>
        <w:t>指数</w:t>
      </w:r>
      <w:r>
        <w:rPr>
          <w:rFonts w:ascii="宋体" w:hAnsi="宋体" w:cs="宋体"/>
          <w:color w:val="000000"/>
          <w:sz w:val="24"/>
          <w:szCs w:val="24"/>
        </w:rPr>
        <w:t>260%</w:t>
      </w:r>
      <w:r>
        <w:rPr>
          <w:rFonts w:hint="eastAsia" w:ascii="宋体" w:hAnsi="宋体" w:cs="宋体"/>
          <w:color w:val="000000"/>
          <w:sz w:val="24"/>
          <w:szCs w:val="24"/>
        </w:rPr>
        <w:t>，中证</w:t>
      </w:r>
      <w:r>
        <w:rPr>
          <w:rFonts w:ascii="宋体" w:hAnsi="宋体" w:cs="宋体"/>
          <w:color w:val="000000"/>
          <w:sz w:val="24"/>
          <w:szCs w:val="24"/>
        </w:rPr>
        <w:t>500</w:t>
      </w:r>
      <w:r>
        <w:rPr>
          <w:rFonts w:hint="eastAsia" w:ascii="宋体" w:hAnsi="宋体" w:cs="宋体"/>
          <w:color w:val="000000"/>
          <w:sz w:val="24"/>
          <w:szCs w:val="24"/>
        </w:rPr>
        <w:t>指数</w:t>
      </w:r>
      <w:r>
        <w:rPr>
          <w:rFonts w:ascii="宋体" w:hAnsi="宋体" w:cs="宋体"/>
          <w:color w:val="000000"/>
          <w:sz w:val="24"/>
          <w:szCs w:val="24"/>
        </w:rPr>
        <w:t>170%</w:t>
      </w:r>
      <w:r>
        <w:rPr>
          <w:rFonts w:hint="eastAsia" w:ascii="宋体" w:hAnsi="宋体" w:cs="宋体"/>
          <w:color w:val="000000"/>
          <w:sz w:val="24"/>
          <w:szCs w:val="24"/>
        </w:rPr>
        <w:t>，沪深</w:t>
      </w:r>
      <w:r>
        <w:rPr>
          <w:rFonts w:ascii="宋体" w:hAnsi="宋体" w:cs="宋体"/>
          <w:color w:val="000000"/>
          <w:sz w:val="24"/>
          <w:szCs w:val="24"/>
        </w:rPr>
        <w:t>300</w:t>
      </w:r>
      <w:r>
        <w:rPr>
          <w:rFonts w:hint="eastAsia" w:ascii="宋体" w:hAnsi="宋体" w:cs="宋体"/>
          <w:color w:val="000000"/>
          <w:sz w:val="24"/>
          <w:szCs w:val="24"/>
        </w:rPr>
        <w:t>指数涨</w:t>
      </w:r>
      <w:r>
        <w:rPr>
          <w:rFonts w:ascii="宋体" w:hAnsi="宋体" w:cs="宋体"/>
          <w:color w:val="000000"/>
          <w:sz w:val="24"/>
          <w:szCs w:val="24"/>
        </w:rPr>
        <w:t>72%</w:t>
      </w:r>
      <w:r>
        <w:rPr>
          <w:rFonts w:hint="eastAsia" w:ascii="宋体" w:hAnsi="宋体" w:cs="宋体"/>
          <w:color w:val="000000"/>
          <w:sz w:val="24"/>
          <w:szCs w:val="24"/>
        </w:rPr>
        <w:t>，上证</w:t>
      </w:r>
      <w:r>
        <w:rPr>
          <w:rFonts w:ascii="宋体" w:hAnsi="宋体" w:cs="宋体"/>
          <w:color w:val="000000"/>
          <w:sz w:val="24"/>
          <w:szCs w:val="24"/>
        </w:rPr>
        <w:t>50</w:t>
      </w:r>
      <w:r>
        <w:rPr>
          <w:rFonts w:hint="eastAsia" w:ascii="宋体" w:hAnsi="宋体" w:cs="宋体"/>
          <w:color w:val="000000"/>
          <w:sz w:val="24"/>
          <w:szCs w:val="24"/>
        </w:rPr>
        <w:t>指数</w:t>
      </w:r>
      <w:r>
        <w:rPr>
          <w:rFonts w:ascii="宋体" w:hAnsi="宋体" w:cs="宋体"/>
          <w:color w:val="000000"/>
          <w:sz w:val="24"/>
          <w:szCs w:val="24"/>
        </w:rPr>
        <w:t>55%</w:t>
      </w:r>
      <w:r>
        <w:rPr>
          <w:rFonts w:hint="eastAsia" w:ascii="宋体" w:hAnsi="宋体" w:cs="宋体"/>
          <w:color w:val="000000"/>
          <w:sz w:val="24"/>
          <w:szCs w:val="24"/>
        </w:rPr>
        <w:t>。</w:t>
      </w:r>
      <w:r>
        <w:rPr>
          <w:rFonts w:ascii="宋体" w:hAnsi="宋体" w:cs="宋体"/>
          <w:color w:val="000000"/>
          <w:sz w:val="24"/>
          <w:szCs w:val="24"/>
        </w:rPr>
        <w:t>2012</w:t>
      </w:r>
      <w:r>
        <w:rPr>
          <w:rFonts w:hint="eastAsia" w:ascii="宋体" w:hAnsi="宋体" w:cs="宋体"/>
          <w:color w:val="000000"/>
          <w:sz w:val="24"/>
          <w:szCs w:val="24"/>
        </w:rPr>
        <w:t>、</w:t>
      </w:r>
      <w:r>
        <w:rPr>
          <w:rFonts w:ascii="宋体" w:hAnsi="宋体" w:cs="宋体"/>
          <w:color w:val="000000"/>
          <w:sz w:val="24"/>
          <w:szCs w:val="24"/>
        </w:rPr>
        <w:t>2013</w:t>
      </w:r>
      <w:r>
        <w:rPr>
          <w:rFonts w:hint="eastAsia" w:ascii="宋体" w:hAnsi="宋体" w:cs="宋体"/>
          <w:color w:val="000000"/>
          <w:sz w:val="24"/>
          <w:szCs w:val="24"/>
        </w:rPr>
        <w:t>、</w:t>
      </w:r>
      <w:r>
        <w:rPr>
          <w:rFonts w:ascii="宋体" w:hAnsi="宋体" w:cs="宋体"/>
          <w:color w:val="000000"/>
          <w:sz w:val="24"/>
          <w:szCs w:val="24"/>
        </w:rPr>
        <w:t>2014</w:t>
      </w:r>
      <w:r>
        <w:rPr>
          <w:rFonts w:hint="eastAsia" w:ascii="宋体" w:hAnsi="宋体" w:cs="宋体"/>
          <w:color w:val="000000"/>
          <w:sz w:val="24"/>
          <w:szCs w:val="24"/>
        </w:rPr>
        <w:t>、</w:t>
      </w:r>
      <w:r>
        <w:rPr>
          <w:rFonts w:ascii="宋体" w:hAnsi="宋体" w:cs="宋体"/>
          <w:color w:val="000000"/>
          <w:sz w:val="24"/>
          <w:szCs w:val="24"/>
        </w:rPr>
        <w:t>2015</w:t>
      </w:r>
      <w:r>
        <w:rPr>
          <w:rFonts w:hint="eastAsia" w:ascii="宋体" w:hAnsi="宋体" w:cs="宋体"/>
          <w:color w:val="000000"/>
          <w:sz w:val="24"/>
          <w:szCs w:val="24"/>
        </w:rPr>
        <w:t>年度股票型基金年涨幅中值分别约为</w:t>
      </w:r>
      <w:r>
        <w:rPr>
          <w:rFonts w:ascii="宋体" w:hAnsi="宋体" w:cs="宋体"/>
          <w:color w:val="000000"/>
          <w:sz w:val="24"/>
          <w:szCs w:val="24"/>
        </w:rPr>
        <w:t>5%</w:t>
      </w:r>
      <w:r>
        <w:rPr>
          <w:rFonts w:hint="eastAsia" w:ascii="宋体" w:hAnsi="宋体" w:cs="宋体"/>
          <w:color w:val="000000"/>
          <w:sz w:val="24"/>
          <w:szCs w:val="24"/>
        </w:rPr>
        <w:t>、</w:t>
      </w:r>
      <w:r>
        <w:rPr>
          <w:rFonts w:ascii="宋体" w:hAnsi="宋体" w:cs="宋体"/>
          <w:color w:val="000000"/>
          <w:sz w:val="24"/>
          <w:szCs w:val="24"/>
        </w:rPr>
        <w:t>15%</w:t>
      </w:r>
      <w:r>
        <w:rPr>
          <w:rFonts w:hint="eastAsia" w:ascii="宋体" w:hAnsi="宋体" w:cs="宋体"/>
          <w:color w:val="000000"/>
          <w:sz w:val="24"/>
          <w:szCs w:val="24"/>
        </w:rPr>
        <w:t>、</w:t>
      </w:r>
      <w:r>
        <w:rPr>
          <w:rFonts w:ascii="宋体" w:hAnsi="宋体" w:cs="宋体"/>
          <w:color w:val="000000"/>
          <w:sz w:val="24"/>
          <w:szCs w:val="24"/>
        </w:rPr>
        <w:t>25%</w:t>
      </w:r>
      <w:r>
        <w:rPr>
          <w:rFonts w:hint="eastAsia" w:ascii="宋体" w:hAnsi="宋体" w:cs="宋体"/>
          <w:color w:val="000000"/>
          <w:sz w:val="24"/>
          <w:szCs w:val="24"/>
        </w:rPr>
        <w:t>、</w:t>
      </w:r>
      <w:r>
        <w:rPr>
          <w:rFonts w:ascii="宋体" w:hAnsi="宋体" w:cs="宋体"/>
          <w:color w:val="000000"/>
          <w:sz w:val="24"/>
          <w:szCs w:val="24"/>
        </w:rPr>
        <w:t>45%</w:t>
      </w:r>
      <w:r>
        <w:rPr>
          <w:rFonts w:hint="eastAsia" w:ascii="宋体" w:hAnsi="宋体" w:cs="宋体"/>
          <w:color w:val="000000"/>
          <w:sz w:val="24"/>
          <w:szCs w:val="24"/>
        </w:rPr>
        <w:t>。</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从市场风格角度分析，</w:t>
      </w:r>
      <w:r>
        <w:rPr>
          <w:rFonts w:ascii="宋体" w:hAnsi="宋体" w:cs="宋体"/>
          <w:color w:val="000000"/>
          <w:sz w:val="24"/>
          <w:szCs w:val="24"/>
        </w:rPr>
        <w:t>A</w:t>
      </w:r>
      <w:r>
        <w:rPr>
          <w:rFonts w:hint="eastAsia" w:ascii="宋体" w:hAnsi="宋体" w:cs="宋体"/>
          <w:color w:val="000000"/>
          <w:sz w:val="24"/>
          <w:szCs w:val="24"/>
        </w:rPr>
        <w:t>股市场呈现明显的大小市值风格轮动规律：</w:t>
      </w:r>
      <w:r>
        <w:rPr>
          <w:rFonts w:ascii="宋体" w:hAnsi="宋体" w:cs="宋体"/>
          <w:color w:val="000000"/>
          <w:sz w:val="24"/>
          <w:szCs w:val="24"/>
        </w:rPr>
        <w:t>2010</w:t>
      </w:r>
      <w:r>
        <w:rPr>
          <w:rFonts w:hint="eastAsia" w:ascii="宋体" w:hAnsi="宋体" w:cs="宋体"/>
          <w:color w:val="000000"/>
          <w:sz w:val="24"/>
          <w:szCs w:val="24"/>
        </w:rPr>
        <w:t>年小市值涨幅领先，</w:t>
      </w:r>
      <w:r>
        <w:rPr>
          <w:rFonts w:ascii="宋体" w:hAnsi="宋体" w:cs="宋体"/>
          <w:color w:val="000000"/>
          <w:sz w:val="24"/>
          <w:szCs w:val="24"/>
        </w:rPr>
        <w:t>2011</w:t>
      </w:r>
      <w:r>
        <w:rPr>
          <w:rFonts w:hint="eastAsia" w:ascii="宋体" w:hAnsi="宋体" w:cs="宋体"/>
          <w:color w:val="000000"/>
          <w:sz w:val="24"/>
          <w:szCs w:val="24"/>
        </w:rPr>
        <w:t>年大市值跌幅较小，</w:t>
      </w:r>
      <w:r>
        <w:rPr>
          <w:rFonts w:ascii="宋体" w:hAnsi="宋体" w:cs="宋体"/>
          <w:color w:val="000000"/>
          <w:sz w:val="24"/>
          <w:szCs w:val="24"/>
        </w:rPr>
        <w:t>2012</w:t>
      </w:r>
      <w:r>
        <w:rPr>
          <w:rFonts w:hint="eastAsia" w:ascii="宋体" w:hAnsi="宋体" w:cs="宋体"/>
          <w:color w:val="000000"/>
          <w:sz w:val="24"/>
          <w:szCs w:val="24"/>
        </w:rPr>
        <w:t>年大市值涨幅较大，</w:t>
      </w:r>
      <w:r>
        <w:rPr>
          <w:rFonts w:ascii="宋体" w:hAnsi="宋体" w:cs="宋体"/>
          <w:color w:val="000000"/>
          <w:sz w:val="24"/>
          <w:szCs w:val="24"/>
        </w:rPr>
        <w:t>2013</w:t>
      </w:r>
      <w:r>
        <w:rPr>
          <w:rFonts w:hint="eastAsia" w:ascii="宋体" w:hAnsi="宋体" w:cs="宋体"/>
          <w:color w:val="000000"/>
          <w:sz w:val="24"/>
          <w:szCs w:val="24"/>
        </w:rPr>
        <w:t>年小市值涨幅较大如创业板涨</w:t>
      </w:r>
      <w:r>
        <w:rPr>
          <w:rFonts w:ascii="宋体" w:hAnsi="宋体" w:cs="宋体"/>
          <w:color w:val="000000"/>
          <w:sz w:val="24"/>
          <w:szCs w:val="24"/>
        </w:rPr>
        <w:t>83%</w:t>
      </w:r>
      <w:r>
        <w:rPr>
          <w:rFonts w:hint="eastAsia" w:ascii="宋体" w:hAnsi="宋体" w:cs="宋体"/>
          <w:color w:val="000000"/>
          <w:sz w:val="24"/>
          <w:szCs w:val="24"/>
        </w:rPr>
        <w:t>，但上证</w:t>
      </w:r>
      <w:r>
        <w:rPr>
          <w:rFonts w:ascii="宋体" w:hAnsi="宋体" w:cs="宋体"/>
          <w:color w:val="000000"/>
          <w:sz w:val="24"/>
          <w:szCs w:val="24"/>
        </w:rPr>
        <w:t>50</w:t>
      </w:r>
      <w:r>
        <w:rPr>
          <w:rFonts w:hint="eastAsia" w:ascii="宋体" w:hAnsi="宋体" w:cs="宋体"/>
          <w:color w:val="000000"/>
          <w:sz w:val="24"/>
          <w:szCs w:val="24"/>
        </w:rPr>
        <w:t>跌</w:t>
      </w:r>
      <w:r>
        <w:rPr>
          <w:rFonts w:ascii="宋体" w:hAnsi="宋体" w:cs="宋体"/>
          <w:color w:val="000000"/>
          <w:sz w:val="24"/>
          <w:szCs w:val="24"/>
        </w:rPr>
        <w:t>15%</w:t>
      </w:r>
      <w:r>
        <w:rPr>
          <w:rFonts w:hint="eastAsia" w:ascii="宋体" w:hAnsi="宋体" w:cs="宋体"/>
          <w:color w:val="000000"/>
          <w:sz w:val="24"/>
          <w:szCs w:val="24"/>
        </w:rPr>
        <w:t>；</w:t>
      </w:r>
      <w:r>
        <w:rPr>
          <w:rFonts w:ascii="宋体" w:hAnsi="宋体" w:cs="宋体"/>
          <w:color w:val="000000"/>
          <w:sz w:val="24"/>
          <w:szCs w:val="24"/>
        </w:rPr>
        <w:t>2014</w:t>
      </w:r>
      <w:r>
        <w:rPr>
          <w:rFonts w:hint="eastAsia" w:ascii="宋体" w:hAnsi="宋体" w:cs="宋体"/>
          <w:color w:val="000000"/>
          <w:sz w:val="24"/>
          <w:szCs w:val="24"/>
        </w:rPr>
        <w:t>年大市值涨幅显著如上证</w:t>
      </w:r>
      <w:r>
        <w:rPr>
          <w:rFonts w:ascii="宋体" w:hAnsi="宋体" w:cs="宋体"/>
          <w:color w:val="000000"/>
          <w:sz w:val="24"/>
          <w:szCs w:val="24"/>
        </w:rPr>
        <w:t>50</w:t>
      </w:r>
      <w:r>
        <w:rPr>
          <w:rFonts w:hint="eastAsia" w:ascii="宋体" w:hAnsi="宋体" w:cs="宋体"/>
          <w:color w:val="000000"/>
          <w:sz w:val="24"/>
          <w:szCs w:val="24"/>
        </w:rPr>
        <w:t>指数涨</w:t>
      </w:r>
      <w:r>
        <w:rPr>
          <w:rFonts w:ascii="宋体" w:hAnsi="宋体" w:cs="宋体"/>
          <w:color w:val="000000"/>
          <w:sz w:val="24"/>
          <w:szCs w:val="24"/>
        </w:rPr>
        <w:t>64%</w:t>
      </w:r>
      <w:r>
        <w:rPr>
          <w:rFonts w:hint="eastAsia" w:ascii="宋体" w:hAnsi="宋体" w:cs="宋体"/>
          <w:color w:val="000000"/>
          <w:sz w:val="24"/>
          <w:szCs w:val="24"/>
        </w:rPr>
        <w:t>，创业板仅涨</w:t>
      </w:r>
      <w:r>
        <w:rPr>
          <w:rFonts w:ascii="宋体" w:hAnsi="宋体" w:cs="宋体"/>
          <w:color w:val="000000"/>
          <w:sz w:val="24"/>
          <w:szCs w:val="24"/>
        </w:rPr>
        <w:t>13%</w:t>
      </w:r>
      <w:r>
        <w:rPr>
          <w:rFonts w:hint="eastAsia" w:ascii="宋体" w:hAnsi="宋体" w:cs="宋体"/>
          <w:color w:val="000000"/>
          <w:sz w:val="24"/>
          <w:szCs w:val="24"/>
        </w:rPr>
        <w:t>；</w:t>
      </w:r>
      <w:r>
        <w:rPr>
          <w:rFonts w:ascii="宋体" w:hAnsi="宋体" w:cs="宋体"/>
          <w:color w:val="000000"/>
          <w:sz w:val="24"/>
          <w:szCs w:val="24"/>
        </w:rPr>
        <w:t>2015</w:t>
      </w:r>
      <w:r>
        <w:rPr>
          <w:rFonts w:hint="eastAsia" w:ascii="宋体" w:hAnsi="宋体" w:cs="宋体"/>
          <w:color w:val="000000"/>
          <w:sz w:val="24"/>
          <w:szCs w:val="24"/>
        </w:rPr>
        <w:t>年小市值如创业板涨</w:t>
      </w:r>
      <w:r>
        <w:rPr>
          <w:rFonts w:ascii="宋体" w:hAnsi="宋体" w:cs="宋体"/>
          <w:color w:val="000000"/>
          <w:sz w:val="24"/>
          <w:szCs w:val="24"/>
        </w:rPr>
        <w:t>83%</w:t>
      </w:r>
      <w:r>
        <w:rPr>
          <w:rFonts w:hint="eastAsia" w:ascii="宋体" w:hAnsi="宋体" w:cs="宋体"/>
          <w:color w:val="000000"/>
          <w:sz w:val="24"/>
          <w:szCs w:val="24"/>
        </w:rPr>
        <w:t>，上证</w:t>
      </w:r>
      <w:r>
        <w:rPr>
          <w:rFonts w:ascii="宋体" w:hAnsi="宋体" w:cs="宋体"/>
          <w:color w:val="000000"/>
          <w:sz w:val="24"/>
          <w:szCs w:val="24"/>
        </w:rPr>
        <w:t>50</w:t>
      </w:r>
      <w:r>
        <w:rPr>
          <w:rFonts w:hint="eastAsia" w:ascii="宋体" w:hAnsi="宋体" w:cs="宋体"/>
          <w:color w:val="000000"/>
          <w:sz w:val="24"/>
          <w:szCs w:val="24"/>
        </w:rPr>
        <w:t>跌</w:t>
      </w:r>
      <w:r>
        <w:rPr>
          <w:rFonts w:ascii="宋体" w:hAnsi="宋体" w:cs="宋体"/>
          <w:color w:val="000000"/>
          <w:sz w:val="24"/>
          <w:szCs w:val="24"/>
        </w:rPr>
        <w:t>8%</w:t>
      </w:r>
      <w:r>
        <w:rPr>
          <w:rFonts w:hint="eastAsia" w:ascii="宋体" w:hAnsi="宋体" w:cs="宋体"/>
          <w:color w:val="000000"/>
          <w:sz w:val="24"/>
          <w:szCs w:val="24"/>
        </w:rPr>
        <w:t>。</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经历过三年大幅轮涨和市场年度收益率持续扩大后，预计</w:t>
      </w:r>
      <w:r>
        <w:rPr>
          <w:rFonts w:ascii="宋体" w:hAnsi="宋体" w:cs="宋体"/>
          <w:color w:val="000000"/>
          <w:sz w:val="24"/>
          <w:szCs w:val="24"/>
        </w:rPr>
        <w:t>2016</w:t>
      </w:r>
      <w:r>
        <w:rPr>
          <w:rFonts w:hint="eastAsia" w:ascii="宋体" w:hAnsi="宋体" w:cs="宋体"/>
          <w:color w:val="000000"/>
          <w:sz w:val="24"/>
          <w:szCs w:val="24"/>
        </w:rPr>
        <w:t>年</w:t>
      </w:r>
      <w:r>
        <w:rPr>
          <w:rFonts w:ascii="宋体" w:hAnsi="宋体" w:cs="宋体"/>
          <w:color w:val="000000"/>
          <w:sz w:val="24"/>
          <w:szCs w:val="24"/>
        </w:rPr>
        <w:t>A</w:t>
      </w:r>
      <w:r>
        <w:rPr>
          <w:rFonts w:hint="eastAsia" w:ascii="宋体" w:hAnsi="宋体" w:cs="宋体"/>
          <w:color w:val="000000"/>
          <w:sz w:val="24"/>
          <w:szCs w:val="24"/>
        </w:rPr>
        <w:t>股市场面临较大的均值回归压力：一是有可能回吐前三年累计过大的历史涨幅，二是中小市值股票可能回吐相对于大中市值股票的巨大超额收益。但历史上市场均值回归和风格转换可以是同涨共跌，可以是先涨后涨，可以是有跌有涨，可以是少涨少跌多涨多跌。</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w:t>
      </w:r>
      <w:r>
        <w:rPr>
          <w:rFonts w:ascii="宋体" w:hAnsi="宋体" w:cs="宋体"/>
          <w:color w:val="000000"/>
          <w:sz w:val="24"/>
          <w:szCs w:val="24"/>
        </w:rPr>
        <w:t>2016</w:t>
      </w:r>
      <w:r>
        <w:rPr>
          <w:rFonts w:hint="eastAsia" w:ascii="宋体" w:hAnsi="宋体" w:cs="宋体"/>
          <w:color w:val="000000"/>
          <w:sz w:val="24"/>
          <w:szCs w:val="24"/>
        </w:rPr>
        <w:t>年市场影响因素分析：利多预期充分，利空悬而未决。</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以上何种状态最终兑现取决于静态因素和尚未在预期中的动态因素。</w:t>
      </w:r>
      <w:r>
        <w:rPr>
          <w:rFonts w:ascii="宋体" w:hAnsi="宋体" w:cs="宋体"/>
          <w:color w:val="000000"/>
          <w:sz w:val="24"/>
          <w:szCs w:val="24"/>
        </w:rPr>
        <w:t>A</w:t>
      </w:r>
      <w:r>
        <w:rPr>
          <w:rFonts w:hint="eastAsia" w:ascii="宋体" w:hAnsi="宋体" w:cs="宋体"/>
          <w:color w:val="000000"/>
          <w:sz w:val="24"/>
          <w:szCs w:val="24"/>
        </w:rPr>
        <w:t>股市场的有利因素主要体现在主观投资情绪方面：其一是存款、理财等无风险收益率下降导致资金配置需求增加，但是进入高风险资产还是继续在债券等低风险资产中沉淀，则显著取决于增加股票市场情绪波动。无风险收益下行预期已久，能否超预期受外部环境制约。其二是政策对股票市场维持相对稳定以最大程度发挥融资功能的期望，构成政策性支持。</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不利因素则主要体现为两个更实质性影响因素：其一，上市公司盈利基本面和估值水平。决定市场整体估值的金融、石化等大市值公司盈利趋势仍然向淡，而经历过三年上涨后市场估值整体处于较高风险水平区域。其二，</w:t>
      </w:r>
      <w:r>
        <w:rPr>
          <w:rFonts w:ascii="宋体" w:hAnsi="宋体" w:cs="宋体"/>
          <w:color w:val="000000"/>
          <w:sz w:val="24"/>
          <w:szCs w:val="24"/>
        </w:rPr>
        <w:t>A</w:t>
      </w:r>
      <w:r>
        <w:rPr>
          <w:rFonts w:hint="eastAsia" w:ascii="宋体" w:hAnsi="宋体" w:cs="宋体"/>
          <w:color w:val="000000"/>
          <w:sz w:val="24"/>
          <w:szCs w:val="24"/>
        </w:rPr>
        <w:t>股作为融资市场将在</w:t>
      </w:r>
      <w:r>
        <w:rPr>
          <w:rFonts w:ascii="宋体" w:hAnsi="宋体" w:cs="宋体"/>
          <w:color w:val="000000"/>
          <w:sz w:val="24"/>
          <w:szCs w:val="24"/>
        </w:rPr>
        <w:t>2016</w:t>
      </w:r>
      <w:r>
        <w:rPr>
          <w:rFonts w:hint="eastAsia" w:ascii="宋体" w:hAnsi="宋体" w:cs="宋体"/>
          <w:color w:val="000000"/>
          <w:sz w:val="24"/>
          <w:szCs w:val="24"/>
        </w:rPr>
        <w:t>年同时承受来自新股发行加速、巨额定增和解禁以及大小非减持重新放开。</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不利与有利间转换的因素包括实体经济弱于预期导致更积极财政政策，内外部金融风险暴露导致更多货币政策干预。</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有史以来最多的不确定因素也将在</w:t>
      </w:r>
      <w:r>
        <w:rPr>
          <w:rFonts w:ascii="宋体" w:hAnsi="宋体" w:cs="宋体"/>
          <w:color w:val="000000"/>
          <w:sz w:val="24"/>
          <w:szCs w:val="24"/>
        </w:rPr>
        <w:t>2016</w:t>
      </w:r>
      <w:r>
        <w:rPr>
          <w:rFonts w:hint="eastAsia" w:ascii="宋体" w:hAnsi="宋体" w:cs="宋体"/>
          <w:color w:val="000000"/>
          <w:sz w:val="24"/>
          <w:szCs w:val="24"/>
        </w:rPr>
        <w:t>年冲击</w:t>
      </w:r>
      <w:r>
        <w:rPr>
          <w:rFonts w:ascii="宋体" w:hAnsi="宋体" w:cs="宋体"/>
          <w:color w:val="000000"/>
          <w:sz w:val="24"/>
          <w:szCs w:val="24"/>
        </w:rPr>
        <w:t>A</w:t>
      </w:r>
      <w:r>
        <w:rPr>
          <w:rFonts w:hint="eastAsia" w:ascii="宋体" w:hAnsi="宋体" w:cs="宋体"/>
          <w:color w:val="000000"/>
          <w:sz w:val="24"/>
          <w:szCs w:val="24"/>
        </w:rPr>
        <w:t>股走势，比较重要的包括国内经济走势能否启稳、国内资产泡沫和实体经济高负债杠杆会否出现不测、美元加息后全球资金流向、人民币汇率和国内资本外流、发展中国家经济和债务危机等。</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大宗商品价格虽然今年来持续暴跌，但也增加了未来经济政策的不确定性。若原油等价格低位稳定，则</w:t>
      </w:r>
      <w:r>
        <w:rPr>
          <w:rFonts w:ascii="宋体" w:hAnsi="宋体" w:cs="宋体"/>
          <w:color w:val="000000"/>
          <w:sz w:val="24"/>
          <w:szCs w:val="24"/>
        </w:rPr>
        <w:t>CPI</w:t>
      </w:r>
      <w:r>
        <w:rPr>
          <w:rFonts w:hint="eastAsia" w:ascii="宋体" w:hAnsi="宋体" w:cs="宋体"/>
          <w:color w:val="000000"/>
          <w:sz w:val="24"/>
          <w:szCs w:val="24"/>
        </w:rPr>
        <w:t>冲击不大，但明年上半年国内工业产出、进出口数据等将因为价格平减受到冲击。若大宗价格出现反弹，虽然上半年因价格基数较高</w:t>
      </w:r>
      <w:r>
        <w:rPr>
          <w:rFonts w:ascii="宋体" w:hAnsi="宋体" w:cs="宋体"/>
          <w:color w:val="000000"/>
          <w:sz w:val="24"/>
          <w:szCs w:val="24"/>
        </w:rPr>
        <w:t>CPI</w:t>
      </w:r>
      <w:r>
        <w:rPr>
          <w:rFonts w:hint="eastAsia" w:ascii="宋体" w:hAnsi="宋体" w:cs="宋体"/>
          <w:color w:val="000000"/>
          <w:sz w:val="24"/>
          <w:szCs w:val="24"/>
        </w:rPr>
        <w:t>问题不大，但下半年后</w:t>
      </w:r>
      <w:r>
        <w:rPr>
          <w:rFonts w:ascii="宋体" w:hAnsi="宋体" w:cs="宋体"/>
          <w:color w:val="000000"/>
          <w:sz w:val="24"/>
          <w:szCs w:val="24"/>
        </w:rPr>
        <w:t>CPI</w:t>
      </w:r>
      <w:r>
        <w:rPr>
          <w:rFonts w:hint="eastAsia" w:ascii="宋体" w:hAnsi="宋体" w:cs="宋体"/>
          <w:color w:val="000000"/>
          <w:sz w:val="24"/>
          <w:szCs w:val="24"/>
        </w:rPr>
        <w:t>上升将可能导致全球性货币政策变化。</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w:t>
      </w:r>
      <w:r>
        <w:rPr>
          <w:rFonts w:ascii="宋体" w:hAnsi="宋体" w:cs="宋体"/>
          <w:color w:val="000000"/>
          <w:sz w:val="24"/>
          <w:szCs w:val="24"/>
        </w:rPr>
        <w:t>2016</w:t>
      </w:r>
      <w:r>
        <w:rPr>
          <w:rFonts w:hint="eastAsia" w:ascii="宋体" w:hAnsi="宋体" w:cs="宋体"/>
          <w:color w:val="000000"/>
          <w:sz w:val="24"/>
          <w:szCs w:val="24"/>
        </w:rPr>
        <w:t>年市场走势预测和操作策略。</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从各种角度分析，</w:t>
      </w:r>
      <w:r>
        <w:rPr>
          <w:rFonts w:ascii="宋体" w:hAnsi="宋体" w:cs="宋体"/>
          <w:color w:val="000000"/>
          <w:sz w:val="24"/>
          <w:szCs w:val="24"/>
        </w:rPr>
        <w:t>2016</w:t>
      </w:r>
      <w:r>
        <w:rPr>
          <w:rFonts w:hint="eastAsia" w:ascii="宋体" w:hAnsi="宋体" w:cs="宋体"/>
          <w:color w:val="000000"/>
          <w:sz w:val="24"/>
          <w:szCs w:val="24"/>
        </w:rPr>
        <w:t>年</w:t>
      </w:r>
      <w:r>
        <w:rPr>
          <w:rFonts w:ascii="宋体" w:hAnsi="宋体" w:cs="宋体"/>
          <w:color w:val="000000"/>
          <w:sz w:val="24"/>
          <w:szCs w:val="24"/>
        </w:rPr>
        <w:t>A</w:t>
      </w:r>
      <w:r>
        <w:rPr>
          <w:rFonts w:hint="eastAsia" w:ascii="宋体" w:hAnsi="宋体" w:cs="宋体"/>
          <w:color w:val="000000"/>
          <w:sz w:val="24"/>
          <w:szCs w:val="24"/>
        </w:rPr>
        <w:t>股市场投资的风险因素相对较多，预期指数化单边市场的概率较低，预计区间波动、风格轮动、主题轮炒的可能性较大，可形象定义为“俯卧撑市”。在一个存量资金博弈的市场中，具体的运行细节需要根据基本面和市场走势不断进行修正，反大众一致预期思维更加实用。结构化行情中纠缠于全市场指数是徒劳且有害的，因为市场变得太大了，最近八年均是如此。主要应关注市场风格和组合结构及轮转策略。</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操作原则方面，首先要坚持“底线思维”，将组合最大回撤风险控制在能够承受的范围之内；抛弃乐观幻想，明确区分主观期望与市场现实。其次要严格考察个股和组合风险收益比，承担仓位风险要有预期回报。操作策略方面重点关注四种类型：第一是深</w:t>
      </w:r>
      <w:r>
        <w:rPr>
          <w:rFonts w:ascii="宋体" w:hAnsi="宋体" w:cs="宋体"/>
          <w:color w:val="000000"/>
          <w:sz w:val="24"/>
          <w:szCs w:val="24"/>
        </w:rPr>
        <w:t>V</w:t>
      </w:r>
      <w:r>
        <w:rPr>
          <w:rFonts w:hint="eastAsia" w:ascii="宋体" w:hAnsi="宋体" w:cs="宋体"/>
          <w:color w:val="000000"/>
          <w:sz w:val="24"/>
          <w:szCs w:val="24"/>
        </w:rPr>
        <w:t>型超跌反弹的机会；其二是主题轮动行情中的分散潜伏、轮种轮收策略；其三是密切关注大小市值风格轮动机会，捕捉短暂的大市值风格补涨机会；第四是中小市值个股的个性化超额收益策略。</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1" w:name="_Toc445827365"/>
      <w:r>
        <w:rPr>
          <w:rFonts w:ascii="宋体" w:hAnsi="宋体" w:cs="宋体"/>
          <w:b/>
          <w:bCs/>
          <w:color w:val="000000"/>
          <w:sz w:val="24"/>
          <w:szCs w:val="24"/>
        </w:rPr>
        <w:t xml:space="preserve">4.6 </w:t>
      </w:r>
      <w:r>
        <w:rPr>
          <w:rFonts w:hint="eastAsia" w:ascii="宋体" w:hAnsi="宋体" w:cs="宋体"/>
          <w:b/>
          <w:bCs/>
          <w:color w:val="000000"/>
          <w:sz w:val="24"/>
          <w:szCs w:val="24"/>
        </w:rPr>
        <w:t>管理人内部有关本基金的监察稽核工作情况</w:t>
      </w:r>
      <w:bookmarkEnd w:id="21"/>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本报告期内，本基金管理人的主要内部监察稽核工作如下：</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1</w:t>
      </w:r>
      <w:r>
        <w:rPr>
          <w:rFonts w:hint="eastAsia" w:ascii="宋体" w:hAnsi="宋体" w:cs="宋体"/>
          <w:color w:val="000000"/>
          <w:sz w:val="24"/>
          <w:szCs w:val="24"/>
        </w:rPr>
        <w:t>）开展全面自查工作，排查各项业务活动中存在的问题或潜在的风险隐患，制定整改计划，并督促按计划完成整改；</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2</w:t>
      </w:r>
      <w:r>
        <w:rPr>
          <w:rFonts w:hint="eastAsia" w:ascii="宋体" w:hAnsi="宋体" w:cs="宋体"/>
          <w:color w:val="000000"/>
          <w:sz w:val="24"/>
          <w:szCs w:val="24"/>
        </w:rPr>
        <w:t>）开展公司专项稽核工作，了解合规风险现状、发现薄弱环节，并持续督导改进；</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3</w:t>
      </w:r>
      <w:r>
        <w:rPr>
          <w:rFonts w:hint="eastAsia" w:ascii="宋体" w:hAnsi="宋体" w:cs="宋体"/>
          <w:color w:val="000000"/>
          <w:sz w:val="24"/>
          <w:szCs w:val="24"/>
        </w:rPr>
        <w:t>）强化合规法务工作。严格审核公司业务、产品及其合同等法律文件，解读最新的法律法规，发布合规提示或警示，举办合规培训；</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4</w:t>
      </w:r>
      <w:r>
        <w:rPr>
          <w:rFonts w:hint="eastAsia" w:ascii="宋体" w:hAnsi="宋体" w:cs="宋体"/>
          <w:color w:val="000000"/>
          <w:sz w:val="24"/>
          <w:szCs w:val="24"/>
        </w:rPr>
        <w:t>）建立健全全面风险管理体系，全面梳理各业务部门的职责与权限，理顺工作流程，同时加强权限管理，健全事前、事中和事后的风险管理体系；</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5</w:t>
      </w:r>
      <w:r>
        <w:rPr>
          <w:rFonts w:hint="eastAsia" w:ascii="宋体" w:hAnsi="宋体" w:cs="宋体"/>
          <w:color w:val="000000"/>
          <w:sz w:val="24"/>
          <w:szCs w:val="24"/>
        </w:rPr>
        <w:t>）完善信息披露工作，修订完善《信息披露制度》等制度，建立统一规范信息披露流程，明确各部门信息披露的职责分工，及时履行信息披露工作；</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6</w:t>
      </w:r>
      <w:r>
        <w:rPr>
          <w:rFonts w:hint="eastAsia" w:ascii="宋体" w:hAnsi="宋体" w:cs="宋体"/>
          <w:color w:val="000000"/>
          <w:sz w:val="24"/>
          <w:szCs w:val="24"/>
        </w:rPr>
        <w:t>）加强关联交易管理，制定《关联交易管理制度》，履行关联交易决策审批程序；   （</w:t>
      </w:r>
      <w:r>
        <w:rPr>
          <w:rFonts w:ascii="宋体" w:hAnsi="宋体" w:cs="宋体"/>
          <w:color w:val="000000"/>
          <w:sz w:val="24"/>
          <w:szCs w:val="24"/>
        </w:rPr>
        <w:t>7</w:t>
      </w:r>
      <w:r>
        <w:rPr>
          <w:rFonts w:hint="eastAsia" w:ascii="宋体" w:hAnsi="宋体" w:cs="宋体"/>
          <w:color w:val="000000"/>
          <w:sz w:val="24"/>
          <w:szCs w:val="24"/>
        </w:rPr>
        <w:t>）建立内幕交易防控机制，公司建立了《内幕交易防控管理办法》，定期开展关于防止内幕交易的合规培训，严防内幕信息传递和内幕交易发生；</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8</w:t>
      </w:r>
      <w:r>
        <w:rPr>
          <w:rFonts w:hint="eastAsia" w:ascii="宋体" w:hAnsi="宋体" w:cs="宋体"/>
          <w:color w:val="00000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9</w:t>
      </w:r>
      <w:r>
        <w:rPr>
          <w:rFonts w:hint="eastAsia" w:ascii="宋体" w:hAnsi="宋体" w:cs="宋体"/>
          <w:color w:val="000000"/>
          <w:sz w:val="24"/>
          <w:szCs w:val="24"/>
        </w:rPr>
        <w:t>）建立员工投资行为管理机制，规范员工的证券投资行为。</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2" w:name="_Toc445827366"/>
      <w:r>
        <w:rPr>
          <w:rFonts w:ascii="宋体" w:hAnsi="宋体" w:cs="宋体"/>
          <w:b/>
          <w:bCs/>
          <w:color w:val="000000"/>
          <w:sz w:val="24"/>
          <w:szCs w:val="24"/>
        </w:rPr>
        <w:t xml:space="preserve">4.7 </w:t>
      </w:r>
      <w:r>
        <w:rPr>
          <w:rFonts w:hint="eastAsia" w:ascii="宋体" w:hAnsi="宋体" w:cs="宋体"/>
          <w:b/>
          <w:bCs/>
          <w:color w:val="000000"/>
          <w:sz w:val="24"/>
          <w:szCs w:val="24"/>
        </w:rPr>
        <w:t>管理人对报告期内基金估值程序等事项的说明</w:t>
      </w:r>
      <w:bookmarkEnd w:id="22"/>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公司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定价服务机构按照商业合同约定提供定价服务。</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3" w:name="_Toc445827367"/>
      <w:r>
        <w:rPr>
          <w:rFonts w:ascii="宋体" w:hAnsi="宋体" w:cs="宋体"/>
          <w:b/>
          <w:bCs/>
          <w:color w:val="000000"/>
          <w:sz w:val="24"/>
          <w:szCs w:val="24"/>
        </w:rPr>
        <w:t xml:space="preserve">4.8 </w:t>
      </w:r>
      <w:r>
        <w:rPr>
          <w:rFonts w:hint="eastAsia" w:ascii="宋体" w:hAnsi="宋体" w:cs="宋体"/>
          <w:b/>
          <w:bCs/>
          <w:color w:val="000000"/>
          <w:sz w:val="24"/>
          <w:szCs w:val="24"/>
        </w:rPr>
        <w:t>管理人对报告期内基金利润分配情况的说明</w:t>
      </w:r>
      <w:bookmarkEnd w:id="23"/>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结合法律法规的规定及《基金合同》的约定，在符合有关基金分红条件的前提下，本基金每年收益分配次数最多为</w:t>
      </w:r>
      <w:r>
        <w:rPr>
          <w:rFonts w:ascii="宋体" w:hAnsi="宋体" w:cs="宋体"/>
          <w:color w:val="000000"/>
          <w:sz w:val="24"/>
          <w:szCs w:val="24"/>
        </w:rPr>
        <w:t>6</w:t>
      </w:r>
      <w:r>
        <w:rPr>
          <w:rFonts w:hint="eastAsia" w:ascii="宋体" w:hAnsi="宋体" w:cs="宋体"/>
          <w:color w:val="000000"/>
          <w:sz w:val="24"/>
          <w:szCs w:val="24"/>
        </w:rPr>
        <w:t>次，每次收益分配比例不得低于该次可供分配利润的</w:t>
      </w:r>
      <w:r>
        <w:rPr>
          <w:rFonts w:ascii="宋体" w:hAnsi="宋体" w:cs="宋体"/>
          <w:color w:val="000000"/>
          <w:sz w:val="24"/>
          <w:szCs w:val="24"/>
        </w:rPr>
        <w:t>30%</w:t>
      </w:r>
      <w:r>
        <w:rPr>
          <w:rFonts w:hint="eastAsia" w:ascii="宋体" w:hAnsi="宋体" w:cs="宋体"/>
          <w:color w:val="000000"/>
          <w:sz w:val="24"/>
          <w:szCs w:val="24"/>
        </w:rPr>
        <w:t>，若《基金合同》生效不满</w:t>
      </w:r>
      <w:r>
        <w:rPr>
          <w:rFonts w:ascii="宋体" w:hAnsi="宋体" w:cs="宋体"/>
          <w:color w:val="000000"/>
          <w:sz w:val="24"/>
          <w:szCs w:val="24"/>
        </w:rPr>
        <w:t>3</w:t>
      </w:r>
      <w:r>
        <w:rPr>
          <w:rFonts w:hint="eastAsia" w:ascii="宋体" w:hAnsi="宋体" w:cs="宋体"/>
          <w:color w:val="000000"/>
          <w:sz w:val="24"/>
          <w:szCs w:val="24"/>
        </w:rPr>
        <w:t>个月可不进行收益分配。</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本报告期内，本基金未进行利润分配，符合合同约定。</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4.9 </w:t>
      </w:r>
      <w:r>
        <w:rPr>
          <w:rFonts w:hint="eastAsia" w:ascii="宋体" w:hAnsi="宋体" w:cs="宋体"/>
          <w:b/>
          <w:bCs/>
          <w:color w:val="000000"/>
          <w:sz w:val="24"/>
          <w:szCs w:val="24"/>
        </w:rPr>
        <w:t>报告期内管理人对本基金持有人数或基金资产净值预警情形的说明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本基金本报告期未出现连续二十个工作日基金份额持有人数量不满二百人或者基金资产净值低于五千万元的情形。</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24" w:name="_Toc445827368"/>
      <w:r>
        <w:rPr>
          <w:rFonts w:hint="eastAsia" w:ascii="宋体" w:hAnsi="宋体" w:cs="宋体"/>
          <w:b/>
          <w:bCs/>
          <w:color w:val="000000"/>
          <w:sz w:val="24"/>
          <w:szCs w:val="24"/>
        </w:rPr>
        <w:t>§</w:t>
      </w:r>
      <w:r>
        <w:rPr>
          <w:rFonts w:ascii="宋体" w:hAnsi="宋体" w:cs="宋体"/>
          <w:b/>
          <w:bCs/>
          <w:color w:val="000000"/>
          <w:sz w:val="24"/>
          <w:szCs w:val="24"/>
        </w:rPr>
        <w:t xml:space="preserve">5  </w:t>
      </w:r>
      <w:r>
        <w:rPr>
          <w:rFonts w:hint="eastAsia" w:ascii="宋体" w:hAnsi="宋体" w:cs="宋体"/>
          <w:b/>
          <w:bCs/>
          <w:color w:val="000000"/>
          <w:sz w:val="24"/>
          <w:szCs w:val="24"/>
        </w:rPr>
        <w:t>托管人报告</w:t>
      </w:r>
      <w:bookmarkEnd w:id="24"/>
    </w:p>
    <w:p>
      <w:pPr>
        <w:spacing w:line="288" w:lineRule="auto"/>
        <w:jc w:val="left"/>
        <w:rPr>
          <w:rFonts w:ascii="MS Sans Serif" w:hAnsi="MS Sans Serif" w:eastAsia="Times New Roman" w:cs="MS Sans Serif"/>
          <w:color w:val="000000"/>
          <w:sz w:val="24"/>
          <w:szCs w:val="24"/>
        </w:rPr>
      </w:pPr>
    </w:p>
    <w:p>
      <w:pPr>
        <w:spacing w:before="29" w:line="288" w:lineRule="auto"/>
        <w:ind w:left="15"/>
        <w:jc w:val="left"/>
        <w:outlineLvl w:val="1"/>
        <w:rPr>
          <w:rFonts w:ascii="宋体" w:hAnsi="宋体" w:cs="宋体"/>
          <w:b/>
          <w:bCs/>
          <w:color w:val="000000"/>
          <w:sz w:val="24"/>
          <w:szCs w:val="24"/>
        </w:rPr>
      </w:pPr>
      <w:bookmarkStart w:id="25" w:name="_Toc445827369"/>
      <w:r>
        <w:rPr>
          <w:rFonts w:ascii="宋体" w:hAnsi="宋体" w:cs="宋体"/>
          <w:b/>
          <w:bCs/>
          <w:color w:val="000000"/>
          <w:sz w:val="24"/>
          <w:szCs w:val="24"/>
        </w:rPr>
        <w:t xml:space="preserve">5.1 </w:t>
      </w:r>
      <w:r>
        <w:rPr>
          <w:rFonts w:hint="eastAsia" w:ascii="宋体" w:hAnsi="宋体" w:cs="宋体"/>
          <w:b/>
          <w:bCs/>
          <w:color w:val="000000"/>
          <w:sz w:val="24"/>
          <w:szCs w:val="24"/>
        </w:rPr>
        <w:t>报告期内本基金托管人遵规守信情况声明</w:t>
      </w:r>
      <w:bookmarkEnd w:id="25"/>
    </w:p>
    <w:p>
      <w:pPr>
        <w:spacing w:line="288" w:lineRule="auto"/>
        <w:ind w:firstLine="600" w:firstLineChars="250"/>
        <w:jc w:val="left"/>
        <w:rPr>
          <w:rFonts w:ascii="宋体" w:hAnsi="宋体" w:cs="宋体"/>
          <w:color w:val="000000"/>
          <w:sz w:val="24"/>
          <w:szCs w:val="24"/>
        </w:rPr>
      </w:pPr>
      <w:r>
        <w:rPr>
          <w:rFonts w:hint="eastAsia"/>
          <w:color w:val="000000"/>
          <w:kern w:val="0"/>
          <w:sz w:val="24"/>
          <w:szCs w:val="24"/>
        </w:rPr>
        <w:t>本报告期内，本基金托管人在对创金合信沪港深研究精选灵活配置混合型证券投资基金的托管过程中，严格遵守《证券投资基金法》及其他法律法规和基金合同的有关规定，不存在任何损害基金份额持有人利益的行为，完全尽职尽责地履行了基金托管人应尽的义务。</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6" w:name="_Toc445827370"/>
      <w:r>
        <w:rPr>
          <w:rFonts w:ascii="宋体" w:hAnsi="宋体" w:cs="宋体"/>
          <w:b/>
          <w:bCs/>
          <w:color w:val="000000"/>
          <w:sz w:val="24"/>
          <w:szCs w:val="24"/>
        </w:rPr>
        <w:t xml:space="preserve">5.2 </w:t>
      </w:r>
      <w:r>
        <w:rPr>
          <w:rFonts w:hint="eastAsia" w:ascii="宋体" w:hAnsi="宋体" w:cs="宋体"/>
          <w:b/>
          <w:bCs/>
          <w:color w:val="000000"/>
          <w:sz w:val="24"/>
          <w:szCs w:val="24"/>
        </w:rPr>
        <w:t>托管人对报告期内本基金投资运作遵规守信、净值计算、利润分配等情况的说明</w:t>
      </w:r>
      <w:bookmarkEnd w:id="26"/>
    </w:p>
    <w:p>
      <w:pPr>
        <w:spacing w:line="288" w:lineRule="auto"/>
        <w:ind w:firstLine="480" w:firstLineChars="200"/>
        <w:jc w:val="left"/>
        <w:rPr>
          <w:rFonts w:ascii="宋体" w:hAnsi="宋体" w:cs="宋体"/>
          <w:color w:val="000000"/>
          <w:sz w:val="24"/>
          <w:szCs w:val="24"/>
        </w:rPr>
      </w:pPr>
      <w:r>
        <w:rPr>
          <w:rFonts w:hint="eastAsia"/>
          <w:color w:val="000000"/>
          <w:kern w:val="0"/>
          <w:sz w:val="24"/>
          <w:szCs w:val="24"/>
        </w:rPr>
        <w:t>本报告期内，创金合信沪港深研究精选灵活配置混合型证券投资基金的管理人——创金合信基金管理有限公司在创金合信沪港深研究精选灵活配置混合型证券投资基金的投资运作、基金资产净值计算、基金份额申购赎回价格计算、基金费用开支等问题上，不存在任何损害基金份额持有人利益的行为，在各重要方面的运作严格按照基金合同的规定进行。</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7" w:name="_Toc445827371"/>
      <w:r>
        <w:rPr>
          <w:rFonts w:ascii="宋体" w:hAnsi="宋体" w:cs="宋体"/>
          <w:b/>
          <w:bCs/>
          <w:color w:val="000000"/>
          <w:sz w:val="24"/>
          <w:szCs w:val="24"/>
        </w:rPr>
        <w:t xml:space="preserve">5.3 </w:t>
      </w:r>
      <w:r>
        <w:rPr>
          <w:rFonts w:hint="eastAsia" w:ascii="宋体" w:hAnsi="宋体" w:cs="宋体"/>
          <w:b/>
          <w:bCs/>
          <w:color w:val="000000"/>
          <w:sz w:val="24"/>
          <w:szCs w:val="24"/>
        </w:rPr>
        <w:t>托管人对本年度报告中财务信息等内容的真实、准确和完整发表意见</w:t>
      </w:r>
      <w:bookmarkEnd w:id="27"/>
    </w:p>
    <w:p>
      <w:pPr>
        <w:spacing w:line="288" w:lineRule="auto"/>
        <w:ind w:firstLine="480" w:firstLineChars="200"/>
        <w:jc w:val="left"/>
        <w:rPr>
          <w:rFonts w:ascii="宋体" w:hAnsi="宋体" w:cs="宋体"/>
          <w:color w:val="000000"/>
          <w:sz w:val="24"/>
          <w:szCs w:val="24"/>
        </w:rPr>
      </w:pPr>
      <w:r>
        <w:rPr>
          <w:rFonts w:hint="eastAsia" w:ascii="宋体" w:hAnsi="宋体"/>
          <w:color w:val="000000"/>
          <w:kern w:val="0"/>
          <w:sz w:val="24"/>
          <w:szCs w:val="24"/>
        </w:rPr>
        <w:t>本托管人依法对创金合信基金管理有限公司编制和披露的创金合信沪港深研究精选灵活配置混合型证券投资基金</w:t>
      </w:r>
      <w:r>
        <w:rPr>
          <w:rFonts w:ascii="宋体" w:hAnsi="宋体"/>
          <w:color w:val="000000"/>
          <w:kern w:val="0"/>
          <w:sz w:val="24"/>
          <w:szCs w:val="24"/>
        </w:rPr>
        <w:t>201</w:t>
      </w:r>
      <w:r>
        <w:rPr>
          <w:rFonts w:hint="eastAsia" w:ascii="宋体" w:hAnsi="宋体"/>
          <w:color w:val="000000"/>
          <w:kern w:val="0"/>
          <w:sz w:val="24"/>
          <w:szCs w:val="24"/>
        </w:rPr>
        <w:t>5年年度报告中财务指标、净值表现、利润分配情况、财务会计报告、投资组合报告等内容进行了核查，以上内容真实、准确和完整。</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28" w:name="_Toc445827372"/>
      <w:r>
        <w:rPr>
          <w:rFonts w:hint="eastAsia" w:ascii="宋体" w:hAnsi="宋体" w:cs="宋体"/>
          <w:b/>
          <w:bCs/>
          <w:color w:val="000000"/>
          <w:sz w:val="24"/>
          <w:szCs w:val="24"/>
        </w:rPr>
        <w:t>§</w:t>
      </w:r>
      <w:r>
        <w:rPr>
          <w:rFonts w:ascii="宋体" w:hAnsi="宋体" w:cs="宋体"/>
          <w:b/>
          <w:bCs/>
          <w:color w:val="000000"/>
          <w:sz w:val="24"/>
          <w:szCs w:val="24"/>
        </w:rPr>
        <w:t xml:space="preserve">6  </w:t>
      </w:r>
      <w:r>
        <w:rPr>
          <w:rFonts w:hint="eastAsia" w:ascii="宋体" w:hAnsi="宋体" w:cs="宋体"/>
          <w:b/>
          <w:bCs/>
          <w:color w:val="000000"/>
          <w:sz w:val="24"/>
          <w:szCs w:val="24"/>
        </w:rPr>
        <w:t>审计报告</w:t>
      </w:r>
      <w:bookmarkEnd w:id="28"/>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29" w:name="_Toc445827373"/>
      <w:r>
        <w:rPr>
          <w:rFonts w:ascii="宋体" w:hAnsi="宋体" w:cs="宋体"/>
          <w:b/>
          <w:bCs/>
          <w:color w:val="000000"/>
          <w:sz w:val="24"/>
          <w:szCs w:val="24"/>
        </w:rPr>
        <w:t xml:space="preserve">6.1 </w:t>
      </w:r>
      <w:r>
        <w:rPr>
          <w:rFonts w:hint="eastAsia" w:ascii="宋体" w:hAnsi="宋体" w:cs="宋体"/>
          <w:b/>
          <w:bCs/>
          <w:color w:val="000000"/>
          <w:sz w:val="24"/>
          <w:szCs w:val="24"/>
        </w:rPr>
        <w:t>审计报告基本信息</w:t>
      </w:r>
      <w:bookmarkEnd w:id="29"/>
    </w:p>
    <w:tbl>
      <w:tblPr>
        <w:tblStyle w:val="10"/>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是</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标准无保留意见</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普华永道中天审字</w:t>
            </w:r>
            <w:r>
              <w:rPr>
                <w:rFonts w:ascii="宋体" w:hAnsi="宋体" w:cs="宋体"/>
                <w:color w:val="000000"/>
                <w:sz w:val="24"/>
                <w:szCs w:val="24"/>
              </w:rPr>
              <w:t>(2016)</w:t>
            </w:r>
            <w:r>
              <w:rPr>
                <w:rFonts w:hint="eastAsia" w:ascii="宋体" w:hAnsi="宋体" w:cs="宋体"/>
                <w:color w:val="000000"/>
                <w:sz w:val="24"/>
                <w:szCs w:val="24"/>
              </w:rPr>
              <w:t>第</w:t>
            </w:r>
            <w:r>
              <w:rPr>
                <w:rFonts w:ascii="宋体" w:hAnsi="宋体" w:cs="宋体"/>
                <w:color w:val="000000"/>
                <w:sz w:val="24"/>
                <w:szCs w:val="24"/>
              </w:rPr>
              <w:t>21123</w:t>
            </w:r>
            <w:r>
              <w:rPr>
                <w:rFonts w:hint="eastAsia" w:ascii="宋体" w:hAnsi="宋体" w:cs="宋体"/>
                <w:color w:val="000000"/>
                <w:sz w:val="24"/>
                <w:szCs w:val="24"/>
              </w:rPr>
              <w:t>号</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30" w:name="_Toc445827374"/>
      <w:r>
        <w:rPr>
          <w:rFonts w:ascii="宋体" w:hAnsi="宋体" w:cs="宋体"/>
          <w:b/>
          <w:bCs/>
          <w:color w:val="000000"/>
          <w:sz w:val="24"/>
          <w:szCs w:val="24"/>
        </w:rPr>
        <w:t xml:space="preserve">6.2 </w:t>
      </w:r>
      <w:r>
        <w:rPr>
          <w:rFonts w:hint="eastAsia" w:ascii="宋体" w:hAnsi="宋体" w:cs="宋体"/>
          <w:b/>
          <w:bCs/>
          <w:color w:val="000000"/>
          <w:sz w:val="24"/>
          <w:szCs w:val="24"/>
        </w:rPr>
        <w:t>审计报告的基本内容</w:t>
      </w:r>
      <w:bookmarkEnd w:id="30"/>
    </w:p>
    <w:tbl>
      <w:tblPr>
        <w:tblStyle w:val="10"/>
        <w:tblW w:w="0" w:type="auto"/>
        <w:tblInd w:w="108" w:type="dxa"/>
        <w:tblLayout w:type="fixed"/>
        <w:tblCellMar>
          <w:top w:w="0" w:type="dxa"/>
          <w:left w:w="108" w:type="dxa"/>
          <w:bottom w:w="0" w:type="dxa"/>
          <w:right w:w="108" w:type="dxa"/>
        </w:tblCellMar>
      </w:tblPr>
      <w:tblGrid>
        <w:gridCol w:w="3610"/>
        <w:gridCol w:w="2709"/>
        <w:gridCol w:w="2709"/>
      </w:tblGrid>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审计报告标题</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审计报告</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审计报告收件人</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创金合信沪港深研究精选灵活配置混合型证券投资基金全体基金份额持有人</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引言段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我们审计了后附的创金合信沪港深研究精选灵活配置混合型证券投资基金</w:t>
            </w:r>
            <w:r>
              <w:rPr>
                <w:rFonts w:ascii="宋体" w:hAnsi="宋体" w:cs="宋体"/>
                <w:color w:val="000000"/>
                <w:sz w:val="24"/>
                <w:szCs w:val="24"/>
              </w:rPr>
              <w:t>(</w:t>
            </w:r>
            <w:r>
              <w:rPr>
                <w:rFonts w:hint="eastAsia" w:ascii="宋体" w:hAnsi="宋体" w:cs="宋体"/>
                <w:color w:val="000000"/>
                <w:sz w:val="24"/>
                <w:szCs w:val="24"/>
              </w:rPr>
              <w:t>以下简称“创金沪港深研究精选灵活配置混合型基金”</w:t>
            </w:r>
            <w:r>
              <w:rPr>
                <w:rFonts w:ascii="宋体" w:hAnsi="宋体" w:cs="宋体"/>
                <w:color w:val="000000"/>
                <w:sz w:val="24"/>
                <w:szCs w:val="24"/>
              </w:rPr>
              <w:t>)</w:t>
            </w:r>
            <w:r>
              <w:rPr>
                <w:rFonts w:hint="eastAsia" w:ascii="宋体" w:hAnsi="宋体" w:cs="宋体"/>
                <w:color w:val="000000"/>
                <w:sz w:val="24"/>
                <w:szCs w:val="24"/>
              </w:rPr>
              <w:t>的财务报表，包括</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日的资产负债表、</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w:t>
            </w:r>
            <w:r>
              <w:rPr>
                <w:rFonts w:hint="eastAsia" w:ascii="宋体" w:hAnsi="宋体" w:cs="宋体"/>
                <w:color w:val="000000"/>
                <w:sz w:val="24"/>
                <w:szCs w:val="24"/>
              </w:rPr>
              <w:t>基金合同生效日</w:t>
            </w:r>
            <w:r>
              <w:rPr>
                <w:rFonts w:ascii="宋体" w:hAnsi="宋体" w:cs="宋体"/>
                <w:color w:val="000000"/>
                <w:sz w:val="24"/>
                <w:szCs w:val="24"/>
              </w:rPr>
              <w:t>)</w:t>
            </w:r>
            <w:r>
              <w:rPr>
                <w:rFonts w:hint="eastAsia" w:ascii="宋体" w:hAnsi="宋体" w:cs="宋体"/>
                <w:color w:val="000000"/>
                <w:sz w:val="24"/>
                <w:szCs w:val="24"/>
              </w:rPr>
              <w:t>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日止期间的利润表和所有者权益</w:t>
            </w:r>
            <w:r>
              <w:rPr>
                <w:rFonts w:ascii="宋体" w:hAnsi="宋体" w:cs="宋体"/>
                <w:color w:val="000000"/>
                <w:sz w:val="24"/>
                <w:szCs w:val="24"/>
              </w:rPr>
              <w:t>(</w:t>
            </w:r>
            <w:r>
              <w:rPr>
                <w:rFonts w:hint="eastAsia" w:ascii="宋体" w:hAnsi="宋体" w:cs="宋体"/>
                <w:color w:val="000000"/>
                <w:sz w:val="24"/>
                <w:szCs w:val="24"/>
              </w:rPr>
              <w:t>基金净值</w:t>
            </w:r>
            <w:r>
              <w:rPr>
                <w:rFonts w:ascii="宋体" w:hAnsi="宋体" w:cs="宋体"/>
                <w:color w:val="000000"/>
                <w:sz w:val="24"/>
                <w:szCs w:val="24"/>
              </w:rPr>
              <w:t>)</w:t>
            </w:r>
            <w:r>
              <w:rPr>
                <w:rFonts w:hint="eastAsia" w:ascii="宋体" w:hAnsi="宋体" w:cs="宋体"/>
                <w:color w:val="000000"/>
                <w:sz w:val="24"/>
                <w:szCs w:val="24"/>
              </w:rPr>
              <w:t>变动表以及财务报表附注。</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管理层对财务报表的责任段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编制和公允列报财务报表是创金沪港深研究精选灵活配置混合型基金的基金管理人创金合信基金管理有限公司</w:t>
            </w:r>
            <w:r>
              <w:rPr>
                <w:rFonts w:ascii="宋体" w:hAnsi="宋体" w:cs="宋体"/>
                <w:color w:val="000000"/>
                <w:sz w:val="24"/>
                <w:szCs w:val="24"/>
              </w:rPr>
              <w:t xml:space="preserve"> </w:t>
            </w:r>
            <w:r>
              <w:rPr>
                <w:rFonts w:hint="eastAsia" w:ascii="宋体" w:hAnsi="宋体" w:cs="宋体"/>
                <w:color w:val="000000"/>
                <w:sz w:val="24"/>
                <w:szCs w:val="24"/>
              </w:rPr>
              <w:t>管理层的责任。这种责任包括：</w:t>
            </w:r>
          </w:p>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按照企业会计准则和中国证券监督管理委员会</w:t>
            </w:r>
            <w:r>
              <w:rPr>
                <w:rFonts w:ascii="宋体" w:hAnsi="宋体" w:cs="宋体"/>
                <w:color w:val="000000"/>
                <w:sz w:val="24"/>
                <w:szCs w:val="24"/>
              </w:rPr>
              <w:t>(</w:t>
            </w:r>
            <w:r>
              <w:rPr>
                <w:rFonts w:hint="eastAsia" w:ascii="宋体" w:hAnsi="宋体" w:cs="宋体"/>
                <w:color w:val="000000"/>
                <w:sz w:val="24"/>
                <w:szCs w:val="24"/>
              </w:rPr>
              <w:t>以下简称“中国证监会”</w:t>
            </w:r>
            <w:r>
              <w:rPr>
                <w:rFonts w:ascii="宋体" w:hAnsi="宋体" w:cs="宋体"/>
                <w:color w:val="000000"/>
                <w:sz w:val="24"/>
                <w:szCs w:val="24"/>
              </w:rPr>
              <w:t>)</w:t>
            </w:r>
            <w:r>
              <w:rPr>
                <w:rFonts w:hint="eastAsia" w:ascii="宋体" w:hAnsi="宋体" w:cs="宋体"/>
                <w:color w:val="000000"/>
                <w:sz w:val="24"/>
                <w:szCs w:val="24"/>
              </w:rPr>
              <w:t>、中国证券投资基金业协会</w:t>
            </w:r>
            <w:r>
              <w:rPr>
                <w:rFonts w:ascii="宋体" w:hAnsi="宋体" w:cs="宋体"/>
                <w:color w:val="000000"/>
                <w:sz w:val="24"/>
                <w:szCs w:val="24"/>
              </w:rPr>
              <w:t>(</w:t>
            </w:r>
            <w:r>
              <w:rPr>
                <w:rFonts w:hint="eastAsia" w:ascii="宋体" w:hAnsi="宋体" w:cs="宋体"/>
                <w:color w:val="000000"/>
                <w:sz w:val="24"/>
                <w:szCs w:val="24"/>
              </w:rPr>
              <w:t>以下简称“中国基金业协会”</w:t>
            </w:r>
            <w:r>
              <w:rPr>
                <w:rFonts w:ascii="宋体" w:hAnsi="宋体" w:cs="宋体"/>
                <w:color w:val="000000"/>
                <w:sz w:val="24"/>
                <w:szCs w:val="24"/>
              </w:rPr>
              <w:t>)</w:t>
            </w:r>
            <w:r>
              <w:rPr>
                <w:rFonts w:hint="eastAsia" w:ascii="宋体" w:hAnsi="宋体" w:cs="宋体"/>
                <w:color w:val="000000"/>
                <w:sz w:val="24"/>
                <w:szCs w:val="24"/>
              </w:rPr>
              <w:t>发布的有关规定及允许的基金行业实务操作编制财务报表，并使其实现公允反映；</w:t>
            </w:r>
          </w:p>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注册会计师的责任段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审计意见段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我们认为，上述创金沪港深研究精选灵活配置混合型基金的财务报表在所有重大方面按照企业会计准则和在财务报表附注中所列示的中国证监会、中国基金业协会发布的有关规定及允许的基金行业实务操作编制，公允反映了创金沪港深研究精选灵活配置混合型基金</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日的财务状况以及</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w:t>
            </w:r>
            <w:r>
              <w:rPr>
                <w:rFonts w:hint="eastAsia" w:ascii="宋体" w:hAnsi="宋体" w:cs="宋体"/>
                <w:color w:val="000000"/>
                <w:sz w:val="24"/>
                <w:szCs w:val="24"/>
              </w:rPr>
              <w:t>基金合同生效日</w:t>
            </w:r>
            <w:r>
              <w:rPr>
                <w:rFonts w:ascii="宋体" w:hAnsi="宋体" w:cs="宋体"/>
                <w:color w:val="000000"/>
                <w:sz w:val="24"/>
                <w:szCs w:val="24"/>
              </w:rPr>
              <w:t>)</w:t>
            </w:r>
            <w:r>
              <w:rPr>
                <w:rFonts w:hint="eastAsia" w:ascii="宋体" w:hAnsi="宋体" w:cs="宋体"/>
                <w:color w:val="000000"/>
                <w:sz w:val="24"/>
                <w:szCs w:val="24"/>
              </w:rPr>
              <w:t>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日止期间的经营成果和基金净值变动情况。</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注册会计师的姓名</w:t>
            </w:r>
          </w:p>
        </w:tc>
        <w:tc>
          <w:tcPr>
            <w:tcW w:w="2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曹翠丽</w:t>
            </w:r>
          </w:p>
        </w:tc>
        <w:tc>
          <w:tcPr>
            <w:tcW w:w="2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边晓红</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会计师事务所的名称</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普华永道中天会计师事务所（特殊普通合伙）</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会计师事务所的地址</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上海市黄浦区湖滨路</w:t>
            </w:r>
            <w:r>
              <w:rPr>
                <w:rFonts w:ascii="宋体" w:hAnsi="宋体" w:cs="宋体"/>
                <w:color w:val="000000"/>
                <w:sz w:val="24"/>
                <w:szCs w:val="24"/>
              </w:rPr>
              <w:t>202</w:t>
            </w:r>
            <w:r>
              <w:rPr>
                <w:rFonts w:hint="eastAsia" w:ascii="宋体" w:hAnsi="宋体" w:cs="宋体"/>
                <w:color w:val="000000"/>
                <w:sz w:val="24"/>
                <w:szCs w:val="24"/>
              </w:rPr>
              <w:t>号普华永道中心</w:t>
            </w:r>
            <w:r>
              <w:rPr>
                <w:rFonts w:ascii="宋体" w:hAnsi="宋体" w:cs="宋体"/>
                <w:color w:val="000000"/>
                <w:sz w:val="24"/>
                <w:szCs w:val="24"/>
              </w:rPr>
              <w:t>11</w:t>
            </w:r>
            <w:r>
              <w:rPr>
                <w:rFonts w:hint="eastAsia" w:ascii="宋体" w:hAnsi="宋体" w:cs="宋体"/>
                <w:color w:val="000000"/>
                <w:sz w:val="24"/>
                <w:szCs w:val="24"/>
              </w:rPr>
              <w:t>楼</w:t>
            </w:r>
          </w:p>
        </w:tc>
      </w:tr>
      <w:tr>
        <w:tblPrEx>
          <w:tblCellMar>
            <w:top w:w="0" w:type="dxa"/>
            <w:left w:w="108" w:type="dxa"/>
            <w:bottom w:w="0" w:type="dxa"/>
            <w:right w:w="108" w:type="dxa"/>
          </w:tblCellMar>
        </w:tblPrEx>
        <w:trPr>
          <w:wBefore w:w="0" w:type="dxa"/>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审计报告日期</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2016-03-21</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31" w:name="_Toc445827375"/>
      <w:r>
        <w:rPr>
          <w:rFonts w:hint="eastAsia" w:ascii="宋体" w:hAnsi="宋体" w:cs="宋体"/>
          <w:b/>
          <w:bCs/>
          <w:color w:val="000000"/>
          <w:sz w:val="24"/>
          <w:szCs w:val="24"/>
        </w:rPr>
        <w:t>§</w:t>
      </w:r>
      <w:r>
        <w:rPr>
          <w:rFonts w:ascii="宋体" w:hAnsi="宋体" w:cs="宋体"/>
          <w:b/>
          <w:bCs/>
          <w:color w:val="000000"/>
          <w:sz w:val="24"/>
          <w:szCs w:val="24"/>
        </w:rPr>
        <w:t xml:space="preserve">7  </w:t>
      </w:r>
      <w:r>
        <w:rPr>
          <w:rFonts w:hint="eastAsia" w:ascii="宋体" w:hAnsi="宋体" w:cs="宋体"/>
          <w:b/>
          <w:bCs/>
          <w:color w:val="000000"/>
          <w:sz w:val="24"/>
          <w:szCs w:val="24"/>
        </w:rPr>
        <w:t>年度财务报表</w:t>
      </w:r>
      <w:bookmarkEnd w:id="31"/>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32" w:name="_Toc445827376"/>
      <w:r>
        <w:rPr>
          <w:rFonts w:ascii="宋体" w:hAnsi="宋体" w:cs="宋体"/>
          <w:b/>
          <w:bCs/>
          <w:color w:val="000000"/>
          <w:sz w:val="24"/>
          <w:szCs w:val="24"/>
        </w:rPr>
        <w:t xml:space="preserve">7.1 </w:t>
      </w:r>
      <w:r>
        <w:rPr>
          <w:rFonts w:hint="eastAsia" w:ascii="宋体" w:hAnsi="宋体" w:cs="宋体"/>
          <w:b/>
          <w:bCs/>
          <w:color w:val="000000"/>
          <w:sz w:val="24"/>
          <w:szCs w:val="24"/>
        </w:rPr>
        <w:t>资产负债表</w:t>
      </w:r>
      <w:bookmarkEnd w:id="32"/>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会计主体：创金合信沪港深研究精选灵活配置混合型证券投资基金</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报告截止日：</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888"/>
        <w:gridCol w:w="1083"/>
        <w:gridCol w:w="5117"/>
      </w:tblGrid>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hint="eastAsia" w:ascii="宋体" w:hAnsi="宋体" w:cs="宋体"/>
                <w:b/>
                <w:bCs/>
                <w:color w:val="000000"/>
                <w:sz w:val="24"/>
                <w:szCs w:val="24"/>
              </w:rPr>
              <w:t>资</w:t>
            </w:r>
            <w:r>
              <w:rPr>
                <w:rFonts w:ascii="宋体" w:hAnsi="宋体" w:cs="宋体"/>
                <w:b/>
                <w:bCs/>
                <w:color w:val="000000"/>
                <w:sz w:val="24"/>
                <w:szCs w:val="24"/>
              </w:rPr>
              <w:t xml:space="preserve"> </w:t>
            </w:r>
            <w:r>
              <w:rPr>
                <w:rFonts w:hint="eastAsia" w:ascii="宋体" w:hAnsi="宋体" w:cs="宋体"/>
                <w:b/>
                <w:bCs/>
                <w:color w:val="00000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hint="eastAsia" w:ascii="宋体" w:hAnsi="宋体" w:cs="宋体"/>
                <w:b/>
                <w:bCs/>
                <w:color w:val="00000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color w:val="000000"/>
                <w:sz w:val="24"/>
                <w:szCs w:val="24"/>
              </w:rPr>
            </w:pPr>
            <w:r>
              <w:rPr>
                <w:rFonts w:hint="eastAsia" w:ascii="宋体" w:hAnsi="宋体" w:cs="宋体"/>
                <w:b/>
                <w:color w:val="000000"/>
                <w:sz w:val="24"/>
                <w:szCs w:val="24"/>
              </w:rPr>
              <w:t>本期末</w:t>
            </w:r>
          </w:p>
          <w:p>
            <w:pPr>
              <w:spacing w:before="29" w:line="288" w:lineRule="auto"/>
              <w:ind w:left="15"/>
              <w:jc w:val="center"/>
              <w:rPr>
                <w:rFonts w:eastAsia="Times New Roman"/>
                <w:color w:val="000000"/>
                <w:sz w:val="24"/>
                <w:szCs w:val="24"/>
              </w:rPr>
            </w:pPr>
            <w:r>
              <w:rPr>
                <w:rFonts w:eastAsia="Times New Roman"/>
                <w:b/>
                <w:color w:val="000000"/>
                <w:sz w:val="24"/>
                <w:szCs w:val="24"/>
              </w:rPr>
              <w:t>2015</w:t>
            </w:r>
            <w:r>
              <w:rPr>
                <w:rFonts w:hint="eastAsia" w:ascii="宋体" w:hAnsi="宋体" w:cs="宋体"/>
                <w:b/>
                <w:color w:val="000000"/>
                <w:sz w:val="24"/>
                <w:szCs w:val="24"/>
              </w:rPr>
              <w:t>年</w:t>
            </w:r>
            <w:r>
              <w:rPr>
                <w:rFonts w:eastAsia="Times New Roman"/>
                <w:b/>
                <w:color w:val="000000"/>
                <w:sz w:val="24"/>
                <w:szCs w:val="24"/>
              </w:rPr>
              <w:t>12</w:t>
            </w:r>
            <w:r>
              <w:rPr>
                <w:rFonts w:hint="eastAsia" w:ascii="宋体" w:hAnsi="宋体" w:cs="宋体"/>
                <w:b/>
                <w:color w:val="000000"/>
                <w:sz w:val="24"/>
                <w:szCs w:val="24"/>
              </w:rPr>
              <w:t>月</w:t>
            </w:r>
            <w:r>
              <w:rPr>
                <w:rFonts w:eastAsia="Times New Roman"/>
                <w:b/>
                <w:color w:val="000000"/>
                <w:sz w:val="24"/>
                <w:szCs w:val="24"/>
              </w:rPr>
              <w:t>31</w:t>
            </w:r>
            <w:r>
              <w:rPr>
                <w:rFonts w:hint="eastAsia" w:ascii="宋体" w:hAnsi="宋体" w:cs="宋体"/>
                <w:b/>
                <w:color w:val="000000"/>
                <w:sz w:val="24"/>
                <w:szCs w:val="24"/>
              </w:rPr>
              <w:t>日</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资</w:t>
            </w:r>
            <w:r>
              <w:rPr>
                <w:rFonts w:ascii="宋体" w:hAnsi="宋体" w:cs="宋体"/>
                <w:b/>
                <w:bCs/>
                <w:color w:val="000000"/>
                <w:sz w:val="24"/>
                <w:szCs w:val="24"/>
              </w:rPr>
              <w:t xml:space="preserve"> </w:t>
            </w:r>
            <w:r>
              <w:rPr>
                <w:rFonts w:hint="eastAsia" w:ascii="宋体" w:hAnsi="宋体" w:cs="宋体"/>
                <w:b/>
                <w:bCs/>
                <w:color w:val="00000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15,901,846.23</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21,826,917.00</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13,128.52</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7.4.7.2</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166,111,695.90</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166,111,695.90</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b/>
                <w:bCs/>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7.4.7.4</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44,000,000.00</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7.4.7.5</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14,642.51</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7.4.7.6</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247,868,230.16</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hint="eastAsia" w:ascii="宋体" w:hAnsi="宋体" w:cs="宋体"/>
                <w:b/>
                <w:bCs/>
                <w:color w:val="00000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hint="eastAsia" w:ascii="宋体" w:hAnsi="宋体" w:cs="宋体"/>
                <w:b/>
                <w:bCs/>
                <w:color w:val="00000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b/>
                <w:color w:val="000000"/>
                <w:sz w:val="24"/>
                <w:szCs w:val="24"/>
              </w:rPr>
            </w:pPr>
            <w:r>
              <w:rPr>
                <w:rFonts w:hint="eastAsia" w:ascii="宋体" w:hAnsi="宋体" w:cs="宋体"/>
                <w:b/>
                <w:color w:val="000000"/>
                <w:sz w:val="24"/>
                <w:szCs w:val="24"/>
              </w:rPr>
              <w:t>本期末</w:t>
            </w:r>
          </w:p>
          <w:p>
            <w:pPr>
              <w:spacing w:before="29" w:line="288" w:lineRule="auto"/>
              <w:ind w:left="15"/>
              <w:jc w:val="right"/>
              <w:rPr>
                <w:rFonts w:eastAsia="Times New Roman"/>
                <w:color w:val="000000"/>
                <w:sz w:val="24"/>
                <w:szCs w:val="24"/>
              </w:rPr>
            </w:pPr>
            <w:r>
              <w:rPr>
                <w:rFonts w:eastAsia="Times New Roman"/>
                <w:b/>
                <w:color w:val="000000"/>
                <w:sz w:val="24"/>
                <w:szCs w:val="24"/>
              </w:rPr>
              <w:t>2015</w:t>
            </w:r>
            <w:r>
              <w:rPr>
                <w:rFonts w:hint="eastAsia" w:ascii="宋体" w:hAnsi="宋体" w:cs="宋体"/>
                <w:b/>
                <w:color w:val="000000"/>
                <w:sz w:val="24"/>
                <w:szCs w:val="24"/>
              </w:rPr>
              <w:t>年</w:t>
            </w:r>
            <w:r>
              <w:rPr>
                <w:rFonts w:eastAsia="Times New Roman"/>
                <w:b/>
                <w:color w:val="000000"/>
                <w:sz w:val="24"/>
                <w:szCs w:val="24"/>
              </w:rPr>
              <w:t>12</w:t>
            </w:r>
            <w:r>
              <w:rPr>
                <w:rFonts w:hint="eastAsia" w:ascii="宋体" w:hAnsi="宋体" w:cs="宋体"/>
                <w:b/>
                <w:color w:val="000000"/>
                <w:sz w:val="24"/>
                <w:szCs w:val="24"/>
              </w:rPr>
              <w:t>月</w:t>
            </w:r>
            <w:r>
              <w:rPr>
                <w:rFonts w:eastAsia="Times New Roman"/>
                <w:b/>
                <w:color w:val="000000"/>
                <w:sz w:val="24"/>
                <w:szCs w:val="24"/>
              </w:rPr>
              <w:t>31</w:t>
            </w:r>
            <w:r>
              <w:rPr>
                <w:rFonts w:hint="eastAsia" w:ascii="宋体" w:hAnsi="宋体" w:cs="宋体"/>
                <w:b/>
                <w:color w:val="000000"/>
                <w:sz w:val="24"/>
                <w:szCs w:val="24"/>
              </w:rPr>
              <w:t>日</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负</w:t>
            </w:r>
            <w:r>
              <w:rPr>
                <w:rFonts w:ascii="宋体" w:hAnsi="宋体" w:cs="宋体"/>
                <w:b/>
                <w:bCs/>
                <w:color w:val="000000"/>
                <w:sz w:val="24"/>
                <w:szCs w:val="24"/>
              </w:rPr>
              <w:t xml:space="preserve"> </w:t>
            </w:r>
            <w:r>
              <w:rPr>
                <w:rFonts w:hint="eastAsia" w:ascii="宋体" w:hAnsi="宋体" w:cs="宋体"/>
                <w:b/>
                <w:bCs/>
                <w:color w:val="00000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eastAsia="Times New Roman"/>
                <w:color w:val="000000"/>
                <w:sz w:val="23"/>
                <w:szCs w:val="23"/>
              </w:rPr>
            </w:pP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213,294.52</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325,320.18</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54,220.07</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7.4.7.7</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221,976.23</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7.4.7.8</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83,000.00</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897,811.00</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eastAsia="Times New Roman"/>
                <w:color w:val="000000"/>
                <w:sz w:val="23"/>
                <w:szCs w:val="23"/>
              </w:rPr>
            </w:pP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7.4.7.9</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248,272,977.05</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7.4.7.10</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-1,302,557.89</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246,970,419.16</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247,868,230.16</w:t>
            </w:r>
          </w:p>
        </w:tc>
      </w:tr>
    </w:tbl>
    <w:p>
      <w:pPr>
        <w:spacing w:before="29" w:line="288" w:lineRule="auto"/>
        <w:ind w:left="15"/>
        <w:jc w:val="left"/>
        <w:rPr>
          <w:rFonts w:ascii="宋体" w:hAnsi="宋体" w:cs="宋体"/>
          <w:color w:val="000000"/>
        </w:rPr>
      </w:pPr>
      <w:r>
        <w:rPr>
          <w:rFonts w:hint="eastAsia" w:ascii="宋体" w:hAnsi="宋体" w:cs="宋体"/>
          <w:color w:val="000000"/>
        </w:rPr>
        <w:t>注：</w:t>
      </w:r>
      <w:r>
        <w:rPr>
          <w:rFonts w:ascii="宋体" w:hAnsi="宋体" w:cs="宋体"/>
          <w:color w:val="000000"/>
        </w:rPr>
        <w:t>1.</w:t>
      </w:r>
      <w:r>
        <w:rPr>
          <w:rFonts w:hint="eastAsia" w:ascii="宋体" w:hAnsi="宋体" w:cs="宋体"/>
          <w:color w:val="000000"/>
        </w:rPr>
        <w:t>报告截止日</w:t>
      </w:r>
      <w:r>
        <w:rPr>
          <w:rFonts w:ascii="宋体" w:hAnsi="宋体" w:cs="宋体"/>
          <w:color w:val="000000"/>
        </w:rPr>
        <w:t>2015</w:t>
      </w:r>
      <w:r>
        <w:rPr>
          <w:rFonts w:hint="eastAsia" w:ascii="宋体" w:hAnsi="宋体" w:cs="宋体"/>
          <w:color w:val="000000"/>
        </w:rPr>
        <w:t>年</w:t>
      </w:r>
      <w:r>
        <w:rPr>
          <w:rFonts w:ascii="宋体" w:hAnsi="宋体" w:cs="宋体"/>
          <w:color w:val="000000"/>
        </w:rPr>
        <w:t>12</w:t>
      </w:r>
      <w:r>
        <w:rPr>
          <w:rFonts w:hint="eastAsia" w:ascii="宋体" w:hAnsi="宋体" w:cs="宋体"/>
          <w:color w:val="000000"/>
        </w:rPr>
        <w:t>月</w:t>
      </w:r>
      <w:r>
        <w:rPr>
          <w:rFonts w:ascii="宋体" w:hAnsi="宋体" w:cs="宋体"/>
          <w:color w:val="000000"/>
        </w:rPr>
        <w:t>31</w:t>
      </w:r>
      <w:r>
        <w:rPr>
          <w:rFonts w:hint="eastAsia" w:ascii="宋体" w:hAnsi="宋体" w:cs="宋体"/>
          <w:color w:val="000000"/>
        </w:rPr>
        <w:t>日，基金份额净值</w:t>
      </w:r>
      <w:r>
        <w:rPr>
          <w:rFonts w:ascii="宋体" w:hAnsi="宋体" w:cs="宋体"/>
          <w:color w:val="000000"/>
        </w:rPr>
        <w:t>0.995</w:t>
      </w:r>
      <w:r>
        <w:rPr>
          <w:rFonts w:hint="eastAsia" w:ascii="宋体" w:hAnsi="宋体" w:cs="宋体"/>
          <w:color w:val="000000"/>
        </w:rPr>
        <w:t>元，基金份额总额</w:t>
      </w:r>
      <w:r>
        <w:rPr>
          <w:rFonts w:ascii="宋体" w:hAnsi="宋体" w:cs="宋体"/>
          <w:color w:val="000000"/>
        </w:rPr>
        <w:t>248,272,977.05</w:t>
      </w:r>
      <w:r>
        <w:rPr>
          <w:rFonts w:hint="eastAsia" w:ascii="宋体" w:hAnsi="宋体" w:cs="宋体"/>
          <w:color w:val="000000"/>
        </w:rPr>
        <w:t>份。</w:t>
      </w:r>
    </w:p>
    <w:p>
      <w:pPr>
        <w:spacing w:before="29" w:line="288" w:lineRule="auto"/>
        <w:ind w:left="15"/>
        <w:jc w:val="left"/>
        <w:rPr>
          <w:rFonts w:ascii="宋体" w:hAnsi="宋体" w:cs="宋体"/>
          <w:color w:val="000000"/>
        </w:rPr>
      </w:pPr>
      <w:r>
        <w:rPr>
          <w:rFonts w:ascii="宋体" w:hAnsi="宋体" w:cs="宋体"/>
          <w:color w:val="000000"/>
        </w:rPr>
        <w:t>2.</w:t>
      </w:r>
      <w:r>
        <w:rPr>
          <w:rFonts w:hint="eastAsia" w:ascii="宋体" w:hAnsi="宋体" w:cs="宋体"/>
          <w:color w:val="000000"/>
        </w:rPr>
        <w:t>本财务报表的实际编制期间为</w:t>
      </w:r>
      <w:r>
        <w:rPr>
          <w:rFonts w:ascii="宋体" w:hAnsi="宋体" w:cs="宋体"/>
          <w:color w:val="000000"/>
        </w:rPr>
        <w:t>2015</w:t>
      </w:r>
      <w:r>
        <w:rPr>
          <w:rFonts w:hint="eastAsia" w:ascii="宋体" w:hAnsi="宋体" w:cs="宋体"/>
          <w:color w:val="000000"/>
        </w:rPr>
        <w:t>年</w:t>
      </w:r>
      <w:r>
        <w:rPr>
          <w:rFonts w:ascii="宋体" w:hAnsi="宋体" w:cs="宋体"/>
          <w:color w:val="000000"/>
        </w:rPr>
        <w:t>8</w:t>
      </w:r>
      <w:r>
        <w:rPr>
          <w:rFonts w:hint="eastAsia" w:ascii="宋体" w:hAnsi="宋体" w:cs="宋体"/>
          <w:color w:val="000000"/>
        </w:rPr>
        <w:t>月</w:t>
      </w:r>
      <w:r>
        <w:rPr>
          <w:rFonts w:ascii="宋体" w:hAnsi="宋体" w:cs="宋体"/>
          <w:color w:val="000000"/>
        </w:rPr>
        <w:t>24</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基金合同生效日</w:t>
      </w:r>
      <w:r>
        <w:rPr>
          <w:rFonts w:ascii="宋体" w:hAnsi="宋体" w:cs="宋体"/>
          <w:color w:val="000000"/>
        </w:rPr>
        <w:t>)</w:t>
      </w:r>
      <w:r>
        <w:rPr>
          <w:rFonts w:hint="eastAsia" w:ascii="宋体" w:hAnsi="宋体" w:cs="宋体"/>
          <w:color w:val="000000"/>
        </w:rPr>
        <w:t>至</w:t>
      </w:r>
      <w:r>
        <w:rPr>
          <w:rFonts w:ascii="宋体" w:hAnsi="宋体" w:cs="宋体"/>
          <w:color w:val="000000"/>
        </w:rPr>
        <w:t>2015</w:t>
      </w:r>
      <w:r>
        <w:rPr>
          <w:rFonts w:hint="eastAsia" w:ascii="宋体" w:hAnsi="宋体" w:cs="宋体"/>
          <w:color w:val="000000"/>
        </w:rPr>
        <w:t>年</w:t>
      </w:r>
      <w:r>
        <w:rPr>
          <w:rFonts w:ascii="宋体" w:hAnsi="宋体" w:cs="宋体"/>
          <w:color w:val="000000"/>
        </w:rPr>
        <w:t>12</w:t>
      </w:r>
      <w:r>
        <w:rPr>
          <w:rFonts w:hint="eastAsia" w:ascii="宋体" w:hAnsi="宋体" w:cs="宋体"/>
          <w:color w:val="000000"/>
        </w:rPr>
        <w:t>月</w:t>
      </w:r>
      <w:r>
        <w:rPr>
          <w:rFonts w:ascii="宋体" w:hAnsi="宋体" w:cs="宋体"/>
          <w:color w:val="000000"/>
        </w:rPr>
        <w:t>31</w:t>
      </w:r>
      <w:r>
        <w:rPr>
          <w:rFonts w:hint="eastAsia" w:ascii="宋体" w:hAnsi="宋体" w:cs="宋体"/>
          <w:color w:val="000000"/>
        </w:rPr>
        <w:t>日止期间。</w:t>
      </w:r>
    </w:p>
    <w:p>
      <w:pPr>
        <w:spacing w:line="288" w:lineRule="auto"/>
        <w:jc w:val="left"/>
        <w:rPr>
          <w:rFonts w:ascii="MS Sans Serif" w:hAnsi="MS Sans Serif"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33" w:name="_Toc445827377"/>
      <w:r>
        <w:rPr>
          <w:rFonts w:ascii="宋体" w:hAnsi="宋体" w:cs="宋体"/>
          <w:b/>
          <w:bCs/>
          <w:color w:val="000000"/>
          <w:sz w:val="24"/>
          <w:szCs w:val="24"/>
        </w:rPr>
        <w:t xml:space="preserve">7.2 </w:t>
      </w:r>
      <w:r>
        <w:rPr>
          <w:rFonts w:hint="eastAsia" w:ascii="宋体" w:hAnsi="宋体" w:cs="宋体"/>
          <w:b/>
          <w:bCs/>
          <w:color w:val="000000"/>
          <w:sz w:val="24"/>
          <w:szCs w:val="24"/>
        </w:rPr>
        <w:t>利润表</w:t>
      </w:r>
      <w:bookmarkEnd w:id="33"/>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会计主体：创金合信沪港深研究精选灵活配置混合型证券投资基金</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本报告期：</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1083"/>
        <w:gridCol w:w="4756"/>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hint="eastAsia" w:ascii="宋体" w:hAnsi="宋体" w:cs="宋体"/>
                <w:b/>
                <w:bCs/>
                <w:color w:val="000000"/>
                <w:sz w:val="24"/>
                <w:szCs w:val="24"/>
              </w:rPr>
              <w:t>项</w:t>
            </w:r>
            <w:r>
              <w:rPr>
                <w:rFonts w:ascii="宋体" w:hAnsi="宋体" w:cs="宋体"/>
                <w:b/>
                <w:bCs/>
                <w:color w:val="000000"/>
                <w:sz w:val="24"/>
                <w:szCs w:val="24"/>
              </w:rPr>
              <w:t xml:space="preserve"> </w:t>
            </w:r>
            <w:r>
              <w:rPr>
                <w:rFonts w:hint="eastAsia" w:ascii="宋体" w:hAnsi="宋体" w:cs="宋体"/>
                <w:b/>
                <w:bCs/>
                <w:color w:val="00000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bCs/>
                <w:color w:val="000000"/>
                <w:sz w:val="24"/>
                <w:szCs w:val="24"/>
              </w:rPr>
            </w:pPr>
            <w:r>
              <w:rPr>
                <w:rFonts w:hint="eastAsia" w:ascii="宋体" w:hAnsi="宋体" w:cs="宋体"/>
                <w:b/>
                <w:bCs/>
                <w:color w:val="000000"/>
                <w:sz w:val="24"/>
                <w:szCs w:val="24"/>
              </w:rPr>
              <w:t>附注号</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color w:val="000000"/>
                <w:sz w:val="24"/>
                <w:szCs w:val="24"/>
              </w:rPr>
            </w:pPr>
            <w:r>
              <w:rPr>
                <w:rFonts w:hint="eastAsia" w:ascii="宋体" w:hAnsi="宋体" w:cs="宋体"/>
                <w:b/>
                <w:color w:val="000000"/>
                <w:sz w:val="24"/>
                <w:szCs w:val="24"/>
              </w:rPr>
              <w:t>本期</w:t>
            </w:r>
          </w:p>
          <w:p>
            <w:pPr>
              <w:spacing w:before="29" w:line="288" w:lineRule="auto"/>
              <w:ind w:left="15"/>
              <w:jc w:val="center"/>
              <w:rPr>
                <w:rFonts w:eastAsia="Times New Roman"/>
                <w:color w:val="000000"/>
                <w:sz w:val="24"/>
                <w:szCs w:val="24"/>
              </w:rPr>
            </w:pPr>
            <w:r>
              <w:rPr>
                <w:rFonts w:eastAsia="Times New Roman"/>
                <w:b/>
                <w:color w:val="000000"/>
                <w:sz w:val="24"/>
                <w:szCs w:val="24"/>
              </w:rPr>
              <w:t>2015</w:t>
            </w:r>
            <w:r>
              <w:rPr>
                <w:rFonts w:hint="eastAsia" w:ascii="宋体" w:hAnsi="宋体" w:cs="宋体"/>
                <w:b/>
                <w:color w:val="000000"/>
                <w:sz w:val="24"/>
                <w:szCs w:val="24"/>
              </w:rPr>
              <w:t>年</w:t>
            </w:r>
            <w:r>
              <w:rPr>
                <w:rFonts w:eastAsia="Times New Roman"/>
                <w:b/>
                <w:color w:val="000000"/>
                <w:sz w:val="24"/>
                <w:szCs w:val="24"/>
              </w:rPr>
              <w:t>8</w:t>
            </w:r>
            <w:r>
              <w:rPr>
                <w:rFonts w:hint="eastAsia" w:ascii="宋体" w:hAnsi="宋体" w:cs="宋体"/>
                <w:b/>
                <w:color w:val="000000"/>
                <w:sz w:val="24"/>
                <w:szCs w:val="24"/>
              </w:rPr>
              <w:t>月</w:t>
            </w:r>
            <w:r>
              <w:rPr>
                <w:rFonts w:eastAsia="Times New Roman"/>
                <w:b/>
                <w:color w:val="000000"/>
                <w:sz w:val="24"/>
                <w:szCs w:val="24"/>
              </w:rPr>
              <w:t>24</w:t>
            </w:r>
            <w:r>
              <w:rPr>
                <w:rFonts w:hint="eastAsia" w:ascii="宋体" w:hAnsi="宋体" w:cs="宋体"/>
                <w:b/>
                <w:color w:val="000000"/>
                <w:sz w:val="24"/>
                <w:szCs w:val="24"/>
              </w:rPr>
              <w:t>日至</w:t>
            </w:r>
            <w:r>
              <w:rPr>
                <w:rFonts w:eastAsia="Times New Roman"/>
                <w:b/>
                <w:color w:val="000000"/>
                <w:sz w:val="24"/>
                <w:szCs w:val="24"/>
              </w:rPr>
              <w:t>2015</w:t>
            </w:r>
            <w:r>
              <w:rPr>
                <w:rFonts w:hint="eastAsia" w:ascii="宋体" w:hAnsi="宋体" w:cs="宋体"/>
                <w:b/>
                <w:color w:val="000000"/>
                <w:sz w:val="24"/>
                <w:szCs w:val="24"/>
              </w:rPr>
              <w:t>年</w:t>
            </w:r>
            <w:r>
              <w:rPr>
                <w:rFonts w:eastAsia="Times New Roman"/>
                <w:b/>
                <w:color w:val="000000"/>
                <w:sz w:val="24"/>
                <w:szCs w:val="24"/>
              </w:rPr>
              <w:t>12</w:t>
            </w:r>
            <w:r>
              <w:rPr>
                <w:rFonts w:hint="eastAsia" w:ascii="宋体" w:hAnsi="宋体" w:cs="宋体"/>
                <w:b/>
                <w:color w:val="000000"/>
                <w:sz w:val="24"/>
                <w:szCs w:val="24"/>
              </w:rPr>
              <w:t>月</w:t>
            </w:r>
            <w:r>
              <w:rPr>
                <w:rFonts w:eastAsia="Times New Roman"/>
                <w:b/>
                <w:color w:val="000000"/>
                <w:sz w:val="24"/>
                <w:szCs w:val="24"/>
              </w:rPr>
              <w:t>31</w:t>
            </w:r>
            <w:r>
              <w:rPr>
                <w:rFonts w:hint="eastAsia" w:ascii="宋体" w:hAnsi="宋体" w:cs="宋体"/>
                <w:b/>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1,024,117.22</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1,933,738.92</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7.4.7.11</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859,031.65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1,074,707.27</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投资收益（损失以“</w:t>
            </w:r>
            <w:r>
              <w:rPr>
                <w:rFonts w:ascii="宋体" w:hAnsi="宋体" w:cs="宋体"/>
                <w:color w:val="000000"/>
                <w:sz w:val="24"/>
                <w:szCs w:val="24"/>
              </w:rPr>
              <w:t>-</w:t>
            </w:r>
            <w:r>
              <w:rPr>
                <w:rFonts w:hint="eastAsia" w:ascii="宋体" w:hAnsi="宋体" w:cs="宋体"/>
                <w:color w:val="00000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348,664.25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7.4.7.12</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348,664.25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7.4.7.13</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7.4.7.14</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7.4.7.15</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公允价值变动收益（损失以“</w:t>
            </w:r>
            <w:r>
              <w:rPr>
                <w:rFonts w:ascii="宋体" w:hAnsi="宋体" w:cs="宋体"/>
                <w:color w:val="000000"/>
                <w:sz w:val="24"/>
                <w:szCs w:val="24"/>
              </w:rPr>
              <w:t>-</w:t>
            </w:r>
            <w:r>
              <w:rPr>
                <w:rFonts w:hint="eastAsia" w:ascii="宋体" w:hAnsi="宋体" w:cs="宋体"/>
                <w:color w:val="00000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7.4.7.16</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-1,440,033.55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其他收入（损失以“</w:t>
            </w:r>
            <w:r>
              <w:rPr>
                <w:rFonts w:ascii="宋体" w:hAnsi="宋体" w:cs="宋体"/>
                <w:color w:val="000000"/>
                <w:sz w:val="24"/>
                <w:szCs w:val="24"/>
              </w:rPr>
              <w:t>-</w:t>
            </w:r>
            <w:r>
              <w:rPr>
                <w:rFonts w:hint="eastAsia" w:ascii="宋体" w:hAnsi="宋体" w:cs="宋体"/>
                <w:color w:val="00000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7.4.7.17</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181,747.60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2,133,647.48</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1,511,717.71</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251,953.03</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7.4.7.18</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285,936.74</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w:t>
            </w:r>
            <w:r>
              <w:rPr>
                <w:rFonts w:hint="eastAsia" w:ascii="宋体" w:hAnsi="宋体" w:cs="宋体"/>
                <w:color w:val="00000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7.4.7.19</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84,040.00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三、利润总额（亏损总额以“</w:t>
            </w:r>
            <w:r>
              <w:rPr>
                <w:rFonts w:ascii="宋体" w:hAnsi="宋体" w:cs="宋体"/>
                <w:b/>
                <w:bCs/>
                <w:color w:val="000000"/>
                <w:sz w:val="24"/>
                <w:szCs w:val="24"/>
              </w:rPr>
              <w:t>-</w:t>
            </w:r>
            <w:r>
              <w:rPr>
                <w:rFonts w:hint="eastAsia" w:ascii="宋体" w:hAnsi="宋体" w:cs="宋体"/>
                <w:b/>
                <w:bCs/>
                <w:color w:val="00000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-1,109,530.26</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b/>
                <w:bCs/>
                <w:color w:val="000000"/>
                <w:sz w:val="24"/>
                <w:szCs w:val="24"/>
              </w:rPr>
            </w:pPr>
            <w:r>
              <w:rPr>
                <w:rFonts w:hint="eastAsia" w:ascii="宋体" w:hAnsi="宋体" w:cs="宋体"/>
                <w:b/>
                <w:bCs/>
                <w:color w:val="000000"/>
                <w:sz w:val="24"/>
                <w:szCs w:val="24"/>
              </w:rPr>
              <w:t>四、净利润（净亏损以“</w:t>
            </w:r>
            <w:r>
              <w:rPr>
                <w:rFonts w:ascii="宋体" w:hAnsi="宋体" w:cs="宋体"/>
                <w:b/>
                <w:bCs/>
                <w:color w:val="000000"/>
                <w:sz w:val="24"/>
                <w:szCs w:val="24"/>
              </w:rPr>
              <w:t>-</w:t>
            </w:r>
            <w:r>
              <w:rPr>
                <w:rFonts w:hint="eastAsia" w:ascii="宋体" w:hAnsi="宋体" w:cs="宋体"/>
                <w:b/>
                <w:bCs/>
                <w:color w:val="00000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left"/>
              <w:rPr>
                <w:rFonts w:eastAsia="Times New Roman"/>
                <w:color w:val="00000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-1,109,530.26</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34" w:name="_Toc445827378"/>
      <w:r>
        <w:rPr>
          <w:rFonts w:ascii="宋体" w:hAnsi="宋体" w:cs="宋体"/>
          <w:b/>
          <w:bCs/>
          <w:color w:val="000000"/>
          <w:sz w:val="24"/>
          <w:szCs w:val="24"/>
        </w:rPr>
        <w:t xml:space="preserve">7.3 </w:t>
      </w:r>
      <w:r>
        <w:rPr>
          <w:rFonts w:hint="eastAsia" w:ascii="宋体" w:hAnsi="宋体" w:cs="宋体"/>
          <w:b/>
          <w:bCs/>
          <w:color w:val="000000"/>
          <w:sz w:val="24"/>
          <w:szCs w:val="24"/>
        </w:rPr>
        <w:t>所有者权益（基金净值）变动表</w:t>
      </w:r>
      <w:bookmarkEnd w:id="34"/>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会计主体：创金合信沪港深研究精选灵活配置混合型证券投资基金</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本报告期：</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dxa"/>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b/>
                <w:bCs/>
                <w:color w:val="000000"/>
                <w:sz w:val="24"/>
                <w:szCs w:val="24"/>
              </w:rPr>
            </w:pPr>
            <w:r>
              <w:rPr>
                <w:rFonts w:hint="eastAsia" w:ascii="宋体" w:hAnsi="宋体" w:cs="宋体"/>
                <w:b/>
                <w:bCs/>
                <w:color w:val="000000"/>
                <w:sz w:val="24"/>
                <w:szCs w:val="24"/>
              </w:rPr>
              <w:t>项</w:t>
            </w:r>
            <w:r>
              <w:rPr>
                <w:rFonts w:ascii="宋体" w:hAnsi="宋体" w:cs="宋体"/>
                <w:b/>
                <w:bCs/>
                <w:color w:val="000000"/>
                <w:sz w:val="24"/>
                <w:szCs w:val="24"/>
              </w:rPr>
              <w:t xml:space="preserve"> </w:t>
            </w:r>
            <w:r>
              <w:rPr>
                <w:rFonts w:hint="eastAsia" w:ascii="宋体" w:hAnsi="宋体" w:cs="宋体"/>
                <w:b/>
                <w:bCs/>
                <w:color w:val="00000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color w:val="000000"/>
                <w:sz w:val="24"/>
                <w:szCs w:val="24"/>
              </w:rPr>
            </w:pPr>
            <w:r>
              <w:rPr>
                <w:rFonts w:hint="eastAsia" w:ascii="宋体" w:hAnsi="宋体" w:cs="宋体"/>
                <w:b/>
                <w:color w:val="000000"/>
                <w:sz w:val="24"/>
                <w:szCs w:val="24"/>
              </w:rPr>
              <w:t>本期</w:t>
            </w:r>
          </w:p>
          <w:p>
            <w:pPr>
              <w:spacing w:before="29" w:line="288" w:lineRule="auto"/>
              <w:ind w:left="15"/>
              <w:jc w:val="center"/>
              <w:rPr>
                <w:rFonts w:eastAsia="Times New Roman"/>
                <w:b/>
                <w:color w:val="000000"/>
                <w:sz w:val="24"/>
                <w:szCs w:val="24"/>
              </w:rPr>
            </w:pPr>
            <w:r>
              <w:rPr>
                <w:rFonts w:eastAsia="Times New Roman"/>
                <w:b/>
                <w:color w:val="000000"/>
                <w:sz w:val="24"/>
                <w:szCs w:val="24"/>
              </w:rPr>
              <w:t>2015</w:t>
            </w:r>
            <w:r>
              <w:rPr>
                <w:rFonts w:hint="eastAsia" w:ascii="宋体" w:hAnsi="宋体" w:cs="宋体"/>
                <w:b/>
                <w:color w:val="000000"/>
                <w:sz w:val="24"/>
                <w:szCs w:val="24"/>
              </w:rPr>
              <w:t>年</w:t>
            </w:r>
            <w:r>
              <w:rPr>
                <w:rFonts w:eastAsia="Times New Roman"/>
                <w:b/>
                <w:color w:val="000000"/>
                <w:sz w:val="24"/>
                <w:szCs w:val="24"/>
              </w:rPr>
              <w:t>8</w:t>
            </w:r>
            <w:r>
              <w:rPr>
                <w:rFonts w:hint="eastAsia" w:ascii="宋体" w:hAnsi="宋体" w:cs="宋体"/>
                <w:b/>
                <w:color w:val="000000"/>
                <w:sz w:val="24"/>
                <w:szCs w:val="24"/>
              </w:rPr>
              <w:t>月</w:t>
            </w:r>
            <w:r>
              <w:rPr>
                <w:rFonts w:eastAsia="Times New Roman"/>
                <w:b/>
                <w:color w:val="000000"/>
                <w:sz w:val="24"/>
                <w:szCs w:val="24"/>
              </w:rPr>
              <w:t>24</w:t>
            </w:r>
            <w:r>
              <w:rPr>
                <w:rFonts w:hint="eastAsia" w:ascii="宋体" w:hAnsi="宋体" w:cs="宋体"/>
                <w:b/>
                <w:color w:val="000000"/>
                <w:sz w:val="24"/>
                <w:szCs w:val="24"/>
              </w:rPr>
              <w:t>日至</w:t>
            </w:r>
            <w:r>
              <w:rPr>
                <w:rFonts w:eastAsia="Times New Roman"/>
                <w:b/>
                <w:color w:val="000000"/>
                <w:sz w:val="24"/>
                <w:szCs w:val="24"/>
              </w:rPr>
              <w:t>2015</w:t>
            </w:r>
            <w:r>
              <w:rPr>
                <w:rFonts w:hint="eastAsia" w:ascii="宋体" w:hAnsi="宋体" w:cs="宋体"/>
                <w:b/>
                <w:color w:val="000000"/>
                <w:sz w:val="24"/>
                <w:szCs w:val="24"/>
              </w:rPr>
              <w:t>年</w:t>
            </w:r>
            <w:r>
              <w:rPr>
                <w:rFonts w:eastAsia="Times New Roman"/>
                <w:b/>
                <w:color w:val="000000"/>
                <w:sz w:val="24"/>
                <w:szCs w:val="24"/>
              </w:rPr>
              <w:t>12</w:t>
            </w:r>
            <w:r>
              <w:rPr>
                <w:rFonts w:hint="eastAsia" w:ascii="宋体" w:hAnsi="宋体" w:cs="宋体"/>
                <w:b/>
                <w:color w:val="000000"/>
                <w:sz w:val="24"/>
                <w:szCs w:val="24"/>
              </w:rPr>
              <w:t>月</w:t>
            </w:r>
            <w:r>
              <w:rPr>
                <w:rFonts w:eastAsia="Times New Roman"/>
                <w:b/>
                <w:color w:val="000000"/>
                <w:sz w:val="24"/>
                <w:szCs w:val="24"/>
              </w:rPr>
              <w:t>31</w:t>
            </w:r>
            <w:r>
              <w:rPr>
                <w:rFonts w:hint="eastAsia" w:ascii="宋体" w:hAnsi="宋体" w:cs="宋体"/>
                <w:b/>
                <w:color w:val="000000"/>
                <w:sz w:val="24"/>
                <w:szCs w:val="24"/>
              </w:rPr>
              <w:t>日</w:t>
            </w:r>
          </w:p>
        </w:tc>
      </w:tr>
      <w:tr>
        <w:tblPrEx>
          <w:tblCellMar>
            <w:top w:w="0" w:type="dxa"/>
            <w:left w:w="108" w:type="dxa"/>
            <w:bottom w:w="0" w:type="dxa"/>
            <w:right w:w="108" w:type="dxa"/>
          </w:tblCellMar>
        </w:tblPrEx>
        <w:trPr>
          <w:wBefore w:w="0" w:type="dxa"/>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color w:val="000000"/>
                <w:sz w:val="24"/>
                <w:szCs w:val="24"/>
              </w:rPr>
            </w:pPr>
            <w:r>
              <w:rPr>
                <w:rFonts w:hint="eastAsia" w:ascii="宋体" w:hAnsi="宋体" w:cs="宋体"/>
                <w:b/>
                <w:color w:val="000000"/>
                <w:sz w:val="24"/>
                <w:szCs w:val="24"/>
              </w:rPr>
              <w:t>实收基金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color w:val="000000"/>
                <w:sz w:val="24"/>
                <w:szCs w:val="24"/>
              </w:rPr>
            </w:pPr>
            <w:r>
              <w:rPr>
                <w:rFonts w:hint="eastAsia" w:ascii="宋体" w:hAnsi="宋体" w:cs="宋体"/>
                <w:b/>
                <w:color w:val="00000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b/>
                <w:color w:val="000000"/>
                <w:sz w:val="24"/>
                <w:szCs w:val="24"/>
              </w:rPr>
            </w:pPr>
            <w:r>
              <w:rPr>
                <w:rFonts w:hint="eastAsia" w:ascii="宋体" w:hAnsi="宋体" w:cs="宋体"/>
                <w:b/>
                <w:color w:val="000000"/>
                <w:sz w:val="24"/>
                <w:szCs w:val="24"/>
              </w:rPr>
              <w:t>所有者权益合计</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一、期初所有者权益</w:t>
            </w:r>
            <w:r>
              <w:rPr>
                <w:rFonts w:ascii="宋体" w:hAnsi="宋体" w:cs="宋体"/>
                <w:color w:val="000000"/>
                <w:sz w:val="24"/>
                <w:szCs w:val="24"/>
              </w:rPr>
              <w:t>(</w:t>
            </w:r>
            <w:r>
              <w:rPr>
                <w:rFonts w:hint="eastAsia" w:ascii="宋体" w:hAnsi="宋体" w:cs="宋体"/>
                <w:color w:val="000000"/>
                <w:sz w:val="24"/>
                <w:szCs w:val="24"/>
              </w:rPr>
              <w:t>基金净值</w:t>
            </w:r>
            <w:r>
              <w:rPr>
                <w:rFonts w:ascii="宋体" w:hAnsi="宋体" w:cs="宋体"/>
                <w:color w:val="00000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303,868,723.06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303,868,723.06</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二、本期经营活动产生的基金净值变动数</w:t>
            </w:r>
            <w:r>
              <w:rPr>
                <w:rFonts w:ascii="宋体" w:hAnsi="宋体" w:cs="宋体"/>
                <w:color w:val="000000"/>
                <w:sz w:val="24"/>
                <w:szCs w:val="24"/>
              </w:rPr>
              <w:t>(</w:t>
            </w:r>
            <w:r>
              <w:rPr>
                <w:rFonts w:hint="eastAsia" w:ascii="宋体" w:hAnsi="宋体" w:cs="宋体"/>
                <w:color w:val="000000"/>
                <w:sz w:val="24"/>
                <w:szCs w:val="24"/>
              </w:rPr>
              <w:t>本期利润</w:t>
            </w:r>
            <w:r>
              <w:rPr>
                <w:rFonts w:ascii="宋体" w:hAnsi="宋体" w:cs="宋体"/>
                <w:color w:val="00000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-1,109,530.26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-1,109,530.26</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三、本期基金份额交易产生的基金净值变动数（净值减少以“</w:t>
            </w:r>
            <w:r>
              <w:rPr>
                <w:rFonts w:ascii="宋体" w:hAnsi="宋体" w:cs="宋体"/>
                <w:color w:val="000000"/>
                <w:sz w:val="24"/>
                <w:szCs w:val="24"/>
              </w:rPr>
              <w:t>-</w:t>
            </w:r>
            <w:r>
              <w:rPr>
                <w:rFonts w:hint="eastAsia" w:ascii="宋体" w:hAnsi="宋体" w:cs="宋体"/>
                <w:color w:val="00000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-55,595,746.01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-193,027.63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-55,788,773.64</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w:t>
            </w:r>
            <w:r>
              <w:rPr>
                <w:rFonts w:ascii="宋体" w:hAnsi="宋体" w:cs="宋体"/>
                <w:color w:val="000000"/>
                <w:sz w:val="24"/>
                <w:szCs w:val="24"/>
              </w:rPr>
              <w:t>1.</w:t>
            </w:r>
            <w:r>
              <w:rPr>
                <w:rFonts w:hint="eastAsia" w:ascii="宋体" w:hAnsi="宋体" w:cs="宋体"/>
                <w:color w:val="000000"/>
                <w:sz w:val="24"/>
                <w:szCs w:val="24"/>
              </w:rPr>
              <w:t>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627,470.04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2,049.90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629,519.94</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2.</w:t>
            </w:r>
            <w:r>
              <w:rPr>
                <w:rFonts w:hint="eastAsia" w:ascii="宋体" w:hAnsi="宋体" w:cs="宋体"/>
                <w:color w:val="000000"/>
                <w:sz w:val="24"/>
                <w:szCs w:val="24"/>
              </w:rPr>
              <w:t>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-56,223,216.05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-195,077.53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-56,418,293.58</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四、本期向基金份额持有人分配利润产生的基金净值变动（净值减少以“</w:t>
            </w:r>
            <w:r>
              <w:rPr>
                <w:rFonts w:ascii="宋体" w:hAnsi="宋体" w:cs="宋体"/>
                <w:color w:val="000000"/>
                <w:sz w:val="24"/>
                <w:szCs w:val="24"/>
              </w:rPr>
              <w:t>-</w:t>
            </w:r>
            <w:r>
              <w:rPr>
                <w:rFonts w:hint="eastAsia" w:ascii="宋体" w:hAnsi="宋体" w:cs="宋体"/>
                <w:color w:val="00000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五、期末所有者权益</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248,272,977.05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-1,302,557.89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246,970,419.16</w:t>
            </w:r>
          </w:p>
        </w:tc>
      </w:tr>
    </w:tbl>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报表附注为财务报表的组成部分。</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本报告</w:t>
      </w:r>
      <w:r>
        <w:rPr>
          <w:rFonts w:ascii="宋体" w:hAnsi="宋体" w:cs="宋体"/>
          <w:color w:val="000000"/>
          <w:sz w:val="24"/>
          <w:szCs w:val="24"/>
        </w:rPr>
        <w:t>7.1</w:t>
      </w:r>
      <w:r>
        <w:rPr>
          <w:rFonts w:hint="eastAsia" w:ascii="宋体" w:hAnsi="宋体" w:cs="宋体"/>
          <w:color w:val="000000"/>
          <w:sz w:val="24"/>
          <w:szCs w:val="24"/>
        </w:rPr>
        <w:t>至</w:t>
      </w:r>
      <w:r>
        <w:rPr>
          <w:rFonts w:ascii="宋体" w:hAnsi="宋体" w:cs="宋体"/>
          <w:color w:val="000000"/>
          <w:sz w:val="24"/>
          <w:szCs w:val="24"/>
        </w:rPr>
        <w:t>7.4</w:t>
      </w:r>
      <w:r>
        <w:rPr>
          <w:rFonts w:hint="eastAsia" w:ascii="宋体" w:hAnsi="宋体" w:cs="宋体"/>
          <w:color w:val="000000"/>
          <w:sz w:val="24"/>
          <w:szCs w:val="24"/>
        </w:rPr>
        <w:t>财务报表由下列负责人签署</w:t>
      </w:r>
      <w:r>
        <w:rPr>
          <w:rFonts w:ascii="宋体" w:hAnsi="宋体" w:cs="宋体"/>
          <w:color w:val="000000"/>
          <w:sz w:val="24"/>
          <w:szCs w:val="24"/>
        </w:rPr>
        <w:t>:</w:t>
      </w:r>
    </w:p>
    <w:tbl>
      <w:tblPr>
        <w:tblStyle w:val="10"/>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dxa"/>
        </w:trPr>
        <w:tc>
          <w:tcPr>
            <w:tcW w:w="3249" w:type="dxa"/>
            <w:tcBorders>
              <w:top w:val="nil"/>
              <w:left w:val="nil"/>
              <w:bottom w:val="nil"/>
              <w:right w:val="nil"/>
            </w:tcBorders>
            <w:noWrap w:val="0"/>
            <w:vAlign w:val="top"/>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苏彦祝</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基金管理人负责人</w:t>
            </w:r>
          </w:p>
        </w:tc>
        <w:tc>
          <w:tcPr>
            <w:tcW w:w="2889" w:type="dxa"/>
            <w:tcBorders>
              <w:top w:val="nil"/>
              <w:left w:val="nil"/>
              <w:bottom w:val="nil"/>
              <w:right w:val="nil"/>
            </w:tcBorders>
            <w:noWrap w:val="0"/>
            <w:vAlign w:val="top"/>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黄越岷</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主管会计工作负责人</w:t>
            </w:r>
          </w:p>
        </w:tc>
        <w:tc>
          <w:tcPr>
            <w:tcW w:w="2890" w:type="dxa"/>
            <w:tcBorders>
              <w:top w:val="nil"/>
              <w:left w:val="nil"/>
              <w:bottom w:val="nil"/>
              <w:right w:val="nil"/>
            </w:tcBorders>
            <w:noWrap w:val="0"/>
            <w:vAlign w:val="top"/>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安兆国</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会计机构负责人</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35" w:name="_Toc445827379"/>
      <w:r>
        <w:rPr>
          <w:rFonts w:ascii="宋体" w:hAnsi="宋体" w:cs="宋体"/>
          <w:b/>
          <w:bCs/>
          <w:color w:val="000000"/>
          <w:sz w:val="24"/>
          <w:szCs w:val="24"/>
        </w:rPr>
        <w:t xml:space="preserve">7.4 </w:t>
      </w:r>
      <w:r>
        <w:rPr>
          <w:rFonts w:hint="eastAsia" w:ascii="宋体" w:hAnsi="宋体" w:cs="宋体"/>
          <w:b/>
          <w:bCs/>
          <w:color w:val="000000"/>
          <w:sz w:val="24"/>
          <w:szCs w:val="24"/>
        </w:rPr>
        <w:t>报表附注</w:t>
      </w:r>
      <w:bookmarkEnd w:id="35"/>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 </w:t>
      </w:r>
      <w:r>
        <w:rPr>
          <w:rFonts w:hint="eastAsia" w:ascii="宋体" w:hAnsi="宋体" w:cs="宋体"/>
          <w:b/>
          <w:bCs/>
          <w:color w:val="000000"/>
          <w:sz w:val="24"/>
          <w:szCs w:val="24"/>
        </w:rPr>
        <w:t>基金基本情况</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创金合信沪港深研究精选灵活配置混合型证券投资基金</w:t>
      </w:r>
      <w:r>
        <w:rPr>
          <w:rFonts w:ascii="宋体" w:hAnsi="宋体" w:cs="宋体"/>
          <w:color w:val="000000"/>
          <w:sz w:val="24"/>
          <w:szCs w:val="24"/>
        </w:rPr>
        <w:t>(</w:t>
      </w:r>
      <w:r>
        <w:rPr>
          <w:rFonts w:hint="eastAsia" w:ascii="宋体" w:hAnsi="宋体" w:cs="宋体"/>
          <w:color w:val="000000"/>
          <w:sz w:val="24"/>
          <w:szCs w:val="24"/>
        </w:rPr>
        <w:t>以下简称“本基金”</w:t>
      </w:r>
      <w:r>
        <w:rPr>
          <w:rFonts w:ascii="宋体" w:hAnsi="宋体" w:cs="宋体"/>
          <w:color w:val="000000"/>
          <w:sz w:val="24"/>
          <w:szCs w:val="24"/>
        </w:rPr>
        <w:t>)</w:t>
      </w:r>
      <w:r>
        <w:rPr>
          <w:rFonts w:hint="eastAsia" w:ascii="宋体" w:hAnsi="宋体" w:cs="宋体"/>
          <w:color w:val="000000"/>
          <w:sz w:val="24"/>
          <w:szCs w:val="24"/>
        </w:rPr>
        <w:t>经中国证券监督管理委员会</w:t>
      </w:r>
      <w:r>
        <w:rPr>
          <w:rFonts w:ascii="宋体" w:hAnsi="宋体" w:cs="宋体"/>
          <w:color w:val="000000"/>
          <w:sz w:val="24"/>
          <w:szCs w:val="24"/>
        </w:rPr>
        <w:t>(</w:t>
      </w:r>
      <w:r>
        <w:rPr>
          <w:rFonts w:hint="eastAsia" w:ascii="宋体" w:hAnsi="宋体" w:cs="宋体"/>
          <w:color w:val="000000"/>
          <w:sz w:val="24"/>
          <w:szCs w:val="24"/>
        </w:rPr>
        <w:t>以下简称“中国证监会”</w:t>
      </w:r>
      <w:r>
        <w:rPr>
          <w:rFonts w:ascii="宋体" w:hAnsi="宋体" w:cs="宋体"/>
          <w:color w:val="000000"/>
          <w:sz w:val="24"/>
          <w:szCs w:val="24"/>
        </w:rPr>
        <w:t>)</w:t>
      </w:r>
      <w:r>
        <w:rPr>
          <w:rFonts w:hint="eastAsia" w:ascii="宋体" w:hAnsi="宋体" w:cs="宋体"/>
          <w:color w:val="000000"/>
          <w:sz w:val="24"/>
          <w:szCs w:val="24"/>
        </w:rPr>
        <w:t>证监许可</w:t>
      </w:r>
      <w:r>
        <w:rPr>
          <w:rFonts w:hint="eastAsia" w:ascii="宋体" w:hAnsi="宋体" w:cs="宋体"/>
          <w:color w:val="000000"/>
          <w:sz w:val="24"/>
          <w:szCs w:val="24"/>
          <w:highlight w:val="yellow"/>
        </w:rPr>
        <w:t>[</w:t>
      </w:r>
      <w:r>
        <w:rPr>
          <w:rFonts w:ascii="宋体" w:hAnsi="宋体" w:cs="宋体"/>
          <w:color w:val="000000"/>
          <w:sz w:val="24"/>
          <w:szCs w:val="24"/>
        </w:rPr>
        <w:t>2015]</w:t>
      </w:r>
      <w:r>
        <w:rPr>
          <w:rFonts w:hint="eastAsia" w:ascii="宋体" w:hAnsi="宋体" w:cs="宋体"/>
          <w:color w:val="000000"/>
          <w:sz w:val="24"/>
          <w:szCs w:val="24"/>
        </w:rPr>
        <w:t>第</w:t>
      </w:r>
      <w:r>
        <w:rPr>
          <w:rFonts w:ascii="宋体" w:hAnsi="宋体" w:cs="宋体"/>
          <w:color w:val="000000"/>
          <w:sz w:val="24"/>
          <w:szCs w:val="24"/>
        </w:rPr>
        <w:t>1477</w:t>
      </w:r>
      <w:r>
        <w:rPr>
          <w:rFonts w:hint="eastAsia" w:ascii="宋体" w:hAnsi="宋体" w:cs="宋体"/>
          <w:color w:val="000000"/>
          <w:sz w:val="24"/>
          <w:szCs w:val="24"/>
        </w:rPr>
        <w:t>号《关于准予创金合信沪港深研究精选灵活配置混合型证券投资基金注册的批复》核准，由创金合信基金管理有限公司依照《中华人民共和国证券投资基金法》和《创金合信沪港深研究精选灵活配置混合型证券投资基金基金合同》负责公开募集。本基金为契约型开放式，存续期限不定，首次设立募集不包括认购资金利息共募集人民币</w:t>
      </w:r>
      <w:r>
        <w:rPr>
          <w:rFonts w:ascii="宋体" w:hAnsi="宋体" w:cs="宋体"/>
          <w:color w:val="000000"/>
          <w:sz w:val="24"/>
          <w:szCs w:val="24"/>
        </w:rPr>
        <w:t>303,724,280.18</w:t>
      </w:r>
      <w:r>
        <w:rPr>
          <w:rFonts w:hint="eastAsia" w:ascii="宋体" w:hAnsi="宋体" w:cs="宋体"/>
          <w:color w:val="000000"/>
          <w:sz w:val="24"/>
          <w:szCs w:val="24"/>
        </w:rPr>
        <w:t>元，</w:t>
      </w:r>
      <w:r>
        <w:rPr>
          <w:rFonts w:hint="eastAsia" w:ascii="宋体" w:hAnsi="宋体" w:cs="宋体"/>
          <w:color w:val="000000"/>
          <w:sz w:val="24"/>
          <w:szCs w:val="24"/>
          <w:highlight w:val="yellow"/>
        </w:rPr>
        <w:t>已</w:t>
      </w:r>
      <w:r>
        <w:rPr>
          <w:rFonts w:hint="eastAsia" w:ascii="宋体" w:hAnsi="宋体" w:cs="宋体"/>
          <w:color w:val="000000"/>
          <w:sz w:val="24"/>
          <w:szCs w:val="24"/>
        </w:rPr>
        <w:t>经普华永道中天会计师事务所</w:t>
      </w:r>
      <w:r>
        <w:rPr>
          <w:rFonts w:ascii="宋体" w:hAnsi="宋体" w:cs="宋体"/>
          <w:color w:val="000000"/>
          <w:sz w:val="24"/>
          <w:szCs w:val="24"/>
        </w:rPr>
        <w:t>(</w:t>
      </w:r>
      <w:r>
        <w:rPr>
          <w:rFonts w:hint="eastAsia" w:ascii="宋体" w:hAnsi="宋体" w:cs="宋体"/>
          <w:color w:val="000000"/>
          <w:sz w:val="24"/>
          <w:szCs w:val="24"/>
        </w:rPr>
        <w:t>特殊普通合伙</w:t>
      </w:r>
      <w:r>
        <w:rPr>
          <w:rFonts w:ascii="宋体" w:hAnsi="宋体" w:cs="宋体"/>
          <w:color w:val="000000"/>
          <w:sz w:val="24"/>
          <w:szCs w:val="24"/>
        </w:rPr>
        <w:t>)</w:t>
      </w:r>
      <w:r>
        <w:rPr>
          <w:rFonts w:hint="eastAsia" w:ascii="宋体" w:hAnsi="宋体" w:cs="宋体"/>
          <w:color w:val="000000"/>
          <w:sz w:val="24"/>
          <w:szCs w:val="24"/>
        </w:rPr>
        <w:t>普华永道中天验字</w:t>
      </w:r>
      <w:r>
        <w:rPr>
          <w:rFonts w:ascii="宋体" w:hAnsi="宋体" w:cs="宋体"/>
          <w:color w:val="000000"/>
          <w:sz w:val="24"/>
          <w:szCs w:val="24"/>
        </w:rPr>
        <w:t>(2015)</w:t>
      </w:r>
      <w:r>
        <w:rPr>
          <w:rFonts w:hint="eastAsia" w:ascii="宋体" w:hAnsi="宋体" w:cs="宋体"/>
          <w:color w:val="000000"/>
          <w:sz w:val="24"/>
          <w:szCs w:val="24"/>
        </w:rPr>
        <w:t>第</w:t>
      </w:r>
      <w:r>
        <w:rPr>
          <w:rFonts w:ascii="宋体" w:hAnsi="宋体" w:cs="宋体"/>
          <w:color w:val="000000"/>
          <w:sz w:val="24"/>
          <w:szCs w:val="24"/>
        </w:rPr>
        <w:t>987</w:t>
      </w:r>
      <w:r>
        <w:rPr>
          <w:rFonts w:hint="eastAsia" w:ascii="宋体" w:hAnsi="宋体" w:cs="宋体"/>
          <w:color w:val="000000"/>
          <w:sz w:val="24"/>
          <w:szCs w:val="24"/>
        </w:rPr>
        <w:t>号验资报告予以验证。经向中国证监会备案，《创金合信沪港深研究精选灵活配置混合型证券投资基金基金合同》于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日正式生效，基金合同生效日的基金份额总额为</w:t>
      </w:r>
      <w:r>
        <w:rPr>
          <w:rFonts w:ascii="宋体" w:hAnsi="宋体" w:cs="宋体"/>
          <w:color w:val="000000"/>
          <w:sz w:val="24"/>
          <w:szCs w:val="24"/>
        </w:rPr>
        <w:t>303,868,723.06</w:t>
      </w:r>
      <w:r>
        <w:rPr>
          <w:rFonts w:hint="eastAsia" w:ascii="宋体" w:hAnsi="宋体" w:cs="宋体"/>
          <w:color w:val="000000"/>
          <w:sz w:val="24"/>
          <w:szCs w:val="24"/>
        </w:rPr>
        <w:t>份基金份额，其中认购资金利息折合</w:t>
      </w:r>
      <w:r>
        <w:rPr>
          <w:rFonts w:ascii="宋体" w:hAnsi="宋体" w:cs="宋体"/>
          <w:color w:val="000000"/>
          <w:sz w:val="24"/>
          <w:szCs w:val="24"/>
        </w:rPr>
        <w:t>144,442.88</w:t>
      </w:r>
      <w:r>
        <w:rPr>
          <w:rFonts w:hint="eastAsia" w:ascii="宋体" w:hAnsi="宋体" w:cs="宋体"/>
          <w:color w:val="000000"/>
          <w:sz w:val="24"/>
          <w:szCs w:val="24"/>
        </w:rPr>
        <w:t>份基金份额。本基金的基金管理人为创金合信基金管理有限公司，基金托管人为中国工商银行股份有限公司</w:t>
      </w:r>
      <w:r>
        <w:rPr>
          <w:rFonts w:ascii="宋体" w:hAnsi="宋体" w:cs="宋体"/>
          <w:color w:val="000000"/>
          <w:sz w:val="24"/>
          <w:szCs w:val="24"/>
        </w:rPr>
        <w:t>(</w:t>
      </w:r>
      <w:r>
        <w:rPr>
          <w:rFonts w:hint="eastAsia" w:ascii="宋体" w:hAnsi="宋体" w:cs="宋体"/>
          <w:color w:val="000000"/>
          <w:sz w:val="24"/>
          <w:szCs w:val="24"/>
        </w:rPr>
        <w:t>以下简称“中国工商银行”</w:t>
      </w:r>
      <w:r>
        <w:rPr>
          <w:rFonts w:ascii="宋体" w:hAnsi="宋体" w:cs="宋体"/>
          <w:color w:val="000000"/>
          <w:sz w:val="24"/>
          <w:szCs w:val="24"/>
        </w:rPr>
        <w:t>)</w:t>
      </w:r>
      <w:r>
        <w:rPr>
          <w:rFonts w:hint="eastAsia" w:ascii="宋体" w:hAnsi="宋体" w:cs="宋体"/>
          <w:color w:val="000000"/>
          <w:sz w:val="24"/>
          <w:szCs w:val="24"/>
        </w:rPr>
        <w:t>。</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根据《中华人民共和国证券投资基金法》和《创金合信沪港深研究精选灵活配置混合型证券投资基金基金合同》的有关规定，本基金的投资范围为具有良好流动性的金融工具，包括国内依法发行上市的股票</w:t>
      </w:r>
      <w:r>
        <w:rPr>
          <w:rFonts w:ascii="宋体" w:hAnsi="宋体" w:cs="宋体"/>
          <w:color w:val="000000"/>
          <w:sz w:val="24"/>
          <w:szCs w:val="24"/>
        </w:rPr>
        <w:t>(</w:t>
      </w:r>
      <w:r>
        <w:rPr>
          <w:rFonts w:hint="eastAsia" w:ascii="宋体" w:hAnsi="宋体" w:cs="宋体"/>
          <w:color w:val="000000"/>
          <w:sz w:val="24"/>
          <w:szCs w:val="24"/>
        </w:rPr>
        <w:t>包括中小板、创业板及其他经中国证监会核准上市的股票</w:t>
      </w:r>
      <w:r>
        <w:rPr>
          <w:rFonts w:ascii="宋体" w:hAnsi="宋体" w:cs="宋体"/>
          <w:color w:val="000000"/>
          <w:sz w:val="24"/>
          <w:szCs w:val="24"/>
        </w:rPr>
        <w:t>)</w:t>
      </w:r>
      <w:r>
        <w:rPr>
          <w:rFonts w:hint="eastAsia" w:ascii="宋体" w:hAnsi="宋体" w:cs="宋体"/>
          <w:color w:val="000000"/>
          <w:sz w:val="24"/>
          <w:szCs w:val="24"/>
        </w:rPr>
        <w:t>、沪港通机制下允许投资的香港联合交易所上市的股票</w:t>
      </w:r>
      <w:r>
        <w:rPr>
          <w:rFonts w:ascii="宋体" w:hAnsi="宋体" w:cs="宋体"/>
          <w:color w:val="000000"/>
          <w:sz w:val="24"/>
          <w:szCs w:val="24"/>
        </w:rPr>
        <w:t>(</w:t>
      </w:r>
      <w:r>
        <w:rPr>
          <w:rFonts w:hint="eastAsia" w:ascii="宋体" w:hAnsi="宋体" w:cs="宋体"/>
          <w:color w:val="000000"/>
          <w:sz w:val="24"/>
          <w:szCs w:val="24"/>
        </w:rPr>
        <w:t>以下简称“港股通标的股票”</w:t>
      </w:r>
      <w:r>
        <w:rPr>
          <w:rFonts w:ascii="宋体" w:hAnsi="宋体" w:cs="宋体"/>
          <w:color w:val="000000"/>
          <w:sz w:val="24"/>
          <w:szCs w:val="24"/>
        </w:rPr>
        <w:t>)</w:t>
      </w:r>
      <w:r>
        <w:rPr>
          <w:rFonts w:hint="eastAsia" w:ascii="宋体" w:hAnsi="宋体" w:cs="宋体"/>
          <w:color w:val="000000"/>
          <w:sz w:val="24"/>
          <w:szCs w:val="24"/>
        </w:rPr>
        <w:t>、权证、股指期货、债券、中期票据、中小企业私募债券、资产支持证券、货币市场工具、债券回购、银行存款以及法律法规或中国证监会允许基金投资的其他金融工具。本基金的业绩比较基准为：沪深</w:t>
      </w:r>
      <w:r>
        <w:rPr>
          <w:rFonts w:ascii="宋体" w:hAnsi="宋体" w:cs="宋体"/>
          <w:color w:val="000000"/>
          <w:sz w:val="24"/>
          <w:szCs w:val="24"/>
        </w:rPr>
        <w:t xml:space="preserve">300 </w:t>
      </w:r>
      <w:r>
        <w:rPr>
          <w:rFonts w:hint="eastAsia" w:ascii="宋体" w:hAnsi="宋体" w:cs="宋体"/>
          <w:color w:val="000000"/>
          <w:sz w:val="24"/>
          <w:szCs w:val="24"/>
        </w:rPr>
        <w:t>指数收益率×</w:t>
      </w:r>
      <w:r>
        <w:rPr>
          <w:rFonts w:ascii="宋体" w:hAnsi="宋体" w:cs="宋体"/>
          <w:color w:val="000000"/>
          <w:sz w:val="24"/>
          <w:szCs w:val="24"/>
        </w:rPr>
        <w:t>40%</w:t>
      </w:r>
      <w:r>
        <w:rPr>
          <w:rFonts w:hint="eastAsia" w:ascii="宋体" w:hAnsi="宋体" w:cs="宋体"/>
          <w:color w:val="000000"/>
          <w:sz w:val="24"/>
          <w:szCs w:val="24"/>
        </w:rPr>
        <w:t>＋恒生指数收益率×</w:t>
      </w:r>
      <w:r>
        <w:rPr>
          <w:rFonts w:ascii="宋体" w:hAnsi="宋体" w:cs="宋体"/>
          <w:color w:val="000000"/>
          <w:sz w:val="24"/>
          <w:szCs w:val="24"/>
        </w:rPr>
        <w:t>20%</w:t>
      </w:r>
      <w:r>
        <w:rPr>
          <w:rFonts w:hint="eastAsia" w:ascii="宋体" w:hAnsi="宋体" w:cs="宋体"/>
          <w:color w:val="000000"/>
          <w:sz w:val="24"/>
          <w:szCs w:val="24"/>
        </w:rPr>
        <w:t>＋中债总指数</w:t>
      </w:r>
      <w:r>
        <w:rPr>
          <w:rFonts w:ascii="宋体" w:hAnsi="宋体" w:cs="宋体"/>
          <w:color w:val="000000"/>
          <w:sz w:val="24"/>
          <w:szCs w:val="24"/>
        </w:rPr>
        <w:t>(</w:t>
      </w:r>
      <w:r>
        <w:rPr>
          <w:rFonts w:hint="eastAsia" w:ascii="宋体" w:hAnsi="宋体" w:cs="宋体"/>
          <w:color w:val="000000"/>
          <w:sz w:val="24"/>
          <w:szCs w:val="24"/>
        </w:rPr>
        <w:t>全价</w:t>
      </w:r>
      <w:r>
        <w:rPr>
          <w:rFonts w:ascii="宋体" w:hAnsi="宋体" w:cs="宋体"/>
          <w:color w:val="000000"/>
          <w:sz w:val="24"/>
          <w:szCs w:val="24"/>
        </w:rPr>
        <w:t>)</w:t>
      </w:r>
      <w:r>
        <w:rPr>
          <w:rFonts w:hint="eastAsia" w:ascii="宋体" w:hAnsi="宋体" w:cs="宋体"/>
          <w:color w:val="000000"/>
          <w:sz w:val="24"/>
          <w:szCs w:val="24"/>
        </w:rPr>
        <w:t>收益率×</w:t>
      </w:r>
      <w:r>
        <w:rPr>
          <w:rFonts w:ascii="宋体" w:hAnsi="宋体" w:cs="宋体"/>
          <w:color w:val="000000"/>
          <w:sz w:val="24"/>
          <w:szCs w:val="24"/>
        </w:rPr>
        <w:t>40%</w:t>
      </w:r>
      <w:r>
        <w:rPr>
          <w:rFonts w:hint="eastAsia" w:ascii="宋体" w:hAnsi="宋体" w:cs="宋体"/>
          <w:color w:val="000000"/>
          <w:sz w:val="24"/>
          <w:szCs w:val="24"/>
        </w:rPr>
        <w:t>。</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本财务报表由本基金的基金管理人创金合信基金管理有限公司于</w:t>
      </w:r>
      <w:r>
        <w:rPr>
          <w:rFonts w:ascii="宋体" w:hAnsi="宋体" w:cs="宋体"/>
          <w:color w:val="000000"/>
          <w:sz w:val="24"/>
          <w:szCs w:val="24"/>
        </w:rPr>
        <w:t>2016</w:t>
      </w:r>
      <w:r>
        <w:rPr>
          <w:rFonts w:hint="eastAsia" w:ascii="宋体" w:hAnsi="宋体" w:cs="宋体"/>
          <w:color w:val="000000"/>
          <w:sz w:val="24"/>
          <w:szCs w:val="24"/>
        </w:rPr>
        <w:t>年</w:t>
      </w:r>
      <w:r>
        <w:rPr>
          <w:rFonts w:ascii="宋体" w:hAnsi="宋体" w:cs="宋体"/>
          <w:color w:val="000000"/>
          <w:sz w:val="24"/>
          <w:szCs w:val="24"/>
        </w:rPr>
        <w:t>3</w:t>
      </w:r>
      <w:r>
        <w:rPr>
          <w:rFonts w:hint="eastAsia" w:ascii="宋体" w:hAnsi="宋体" w:cs="宋体"/>
          <w:color w:val="000000"/>
          <w:sz w:val="24"/>
          <w:szCs w:val="24"/>
        </w:rPr>
        <w:t>月</w:t>
      </w:r>
      <w:r>
        <w:rPr>
          <w:rFonts w:ascii="宋体" w:hAnsi="宋体" w:cs="宋体"/>
          <w:color w:val="000000"/>
          <w:sz w:val="24"/>
          <w:szCs w:val="24"/>
        </w:rPr>
        <w:t>2</w:t>
      </w:r>
      <w:r>
        <w:rPr>
          <w:rFonts w:hint="eastAsia" w:ascii="宋体" w:hAnsi="宋体" w:cs="宋体"/>
          <w:color w:val="000000"/>
          <w:sz w:val="24"/>
          <w:szCs w:val="24"/>
        </w:rPr>
        <w:t>4日批准报出。</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7.4.2 </w:t>
      </w:r>
      <w:r>
        <w:rPr>
          <w:rFonts w:hint="eastAsia" w:ascii="宋体" w:hAnsi="宋体" w:cs="宋体"/>
          <w:b/>
          <w:bCs/>
          <w:color w:val="000000"/>
          <w:sz w:val="24"/>
          <w:szCs w:val="24"/>
        </w:rPr>
        <w:t>会计报表的编制基础</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本基金的财务报表按照财政部于</w:t>
      </w:r>
      <w:r>
        <w:rPr>
          <w:rFonts w:ascii="宋体" w:hAnsi="宋体" w:cs="宋体"/>
          <w:color w:val="000000"/>
          <w:sz w:val="24"/>
          <w:szCs w:val="24"/>
        </w:rPr>
        <w:t>2006</w:t>
      </w:r>
      <w:r>
        <w:rPr>
          <w:rFonts w:hint="eastAsia" w:ascii="宋体" w:hAnsi="宋体" w:cs="宋体"/>
          <w:color w:val="000000"/>
          <w:sz w:val="24"/>
          <w:szCs w:val="24"/>
        </w:rPr>
        <w:t>年</w:t>
      </w:r>
      <w:r>
        <w:rPr>
          <w:rFonts w:ascii="宋体" w:hAnsi="宋体" w:cs="宋体"/>
          <w:color w:val="000000"/>
          <w:sz w:val="24"/>
          <w:szCs w:val="24"/>
        </w:rPr>
        <w:t>2</w:t>
      </w:r>
      <w:r>
        <w:rPr>
          <w:rFonts w:hint="eastAsia" w:ascii="宋体" w:hAnsi="宋体" w:cs="宋体"/>
          <w:color w:val="000000"/>
          <w:sz w:val="24"/>
          <w:szCs w:val="24"/>
        </w:rPr>
        <w:t>月</w:t>
      </w:r>
      <w:r>
        <w:rPr>
          <w:rFonts w:ascii="宋体" w:hAnsi="宋体" w:cs="宋体"/>
          <w:color w:val="000000"/>
          <w:sz w:val="24"/>
          <w:szCs w:val="24"/>
        </w:rPr>
        <w:t>15</w:t>
      </w:r>
      <w:r>
        <w:rPr>
          <w:rFonts w:hint="eastAsia" w:ascii="宋体" w:hAnsi="宋体" w:cs="宋体"/>
          <w:color w:val="000000"/>
          <w:sz w:val="24"/>
          <w:szCs w:val="24"/>
        </w:rPr>
        <w:t>日及以后期间颁布的《企业会计准则</w:t>
      </w:r>
      <w:r>
        <w:rPr>
          <w:rFonts w:ascii="宋体" w:hAnsi="宋体" w:cs="宋体"/>
          <w:color w:val="000000"/>
          <w:sz w:val="24"/>
          <w:szCs w:val="24"/>
        </w:rPr>
        <w:t>-</w:t>
      </w:r>
      <w:r>
        <w:rPr>
          <w:rFonts w:hint="eastAsia" w:ascii="宋体" w:hAnsi="宋体" w:cs="宋体"/>
          <w:color w:val="000000"/>
          <w:sz w:val="24"/>
          <w:szCs w:val="24"/>
        </w:rPr>
        <w:t>基本准则》、各项具体会计准则及相关规定</w:t>
      </w:r>
      <w:r>
        <w:rPr>
          <w:rFonts w:ascii="宋体" w:hAnsi="宋体" w:cs="宋体"/>
          <w:color w:val="000000"/>
          <w:sz w:val="24"/>
          <w:szCs w:val="24"/>
        </w:rPr>
        <w:t>(</w:t>
      </w:r>
      <w:r>
        <w:rPr>
          <w:rFonts w:hint="eastAsia" w:ascii="宋体" w:hAnsi="宋体" w:cs="宋体"/>
          <w:color w:val="000000"/>
          <w:sz w:val="24"/>
          <w:szCs w:val="24"/>
        </w:rPr>
        <w:t>以下合称“企业会计准则”</w:t>
      </w:r>
      <w:r>
        <w:rPr>
          <w:rFonts w:ascii="宋体" w:hAnsi="宋体" w:cs="宋体"/>
          <w:color w:val="000000"/>
          <w:sz w:val="24"/>
          <w:szCs w:val="24"/>
        </w:rPr>
        <w:t>)</w:t>
      </w:r>
      <w:r>
        <w:rPr>
          <w:rFonts w:hint="eastAsia" w:ascii="宋体" w:hAnsi="宋体" w:cs="宋体"/>
          <w:color w:val="000000"/>
          <w:sz w:val="24"/>
          <w:szCs w:val="24"/>
        </w:rPr>
        <w:t>、中国证监会颁布的《证券投资基金信息披露</w:t>
      </w:r>
      <w:r>
        <w:rPr>
          <w:rFonts w:ascii="宋体" w:hAnsi="宋体" w:cs="宋体"/>
          <w:color w:val="000000"/>
          <w:sz w:val="24"/>
          <w:szCs w:val="24"/>
        </w:rPr>
        <w:t>XBRL</w:t>
      </w:r>
      <w:r>
        <w:rPr>
          <w:rFonts w:hint="eastAsia" w:ascii="宋体" w:hAnsi="宋体" w:cs="宋体"/>
          <w:color w:val="000000"/>
          <w:sz w:val="24"/>
          <w:szCs w:val="24"/>
        </w:rPr>
        <w:t>模板第</w:t>
      </w:r>
      <w:r>
        <w:rPr>
          <w:rFonts w:ascii="宋体" w:hAnsi="宋体" w:cs="宋体"/>
          <w:color w:val="000000"/>
          <w:sz w:val="24"/>
          <w:szCs w:val="24"/>
        </w:rPr>
        <w:t>3</w:t>
      </w:r>
      <w:r>
        <w:rPr>
          <w:rFonts w:hint="eastAsia" w:ascii="宋体" w:hAnsi="宋体" w:cs="宋体"/>
          <w:color w:val="000000"/>
          <w:sz w:val="24"/>
          <w:szCs w:val="24"/>
        </w:rPr>
        <w:t>号</w:t>
      </w:r>
      <w:r>
        <w:rPr>
          <w:rFonts w:ascii="宋体" w:hAnsi="宋体" w:cs="宋体"/>
          <w:color w:val="000000"/>
          <w:sz w:val="24"/>
          <w:szCs w:val="24"/>
        </w:rPr>
        <w:t>&lt;</w:t>
      </w:r>
      <w:r>
        <w:rPr>
          <w:rFonts w:hint="eastAsia" w:ascii="宋体" w:hAnsi="宋体" w:cs="宋体"/>
          <w:color w:val="000000"/>
          <w:sz w:val="24"/>
          <w:szCs w:val="24"/>
        </w:rPr>
        <w:t>年度报告和半年度报告</w:t>
      </w:r>
      <w:r>
        <w:rPr>
          <w:rFonts w:ascii="宋体" w:hAnsi="宋体" w:cs="宋体"/>
          <w:color w:val="000000"/>
          <w:sz w:val="24"/>
          <w:szCs w:val="24"/>
        </w:rPr>
        <w:t>&gt;</w:t>
      </w:r>
      <w:r>
        <w:rPr>
          <w:rFonts w:hint="eastAsia" w:ascii="宋体" w:hAnsi="宋体" w:cs="宋体"/>
          <w:color w:val="000000"/>
          <w:sz w:val="24"/>
          <w:szCs w:val="24"/>
        </w:rPr>
        <w:t>》、中国证券投资基金业协会</w:t>
      </w:r>
      <w:r>
        <w:rPr>
          <w:rFonts w:ascii="宋体" w:hAnsi="宋体" w:cs="宋体"/>
          <w:color w:val="000000"/>
          <w:sz w:val="24"/>
          <w:szCs w:val="24"/>
        </w:rPr>
        <w:t>(</w:t>
      </w:r>
      <w:r>
        <w:rPr>
          <w:rFonts w:hint="eastAsia" w:ascii="宋体" w:hAnsi="宋体" w:cs="宋体"/>
          <w:color w:val="000000"/>
          <w:sz w:val="24"/>
          <w:szCs w:val="24"/>
        </w:rPr>
        <w:t>以下简称“中国基金业协会”</w:t>
      </w:r>
      <w:r>
        <w:rPr>
          <w:rFonts w:ascii="宋体" w:hAnsi="宋体" w:cs="宋体"/>
          <w:color w:val="000000"/>
          <w:sz w:val="24"/>
          <w:szCs w:val="24"/>
        </w:rPr>
        <w:t>)</w:t>
      </w:r>
      <w:r>
        <w:rPr>
          <w:rFonts w:hint="eastAsia" w:ascii="宋体" w:hAnsi="宋体" w:cs="宋体"/>
          <w:color w:val="000000"/>
          <w:sz w:val="24"/>
          <w:szCs w:val="24"/>
        </w:rPr>
        <w:t>颁布的《证券投资基金会计核算业务指引》、《</w:t>
      </w:r>
      <w:r>
        <w:rPr>
          <w:rFonts w:ascii="宋体" w:hAnsi="宋体" w:cs="宋体"/>
          <w:color w:val="000000"/>
          <w:sz w:val="24"/>
          <w:szCs w:val="24"/>
        </w:rPr>
        <w:t xml:space="preserve"> </w:t>
      </w:r>
      <w:r>
        <w:rPr>
          <w:rFonts w:hint="eastAsia" w:ascii="宋体" w:hAnsi="宋体" w:cs="宋体"/>
          <w:color w:val="000000"/>
          <w:sz w:val="24"/>
          <w:szCs w:val="24"/>
        </w:rPr>
        <w:t>创金合信沪港深研究精选灵活配置混合型证券投资基金基金合同》和在财务报表附注</w:t>
      </w:r>
      <w:r>
        <w:rPr>
          <w:rFonts w:ascii="宋体" w:hAnsi="宋体" w:cs="宋体"/>
          <w:color w:val="000000"/>
          <w:sz w:val="24"/>
          <w:szCs w:val="24"/>
        </w:rPr>
        <w:t>7.4.4</w:t>
      </w:r>
      <w:r>
        <w:rPr>
          <w:rFonts w:hint="eastAsia" w:ascii="宋体" w:hAnsi="宋体" w:cs="宋体"/>
          <w:color w:val="000000"/>
          <w:sz w:val="24"/>
          <w:szCs w:val="24"/>
        </w:rPr>
        <w:t>所列示的中国证监会、中国基金业协会发布的有关规定及允许的基金行业实务操作编制。</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7.4.3 </w:t>
      </w:r>
      <w:r>
        <w:rPr>
          <w:rFonts w:hint="eastAsia" w:ascii="宋体" w:hAnsi="宋体" w:cs="宋体"/>
          <w:b/>
          <w:bCs/>
          <w:color w:val="000000"/>
          <w:sz w:val="24"/>
          <w:szCs w:val="24"/>
        </w:rPr>
        <w:t>遵循企业会计准则及其他有关规定的声明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w:t>
      </w:r>
      <w:r>
        <w:rPr>
          <w:rFonts w:hint="eastAsia" w:ascii="宋体" w:hAnsi="宋体" w:cs="宋体"/>
          <w:color w:val="000000"/>
          <w:sz w:val="24"/>
          <w:szCs w:val="24"/>
        </w:rPr>
        <w:t>基金合同生效日</w:t>
      </w:r>
      <w:r>
        <w:rPr>
          <w:rFonts w:ascii="宋体" w:hAnsi="宋体" w:cs="宋体"/>
          <w:color w:val="000000"/>
          <w:sz w:val="24"/>
          <w:szCs w:val="24"/>
        </w:rPr>
        <w:t>)</w:t>
      </w:r>
      <w:r>
        <w:rPr>
          <w:rFonts w:hint="eastAsia" w:ascii="宋体" w:hAnsi="宋体" w:cs="宋体"/>
          <w:color w:val="000000"/>
          <w:sz w:val="24"/>
          <w:szCs w:val="24"/>
        </w:rPr>
        <w:t>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日止期间财务报表符合企业会计准则的要求，真实、完整地反映了本基金</w:t>
      </w:r>
      <w:r>
        <w:rPr>
          <w:rFonts w:ascii="宋体" w:hAnsi="宋体" w:cs="宋体"/>
          <w:color w:val="000000"/>
          <w:sz w:val="24"/>
          <w:szCs w:val="24"/>
        </w:rPr>
        <w:t xml:space="preserve"> 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日的财务状况以及</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w:t>
      </w:r>
      <w:r>
        <w:rPr>
          <w:rFonts w:hint="eastAsia" w:ascii="宋体" w:hAnsi="宋体" w:cs="宋体"/>
          <w:color w:val="000000"/>
          <w:sz w:val="24"/>
          <w:szCs w:val="24"/>
        </w:rPr>
        <w:t>基金合同生效日</w:t>
      </w:r>
      <w:r>
        <w:rPr>
          <w:rFonts w:ascii="宋体" w:hAnsi="宋体" w:cs="宋体"/>
          <w:color w:val="000000"/>
          <w:sz w:val="24"/>
          <w:szCs w:val="24"/>
        </w:rPr>
        <w:t>)</w:t>
      </w:r>
      <w:r>
        <w:rPr>
          <w:rFonts w:hint="eastAsia" w:ascii="宋体" w:hAnsi="宋体" w:cs="宋体"/>
          <w:color w:val="000000"/>
          <w:sz w:val="24"/>
          <w:szCs w:val="24"/>
        </w:rPr>
        <w:t>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日止期间的经营成果和基金净值变动情况等有关信息。</w:t>
      </w:r>
    </w:p>
    <w:p>
      <w:pPr>
        <w:spacing w:line="288" w:lineRule="auto"/>
        <w:jc w:val="left"/>
        <w:rPr>
          <w:rFonts w:ascii="MS Sans Serif" w:hAnsi="MS Sans Serif" w:eastAsia="Times New Roman" w:cs="MS Sans Serif"/>
          <w:color w:val="000000"/>
          <w:sz w:val="23"/>
          <w:szCs w:val="23"/>
        </w:rPr>
      </w:pPr>
    </w:p>
    <w:p>
      <w:pPr>
        <w:spacing w:line="288" w:lineRule="auto"/>
        <w:jc w:val="left"/>
        <w:rPr>
          <w:rFonts w:ascii="MS Sans Serif" w:hAnsi="MS Sans Serif" w:cs="MS Sans Serif"/>
          <w:color w:val="000000"/>
          <w:sz w:val="23"/>
          <w:szCs w:val="23"/>
        </w:rPr>
      </w:pPr>
      <w:r>
        <w:rPr>
          <w:rFonts w:ascii="宋体" w:hAnsi="宋体" w:cs="宋体"/>
          <w:b/>
          <w:bCs/>
          <w:color w:val="000000"/>
          <w:sz w:val="24"/>
          <w:szCs w:val="24"/>
        </w:rPr>
        <w:t xml:space="preserve">7.4.4 </w:t>
      </w:r>
      <w:r>
        <w:rPr>
          <w:rFonts w:hint="eastAsia" w:ascii="宋体" w:hAnsi="宋体" w:cs="宋体"/>
          <w:b/>
          <w:bCs/>
          <w:color w:val="000000"/>
          <w:sz w:val="24"/>
          <w:szCs w:val="24"/>
        </w:rPr>
        <w:t>重要会计政策和会计估计</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7.4.4.1 </w:t>
      </w:r>
      <w:r>
        <w:rPr>
          <w:rFonts w:hint="eastAsia" w:ascii="宋体" w:hAnsi="宋体" w:cs="宋体"/>
          <w:b/>
          <w:bCs/>
          <w:color w:val="000000"/>
          <w:sz w:val="24"/>
          <w:szCs w:val="24"/>
        </w:rPr>
        <w:t>会计年度</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本基金会计年度为公历</w:t>
      </w:r>
      <w:r>
        <w:rPr>
          <w:rFonts w:ascii="宋体" w:hAnsi="宋体" w:cs="宋体"/>
          <w:color w:val="000000"/>
          <w:sz w:val="24"/>
          <w:szCs w:val="24"/>
        </w:rPr>
        <w:t>1</w:t>
      </w:r>
      <w:r>
        <w:rPr>
          <w:rFonts w:hint="eastAsia" w:ascii="宋体" w:hAnsi="宋体" w:cs="宋体"/>
          <w:color w:val="000000"/>
          <w:sz w:val="24"/>
          <w:szCs w:val="24"/>
        </w:rPr>
        <w:t>月</w:t>
      </w:r>
      <w:r>
        <w:rPr>
          <w:rFonts w:ascii="宋体" w:hAnsi="宋体" w:cs="宋体"/>
          <w:color w:val="000000"/>
          <w:sz w:val="24"/>
          <w:szCs w:val="24"/>
        </w:rPr>
        <w:t>1</w:t>
      </w:r>
      <w:r>
        <w:rPr>
          <w:rFonts w:hint="eastAsia" w:ascii="宋体" w:hAnsi="宋体" w:cs="宋体"/>
          <w:color w:val="000000"/>
          <w:sz w:val="24"/>
          <w:szCs w:val="24"/>
        </w:rPr>
        <w:t>日起至</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日止。本期财务报表的实际编制期间为</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w:t>
      </w:r>
      <w:r>
        <w:rPr>
          <w:rFonts w:hint="eastAsia" w:ascii="宋体" w:hAnsi="宋体" w:cs="宋体"/>
          <w:color w:val="000000"/>
          <w:sz w:val="24"/>
          <w:szCs w:val="24"/>
        </w:rPr>
        <w:t>基金合同生效日</w:t>
      </w:r>
      <w:r>
        <w:rPr>
          <w:rFonts w:ascii="宋体" w:hAnsi="宋体" w:cs="宋体"/>
          <w:color w:val="000000"/>
          <w:sz w:val="24"/>
          <w:szCs w:val="24"/>
        </w:rPr>
        <w:t>)</w:t>
      </w:r>
      <w:r>
        <w:rPr>
          <w:rFonts w:hint="eastAsia" w:ascii="宋体" w:hAnsi="宋体" w:cs="宋体"/>
          <w:color w:val="000000"/>
          <w:sz w:val="24"/>
          <w:szCs w:val="24"/>
        </w:rPr>
        <w:t>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7.4.4.2 </w:t>
      </w:r>
      <w:r>
        <w:rPr>
          <w:rFonts w:hint="eastAsia" w:ascii="宋体" w:hAnsi="宋体" w:cs="宋体"/>
          <w:b/>
          <w:bCs/>
          <w:color w:val="000000"/>
          <w:sz w:val="24"/>
          <w:szCs w:val="24"/>
        </w:rPr>
        <w:t>记账本位币</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本基金的记账本位币为人民币。</w:t>
      </w:r>
    </w:p>
    <w:p>
      <w:pPr>
        <w:spacing w:line="288" w:lineRule="auto"/>
        <w:jc w:val="left"/>
        <w:rPr>
          <w:rFonts w:ascii="MS Sans Serif" w:hAnsi="MS Sans Serif" w:eastAsia="Times New Roman" w:cs="MS Sans Serif"/>
          <w:color w:val="000000"/>
          <w:sz w:val="22"/>
          <w:szCs w:val="22"/>
        </w:rPr>
      </w:pPr>
    </w:p>
    <w:p>
      <w:pPr>
        <w:spacing w:before="29" w:line="288" w:lineRule="auto"/>
        <w:jc w:val="left"/>
        <w:rPr>
          <w:rFonts w:ascii="MS Sans Serif" w:hAnsi="MS Sans Serif" w:cs="MS Sans Serif"/>
          <w:color w:val="000000"/>
          <w:sz w:val="16"/>
          <w:szCs w:val="16"/>
        </w:rPr>
      </w:pPr>
      <w:r>
        <w:rPr>
          <w:rFonts w:ascii="宋体" w:hAnsi="宋体" w:cs="宋体"/>
          <w:b/>
          <w:bCs/>
          <w:color w:val="000000"/>
          <w:sz w:val="24"/>
          <w:szCs w:val="24"/>
        </w:rPr>
        <w:t xml:space="preserve">7.4.4.3 </w:t>
      </w:r>
      <w:r>
        <w:rPr>
          <w:rFonts w:hint="eastAsia" w:ascii="宋体" w:hAnsi="宋体" w:cs="宋体"/>
          <w:b/>
          <w:bCs/>
          <w:color w:val="000000"/>
          <w:sz w:val="24"/>
          <w:szCs w:val="24"/>
        </w:rPr>
        <w:t>金融资产和金融负债的分类</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、金融资产的分类</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本基金目前以交易目的持有的股票投资、债券投资和衍生工具</w:t>
      </w:r>
      <w:r>
        <w:rPr>
          <w:rFonts w:ascii="宋体" w:hAnsi="宋体" w:cs="宋体"/>
          <w:color w:val="000000"/>
          <w:sz w:val="24"/>
          <w:szCs w:val="24"/>
        </w:rPr>
        <w:t>(</w:t>
      </w:r>
      <w:r>
        <w:rPr>
          <w:rFonts w:hint="eastAsia" w:ascii="宋体" w:hAnsi="宋体" w:cs="宋体"/>
          <w:color w:val="000000"/>
          <w:sz w:val="24"/>
          <w:szCs w:val="24"/>
        </w:rPr>
        <w:t>主要为权证投资</w:t>
      </w:r>
      <w:r>
        <w:rPr>
          <w:rFonts w:ascii="宋体" w:hAnsi="宋体" w:cs="宋体"/>
          <w:color w:val="000000"/>
          <w:sz w:val="24"/>
          <w:szCs w:val="24"/>
        </w:rPr>
        <w:t>)</w:t>
      </w:r>
      <w:r>
        <w:rPr>
          <w:rFonts w:hint="eastAsia" w:ascii="宋体" w:hAnsi="宋体" w:cs="宋体"/>
          <w:color w:val="00000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、金融负债的分类</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spacing w:line="288" w:lineRule="auto"/>
        <w:jc w:val="left"/>
        <w:rPr>
          <w:rFonts w:ascii="MS Sans Serif" w:hAnsi="MS Sans Serif" w:eastAsia="Times New Roman" w:cs="MS Sans Serif"/>
          <w:color w:val="000000"/>
          <w:sz w:val="22"/>
          <w:szCs w:val="22"/>
        </w:rPr>
      </w:pPr>
    </w:p>
    <w:p>
      <w:pPr>
        <w:spacing w:before="29" w:line="288" w:lineRule="auto"/>
        <w:ind w:left="15"/>
        <w:jc w:val="left"/>
        <w:rPr>
          <w:rFonts w:ascii="MS Sans Serif" w:hAnsi="MS Sans Serif" w:cs="MS Sans Serif"/>
          <w:color w:val="000000"/>
          <w:sz w:val="16"/>
          <w:szCs w:val="16"/>
        </w:rPr>
      </w:pPr>
      <w:r>
        <w:rPr>
          <w:rFonts w:ascii="宋体" w:hAnsi="宋体" w:cs="宋体"/>
          <w:b/>
          <w:bCs/>
          <w:color w:val="000000"/>
          <w:sz w:val="24"/>
          <w:szCs w:val="24"/>
        </w:rPr>
        <w:t xml:space="preserve">7.4.4.4 </w:t>
      </w:r>
      <w:r>
        <w:rPr>
          <w:rFonts w:hint="eastAsia" w:ascii="宋体" w:hAnsi="宋体" w:cs="宋体"/>
          <w:b/>
          <w:bCs/>
          <w:color w:val="000000"/>
          <w:sz w:val="24"/>
          <w:szCs w:val="24"/>
        </w:rPr>
        <w:t>金融资产和金融负债的初始确认、后续计量和终止确认</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对于以公允价值计量且其变动计入当期损益的金融资产，按照公允价值进行后续计量；对于应收款项和其他金融负债采用实际利率法，以摊余成本进行后续计量。</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金融资产满足下列条件之一的，予以终止确认：</w:t>
      </w:r>
      <w:r>
        <w:rPr>
          <w:rFonts w:ascii="宋体" w:hAnsi="宋体" w:cs="宋体"/>
          <w:color w:val="000000"/>
          <w:sz w:val="24"/>
          <w:szCs w:val="24"/>
        </w:rPr>
        <w:t>(1)</w:t>
      </w:r>
      <w:r>
        <w:rPr>
          <w:rFonts w:hint="eastAsia" w:ascii="宋体" w:hAnsi="宋体" w:cs="宋体"/>
          <w:color w:val="000000"/>
          <w:sz w:val="24"/>
          <w:szCs w:val="24"/>
        </w:rPr>
        <w:t>收取该金融资产现金流量的合同权利终止；</w:t>
      </w:r>
      <w:r>
        <w:rPr>
          <w:rFonts w:ascii="宋体" w:hAnsi="宋体" w:cs="宋体"/>
          <w:color w:val="000000"/>
          <w:sz w:val="24"/>
          <w:szCs w:val="24"/>
        </w:rPr>
        <w:t>(2)</w:t>
      </w:r>
      <w:r>
        <w:rPr>
          <w:rFonts w:hint="eastAsia" w:ascii="宋体" w:hAnsi="宋体" w:cs="宋体"/>
          <w:color w:val="000000"/>
          <w:sz w:val="24"/>
          <w:szCs w:val="24"/>
        </w:rPr>
        <w:t>该金融资产已转移，且本基金将金融资产所有权上几乎所有的风险和报酬转移给转入方；或者</w:t>
      </w:r>
      <w:r>
        <w:rPr>
          <w:rFonts w:ascii="宋体" w:hAnsi="宋体" w:cs="宋体"/>
          <w:color w:val="000000"/>
          <w:sz w:val="24"/>
          <w:szCs w:val="24"/>
        </w:rPr>
        <w:t>(3)</w:t>
      </w:r>
      <w:r>
        <w:rPr>
          <w:rFonts w:hint="eastAsia" w:ascii="宋体" w:hAnsi="宋体" w:cs="宋体"/>
          <w:color w:val="000000"/>
          <w:sz w:val="24"/>
          <w:szCs w:val="24"/>
        </w:rPr>
        <w:t>该金融资产已转移，虽然本基金既没有转移也没有保留金融资产所有权上几乎所有的风险和报酬，但是放弃了对该金融资产控制。</w:t>
      </w:r>
    </w:p>
    <w:p>
      <w:pPr>
        <w:spacing w:before="29" w:line="288" w:lineRule="auto"/>
        <w:jc w:val="left"/>
        <w:rPr>
          <w:rFonts w:ascii="宋体" w:hAnsi="宋体" w:cs="宋体"/>
          <w:color w:val="000000"/>
          <w:sz w:val="24"/>
          <w:szCs w:val="24"/>
        </w:rPr>
      </w:pPr>
      <w:r>
        <w:rPr>
          <w:rFonts w:hint="eastAsia" w:ascii="宋体" w:hAnsi="宋体" w:cs="宋体"/>
          <w:color w:val="000000"/>
          <w:sz w:val="24"/>
          <w:szCs w:val="24"/>
        </w:rPr>
        <w:t>金融资产终止确认时，其账面价值与收到的对价的差额，计入当期损益。</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当金融负债的现时义务全部或部分已经解除时，终止确认该金融负债或义务已解除的部分。终止确认部分的账面价值与支付的对价之间的差额，计入当期损益。</w:t>
      </w:r>
    </w:p>
    <w:p>
      <w:pPr>
        <w:spacing w:line="288" w:lineRule="auto"/>
        <w:jc w:val="left"/>
        <w:rPr>
          <w:rFonts w:ascii="MS Sans Serif" w:hAnsi="MS Sans Serif" w:eastAsia="Times New Roman" w:cs="MS Sans Serif"/>
          <w:color w:val="000000"/>
          <w:sz w:val="22"/>
          <w:szCs w:val="22"/>
        </w:rPr>
      </w:pPr>
    </w:p>
    <w:p>
      <w:pPr>
        <w:spacing w:before="29" w:line="288" w:lineRule="auto"/>
        <w:ind w:left="15"/>
        <w:jc w:val="left"/>
        <w:rPr>
          <w:rFonts w:ascii="MS Sans Serif" w:hAnsi="MS Sans Serif" w:cs="MS Sans Serif"/>
          <w:color w:val="000000"/>
          <w:sz w:val="16"/>
          <w:szCs w:val="16"/>
        </w:rPr>
      </w:pPr>
      <w:r>
        <w:rPr>
          <w:rFonts w:ascii="宋体" w:hAnsi="宋体" w:cs="宋体"/>
          <w:b/>
          <w:bCs/>
          <w:color w:val="000000"/>
          <w:sz w:val="24"/>
          <w:szCs w:val="24"/>
        </w:rPr>
        <w:t xml:space="preserve">7.4.4.5 </w:t>
      </w:r>
      <w:r>
        <w:rPr>
          <w:rFonts w:hint="eastAsia" w:ascii="宋体" w:hAnsi="宋体" w:cs="宋体"/>
          <w:b/>
          <w:bCs/>
          <w:color w:val="000000"/>
          <w:sz w:val="24"/>
          <w:szCs w:val="24"/>
        </w:rPr>
        <w:t>金融资产和金融负债的估值原则</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本基金持有的股票投资、债券投资和衍生工具</w:t>
      </w:r>
      <w:r>
        <w:rPr>
          <w:rFonts w:ascii="宋体" w:hAnsi="宋体" w:cs="宋体"/>
          <w:color w:val="000000"/>
          <w:sz w:val="24"/>
          <w:szCs w:val="24"/>
        </w:rPr>
        <w:t>(</w:t>
      </w:r>
      <w:r>
        <w:rPr>
          <w:rFonts w:hint="eastAsia" w:ascii="宋体" w:hAnsi="宋体" w:cs="宋体"/>
          <w:color w:val="000000"/>
          <w:sz w:val="24"/>
          <w:szCs w:val="24"/>
        </w:rPr>
        <w:t>主要为权证投资</w:t>
      </w:r>
      <w:r>
        <w:rPr>
          <w:rFonts w:ascii="宋体" w:hAnsi="宋体" w:cs="宋体"/>
          <w:color w:val="000000"/>
          <w:sz w:val="24"/>
          <w:szCs w:val="24"/>
        </w:rPr>
        <w:t>)</w:t>
      </w:r>
      <w:r>
        <w:rPr>
          <w:rFonts w:hint="eastAsia" w:ascii="宋体" w:hAnsi="宋体" w:cs="宋体"/>
          <w:color w:val="000000"/>
          <w:sz w:val="24"/>
          <w:szCs w:val="24"/>
        </w:rPr>
        <w:t>按如下原则确定公允价值并进行估值：</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、存在活跃市场的金融工具，如估值日无交易且最近交易日后经济环境发生了重大变化，参考类似投资品种的现行市价及重大变化等因素，调整最近交易市价以确定公允价值。</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spacing w:line="288" w:lineRule="auto"/>
        <w:jc w:val="left"/>
        <w:rPr>
          <w:rFonts w:ascii="MS Sans Serif" w:hAnsi="MS Sans Serif" w:eastAsia="Times New Roman" w:cs="MS Sans Serif"/>
          <w:color w:val="000000"/>
          <w:sz w:val="22"/>
          <w:szCs w:val="22"/>
        </w:rPr>
      </w:pPr>
    </w:p>
    <w:p>
      <w:pPr>
        <w:spacing w:before="29" w:line="288" w:lineRule="auto"/>
        <w:ind w:left="15"/>
        <w:jc w:val="left"/>
        <w:rPr>
          <w:rFonts w:ascii="MS Sans Serif" w:hAnsi="MS Sans Serif" w:cs="MS Sans Serif"/>
          <w:color w:val="000000"/>
          <w:sz w:val="16"/>
          <w:szCs w:val="16"/>
        </w:rPr>
      </w:pPr>
      <w:r>
        <w:rPr>
          <w:rFonts w:ascii="宋体" w:hAnsi="宋体" w:cs="宋体"/>
          <w:b/>
          <w:bCs/>
          <w:color w:val="000000"/>
          <w:sz w:val="24"/>
          <w:szCs w:val="24"/>
        </w:rPr>
        <w:t xml:space="preserve">7.4.4.6 </w:t>
      </w:r>
      <w:r>
        <w:rPr>
          <w:rFonts w:hint="eastAsia" w:ascii="宋体" w:hAnsi="宋体" w:cs="宋体"/>
          <w:b/>
          <w:bCs/>
          <w:color w:val="000000"/>
          <w:sz w:val="24"/>
          <w:szCs w:val="24"/>
        </w:rPr>
        <w:t>金融资产和金融负债的抵销</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本基金持有的资产和承担的负债基本为金融资产和金融负债。当本基金</w:t>
      </w:r>
      <w:r>
        <w:rPr>
          <w:rFonts w:ascii="宋体" w:hAnsi="宋体" w:cs="宋体"/>
          <w:color w:val="000000"/>
          <w:sz w:val="24"/>
          <w:szCs w:val="24"/>
        </w:rPr>
        <w:t>(1)</w:t>
      </w:r>
      <w:r>
        <w:rPr>
          <w:rFonts w:hint="eastAsia" w:ascii="宋体" w:hAnsi="宋体" w:cs="宋体"/>
          <w:color w:val="000000"/>
          <w:sz w:val="24"/>
          <w:szCs w:val="24"/>
        </w:rPr>
        <w:t>具有抵销已确认金额的法定权利且该种法定权利现在是可执行的；且</w:t>
      </w:r>
      <w:r>
        <w:rPr>
          <w:rFonts w:ascii="宋体" w:hAnsi="宋体" w:cs="宋体"/>
          <w:color w:val="000000"/>
          <w:sz w:val="24"/>
          <w:szCs w:val="24"/>
        </w:rPr>
        <w:t>(2)</w:t>
      </w:r>
      <w:r>
        <w:rPr>
          <w:rFonts w:hint="eastAsia" w:ascii="宋体" w:hAnsi="宋体" w:cs="宋体"/>
          <w:color w:val="000000"/>
          <w:sz w:val="24"/>
          <w:szCs w:val="24"/>
        </w:rPr>
        <w:t>交易双方准备按净额结算时，金融资产与金融负债按抵销后的净额在资产负债表中列示。</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7.4.4.7 </w:t>
      </w:r>
      <w:r>
        <w:rPr>
          <w:rFonts w:hint="eastAsia" w:ascii="宋体" w:hAnsi="宋体" w:cs="宋体"/>
          <w:b/>
          <w:bCs/>
          <w:color w:val="000000"/>
          <w:sz w:val="24"/>
          <w:szCs w:val="24"/>
        </w:rPr>
        <w:t>实收基金</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实收基金为对外发行基金份额所募集的总金额在扣除损益平准金分摊部分后的余额。由于申购和赎回引起的实收基金变动分别于基金申购确认日及基金赎回确认日</w:t>
      </w:r>
      <w:r>
        <w:rPr>
          <w:rFonts w:hint="eastAsia" w:ascii="宋体" w:hAnsi="宋体" w:cs="宋体"/>
          <w:color w:val="000000"/>
          <w:sz w:val="24"/>
          <w:szCs w:val="24"/>
          <w:highlight w:val="yellow"/>
        </w:rPr>
        <w:t>确认。</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7.4.4.8 </w:t>
      </w:r>
      <w:r>
        <w:rPr>
          <w:rFonts w:hint="eastAsia" w:ascii="宋体" w:hAnsi="宋体" w:cs="宋体"/>
          <w:b/>
          <w:bCs/>
          <w:color w:val="000000"/>
          <w:sz w:val="24"/>
          <w:szCs w:val="24"/>
        </w:rPr>
        <w:t>损益平准金</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w:t>
      </w:r>
      <w:r>
        <w:rPr>
          <w:rFonts w:hint="eastAsia" w:ascii="宋体" w:hAnsi="宋体" w:cs="宋体"/>
          <w:color w:val="000000"/>
          <w:sz w:val="24"/>
          <w:szCs w:val="24"/>
          <w:highlight w:val="yellow"/>
        </w:rPr>
        <w:t>确认</w:t>
      </w:r>
      <w:r>
        <w:rPr>
          <w:rFonts w:hint="eastAsia" w:ascii="宋体" w:hAnsi="宋体" w:cs="宋体"/>
          <w:color w:val="000000"/>
          <w:sz w:val="24"/>
          <w:szCs w:val="24"/>
        </w:rPr>
        <w:t>，并于期末全额转入未分配利润</w:t>
      </w:r>
      <w:r>
        <w:rPr>
          <w:rFonts w:ascii="宋体" w:hAnsi="宋体" w:cs="宋体"/>
          <w:color w:val="000000"/>
          <w:sz w:val="24"/>
          <w:szCs w:val="24"/>
        </w:rPr>
        <w:t>/(</w:t>
      </w:r>
      <w:r>
        <w:rPr>
          <w:rFonts w:hint="eastAsia" w:ascii="宋体" w:hAnsi="宋体" w:cs="宋体"/>
          <w:color w:val="000000"/>
          <w:sz w:val="24"/>
          <w:szCs w:val="24"/>
        </w:rPr>
        <w:t>累计亏损</w:t>
      </w:r>
      <w:r>
        <w:rPr>
          <w:rFonts w:ascii="宋体" w:hAnsi="宋体" w:cs="宋体"/>
          <w:color w:val="000000"/>
          <w:sz w:val="24"/>
          <w:szCs w:val="24"/>
        </w:rPr>
        <w:t>)</w:t>
      </w:r>
      <w:r>
        <w:rPr>
          <w:rFonts w:hint="eastAsia" w:ascii="宋体" w:hAnsi="宋体" w:cs="宋体"/>
          <w:color w:val="000000"/>
          <w:sz w:val="24"/>
          <w:szCs w:val="24"/>
        </w:rPr>
        <w:t>。</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7.4.4.9 </w:t>
      </w:r>
      <w:r>
        <w:rPr>
          <w:rFonts w:hint="eastAsia" w:ascii="宋体" w:hAnsi="宋体" w:cs="宋体"/>
          <w:b/>
          <w:bCs/>
          <w:color w:val="000000"/>
          <w:sz w:val="24"/>
          <w:szCs w:val="24"/>
        </w:rPr>
        <w:t>收入</w:t>
      </w:r>
      <w:r>
        <w:rPr>
          <w:rFonts w:ascii="宋体" w:hAnsi="宋体" w:cs="宋体"/>
          <w:b/>
          <w:bCs/>
          <w:color w:val="000000"/>
          <w:sz w:val="24"/>
          <w:szCs w:val="24"/>
        </w:rPr>
        <w:t>/</w:t>
      </w:r>
      <w:r>
        <w:rPr>
          <w:rFonts w:hint="eastAsia" w:ascii="宋体" w:hAnsi="宋体" w:cs="宋体"/>
          <w:b/>
          <w:bCs/>
          <w:color w:val="000000"/>
          <w:sz w:val="24"/>
          <w:szCs w:val="24"/>
        </w:rPr>
        <w:t>（损失）的确认和计量</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应收款项在持有期间确认的利息收入按实际利率法计算，实际利率法与直线法差异较小的则按直线法计算。</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7.4.4.10 </w:t>
      </w:r>
      <w:r>
        <w:rPr>
          <w:rFonts w:hint="eastAsia" w:ascii="宋体" w:hAnsi="宋体" w:cs="宋体"/>
          <w:b/>
          <w:bCs/>
          <w:color w:val="000000"/>
          <w:sz w:val="24"/>
          <w:szCs w:val="24"/>
        </w:rPr>
        <w:t>费用的确认和计量</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本基金的管理人报酬和托管费在费用涵盖期间按基金合同约定的费率和计算方法逐日确认。</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其他金融负债在持有期间确认的利息支出按实际利率法计算，实际利率法与直线法差异较小的则按直线法计算。</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7.4.4.11 </w:t>
      </w:r>
      <w:r>
        <w:rPr>
          <w:rFonts w:hint="eastAsia" w:ascii="宋体" w:hAnsi="宋体" w:cs="宋体"/>
          <w:b/>
          <w:bCs/>
          <w:color w:val="000000"/>
          <w:sz w:val="24"/>
          <w:szCs w:val="24"/>
        </w:rPr>
        <w:t>基金的收益分配政策</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本基金的收益分配政策为：</w:t>
      </w:r>
      <w:r>
        <w:rPr>
          <w:rFonts w:ascii="宋体" w:hAnsi="宋体" w:cs="宋体"/>
          <w:color w:val="000000"/>
          <w:sz w:val="24"/>
          <w:szCs w:val="24"/>
        </w:rPr>
        <w:t>(1)</w:t>
      </w:r>
      <w:r>
        <w:rPr>
          <w:rFonts w:hint="eastAsia" w:ascii="宋体" w:hAnsi="宋体" w:cs="宋体"/>
          <w:color w:val="000000"/>
          <w:sz w:val="24"/>
          <w:szCs w:val="24"/>
        </w:rPr>
        <w:t>在符合有关基金分红条件的前提下，本基金每年收益分配次数最多为</w:t>
      </w:r>
      <w:r>
        <w:rPr>
          <w:rFonts w:ascii="宋体" w:hAnsi="宋体" w:cs="宋体"/>
          <w:color w:val="000000"/>
          <w:sz w:val="24"/>
          <w:szCs w:val="24"/>
        </w:rPr>
        <w:t>6</w:t>
      </w:r>
      <w:r>
        <w:rPr>
          <w:rFonts w:hint="eastAsia" w:ascii="宋体" w:hAnsi="宋体" w:cs="宋体"/>
          <w:color w:val="000000"/>
          <w:sz w:val="24"/>
          <w:szCs w:val="24"/>
        </w:rPr>
        <w:t>次，每次收益分配比例不得低于该次可供分配利润的</w:t>
      </w:r>
      <w:r>
        <w:rPr>
          <w:rFonts w:ascii="宋体" w:hAnsi="宋体" w:cs="宋体"/>
          <w:color w:val="000000"/>
          <w:sz w:val="24"/>
          <w:szCs w:val="24"/>
        </w:rPr>
        <w:t>30%</w:t>
      </w:r>
      <w:r>
        <w:rPr>
          <w:rFonts w:hint="eastAsia" w:ascii="宋体" w:hAnsi="宋体" w:cs="宋体"/>
          <w:color w:val="000000"/>
          <w:sz w:val="24"/>
          <w:szCs w:val="24"/>
        </w:rPr>
        <w:t>；若《基金合同》生效不满</w:t>
      </w:r>
      <w:r>
        <w:rPr>
          <w:rFonts w:ascii="宋体" w:hAnsi="宋体" w:cs="宋体"/>
          <w:color w:val="000000"/>
          <w:sz w:val="24"/>
          <w:szCs w:val="24"/>
        </w:rPr>
        <w:t>3</w:t>
      </w:r>
      <w:r>
        <w:rPr>
          <w:rFonts w:hint="eastAsia" w:ascii="宋体" w:hAnsi="宋体" w:cs="宋体"/>
          <w:color w:val="000000"/>
          <w:sz w:val="24"/>
          <w:szCs w:val="24"/>
        </w:rPr>
        <w:t>个月可不进行收益分配。</w:t>
      </w:r>
      <w:r>
        <w:rPr>
          <w:rFonts w:ascii="宋体" w:hAnsi="宋体" w:cs="宋体"/>
          <w:color w:val="000000"/>
          <w:sz w:val="24"/>
          <w:szCs w:val="24"/>
        </w:rPr>
        <w:t>(2)</w:t>
      </w:r>
      <w:r>
        <w:rPr>
          <w:rFonts w:hint="eastAsia" w:ascii="宋体" w:hAnsi="宋体" w:cs="宋体"/>
          <w:color w:val="00000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宋体" w:hAnsi="宋体" w:cs="宋体"/>
          <w:color w:val="000000"/>
          <w:sz w:val="24"/>
          <w:szCs w:val="24"/>
        </w:rPr>
        <w:t>(3)</w:t>
      </w:r>
      <w:r>
        <w:rPr>
          <w:rFonts w:hint="eastAsia" w:ascii="宋体" w:hAnsi="宋体" w:cs="宋体"/>
          <w:color w:val="000000"/>
          <w:sz w:val="24"/>
          <w:szCs w:val="24"/>
        </w:rPr>
        <w:t>基金收益分配后基金份额净值不能低于面值，即基金收益分配基准日的基金份额净值减去每单位基金份额收益分配金额后不能低于面值。</w:t>
      </w:r>
      <w:r>
        <w:rPr>
          <w:rFonts w:ascii="宋体" w:hAnsi="宋体" w:cs="宋体"/>
          <w:color w:val="000000"/>
          <w:sz w:val="24"/>
          <w:szCs w:val="24"/>
        </w:rPr>
        <w:t>(4)</w:t>
      </w:r>
      <w:r>
        <w:rPr>
          <w:rFonts w:hint="eastAsia" w:ascii="宋体" w:hAnsi="宋体" w:cs="宋体"/>
          <w:color w:val="000000"/>
          <w:sz w:val="24"/>
          <w:szCs w:val="24"/>
        </w:rPr>
        <w:t>每一基金份额享有同等分配权。</w:t>
      </w:r>
      <w:r>
        <w:rPr>
          <w:rFonts w:ascii="宋体" w:hAnsi="宋体" w:cs="宋体"/>
          <w:color w:val="000000"/>
          <w:sz w:val="24"/>
          <w:szCs w:val="24"/>
        </w:rPr>
        <w:t>(5)</w:t>
      </w:r>
      <w:r>
        <w:rPr>
          <w:rFonts w:hint="eastAsia" w:ascii="宋体" w:hAnsi="宋体" w:cs="宋体"/>
          <w:color w:val="000000"/>
          <w:sz w:val="24"/>
          <w:szCs w:val="24"/>
        </w:rPr>
        <w:t>法律法规或监管机关另有规定的，从其规定。</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7.4.4.12 </w:t>
      </w:r>
      <w:r>
        <w:rPr>
          <w:rFonts w:hint="eastAsia" w:ascii="宋体" w:hAnsi="宋体" w:cs="宋体"/>
          <w:b/>
          <w:bCs/>
          <w:color w:val="000000"/>
          <w:sz w:val="24"/>
          <w:szCs w:val="24"/>
        </w:rPr>
        <w:t>分部报告</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hAnsi="宋体" w:cs="宋体"/>
          <w:color w:val="000000"/>
          <w:sz w:val="24"/>
          <w:szCs w:val="24"/>
        </w:rPr>
        <w:t>(1)</w:t>
      </w:r>
      <w:r>
        <w:rPr>
          <w:rFonts w:hint="eastAsia" w:ascii="宋体" w:hAnsi="宋体" w:cs="宋体"/>
          <w:color w:val="000000"/>
          <w:sz w:val="24"/>
          <w:szCs w:val="24"/>
        </w:rPr>
        <w:t>该组成部分能够在日常活动中产生收入、发生费用；</w:t>
      </w:r>
      <w:r>
        <w:rPr>
          <w:rFonts w:ascii="宋体" w:hAnsi="宋体" w:cs="宋体"/>
          <w:color w:val="000000"/>
          <w:sz w:val="24"/>
          <w:szCs w:val="24"/>
        </w:rPr>
        <w:t>(2)</w:t>
      </w:r>
      <w:r>
        <w:rPr>
          <w:rFonts w:hint="eastAsia" w:ascii="宋体" w:hAnsi="宋体" w:cs="宋体"/>
          <w:color w:val="000000"/>
          <w:sz w:val="24"/>
          <w:szCs w:val="24"/>
        </w:rPr>
        <w:t>本基金的基金管理人能够定期评价该组成部分的经营成果，以决定向其配置资源、评价其业绩；</w:t>
      </w:r>
      <w:r>
        <w:rPr>
          <w:rFonts w:ascii="宋体" w:hAnsi="宋体" w:cs="宋体"/>
          <w:color w:val="000000"/>
          <w:sz w:val="24"/>
          <w:szCs w:val="24"/>
        </w:rPr>
        <w:t>(3)</w:t>
      </w:r>
      <w:r>
        <w:rPr>
          <w:rFonts w:hint="eastAsia" w:ascii="宋体" w:hAnsi="宋体" w:cs="宋体"/>
          <w:color w:val="000000"/>
          <w:sz w:val="24"/>
          <w:szCs w:val="24"/>
        </w:rPr>
        <w:t>本基金能够取得该组成部分的财务状况、经营成果和现金流量等有关会计信息。如果两个或多个经营分部具有相似的经济特征，并且满足一定条件的，则合并为一个经营分部。</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本基金目前以一个单一的经营分部运作，不需要披露分部信息。</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7.4.4.13 </w:t>
      </w:r>
      <w:r>
        <w:rPr>
          <w:rFonts w:hint="eastAsia" w:ascii="宋体" w:hAnsi="宋体" w:cs="宋体"/>
          <w:b/>
          <w:bCs/>
          <w:color w:val="000000"/>
          <w:sz w:val="24"/>
          <w:szCs w:val="24"/>
        </w:rPr>
        <w:t>其他重要的会计政策和会计估计</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根据本基金的估值原则和中国证监会允许的基金行业估值实务操作，本基金确定以下类别股票投资和债券投资的公允价值时采用的估值方法及其关键假设如下：</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对于证券交易所上市的股票和债券，若出现重大事项停牌或交易不活跃</w:t>
      </w:r>
      <w:r>
        <w:rPr>
          <w:rFonts w:ascii="宋体" w:hAnsi="宋体" w:cs="宋体"/>
          <w:color w:val="000000"/>
          <w:sz w:val="24"/>
          <w:szCs w:val="24"/>
        </w:rPr>
        <w:t>(</w:t>
      </w:r>
      <w:r>
        <w:rPr>
          <w:rFonts w:hint="eastAsia" w:ascii="宋体" w:hAnsi="宋体" w:cs="宋体"/>
          <w:color w:val="000000"/>
          <w:sz w:val="24"/>
          <w:szCs w:val="24"/>
        </w:rPr>
        <w:t>包括涨跌停时的交易不活跃</w:t>
      </w:r>
      <w:r>
        <w:rPr>
          <w:rFonts w:ascii="宋体" w:hAnsi="宋体" w:cs="宋体"/>
          <w:color w:val="000000"/>
          <w:sz w:val="24"/>
          <w:szCs w:val="24"/>
        </w:rPr>
        <w:t>)</w:t>
      </w:r>
      <w:r>
        <w:rPr>
          <w:rFonts w:hint="eastAsia" w:ascii="宋体" w:hAnsi="宋体" w:cs="宋体"/>
          <w:color w:val="000000"/>
          <w:sz w:val="24"/>
          <w:szCs w:val="24"/>
        </w:rPr>
        <w:t>等情况，本基金根据中国证监会公告</w:t>
      </w:r>
      <w:r>
        <w:rPr>
          <w:rFonts w:ascii="宋体" w:hAnsi="宋体" w:cs="宋体"/>
          <w:color w:val="000000"/>
          <w:sz w:val="24"/>
          <w:szCs w:val="24"/>
        </w:rPr>
        <w:t>[2008]38</w:t>
      </w:r>
      <w:r>
        <w:rPr>
          <w:rFonts w:hint="eastAsia" w:ascii="宋体" w:hAnsi="宋体" w:cs="宋体"/>
          <w:color w:val="000000"/>
          <w:sz w:val="24"/>
          <w:szCs w:val="24"/>
        </w:rPr>
        <w:t>号《关于进一步规范证券投资基金估值业务的指导意见》，根据具体情况采用《关于发布中基协</w:t>
      </w:r>
      <w:r>
        <w:rPr>
          <w:rFonts w:ascii="宋体" w:hAnsi="宋体" w:cs="宋体"/>
          <w:color w:val="000000"/>
          <w:sz w:val="24"/>
          <w:szCs w:val="24"/>
        </w:rPr>
        <w:t>(AMAC)</w:t>
      </w:r>
      <w:r>
        <w:rPr>
          <w:rFonts w:hint="eastAsia" w:ascii="宋体" w:hAnsi="宋体" w:cs="宋体"/>
          <w:color w:val="000000"/>
          <w:sz w:val="24"/>
          <w:szCs w:val="24"/>
        </w:rPr>
        <w:t>基金行业股票估值指数的通知》提供的指数收益法等估值技术进行估值。</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7.4.5 </w:t>
      </w:r>
      <w:r>
        <w:rPr>
          <w:rFonts w:hint="eastAsia" w:ascii="宋体" w:hAnsi="宋体" w:cs="宋体"/>
          <w:b/>
          <w:bCs/>
          <w:color w:val="000000"/>
          <w:sz w:val="24"/>
          <w:szCs w:val="24"/>
        </w:rPr>
        <w:t>会计政策和会计估计变更以及差错更正的说明</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7.4.5.1 </w:t>
      </w:r>
      <w:r>
        <w:rPr>
          <w:rFonts w:hint="eastAsia" w:ascii="宋体" w:hAnsi="宋体" w:cs="宋体"/>
          <w:b/>
          <w:bCs/>
          <w:color w:val="000000"/>
          <w:sz w:val="24"/>
          <w:szCs w:val="24"/>
        </w:rPr>
        <w:t>会计政策变更的说明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本基金本报告期未发生会计政策变更。</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7.4.5.2 </w:t>
      </w:r>
      <w:r>
        <w:rPr>
          <w:rFonts w:hint="eastAsia" w:ascii="宋体" w:hAnsi="宋体" w:cs="宋体"/>
          <w:b/>
          <w:bCs/>
          <w:color w:val="000000"/>
          <w:sz w:val="24"/>
          <w:szCs w:val="24"/>
        </w:rPr>
        <w:t>会计估计变更的说明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本基金本报告期未发生会计估计变更。</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7.4.5.3 </w:t>
      </w:r>
      <w:r>
        <w:rPr>
          <w:rFonts w:hint="eastAsia" w:ascii="宋体" w:hAnsi="宋体" w:cs="宋体"/>
          <w:b/>
          <w:bCs/>
          <w:color w:val="000000"/>
          <w:sz w:val="24"/>
          <w:szCs w:val="24"/>
        </w:rPr>
        <w:t>差错更正的说明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本基金在本报告期间无须说明的会计差错更正。</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7.4.6 </w:t>
      </w:r>
      <w:r>
        <w:rPr>
          <w:rFonts w:hint="eastAsia" w:ascii="宋体" w:hAnsi="宋体" w:cs="宋体"/>
          <w:b/>
          <w:bCs/>
          <w:color w:val="000000"/>
          <w:sz w:val="24"/>
          <w:szCs w:val="24"/>
        </w:rPr>
        <w:t>税项</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根据财政部、国家税务总局财税</w:t>
      </w:r>
      <w:r>
        <w:rPr>
          <w:rFonts w:ascii="宋体" w:hAnsi="宋体" w:cs="宋体"/>
          <w:color w:val="000000"/>
          <w:sz w:val="24"/>
          <w:szCs w:val="24"/>
        </w:rPr>
        <w:t>[2002]128</w:t>
      </w:r>
      <w:r>
        <w:rPr>
          <w:rFonts w:hint="eastAsia" w:ascii="宋体" w:hAnsi="宋体" w:cs="宋体"/>
          <w:color w:val="000000"/>
          <w:sz w:val="24"/>
          <w:szCs w:val="24"/>
        </w:rPr>
        <w:t>号《关于开放式证券投资基金有关税收问题的通知》、财税</w:t>
      </w:r>
      <w:r>
        <w:rPr>
          <w:rFonts w:ascii="宋体" w:hAnsi="宋体" w:cs="宋体"/>
          <w:color w:val="000000"/>
          <w:sz w:val="24"/>
          <w:szCs w:val="24"/>
        </w:rPr>
        <w:t>[2008]1</w:t>
      </w:r>
      <w:r>
        <w:rPr>
          <w:rFonts w:hint="eastAsia" w:ascii="宋体" w:hAnsi="宋体" w:cs="宋体"/>
          <w:color w:val="000000"/>
          <w:sz w:val="24"/>
          <w:szCs w:val="24"/>
        </w:rPr>
        <w:t>号《关于企业所得税若干优惠政策的通知》、财税</w:t>
      </w:r>
      <w:r>
        <w:rPr>
          <w:rFonts w:ascii="宋体" w:hAnsi="宋体" w:cs="宋体"/>
          <w:color w:val="000000"/>
          <w:sz w:val="24"/>
          <w:szCs w:val="24"/>
        </w:rPr>
        <w:t>[2012]85</w:t>
      </w:r>
      <w:r>
        <w:rPr>
          <w:rFonts w:hint="eastAsia" w:ascii="宋体" w:hAnsi="宋体" w:cs="宋体"/>
          <w:color w:val="000000"/>
          <w:sz w:val="24"/>
          <w:szCs w:val="24"/>
        </w:rPr>
        <w:t>号《关于实施上市公司股息红利差别化个人所得税政策有关问题的通知》、财税</w:t>
      </w:r>
      <w:r>
        <w:rPr>
          <w:rFonts w:ascii="宋体" w:hAnsi="宋体" w:cs="宋体"/>
          <w:color w:val="000000"/>
          <w:sz w:val="24"/>
          <w:szCs w:val="24"/>
        </w:rPr>
        <w:t>[2015]101</w:t>
      </w:r>
      <w:r>
        <w:rPr>
          <w:rFonts w:hint="eastAsia" w:ascii="宋体" w:hAnsi="宋体" w:cs="宋体"/>
          <w:color w:val="000000"/>
          <w:sz w:val="24"/>
          <w:szCs w:val="24"/>
        </w:rPr>
        <w:t>号《关于上市公司股息红利差别化个人所得税政策有关问题的通知》及其他相关财税法规和实务操作，主要税项列示如下：</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、以发行基金方式募集资金不属于营业税征收范围，不征收营业税。基金买卖股票、债券的差价收入不予征收营业税。</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、对基金从证券市场中取得的收入，包括买卖股票、债券的差价收入，股权的股息、红利收入，债券的利息收入及其他收入，暂不征收企业所得税。</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、对基金取得的企业债券利息收入，应由发行债券的企业在向基金支付利息时代扣代缴</w:t>
      </w:r>
      <w:r>
        <w:rPr>
          <w:rFonts w:ascii="宋体" w:hAnsi="宋体" w:cs="宋体"/>
          <w:color w:val="000000"/>
          <w:sz w:val="24"/>
          <w:szCs w:val="24"/>
        </w:rPr>
        <w:t>20%</w:t>
      </w:r>
      <w:r>
        <w:rPr>
          <w:rFonts w:hint="eastAsia" w:ascii="宋体" w:hAnsi="宋体" w:cs="宋体"/>
          <w:color w:val="000000"/>
          <w:sz w:val="24"/>
          <w:szCs w:val="24"/>
        </w:rPr>
        <w:t>的个人所得税。对基金从上市公司取得的股息红利所得，持股期限在</w:t>
      </w:r>
      <w:r>
        <w:rPr>
          <w:rFonts w:ascii="宋体" w:hAnsi="宋体" w:cs="宋体"/>
          <w:color w:val="000000"/>
          <w:sz w:val="24"/>
          <w:szCs w:val="24"/>
        </w:rPr>
        <w:t>1</w:t>
      </w:r>
      <w:r>
        <w:rPr>
          <w:rFonts w:hint="eastAsia" w:ascii="宋体" w:hAnsi="宋体" w:cs="宋体"/>
          <w:color w:val="000000"/>
          <w:sz w:val="24"/>
          <w:szCs w:val="24"/>
        </w:rPr>
        <w:t>个月以内</w:t>
      </w:r>
      <w:r>
        <w:rPr>
          <w:rFonts w:ascii="宋体" w:hAnsi="宋体" w:cs="宋体"/>
          <w:color w:val="000000"/>
          <w:sz w:val="24"/>
          <w:szCs w:val="24"/>
        </w:rPr>
        <w:t>(</w:t>
      </w:r>
      <w:r>
        <w:rPr>
          <w:rFonts w:hint="eastAsia" w:ascii="宋体" w:hAnsi="宋体" w:cs="宋体"/>
          <w:color w:val="000000"/>
          <w:sz w:val="24"/>
          <w:szCs w:val="24"/>
        </w:rPr>
        <w:t>含</w:t>
      </w:r>
      <w:r>
        <w:rPr>
          <w:rFonts w:ascii="宋体" w:hAnsi="宋体" w:cs="宋体"/>
          <w:color w:val="000000"/>
          <w:sz w:val="24"/>
          <w:szCs w:val="24"/>
        </w:rPr>
        <w:t>1</w:t>
      </w:r>
      <w:r>
        <w:rPr>
          <w:rFonts w:hint="eastAsia" w:ascii="宋体" w:hAnsi="宋体" w:cs="宋体"/>
          <w:color w:val="000000"/>
          <w:sz w:val="24"/>
          <w:szCs w:val="24"/>
        </w:rPr>
        <w:t>个月</w:t>
      </w:r>
      <w:r>
        <w:rPr>
          <w:rFonts w:ascii="宋体" w:hAnsi="宋体" w:cs="宋体"/>
          <w:color w:val="000000"/>
          <w:sz w:val="24"/>
          <w:szCs w:val="24"/>
        </w:rPr>
        <w:t>)</w:t>
      </w:r>
      <w:r>
        <w:rPr>
          <w:rFonts w:hint="eastAsia" w:ascii="宋体" w:hAnsi="宋体" w:cs="宋体"/>
          <w:color w:val="000000"/>
          <w:sz w:val="24"/>
          <w:szCs w:val="24"/>
        </w:rPr>
        <w:t>的，其股息红利所得全额计入应纳税所得额；持股期限在</w:t>
      </w:r>
      <w:r>
        <w:rPr>
          <w:rFonts w:ascii="宋体" w:hAnsi="宋体" w:cs="宋体"/>
          <w:color w:val="000000"/>
          <w:sz w:val="24"/>
          <w:szCs w:val="24"/>
        </w:rPr>
        <w:t>1</w:t>
      </w:r>
      <w:r>
        <w:rPr>
          <w:rFonts w:hint="eastAsia" w:ascii="宋体" w:hAnsi="宋体" w:cs="宋体"/>
          <w:color w:val="000000"/>
          <w:sz w:val="24"/>
          <w:szCs w:val="24"/>
        </w:rPr>
        <w:t>个月以上至</w:t>
      </w:r>
      <w:r>
        <w:rPr>
          <w:rFonts w:ascii="宋体" w:hAnsi="宋体" w:cs="宋体"/>
          <w:color w:val="000000"/>
          <w:sz w:val="24"/>
          <w:szCs w:val="24"/>
        </w:rPr>
        <w:t>1</w:t>
      </w:r>
      <w:r>
        <w:rPr>
          <w:rFonts w:hint="eastAsia" w:ascii="宋体" w:hAnsi="宋体" w:cs="宋体"/>
          <w:color w:val="000000"/>
          <w:sz w:val="24"/>
          <w:szCs w:val="24"/>
        </w:rPr>
        <w:t>年</w:t>
      </w:r>
      <w:r>
        <w:rPr>
          <w:rFonts w:ascii="宋体" w:hAnsi="宋体" w:cs="宋体"/>
          <w:color w:val="000000"/>
          <w:sz w:val="24"/>
          <w:szCs w:val="24"/>
        </w:rPr>
        <w:t>(</w:t>
      </w:r>
      <w:r>
        <w:rPr>
          <w:rFonts w:hint="eastAsia" w:ascii="宋体" w:hAnsi="宋体" w:cs="宋体"/>
          <w:color w:val="000000"/>
          <w:sz w:val="24"/>
          <w:szCs w:val="24"/>
        </w:rPr>
        <w:t>含</w:t>
      </w:r>
      <w:r>
        <w:rPr>
          <w:rFonts w:ascii="宋体" w:hAnsi="宋体" w:cs="宋体"/>
          <w:color w:val="000000"/>
          <w:sz w:val="24"/>
          <w:szCs w:val="24"/>
        </w:rPr>
        <w:t>1</w:t>
      </w:r>
      <w:r>
        <w:rPr>
          <w:rFonts w:hint="eastAsia" w:ascii="宋体" w:hAnsi="宋体" w:cs="宋体"/>
          <w:color w:val="000000"/>
          <w:sz w:val="24"/>
          <w:szCs w:val="24"/>
        </w:rPr>
        <w:t>年</w:t>
      </w:r>
      <w:r>
        <w:rPr>
          <w:rFonts w:ascii="宋体" w:hAnsi="宋体" w:cs="宋体"/>
          <w:color w:val="000000"/>
          <w:sz w:val="24"/>
          <w:szCs w:val="24"/>
        </w:rPr>
        <w:t>)</w:t>
      </w:r>
      <w:r>
        <w:rPr>
          <w:rFonts w:hint="eastAsia" w:ascii="宋体" w:hAnsi="宋体" w:cs="宋体"/>
          <w:color w:val="000000"/>
          <w:sz w:val="24"/>
          <w:szCs w:val="24"/>
        </w:rPr>
        <w:t>的，暂减按</w:t>
      </w:r>
      <w:r>
        <w:rPr>
          <w:rFonts w:ascii="宋体" w:hAnsi="宋体" w:cs="宋体"/>
          <w:color w:val="000000"/>
          <w:sz w:val="24"/>
          <w:szCs w:val="24"/>
        </w:rPr>
        <w:t>50%</w:t>
      </w:r>
      <w:r>
        <w:rPr>
          <w:rFonts w:hint="eastAsia" w:ascii="宋体" w:hAnsi="宋体" w:cs="宋体"/>
          <w:color w:val="000000"/>
          <w:sz w:val="24"/>
          <w:szCs w:val="24"/>
        </w:rPr>
        <w:t>计入应纳税所得额；持股期限超过</w:t>
      </w:r>
      <w:r>
        <w:rPr>
          <w:rFonts w:ascii="宋体" w:hAnsi="宋体" w:cs="宋体"/>
          <w:color w:val="000000"/>
          <w:sz w:val="24"/>
          <w:szCs w:val="24"/>
        </w:rPr>
        <w:t>1</w:t>
      </w:r>
      <w:r>
        <w:rPr>
          <w:rFonts w:hint="eastAsia" w:ascii="宋体" w:hAnsi="宋体" w:cs="宋体"/>
          <w:color w:val="000000"/>
          <w:sz w:val="24"/>
          <w:szCs w:val="24"/>
        </w:rPr>
        <w:t>年的，于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9</w:t>
      </w:r>
      <w:r>
        <w:rPr>
          <w:rFonts w:hint="eastAsia" w:ascii="宋体" w:hAnsi="宋体" w:cs="宋体"/>
          <w:color w:val="000000"/>
          <w:sz w:val="24"/>
          <w:szCs w:val="24"/>
        </w:rPr>
        <w:t>月</w:t>
      </w:r>
      <w:r>
        <w:rPr>
          <w:rFonts w:ascii="宋体" w:hAnsi="宋体" w:cs="宋体"/>
          <w:color w:val="000000"/>
          <w:sz w:val="24"/>
          <w:szCs w:val="24"/>
        </w:rPr>
        <w:t>8</w:t>
      </w:r>
      <w:r>
        <w:rPr>
          <w:rFonts w:hint="eastAsia" w:ascii="宋体" w:hAnsi="宋体" w:cs="宋体"/>
          <w:color w:val="000000"/>
          <w:sz w:val="24"/>
          <w:szCs w:val="24"/>
        </w:rPr>
        <w:t>日前暂减按</w:t>
      </w:r>
      <w:r>
        <w:rPr>
          <w:rFonts w:ascii="宋体" w:hAnsi="宋体" w:cs="宋体"/>
          <w:color w:val="000000"/>
          <w:sz w:val="24"/>
          <w:szCs w:val="24"/>
        </w:rPr>
        <w:t>25%</w:t>
      </w:r>
      <w:r>
        <w:rPr>
          <w:rFonts w:hint="eastAsia" w:ascii="宋体" w:hAnsi="宋体" w:cs="宋体"/>
          <w:color w:val="000000"/>
          <w:sz w:val="24"/>
          <w:szCs w:val="24"/>
        </w:rPr>
        <w:t>计入应纳税所得额，自</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9</w:t>
      </w:r>
      <w:r>
        <w:rPr>
          <w:rFonts w:hint="eastAsia" w:ascii="宋体" w:hAnsi="宋体" w:cs="宋体"/>
          <w:color w:val="000000"/>
          <w:sz w:val="24"/>
          <w:szCs w:val="24"/>
        </w:rPr>
        <w:t>月</w:t>
      </w:r>
      <w:r>
        <w:rPr>
          <w:rFonts w:ascii="宋体" w:hAnsi="宋体" w:cs="宋体"/>
          <w:color w:val="000000"/>
          <w:sz w:val="24"/>
          <w:szCs w:val="24"/>
        </w:rPr>
        <w:t>8</w:t>
      </w:r>
      <w:r>
        <w:rPr>
          <w:rFonts w:hint="eastAsia" w:ascii="宋体" w:hAnsi="宋体" w:cs="宋体"/>
          <w:color w:val="000000"/>
          <w:sz w:val="24"/>
          <w:szCs w:val="24"/>
        </w:rPr>
        <w:t>日起，暂免征收个人所得税。对基金持有的上市公司限售股，解禁后取得的股息、红利收入，按照上述规定计算纳税，持股时间自解禁日起计算；解禁前取得的股息、红利收入继续暂减按</w:t>
      </w:r>
      <w:r>
        <w:rPr>
          <w:rFonts w:ascii="宋体" w:hAnsi="宋体" w:cs="宋体"/>
          <w:color w:val="000000"/>
          <w:sz w:val="24"/>
          <w:szCs w:val="24"/>
        </w:rPr>
        <w:t>50%</w:t>
      </w:r>
      <w:r>
        <w:rPr>
          <w:rFonts w:hint="eastAsia" w:ascii="宋体" w:hAnsi="宋体" w:cs="宋体"/>
          <w:color w:val="000000"/>
          <w:sz w:val="24"/>
          <w:szCs w:val="24"/>
        </w:rPr>
        <w:t>计入应纳税所得额。上述所得统一适用</w:t>
      </w:r>
      <w:r>
        <w:rPr>
          <w:rFonts w:ascii="宋体" w:hAnsi="宋体" w:cs="宋体"/>
          <w:color w:val="000000"/>
          <w:sz w:val="24"/>
          <w:szCs w:val="24"/>
        </w:rPr>
        <w:t>20%</w:t>
      </w:r>
      <w:r>
        <w:rPr>
          <w:rFonts w:hint="eastAsia" w:ascii="宋体" w:hAnsi="宋体" w:cs="宋体"/>
          <w:color w:val="000000"/>
          <w:sz w:val="24"/>
          <w:szCs w:val="24"/>
        </w:rPr>
        <w:t>的税率计征个人所得税。</w:t>
      </w:r>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、基金卖出股票按</w:t>
      </w:r>
      <w:r>
        <w:rPr>
          <w:rFonts w:ascii="宋体" w:hAnsi="宋体" w:cs="宋体"/>
          <w:color w:val="000000"/>
          <w:sz w:val="24"/>
          <w:szCs w:val="24"/>
        </w:rPr>
        <w:t>0.1%</w:t>
      </w:r>
      <w:r>
        <w:rPr>
          <w:rFonts w:hint="eastAsia" w:ascii="宋体" w:hAnsi="宋体" w:cs="宋体"/>
          <w:color w:val="000000"/>
          <w:sz w:val="24"/>
          <w:szCs w:val="24"/>
        </w:rPr>
        <w:t>的税率缴纳股票交易印花税，买入股票不征收股票交易印花税。</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 </w:t>
      </w:r>
      <w:r>
        <w:rPr>
          <w:rFonts w:hint="eastAsia" w:ascii="宋体" w:hAnsi="宋体" w:cs="宋体"/>
          <w:b/>
          <w:bCs/>
          <w:color w:val="000000"/>
          <w:sz w:val="24"/>
          <w:szCs w:val="24"/>
        </w:rPr>
        <w:t>重要财务报表项目的说明</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 </w:t>
      </w:r>
      <w:r>
        <w:rPr>
          <w:rFonts w:hint="eastAsia" w:ascii="宋体" w:hAnsi="宋体" w:cs="宋体"/>
          <w:b/>
          <w:bCs/>
          <w:color w:val="000000"/>
          <w:sz w:val="24"/>
          <w:szCs w:val="24"/>
        </w:rPr>
        <w:t>银行存款</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888"/>
        <w:gridCol w:w="6200"/>
      </w:tblGrid>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项目</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活期存款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15,901,846.23</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定期存款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其中：存款期限</w:t>
            </w:r>
            <w:r>
              <w:rPr>
                <w:rFonts w:ascii="宋体" w:hAnsi="宋体" w:cs="宋体"/>
                <w:color w:val="000000"/>
                <w:sz w:val="24"/>
                <w:szCs w:val="24"/>
              </w:rPr>
              <w:t>1-3</w:t>
            </w:r>
            <w:r>
              <w:rPr>
                <w:rFonts w:hint="eastAsia" w:ascii="宋体" w:hAnsi="宋体" w:cs="宋体"/>
                <w:color w:val="000000"/>
                <w:sz w:val="24"/>
                <w:szCs w:val="24"/>
              </w:rPr>
              <w:t>个月</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合计</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15,901,846.23</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7.4.7.2 </w:t>
      </w:r>
      <w:r>
        <w:rPr>
          <w:rFonts w:hint="eastAsia" w:ascii="宋体" w:hAnsi="宋体" w:cs="宋体"/>
          <w:b/>
          <w:bCs/>
          <w:color w:val="000000"/>
          <w:sz w:val="24"/>
          <w:szCs w:val="24"/>
        </w:rPr>
        <w:t>交易性金融资产</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dxa"/>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r>
              <w:rPr>
                <w:rFonts w:ascii="宋体" w:hAnsi="宋体" w:cs="宋体"/>
                <w:color w:val="000000"/>
                <w:sz w:val="24"/>
                <w:szCs w:val="24"/>
              </w:rPr>
              <w:t xml:space="preserve"> 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2526"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公允价值变动</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167,551,729.45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166,111,695.90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-1,440,033.55</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贵金属投资</w:t>
            </w:r>
            <w:r>
              <w:rPr>
                <w:rFonts w:ascii="宋体" w:hAnsi="宋体" w:cs="宋体"/>
                <w:color w:val="000000"/>
                <w:sz w:val="24"/>
                <w:szCs w:val="24"/>
              </w:rPr>
              <w:t>-</w:t>
            </w:r>
            <w:r>
              <w:rPr>
                <w:rFonts w:hint="eastAsia" w:ascii="宋体" w:hAnsi="宋体" w:cs="宋体"/>
                <w:color w:val="000000"/>
                <w:sz w:val="24"/>
                <w:szCs w:val="24"/>
              </w:rPr>
              <w:t>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167,551,729.45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166,111,695.90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-1,440,033.55</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7.4.7.3 </w:t>
      </w:r>
      <w:r>
        <w:rPr>
          <w:rFonts w:hint="eastAsia" w:ascii="宋体" w:hAnsi="宋体" w:cs="宋体"/>
          <w:b/>
          <w:bCs/>
          <w:color w:val="000000"/>
          <w:sz w:val="24"/>
          <w:szCs w:val="24"/>
        </w:rPr>
        <w:t>衍生金融资产</w:t>
      </w:r>
      <w:r>
        <w:rPr>
          <w:rFonts w:ascii="宋体" w:hAnsi="宋体" w:cs="宋体"/>
          <w:b/>
          <w:bCs/>
          <w:color w:val="000000"/>
          <w:sz w:val="24"/>
          <w:szCs w:val="24"/>
        </w:rPr>
        <w:t>/</w:t>
      </w:r>
      <w:r>
        <w:rPr>
          <w:rFonts w:hint="eastAsia" w:ascii="宋体" w:hAnsi="宋体" w:cs="宋体"/>
          <w:b/>
          <w:bCs/>
          <w:color w:val="000000"/>
          <w:sz w:val="24"/>
          <w:szCs w:val="24"/>
        </w:rPr>
        <w:t>负债</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本基金于本期末未持有衍生金融资产</w:t>
      </w:r>
      <w:r>
        <w:rPr>
          <w:rFonts w:ascii="宋体" w:hAnsi="宋体" w:cs="宋体"/>
          <w:color w:val="000000"/>
          <w:sz w:val="24"/>
          <w:szCs w:val="24"/>
        </w:rPr>
        <w:t>/</w:t>
      </w:r>
      <w:r>
        <w:rPr>
          <w:rFonts w:hint="eastAsia" w:ascii="宋体" w:hAnsi="宋体" w:cs="宋体"/>
          <w:color w:val="000000"/>
          <w:sz w:val="24"/>
          <w:szCs w:val="24"/>
        </w:rPr>
        <w:t>负债。</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7.4.7.4 </w:t>
      </w:r>
      <w:r>
        <w:rPr>
          <w:rFonts w:hint="eastAsia" w:ascii="宋体" w:hAnsi="宋体" w:cs="宋体"/>
          <w:b/>
          <w:bCs/>
          <w:color w:val="000000"/>
          <w:sz w:val="24"/>
          <w:szCs w:val="24"/>
        </w:rPr>
        <w:t>买入返售金融资产</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7.4.7.4.1 </w:t>
      </w:r>
      <w:r>
        <w:rPr>
          <w:rFonts w:hint="eastAsia" w:ascii="宋体" w:hAnsi="宋体" w:cs="宋体"/>
          <w:b/>
          <w:bCs/>
          <w:color w:val="000000"/>
          <w:sz w:val="24"/>
          <w:szCs w:val="24"/>
        </w:rPr>
        <w:t>各项买入返售金融资产期末余额</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6"/>
        <w:gridCol w:w="3251"/>
        <w:gridCol w:w="3251"/>
      </w:tblGrid>
      <w:tr>
        <w:tblPrEx>
          <w:tblCellMar>
            <w:top w:w="0" w:type="dxa"/>
            <w:left w:w="108" w:type="dxa"/>
            <w:bottom w:w="0" w:type="dxa"/>
            <w:right w:w="108" w:type="dxa"/>
          </w:tblCellMar>
        </w:tblPrEx>
        <w:trPr>
          <w:wBefore w:w="0" w:type="dxa"/>
          <w:wAfter w:w="0" w:type="dxa"/>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6502"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r>
              <w:rPr>
                <w:rFonts w:ascii="宋体" w:hAnsi="宋体" w:cs="宋体"/>
                <w:color w:val="000000"/>
                <w:sz w:val="24"/>
                <w:szCs w:val="24"/>
              </w:rPr>
              <w:t xml:space="preserve"> 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wAfter w:w="0" w:type="dxa"/>
        </w:trPr>
        <w:tc>
          <w:tcPr>
            <w:tcW w:w="2526"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账面余额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其中：买断式逆回购</w:t>
            </w:r>
          </w:p>
        </w:tc>
      </w:tr>
      <w:tr>
        <w:tblPrEx>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交易所市场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44,000,000.00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银行间市场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highlight w:val="yellow"/>
              </w:rPr>
            </w:pPr>
            <w:r>
              <w:rPr>
                <w:rFonts w:hint="eastAsia" w:ascii="宋体" w:hAnsi="宋体" w:cs="宋体"/>
                <w:color w:val="000000"/>
                <w:sz w:val="24"/>
                <w:szCs w:val="24"/>
                <w:highlight w:val="yellow"/>
              </w:rPr>
              <w:t>合计</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highlight w:val="yellow"/>
              </w:rPr>
            </w:pPr>
            <w:r>
              <w:rPr>
                <w:rFonts w:ascii="宋体" w:hAnsi="宋体" w:cs="宋体"/>
                <w:color w:val="000000"/>
                <w:sz w:val="24"/>
                <w:szCs w:val="24"/>
                <w:highlight w:val="yellow"/>
              </w:rPr>
              <w:t>44,000,000.00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highlight w:val="yellow"/>
              </w:rPr>
            </w:pPr>
            <w:r>
              <w:rPr>
                <w:rFonts w:hint="eastAsia" w:ascii="宋体" w:hAnsi="宋体" w:cs="宋体"/>
                <w:color w:val="000000"/>
                <w:sz w:val="24"/>
                <w:szCs w:val="24"/>
                <w:highlight w:val="yellow"/>
              </w:rPr>
              <w:t>－</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7.4.7.4.2 </w:t>
      </w:r>
      <w:r>
        <w:rPr>
          <w:rFonts w:hint="eastAsia" w:ascii="宋体" w:hAnsi="宋体" w:cs="宋体"/>
          <w:b/>
          <w:bCs/>
          <w:color w:val="000000"/>
          <w:sz w:val="24"/>
          <w:szCs w:val="24"/>
        </w:rPr>
        <w:t>期末买断式逆回购交易中取得的债券</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本基金本期末未持有买断式逆回购交易中取得的债券。</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7.4.7.5 </w:t>
      </w:r>
      <w:r>
        <w:rPr>
          <w:rFonts w:hint="eastAsia" w:ascii="宋体" w:hAnsi="宋体" w:cs="宋体"/>
          <w:b/>
          <w:bCs/>
          <w:color w:val="000000"/>
          <w:sz w:val="24"/>
          <w:szCs w:val="24"/>
        </w:rPr>
        <w:t>应收利息</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应收活期存款利息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3,803.73</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应收定期存款利息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应收其他存款利息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应收结算备付金利息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10,832.29</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应收债券利息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应收买入返售证券利息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应收申购款利息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应收黄金合约拆借孳息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6.49</w:t>
            </w:r>
          </w:p>
        </w:tc>
      </w:tr>
      <w:tr>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14,642.51</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7.4.7.6 </w:t>
      </w:r>
      <w:r>
        <w:rPr>
          <w:rFonts w:hint="eastAsia" w:ascii="宋体" w:hAnsi="宋体" w:cs="宋体"/>
          <w:b/>
          <w:bCs/>
          <w:color w:val="000000"/>
          <w:sz w:val="24"/>
          <w:szCs w:val="24"/>
        </w:rPr>
        <w:t>其他资产</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本基金本期末无其他资产。</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7.4.7.7 </w:t>
      </w:r>
      <w:r>
        <w:rPr>
          <w:rFonts w:hint="eastAsia" w:ascii="宋体" w:hAnsi="宋体" w:cs="宋体"/>
          <w:b/>
          <w:bCs/>
          <w:color w:val="000000"/>
          <w:sz w:val="24"/>
          <w:szCs w:val="24"/>
        </w:rPr>
        <w:t>应付交易费用</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交易所市场应付交易费用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221,976.23</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银行间市场应付交易费用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221,976.23</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7.4.7.8 </w:t>
      </w:r>
      <w:r>
        <w:rPr>
          <w:rFonts w:hint="eastAsia" w:ascii="宋体" w:hAnsi="宋体" w:cs="宋体"/>
          <w:b/>
          <w:bCs/>
          <w:color w:val="000000"/>
          <w:sz w:val="24"/>
          <w:szCs w:val="24"/>
        </w:rPr>
        <w:t>其他负债</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应付券商交易单元保证金</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应付赎回费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预提费用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83,000.00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83,000.00</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7.4.7.9 </w:t>
      </w:r>
      <w:r>
        <w:rPr>
          <w:rFonts w:hint="eastAsia" w:ascii="宋体" w:hAnsi="宋体" w:cs="宋体"/>
          <w:b/>
          <w:bCs/>
          <w:color w:val="000000"/>
          <w:sz w:val="24"/>
          <w:szCs w:val="24"/>
        </w:rPr>
        <w:t>实收基金</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dxa"/>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日（基金合同生效日）至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账面金额</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303,868,723.06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303,868,723.06</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627,470.04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627,470.04</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本期赎回（以“</w:t>
            </w:r>
            <w:r>
              <w:rPr>
                <w:rFonts w:ascii="宋体" w:hAnsi="宋体" w:cs="宋体"/>
                <w:color w:val="000000"/>
                <w:sz w:val="24"/>
                <w:szCs w:val="24"/>
              </w:rPr>
              <w:t>-</w:t>
            </w:r>
            <w:r>
              <w:rPr>
                <w:rFonts w:hint="eastAsia" w:ascii="宋体" w:hAnsi="宋体" w:cs="宋体"/>
                <w:color w:val="00000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-56,223,216.05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-56,223,216.05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248,272,977.05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248,272,977.05</w:t>
            </w:r>
          </w:p>
        </w:tc>
      </w:tr>
    </w:tbl>
    <w:p>
      <w:pPr>
        <w:spacing w:before="29" w:line="288" w:lineRule="auto"/>
        <w:ind w:left="15"/>
        <w:jc w:val="left"/>
        <w:rPr>
          <w:rFonts w:ascii="宋体" w:hAnsi="宋体" w:cs="宋体"/>
          <w:color w:val="000000"/>
        </w:rPr>
      </w:pPr>
      <w:r>
        <w:rPr>
          <w:rFonts w:hint="eastAsia" w:ascii="宋体" w:hAnsi="宋体" w:cs="宋体"/>
          <w:color w:val="000000"/>
        </w:rPr>
        <w:t>注：</w:t>
      </w:r>
      <w:r>
        <w:rPr>
          <w:rFonts w:ascii="宋体" w:hAnsi="宋体" w:cs="宋体"/>
          <w:color w:val="000000"/>
        </w:rPr>
        <w:t>1</w:t>
      </w:r>
      <w:r>
        <w:rPr>
          <w:rFonts w:hint="eastAsia" w:ascii="宋体" w:hAnsi="宋体" w:cs="宋体"/>
          <w:color w:val="000000"/>
        </w:rPr>
        <w:t>、申购含红利再投、转换入份</w:t>
      </w:r>
      <w:r>
        <w:rPr>
          <w:rFonts w:ascii="宋体" w:hAnsi="宋体" w:cs="宋体"/>
          <w:color w:val="000000"/>
        </w:rPr>
        <w:t>(</w:t>
      </w:r>
      <w:r>
        <w:rPr>
          <w:rFonts w:hint="eastAsia" w:ascii="宋体" w:hAnsi="宋体" w:cs="宋体"/>
          <w:color w:val="000000"/>
        </w:rPr>
        <w:t>金</w:t>
      </w:r>
      <w:r>
        <w:rPr>
          <w:rFonts w:ascii="宋体" w:hAnsi="宋体" w:cs="宋体"/>
          <w:color w:val="000000"/>
        </w:rPr>
        <w:t>)</w:t>
      </w:r>
      <w:r>
        <w:rPr>
          <w:rFonts w:hint="eastAsia" w:ascii="宋体" w:hAnsi="宋体" w:cs="宋体"/>
          <w:color w:val="000000"/>
        </w:rPr>
        <w:t>额；赎回含转换出份</w:t>
      </w:r>
      <w:r>
        <w:rPr>
          <w:rFonts w:ascii="宋体" w:hAnsi="宋体" w:cs="宋体"/>
          <w:color w:val="000000"/>
        </w:rPr>
        <w:t>(</w:t>
      </w:r>
      <w:r>
        <w:rPr>
          <w:rFonts w:hint="eastAsia" w:ascii="宋体" w:hAnsi="宋体" w:cs="宋体"/>
          <w:color w:val="000000"/>
        </w:rPr>
        <w:t>金</w:t>
      </w:r>
      <w:r>
        <w:rPr>
          <w:rFonts w:ascii="宋体" w:hAnsi="宋体" w:cs="宋体"/>
          <w:color w:val="000000"/>
        </w:rPr>
        <w:t>)</w:t>
      </w:r>
      <w:r>
        <w:rPr>
          <w:rFonts w:hint="eastAsia" w:ascii="宋体" w:hAnsi="宋体" w:cs="宋体"/>
          <w:color w:val="000000"/>
        </w:rPr>
        <w:t>额。</w:t>
      </w:r>
    </w:p>
    <w:p>
      <w:pPr>
        <w:spacing w:before="29" w:line="288" w:lineRule="auto"/>
        <w:ind w:left="15"/>
        <w:jc w:val="left"/>
        <w:rPr>
          <w:rFonts w:ascii="宋体" w:hAnsi="宋体" w:cs="宋体"/>
          <w:color w:val="000000"/>
        </w:rPr>
      </w:pPr>
      <w:r>
        <w:rPr>
          <w:rFonts w:ascii="宋体" w:hAnsi="宋体" w:cs="宋体"/>
          <w:color w:val="000000"/>
        </w:rPr>
        <w:t>2</w:t>
      </w:r>
      <w:r>
        <w:rPr>
          <w:rFonts w:hint="eastAsia" w:ascii="宋体" w:hAnsi="宋体" w:cs="宋体"/>
          <w:color w:val="000000"/>
        </w:rPr>
        <w:t>、本基金自</w:t>
      </w:r>
      <w:r>
        <w:rPr>
          <w:rFonts w:ascii="宋体" w:hAnsi="宋体" w:cs="宋体"/>
          <w:color w:val="000000"/>
        </w:rPr>
        <w:t>2015</w:t>
      </w:r>
      <w:r>
        <w:rPr>
          <w:rFonts w:hint="eastAsia" w:ascii="宋体" w:hAnsi="宋体" w:cs="宋体"/>
          <w:color w:val="000000"/>
        </w:rPr>
        <w:t>年</w:t>
      </w:r>
      <w:r>
        <w:rPr>
          <w:rFonts w:ascii="宋体" w:hAnsi="宋体" w:cs="宋体"/>
          <w:color w:val="000000"/>
        </w:rPr>
        <w:t>7</w:t>
      </w:r>
      <w:r>
        <w:rPr>
          <w:rFonts w:hint="eastAsia" w:ascii="宋体" w:hAnsi="宋体" w:cs="宋体"/>
          <w:color w:val="000000"/>
        </w:rPr>
        <w:t>月</w:t>
      </w:r>
      <w:r>
        <w:rPr>
          <w:rFonts w:ascii="宋体" w:hAnsi="宋体" w:cs="宋体"/>
          <w:color w:val="000000"/>
        </w:rPr>
        <w:t>23</w:t>
      </w:r>
      <w:r>
        <w:rPr>
          <w:rFonts w:hint="eastAsia" w:ascii="宋体" w:hAnsi="宋体" w:cs="宋体"/>
          <w:color w:val="000000"/>
        </w:rPr>
        <w:t>日至</w:t>
      </w:r>
      <w:r>
        <w:rPr>
          <w:rFonts w:ascii="宋体" w:hAnsi="宋体" w:cs="宋体"/>
          <w:color w:val="000000"/>
        </w:rPr>
        <w:t>2015</w:t>
      </w:r>
      <w:r>
        <w:rPr>
          <w:rFonts w:hint="eastAsia" w:ascii="宋体" w:hAnsi="宋体" w:cs="宋体"/>
          <w:color w:val="000000"/>
        </w:rPr>
        <w:t>年</w:t>
      </w:r>
      <w:r>
        <w:rPr>
          <w:rFonts w:ascii="宋体" w:hAnsi="宋体" w:cs="宋体"/>
          <w:color w:val="000000"/>
        </w:rPr>
        <w:t>8</w:t>
      </w:r>
      <w:r>
        <w:rPr>
          <w:rFonts w:hint="eastAsia" w:ascii="宋体" w:hAnsi="宋体" w:cs="宋体"/>
          <w:color w:val="000000"/>
        </w:rPr>
        <w:t>月</w:t>
      </w:r>
      <w:r>
        <w:rPr>
          <w:rFonts w:ascii="宋体" w:hAnsi="宋体" w:cs="宋体"/>
          <w:color w:val="000000"/>
        </w:rPr>
        <w:t>19</w:t>
      </w:r>
      <w:r>
        <w:rPr>
          <w:rFonts w:hint="eastAsia" w:ascii="宋体" w:hAnsi="宋体" w:cs="宋体"/>
          <w:color w:val="000000"/>
        </w:rPr>
        <w:t>日止期间公开发售，共募集有效净认购资金</w:t>
      </w:r>
      <w:r>
        <w:rPr>
          <w:rFonts w:ascii="宋体" w:hAnsi="宋体" w:cs="宋体"/>
          <w:color w:val="000000"/>
        </w:rPr>
        <w:t>303,724,280.18</w:t>
      </w:r>
      <w:r>
        <w:rPr>
          <w:rFonts w:hint="eastAsia" w:ascii="宋体" w:hAnsi="宋体" w:cs="宋体"/>
          <w:color w:val="000000"/>
        </w:rPr>
        <w:t>元。根据《创金合信沪港深研究精选灵活配置混合型证券投资基金募集说明书》的规定，本基金设立募集期内认购资金产生的利息收入</w:t>
      </w:r>
      <w:r>
        <w:rPr>
          <w:rFonts w:ascii="宋体" w:hAnsi="宋体" w:cs="宋体"/>
          <w:color w:val="000000"/>
        </w:rPr>
        <w:t>144,442.88</w:t>
      </w:r>
      <w:r>
        <w:rPr>
          <w:rFonts w:hint="eastAsia" w:ascii="宋体" w:hAnsi="宋体" w:cs="宋体"/>
          <w:color w:val="000000"/>
        </w:rPr>
        <w:t>元，在本基金成立后，折算为</w:t>
      </w:r>
      <w:r>
        <w:rPr>
          <w:rFonts w:ascii="宋体" w:hAnsi="宋体" w:cs="宋体"/>
          <w:color w:val="000000"/>
        </w:rPr>
        <w:t>144,442.88</w:t>
      </w:r>
      <w:r>
        <w:rPr>
          <w:rFonts w:hint="eastAsia" w:ascii="宋体" w:hAnsi="宋体" w:cs="宋体"/>
          <w:color w:val="000000"/>
        </w:rPr>
        <w:t>份基金份额，划入基金份额持有人账户。</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7.4.7.10 </w:t>
      </w:r>
      <w:r>
        <w:rPr>
          <w:rFonts w:hint="eastAsia" w:ascii="宋体" w:hAnsi="宋体" w:cs="宋体"/>
          <w:b/>
          <w:bCs/>
          <w:color w:val="000000"/>
          <w:sz w:val="24"/>
          <w:szCs w:val="24"/>
        </w:rPr>
        <w:t>未分配利润</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6"/>
        <w:gridCol w:w="2168"/>
        <w:gridCol w:w="2167"/>
        <w:gridCol w:w="2167"/>
      </w:tblGrid>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未分配利润合计</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330,503.29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-1,440,033.55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-1,109,530.26</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-81,157.39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-111,870.24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-193,027.63</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873.86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1,176.04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2,049.90</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-82,031.25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-113,046.28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-195,077.53</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249,345.90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-1,551,903.79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-1,302,557.89</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7.4.7.11 </w:t>
      </w:r>
      <w:r>
        <w:rPr>
          <w:rFonts w:hint="eastAsia" w:ascii="宋体" w:hAnsi="宋体" w:cs="宋体"/>
          <w:b/>
          <w:bCs/>
          <w:color w:val="000000"/>
          <w:sz w:val="24"/>
          <w:szCs w:val="24"/>
        </w:rPr>
        <w:t>存款利息收入</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活期存款利息收入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104,614.41</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定期存款利息收入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684,444.44</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结算备付金利息收入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69,950.90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21.90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859,031.65</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7.4.7.12 </w:t>
      </w:r>
      <w:r>
        <w:rPr>
          <w:rFonts w:hint="eastAsia" w:ascii="宋体" w:hAnsi="宋体" w:cs="宋体"/>
          <w:b/>
          <w:bCs/>
          <w:color w:val="000000"/>
          <w:sz w:val="24"/>
          <w:szCs w:val="24"/>
        </w:rPr>
        <w:t>股票投资收益</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卖出股票成交总额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39,085,607.20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减：卖出股票成本总额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38,736,942.95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买卖股票差价收入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348,664.25</w:t>
            </w:r>
          </w:p>
        </w:tc>
      </w:tr>
    </w:tbl>
    <w:p>
      <w:pPr>
        <w:spacing w:line="288" w:lineRule="auto"/>
        <w:jc w:val="left"/>
        <w:rPr>
          <w:rFonts w:ascii="MS Sans Serif" w:hAnsi="MS Sans Serif" w:eastAsia="Times New Roman" w:cs="MS Sans Serif"/>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7.4.7.13 </w:t>
      </w:r>
      <w:r>
        <w:rPr>
          <w:rFonts w:hint="eastAsia" w:ascii="宋体" w:hAnsi="宋体" w:cs="宋体"/>
          <w:b/>
          <w:bCs/>
          <w:color w:val="000000"/>
          <w:sz w:val="24"/>
          <w:szCs w:val="24"/>
        </w:rPr>
        <w:t>债券投资收益</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7.4.7.13.1 </w:t>
      </w:r>
      <w:r>
        <w:rPr>
          <w:rFonts w:hint="eastAsia" w:ascii="宋体" w:hAnsi="宋体" w:cs="宋体"/>
          <w:b/>
          <w:bCs/>
          <w:color w:val="000000"/>
          <w:sz w:val="24"/>
          <w:szCs w:val="24"/>
        </w:rPr>
        <w:t>债券投资收益项目构成</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本基金于本期无债券投资收益。</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7.4.7.13.2 </w:t>
      </w:r>
      <w:r>
        <w:rPr>
          <w:rFonts w:hint="eastAsia" w:ascii="宋体" w:hAnsi="宋体" w:cs="宋体"/>
          <w:b/>
          <w:bCs/>
          <w:color w:val="000000"/>
          <w:sz w:val="24"/>
          <w:szCs w:val="24"/>
        </w:rPr>
        <w:t>债券投资收益——买卖债券差价收入</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本基金于本期无债券投资收益。</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7.4.7.13.3 </w:t>
      </w:r>
      <w:r>
        <w:rPr>
          <w:rFonts w:hint="eastAsia" w:ascii="宋体" w:hAnsi="宋体" w:cs="宋体"/>
          <w:b/>
          <w:bCs/>
          <w:color w:val="000000"/>
          <w:sz w:val="24"/>
          <w:szCs w:val="24"/>
        </w:rPr>
        <w:t>债券投资收益——赎回差价收入</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本基金于本期无债券投资收益。</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7.4.7.13.4 </w:t>
      </w:r>
      <w:r>
        <w:rPr>
          <w:rFonts w:hint="eastAsia" w:ascii="宋体" w:hAnsi="宋体" w:cs="宋体"/>
          <w:b/>
          <w:bCs/>
          <w:color w:val="000000"/>
          <w:sz w:val="24"/>
          <w:szCs w:val="24"/>
        </w:rPr>
        <w:t>债券投资收益——申购差价收入</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本基金于本期无债券投资收益。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7.4.7.13.5 </w:t>
      </w:r>
      <w:r>
        <w:rPr>
          <w:rFonts w:hint="eastAsia" w:ascii="宋体" w:hAnsi="宋体" w:cs="宋体"/>
          <w:b/>
          <w:bCs/>
          <w:color w:val="000000"/>
          <w:sz w:val="24"/>
          <w:szCs w:val="24"/>
        </w:rPr>
        <w:t>资产支持证券投资收益</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本基金于本期无资产支持证券投资收益。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7.4.7.14 </w:t>
      </w:r>
      <w:r>
        <w:rPr>
          <w:rFonts w:hint="eastAsia" w:ascii="宋体" w:hAnsi="宋体" w:cs="宋体"/>
          <w:b/>
          <w:bCs/>
          <w:color w:val="000000"/>
          <w:sz w:val="24"/>
          <w:szCs w:val="24"/>
        </w:rPr>
        <w:t>衍生工具收益</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本基金于本期无衍生工具收益。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7.4.7.14.1 </w:t>
      </w:r>
      <w:r>
        <w:rPr>
          <w:rFonts w:hint="eastAsia" w:ascii="宋体" w:hAnsi="宋体" w:cs="宋体"/>
          <w:b/>
          <w:bCs/>
          <w:color w:val="000000"/>
          <w:sz w:val="24"/>
          <w:szCs w:val="24"/>
        </w:rPr>
        <w:t>衍生工具收益——其他投资收益</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本基金于本期无衍生工具收益。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7.4.7.15 </w:t>
      </w:r>
      <w:r>
        <w:rPr>
          <w:rFonts w:hint="eastAsia" w:ascii="宋体" w:hAnsi="宋体" w:cs="宋体"/>
          <w:b/>
          <w:bCs/>
          <w:color w:val="000000"/>
          <w:sz w:val="24"/>
          <w:szCs w:val="24"/>
        </w:rPr>
        <w:t>股利收益</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本基金于本期无股利收益。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7.4.7.16 </w:t>
      </w:r>
      <w:r>
        <w:rPr>
          <w:rFonts w:hint="eastAsia" w:ascii="宋体" w:hAnsi="宋体" w:cs="宋体"/>
          <w:b/>
          <w:bCs/>
          <w:color w:val="000000"/>
          <w:sz w:val="24"/>
          <w:szCs w:val="24"/>
        </w:rPr>
        <w:t>公允价值变动收益</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交易性金融资产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-1,440,033.55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——股票投资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-1,440,033.55</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——债券投资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——资产支持证券投资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——贵金属投资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衍生工具</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——权证投资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-1,440,033.55</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7.4.7.17 </w:t>
      </w:r>
      <w:r>
        <w:rPr>
          <w:rFonts w:hint="eastAsia" w:ascii="宋体" w:hAnsi="宋体" w:cs="宋体"/>
          <w:b/>
          <w:bCs/>
          <w:color w:val="000000"/>
          <w:sz w:val="24"/>
          <w:szCs w:val="24"/>
        </w:rPr>
        <w:t>其他收入</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基金赎回费收入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181,747.60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181,747.60</w:t>
            </w:r>
          </w:p>
        </w:tc>
      </w:tr>
    </w:tbl>
    <w:p>
      <w:pPr>
        <w:spacing w:before="29" w:line="288" w:lineRule="auto"/>
        <w:ind w:left="15"/>
        <w:jc w:val="left"/>
        <w:rPr>
          <w:rFonts w:ascii="宋体" w:hAnsi="宋体" w:cs="宋体"/>
          <w:color w:val="000000"/>
        </w:rPr>
      </w:pPr>
      <w:r>
        <w:rPr>
          <w:rFonts w:hint="eastAsia" w:ascii="宋体" w:hAnsi="宋体" w:cs="宋体"/>
          <w:color w:val="000000"/>
        </w:rPr>
        <w:t>注：本基金的赎回费率按持有期间递减，对于持有期少于</w:t>
      </w:r>
      <w:r>
        <w:rPr>
          <w:rFonts w:ascii="宋体" w:hAnsi="宋体" w:cs="宋体"/>
          <w:color w:val="000000"/>
        </w:rPr>
        <w:t>30</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不含</w:t>
      </w:r>
      <w:r>
        <w:rPr>
          <w:rFonts w:ascii="宋体" w:hAnsi="宋体" w:cs="宋体"/>
          <w:color w:val="000000"/>
        </w:rPr>
        <w:t>)</w:t>
      </w:r>
      <w:r>
        <w:rPr>
          <w:rFonts w:hint="eastAsia" w:ascii="宋体" w:hAnsi="宋体" w:cs="宋体"/>
          <w:color w:val="000000"/>
        </w:rPr>
        <w:t>的基金份额所收取的赎回费，赎回费用全额归入基金财产；对于持有期长于</w:t>
      </w:r>
      <w:r>
        <w:rPr>
          <w:rFonts w:ascii="宋体" w:hAnsi="宋体" w:cs="宋体"/>
          <w:color w:val="000000"/>
        </w:rPr>
        <w:t>30</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含</w:t>
      </w:r>
      <w:r>
        <w:rPr>
          <w:rFonts w:ascii="宋体" w:hAnsi="宋体" w:cs="宋体"/>
          <w:color w:val="000000"/>
        </w:rPr>
        <w:t>)</w:t>
      </w:r>
      <w:r>
        <w:rPr>
          <w:rFonts w:hint="eastAsia" w:ascii="宋体" w:hAnsi="宋体" w:cs="宋体"/>
          <w:color w:val="000000"/>
        </w:rPr>
        <w:t>但少</w:t>
      </w:r>
      <w:r>
        <w:rPr>
          <w:rFonts w:ascii="宋体" w:hAnsi="宋体" w:cs="宋体"/>
          <w:color w:val="000000"/>
        </w:rPr>
        <w:t>90</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不含</w:t>
      </w:r>
      <w:r>
        <w:rPr>
          <w:rFonts w:ascii="宋体" w:hAnsi="宋体" w:cs="宋体"/>
          <w:color w:val="000000"/>
        </w:rPr>
        <w:t>)</w:t>
      </w:r>
      <w:r>
        <w:rPr>
          <w:rFonts w:hint="eastAsia" w:ascii="宋体" w:hAnsi="宋体" w:cs="宋体"/>
          <w:color w:val="000000"/>
        </w:rPr>
        <w:t>的基金份额所收取的赎回费，赎回费用</w:t>
      </w:r>
      <w:r>
        <w:rPr>
          <w:rFonts w:ascii="宋体" w:hAnsi="宋体" w:cs="宋体"/>
          <w:color w:val="000000"/>
        </w:rPr>
        <w:t>75%</w:t>
      </w:r>
      <w:r>
        <w:rPr>
          <w:rFonts w:hint="eastAsia" w:ascii="宋体" w:hAnsi="宋体" w:cs="宋体"/>
          <w:color w:val="000000"/>
        </w:rPr>
        <w:t>归入基金财产；对于持有期长于</w:t>
      </w:r>
      <w:r>
        <w:rPr>
          <w:rFonts w:ascii="宋体" w:hAnsi="宋体" w:cs="宋体"/>
          <w:color w:val="000000"/>
        </w:rPr>
        <w:t>90</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含</w:t>
      </w:r>
      <w:r>
        <w:rPr>
          <w:rFonts w:ascii="宋体" w:hAnsi="宋体" w:cs="宋体"/>
          <w:color w:val="000000"/>
        </w:rPr>
        <w:t>)</w:t>
      </w:r>
      <w:r>
        <w:rPr>
          <w:rFonts w:hint="eastAsia" w:ascii="宋体" w:hAnsi="宋体" w:cs="宋体"/>
          <w:color w:val="000000"/>
        </w:rPr>
        <w:t>但小于</w:t>
      </w:r>
      <w:r>
        <w:rPr>
          <w:rFonts w:ascii="宋体" w:hAnsi="宋体" w:cs="宋体"/>
          <w:color w:val="000000"/>
        </w:rPr>
        <w:t>180</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不含</w:t>
      </w:r>
      <w:r>
        <w:rPr>
          <w:rFonts w:ascii="宋体" w:hAnsi="宋体" w:cs="宋体"/>
          <w:color w:val="000000"/>
        </w:rPr>
        <w:t>)</w:t>
      </w:r>
      <w:r>
        <w:rPr>
          <w:rFonts w:hint="eastAsia" w:ascii="宋体" w:hAnsi="宋体" w:cs="宋体"/>
          <w:color w:val="000000"/>
        </w:rPr>
        <w:t>的基金份额所收取的赎回费，赎回费用</w:t>
      </w:r>
      <w:r>
        <w:rPr>
          <w:rFonts w:ascii="宋体" w:hAnsi="宋体" w:cs="宋体"/>
          <w:color w:val="000000"/>
        </w:rPr>
        <w:t>50%</w:t>
      </w:r>
      <w:r>
        <w:rPr>
          <w:rFonts w:hint="eastAsia" w:ascii="宋体" w:hAnsi="宋体" w:cs="宋体"/>
          <w:color w:val="000000"/>
        </w:rPr>
        <w:t>归入基金财产；对于持有期长于</w:t>
      </w:r>
      <w:r>
        <w:rPr>
          <w:rFonts w:ascii="宋体" w:hAnsi="宋体" w:cs="宋体"/>
          <w:color w:val="000000"/>
        </w:rPr>
        <w:t>180</w:t>
      </w:r>
      <w:r>
        <w:rPr>
          <w:rFonts w:hint="eastAsia" w:ascii="宋体" w:hAnsi="宋体" w:cs="宋体"/>
          <w:color w:val="000000"/>
        </w:rPr>
        <w:t>日</w:t>
      </w:r>
      <w:r>
        <w:rPr>
          <w:rFonts w:ascii="宋体" w:hAnsi="宋体" w:cs="宋体"/>
          <w:color w:val="000000"/>
        </w:rPr>
        <w:t>(</w:t>
      </w:r>
      <w:r>
        <w:rPr>
          <w:rFonts w:hint="eastAsia" w:ascii="宋体" w:hAnsi="宋体" w:cs="宋体"/>
          <w:color w:val="000000"/>
        </w:rPr>
        <w:t>含</w:t>
      </w:r>
      <w:r>
        <w:rPr>
          <w:rFonts w:ascii="宋体" w:hAnsi="宋体" w:cs="宋体"/>
          <w:color w:val="000000"/>
        </w:rPr>
        <w:t>)</w:t>
      </w:r>
      <w:r>
        <w:rPr>
          <w:rFonts w:hint="eastAsia" w:ascii="宋体" w:hAnsi="宋体" w:cs="宋体"/>
          <w:color w:val="000000"/>
        </w:rPr>
        <w:t>的基金份额所收取的赎回费，赎回费用</w:t>
      </w:r>
      <w:r>
        <w:rPr>
          <w:rFonts w:ascii="宋体" w:hAnsi="宋体" w:cs="宋体"/>
          <w:color w:val="000000"/>
        </w:rPr>
        <w:t>25%</w:t>
      </w:r>
      <w:r>
        <w:rPr>
          <w:rFonts w:hint="eastAsia" w:ascii="宋体" w:hAnsi="宋体" w:cs="宋体"/>
          <w:color w:val="000000"/>
        </w:rPr>
        <w:t>归入基金财产。</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7.4.7.18 </w:t>
      </w:r>
      <w:r>
        <w:rPr>
          <w:rFonts w:hint="eastAsia" w:ascii="宋体" w:hAnsi="宋体" w:cs="宋体"/>
          <w:b/>
          <w:bCs/>
          <w:color w:val="000000"/>
          <w:sz w:val="24"/>
          <w:szCs w:val="24"/>
        </w:rPr>
        <w:t>交易费用</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交易所市场交易费用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285,936.74</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银行间市场交易费用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285,936.74</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7.4.7.19 </w:t>
      </w:r>
      <w:r>
        <w:rPr>
          <w:rFonts w:hint="eastAsia" w:ascii="宋体" w:hAnsi="宋体" w:cs="宋体"/>
          <w:b/>
          <w:bCs/>
          <w:color w:val="000000"/>
          <w:sz w:val="24"/>
          <w:szCs w:val="24"/>
        </w:rPr>
        <w:t>其他费用</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审计费用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53,000.00</w:t>
            </w:r>
          </w:p>
        </w:tc>
      </w:tr>
      <w:tr>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信息披露费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30,000.00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汇划手续费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640.00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帐户维护费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400.00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84,040.00</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7.4.8 </w:t>
      </w:r>
      <w:r>
        <w:rPr>
          <w:rFonts w:hint="eastAsia" w:ascii="宋体" w:hAnsi="宋体" w:cs="宋体"/>
          <w:b/>
          <w:bCs/>
          <w:color w:val="000000"/>
          <w:sz w:val="24"/>
          <w:szCs w:val="24"/>
        </w:rPr>
        <w:t>或有事项、资产负债表日后事项的说明</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7.4.8.1 </w:t>
      </w:r>
      <w:r>
        <w:rPr>
          <w:rFonts w:hint="eastAsia" w:ascii="宋体" w:hAnsi="宋体" w:cs="宋体"/>
          <w:b/>
          <w:bCs/>
          <w:color w:val="000000"/>
          <w:sz w:val="24"/>
          <w:szCs w:val="24"/>
        </w:rPr>
        <w:t>或有事项</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截至资产负债表日，本基金并无须作披露的或有事项。</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7.4.8.2 </w:t>
      </w:r>
      <w:r>
        <w:rPr>
          <w:rFonts w:hint="eastAsia" w:ascii="宋体" w:hAnsi="宋体" w:cs="宋体"/>
          <w:b/>
          <w:bCs/>
          <w:color w:val="000000"/>
          <w:sz w:val="24"/>
          <w:szCs w:val="24"/>
        </w:rPr>
        <w:t>资产负债表日后事项</w:t>
      </w:r>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截至本财务报表批准报出日，本基金并无须作披露的资产负债表日后事项。</w:t>
      </w:r>
    </w:p>
    <w:p>
      <w:pPr>
        <w:spacing w:before="29" w:line="288" w:lineRule="auto"/>
        <w:ind w:left="15" w:firstLine="482"/>
        <w:jc w:val="left"/>
        <w:rPr>
          <w:rFonts w:ascii="MS Sans Serif" w:hAnsi="MS Sans Serif"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7.4.9 </w:t>
      </w:r>
      <w:r>
        <w:rPr>
          <w:rFonts w:hint="eastAsia" w:ascii="宋体" w:hAnsi="宋体" w:cs="宋体"/>
          <w:b/>
          <w:bCs/>
          <w:color w:val="000000"/>
          <w:sz w:val="24"/>
          <w:szCs w:val="24"/>
        </w:rPr>
        <w:t>关联方关系</w:t>
      </w:r>
    </w:p>
    <w:tbl>
      <w:tblPr>
        <w:tblStyle w:val="10"/>
        <w:tblW w:w="0" w:type="auto"/>
        <w:tblInd w:w="108" w:type="dxa"/>
        <w:tblLayout w:type="fixed"/>
        <w:tblCellMar>
          <w:top w:w="0" w:type="dxa"/>
          <w:left w:w="108" w:type="dxa"/>
          <w:bottom w:w="0" w:type="dxa"/>
          <w:right w:w="108" w:type="dxa"/>
        </w:tblCellMar>
      </w:tblPr>
      <w:tblGrid>
        <w:gridCol w:w="4332"/>
        <w:gridCol w:w="4696"/>
      </w:tblGrid>
      <w:tr>
        <w:tblPrEx>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highlight w:val="yellow"/>
              </w:rPr>
            </w:pPr>
            <w:r>
              <w:rPr>
                <w:rFonts w:hint="eastAsia" w:ascii="宋体" w:hAnsi="宋体" w:cs="宋体"/>
                <w:color w:val="000000"/>
                <w:sz w:val="24"/>
                <w:szCs w:val="24"/>
                <w:highlight w:val="yellow"/>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highlight w:val="yellow"/>
              </w:rPr>
            </w:pPr>
            <w:r>
              <w:rPr>
                <w:rFonts w:hint="eastAsia" w:ascii="宋体" w:hAnsi="宋体" w:cs="宋体"/>
                <w:color w:val="000000"/>
                <w:sz w:val="24"/>
                <w:szCs w:val="24"/>
                <w:highlight w:val="yellow"/>
              </w:rPr>
              <w:t>与本基金的关系</w:t>
            </w:r>
          </w:p>
        </w:tc>
      </w:tr>
      <w:tr>
        <w:tblPrEx>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基金管理人、注册登记机构、基金销售机构</w:t>
            </w:r>
          </w:p>
        </w:tc>
      </w:tr>
      <w:tr>
        <w:tblPrEx>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中国工商银行股份有限公司</w:t>
            </w:r>
            <w:r>
              <w:rPr>
                <w:rFonts w:ascii="宋体" w:hAnsi="宋体" w:cs="宋体"/>
                <w:color w:val="000000"/>
                <w:sz w:val="24"/>
                <w:szCs w:val="24"/>
              </w:rPr>
              <w:t>(</w:t>
            </w:r>
            <w:r>
              <w:rPr>
                <w:rFonts w:hint="eastAsia" w:ascii="宋体" w:hAnsi="宋体" w:cs="宋体"/>
                <w:color w:val="000000"/>
                <w:sz w:val="24"/>
                <w:szCs w:val="24"/>
              </w:rPr>
              <w:t>“工商银行”</w:t>
            </w:r>
            <w:r>
              <w:rPr>
                <w:rFonts w:ascii="宋体" w:hAnsi="宋体" w:cs="宋体"/>
                <w:color w:val="00000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基金托管人、基金销售机构</w:t>
            </w:r>
          </w:p>
        </w:tc>
      </w:tr>
      <w:tr>
        <w:tblPrEx>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第一创业证券股份有限公司</w:t>
            </w:r>
            <w:r>
              <w:rPr>
                <w:rFonts w:ascii="宋体" w:hAnsi="宋体" w:cs="宋体"/>
                <w:color w:val="000000"/>
                <w:sz w:val="24"/>
                <w:szCs w:val="24"/>
              </w:rPr>
              <w:t>(</w:t>
            </w:r>
            <w:r>
              <w:rPr>
                <w:rFonts w:hint="eastAsia" w:ascii="宋体" w:hAnsi="宋体" w:cs="宋体"/>
                <w:color w:val="000000"/>
                <w:sz w:val="24"/>
                <w:szCs w:val="24"/>
              </w:rPr>
              <w:t>“第一创业证券”</w:t>
            </w:r>
            <w:r>
              <w:rPr>
                <w:rFonts w:ascii="宋体" w:hAnsi="宋体" w:cs="宋体"/>
                <w:color w:val="00000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基金管理人的股东、基金销售机构</w:t>
            </w:r>
          </w:p>
        </w:tc>
      </w:tr>
      <w:tr>
        <w:tblPrEx>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基金管理人的股东</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 </w:t>
      </w:r>
      <w:r>
        <w:rPr>
          <w:rFonts w:hint="eastAsia" w:ascii="宋体" w:hAnsi="宋体" w:cs="宋体"/>
          <w:b/>
          <w:bCs/>
          <w:color w:val="000000"/>
          <w:sz w:val="24"/>
          <w:szCs w:val="24"/>
        </w:rPr>
        <w:t>本报告期及上年度可比期间的关联方交易</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7.4.10.1 </w:t>
      </w:r>
      <w:r>
        <w:rPr>
          <w:rFonts w:hint="eastAsia" w:ascii="宋体" w:hAnsi="宋体" w:cs="宋体"/>
          <w:b/>
          <w:bCs/>
          <w:color w:val="000000"/>
          <w:sz w:val="24"/>
          <w:szCs w:val="24"/>
        </w:rPr>
        <w:t>通过关联方交易单元进行的交易</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7.4.10.1.1 </w:t>
      </w:r>
      <w:r>
        <w:rPr>
          <w:rFonts w:hint="eastAsia" w:ascii="宋体" w:hAnsi="宋体" w:cs="宋体"/>
          <w:b/>
          <w:bCs/>
          <w:color w:val="000000"/>
          <w:sz w:val="24"/>
          <w:szCs w:val="24"/>
        </w:rPr>
        <w:t>股票交易</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dxa"/>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占当期股票成交总额的比例</w:t>
            </w:r>
          </w:p>
        </w:tc>
      </w:tr>
      <w:tr>
        <w:tblPrEx>
          <w:tblCellMar>
            <w:top w:w="0" w:type="dxa"/>
            <w:left w:w="108" w:type="dxa"/>
            <w:bottom w:w="0" w:type="dxa"/>
            <w:right w:w="108" w:type="dxa"/>
          </w:tblCellMar>
        </w:tblPrEx>
        <w:trPr>
          <w:wBefore w:w="0" w:type="dxa"/>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26,105,899.33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10.77%</w:t>
            </w:r>
          </w:p>
        </w:tc>
      </w:tr>
    </w:tbl>
    <w:p>
      <w:pPr>
        <w:spacing w:before="29" w:line="288" w:lineRule="auto"/>
        <w:ind w:left="15"/>
        <w:jc w:val="left"/>
        <w:rPr>
          <w:rFonts w:ascii="宋体" w:hAnsi="宋体" w:cs="宋体"/>
          <w:b/>
          <w:bCs/>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7.4.10.1.2 </w:t>
      </w:r>
      <w:r>
        <w:rPr>
          <w:rFonts w:hint="eastAsia" w:ascii="宋体" w:hAnsi="宋体" w:cs="宋体"/>
          <w:b/>
          <w:bCs/>
          <w:color w:val="000000"/>
          <w:sz w:val="24"/>
          <w:szCs w:val="24"/>
        </w:rPr>
        <w:t>权证交易</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本基金于本期未通过关联方交易单元进行权证交易。</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7.4.10.1.3 </w:t>
      </w:r>
      <w:r>
        <w:rPr>
          <w:rFonts w:hint="eastAsia" w:ascii="宋体" w:hAnsi="宋体" w:cs="宋体"/>
          <w:b/>
          <w:bCs/>
          <w:color w:val="000000"/>
          <w:sz w:val="24"/>
          <w:szCs w:val="24"/>
        </w:rPr>
        <w:t>应支付关联方的佣金</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804"/>
        <w:gridCol w:w="2167"/>
        <w:gridCol w:w="1445"/>
        <w:gridCol w:w="1806"/>
        <w:gridCol w:w="1806"/>
      </w:tblGrid>
      <w:tr>
        <w:tblPrEx>
          <w:tblCellMar>
            <w:top w:w="0" w:type="dxa"/>
            <w:left w:w="108" w:type="dxa"/>
            <w:bottom w:w="0" w:type="dxa"/>
            <w:right w:w="108" w:type="dxa"/>
          </w:tblCellMar>
        </w:tblPrEx>
        <w:trPr>
          <w:wBefore w:w="0" w:type="dxa"/>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占期末应付佣金总额的比例</w:t>
            </w:r>
          </w:p>
        </w:tc>
      </w:tr>
      <w:tr>
        <w:tblPrEx>
          <w:tblCellMar>
            <w:top w:w="0" w:type="dxa"/>
            <w:left w:w="108" w:type="dxa"/>
            <w:bottom w:w="0" w:type="dxa"/>
            <w:right w:w="108" w:type="dxa"/>
          </w:tblCellMar>
        </w:tblPrEx>
        <w:trPr>
          <w:wBefore w:w="0" w:type="dxa"/>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18,933.93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8</w:t>
            </w:r>
            <w:r>
              <w:rPr>
                <w:rFonts w:hint="eastAsia" w:ascii="宋体" w:hAnsi="宋体" w:cs="宋体"/>
                <w:color w:val="000000"/>
                <w:sz w:val="24"/>
                <w:szCs w:val="24"/>
              </w:rPr>
              <w:t>.</w:t>
            </w:r>
            <w:r>
              <w:rPr>
                <w:rFonts w:ascii="宋体" w:hAnsi="宋体" w:cs="宋体"/>
                <w:color w:val="000000"/>
                <w:sz w:val="24"/>
                <w:szCs w:val="24"/>
              </w:rPr>
              <w:t>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18,933.93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w:t>
            </w:r>
            <w:r>
              <w:rPr>
                <w:rFonts w:hint="eastAsia" w:ascii="宋体" w:hAnsi="宋体" w:cs="宋体"/>
                <w:color w:val="000000"/>
                <w:sz w:val="24"/>
                <w:szCs w:val="24"/>
              </w:rPr>
              <w:t>.</w:t>
            </w:r>
            <w:r>
              <w:rPr>
                <w:rFonts w:ascii="宋体" w:hAnsi="宋体" w:cs="宋体"/>
                <w:color w:val="000000"/>
                <w:sz w:val="24"/>
                <w:szCs w:val="24"/>
              </w:rPr>
              <w:t>64%</w:t>
            </w:r>
          </w:p>
        </w:tc>
      </w:tr>
    </w:tbl>
    <w:p>
      <w:pPr>
        <w:spacing w:before="29" w:line="288" w:lineRule="auto"/>
        <w:ind w:left="15"/>
        <w:jc w:val="left"/>
        <w:rPr>
          <w:rFonts w:ascii="宋体" w:hAnsi="宋体" w:cs="宋体"/>
          <w:color w:val="000000"/>
        </w:rPr>
      </w:pPr>
      <w:r>
        <w:rPr>
          <w:rFonts w:hint="eastAsia" w:ascii="宋体" w:hAnsi="宋体" w:cs="宋体"/>
          <w:color w:val="000000"/>
        </w:rPr>
        <w:t>注：</w:t>
      </w:r>
      <w:r>
        <w:rPr>
          <w:rFonts w:ascii="宋体" w:hAnsi="宋体" w:cs="宋体"/>
          <w:color w:val="000000"/>
        </w:rPr>
        <w:t>1</w:t>
      </w:r>
      <w:r>
        <w:rPr>
          <w:rFonts w:hint="eastAsia" w:ascii="宋体" w:hAnsi="宋体" w:cs="宋体"/>
          <w:color w:val="000000"/>
        </w:rPr>
        <w:t>、上述佣金参考市场价格经本基金的基金管理人与对方协商确定，以扣除由中国证券登记结算有限责任公司收取的证管费和经手费的净额列示。</w:t>
      </w:r>
    </w:p>
    <w:p>
      <w:pPr>
        <w:spacing w:before="29" w:line="288" w:lineRule="auto"/>
        <w:ind w:left="15"/>
        <w:jc w:val="left"/>
        <w:rPr>
          <w:rFonts w:ascii="宋体" w:hAnsi="宋体" w:cs="宋体"/>
          <w:color w:val="000000"/>
        </w:rPr>
      </w:pPr>
      <w:r>
        <w:rPr>
          <w:rFonts w:ascii="宋体" w:hAnsi="宋体" w:cs="宋体"/>
          <w:color w:val="000000"/>
        </w:rPr>
        <w:t>2</w:t>
      </w:r>
      <w:r>
        <w:rPr>
          <w:rFonts w:hint="eastAsia" w:ascii="宋体" w:hAnsi="宋体" w:cs="宋体"/>
          <w:color w:val="000000"/>
        </w:rPr>
        <w:t>、该类佣金协议的服务范围还包括佣金收取方为本基金提供的证券投资研究成果和市场信息服务等。</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7.4.10.2 </w:t>
      </w:r>
      <w:r>
        <w:rPr>
          <w:rFonts w:hint="eastAsia" w:ascii="宋体" w:hAnsi="宋体" w:cs="宋体"/>
          <w:b/>
          <w:bCs/>
          <w:color w:val="000000"/>
          <w:sz w:val="24"/>
          <w:szCs w:val="24"/>
        </w:rPr>
        <w:t>关联方报酬</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7.4.10.2.1 </w:t>
      </w:r>
      <w:r>
        <w:rPr>
          <w:rFonts w:hint="eastAsia" w:ascii="宋体" w:hAnsi="宋体" w:cs="宋体"/>
          <w:b/>
          <w:bCs/>
          <w:color w:val="000000"/>
          <w:sz w:val="24"/>
          <w:szCs w:val="24"/>
        </w:rPr>
        <w:t>基金管理费</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1,511,717.71</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950,472.58</w:t>
            </w:r>
          </w:p>
        </w:tc>
      </w:tr>
    </w:tbl>
    <w:p>
      <w:pPr>
        <w:spacing w:before="29" w:line="288" w:lineRule="auto"/>
        <w:ind w:left="15"/>
        <w:jc w:val="left"/>
        <w:rPr>
          <w:rFonts w:ascii="宋体" w:hAnsi="宋体" w:cs="宋体"/>
          <w:color w:val="000000"/>
        </w:rPr>
      </w:pPr>
      <w:r>
        <w:rPr>
          <w:rFonts w:hint="eastAsia" w:ascii="宋体" w:hAnsi="宋体" w:cs="宋体"/>
          <w:color w:val="000000"/>
        </w:rPr>
        <w:t>注：支付基金管理人创金合信基金管理有限公司的管理人报酬按前一日基金资产净值</w:t>
      </w:r>
      <w:r>
        <w:rPr>
          <w:rFonts w:ascii="宋体" w:hAnsi="宋体" w:cs="宋体"/>
          <w:color w:val="000000"/>
        </w:rPr>
        <w:t>1.50%</w:t>
      </w:r>
      <w:r>
        <w:rPr>
          <w:rFonts w:hint="eastAsia" w:ascii="宋体" w:hAnsi="宋体" w:cs="宋体"/>
          <w:color w:val="000000"/>
        </w:rPr>
        <w:t>的年费率计提，逐日累计至每月月底，按月支付。其计算公式为：日管理人报酬＝前一日基金资产净值</w:t>
      </w:r>
      <w:r>
        <w:rPr>
          <w:rFonts w:ascii="宋体" w:hAnsi="宋体" w:cs="宋体"/>
          <w:color w:val="000000"/>
        </w:rPr>
        <w:t>*1.50%/</w:t>
      </w:r>
      <w:r>
        <w:rPr>
          <w:rFonts w:hint="eastAsia" w:ascii="宋体" w:hAnsi="宋体" w:cs="宋体"/>
          <w:color w:val="000000"/>
        </w:rPr>
        <w:t>当年天数。</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7.4.10.2.2 </w:t>
      </w:r>
      <w:r>
        <w:rPr>
          <w:rFonts w:hint="eastAsia" w:ascii="宋体" w:hAnsi="宋体" w:cs="宋体"/>
          <w:b/>
          <w:bCs/>
          <w:color w:val="000000"/>
          <w:sz w:val="24"/>
          <w:szCs w:val="24"/>
        </w:rPr>
        <w:t>基金托管费</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251,953.03</w:t>
            </w:r>
          </w:p>
        </w:tc>
      </w:tr>
    </w:tbl>
    <w:p>
      <w:pPr>
        <w:spacing w:before="29" w:line="288" w:lineRule="auto"/>
        <w:ind w:left="15"/>
        <w:jc w:val="left"/>
        <w:rPr>
          <w:rFonts w:ascii="宋体" w:hAnsi="宋体" w:cs="宋体"/>
          <w:color w:val="000000"/>
        </w:rPr>
      </w:pPr>
      <w:r>
        <w:rPr>
          <w:rFonts w:hint="eastAsia" w:ascii="宋体" w:hAnsi="宋体" w:cs="宋体"/>
          <w:color w:val="000000"/>
        </w:rPr>
        <w:t>注：支付基金托管人中国工商银行的托管费按前一日基金资产净值</w:t>
      </w:r>
      <w:r>
        <w:rPr>
          <w:rFonts w:ascii="宋体" w:hAnsi="宋体" w:cs="宋体"/>
          <w:color w:val="000000"/>
        </w:rPr>
        <w:t>0.25%</w:t>
      </w:r>
      <w:r>
        <w:rPr>
          <w:rFonts w:hint="eastAsia" w:ascii="宋体" w:hAnsi="宋体" w:cs="宋体"/>
          <w:color w:val="000000"/>
        </w:rPr>
        <w:t>的年费率计提，逐日累计至每月月底，按月支付。其计算公式为：日托管费＝前一日基金资产净值</w:t>
      </w:r>
      <w:r>
        <w:rPr>
          <w:rFonts w:ascii="宋体" w:hAnsi="宋体" w:cs="宋体"/>
          <w:color w:val="000000"/>
        </w:rPr>
        <w:t>*0.25%/</w:t>
      </w:r>
      <w:r>
        <w:rPr>
          <w:rFonts w:hint="eastAsia" w:ascii="宋体" w:hAnsi="宋体" w:cs="宋体"/>
          <w:color w:val="000000"/>
        </w:rPr>
        <w:t>当年天数。</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7.4.10.3 </w:t>
      </w:r>
      <w:r>
        <w:rPr>
          <w:rFonts w:hint="eastAsia" w:ascii="宋体" w:hAnsi="宋体" w:cs="宋体"/>
          <w:b/>
          <w:bCs/>
          <w:color w:val="000000"/>
          <w:sz w:val="24"/>
          <w:szCs w:val="24"/>
        </w:rPr>
        <w:t>与关联方进行银行间同业市场的债券</w:t>
      </w:r>
      <w:r>
        <w:rPr>
          <w:rFonts w:ascii="宋体" w:hAnsi="宋体" w:cs="宋体"/>
          <w:b/>
          <w:bCs/>
          <w:color w:val="000000"/>
          <w:sz w:val="24"/>
          <w:szCs w:val="24"/>
        </w:rPr>
        <w:t>(</w:t>
      </w:r>
      <w:r>
        <w:rPr>
          <w:rFonts w:hint="eastAsia" w:ascii="宋体" w:hAnsi="宋体" w:cs="宋体"/>
          <w:b/>
          <w:bCs/>
          <w:color w:val="000000"/>
          <w:sz w:val="24"/>
          <w:szCs w:val="24"/>
        </w:rPr>
        <w:t>含回购</w:t>
      </w:r>
      <w:r>
        <w:rPr>
          <w:rFonts w:ascii="宋体" w:hAnsi="宋体" w:cs="宋体"/>
          <w:b/>
          <w:bCs/>
          <w:color w:val="000000"/>
          <w:sz w:val="24"/>
          <w:szCs w:val="24"/>
        </w:rPr>
        <w:t>)</w:t>
      </w:r>
      <w:r>
        <w:rPr>
          <w:rFonts w:hint="eastAsia" w:ascii="宋体" w:hAnsi="宋体" w:cs="宋体"/>
          <w:b/>
          <w:bCs/>
          <w:color w:val="000000"/>
          <w:sz w:val="24"/>
          <w:szCs w:val="24"/>
        </w:rPr>
        <w:t>交易</w:t>
      </w:r>
    </w:p>
    <w:p>
      <w:pPr>
        <w:spacing w:line="288" w:lineRule="auto"/>
        <w:ind w:firstLine="480" w:firstLineChars="200"/>
        <w:jc w:val="left"/>
        <w:rPr>
          <w:rFonts w:hint="eastAsia"/>
          <w:sz w:val="24"/>
        </w:rPr>
      </w:pPr>
      <w:r>
        <w:rPr>
          <w:sz w:val="24"/>
        </w:rPr>
        <w:t>本基金本报告期未与关联方进行银行间同业市场债券（含回购）交易。</w:t>
      </w:r>
    </w:p>
    <w:p>
      <w:pPr>
        <w:spacing w:line="288" w:lineRule="auto"/>
        <w:ind w:firstLine="460" w:firstLineChars="200"/>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7.4.10.4 </w:t>
      </w:r>
      <w:r>
        <w:rPr>
          <w:rFonts w:hint="eastAsia" w:ascii="宋体" w:hAnsi="宋体" w:cs="宋体"/>
          <w:b/>
          <w:bCs/>
          <w:color w:val="000000"/>
          <w:sz w:val="24"/>
          <w:szCs w:val="24"/>
        </w:rPr>
        <w:t>各关联方投资本基金的情况</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7.4.10.4.1 </w:t>
      </w:r>
      <w:r>
        <w:rPr>
          <w:rFonts w:hint="eastAsia" w:ascii="宋体" w:hAnsi="宋体" w:cs="宋体"/>
          <w:b/>
          <w:bCs/>
          <w:color w:val="000000"/>
          <w:sz w:val="24"/>
          <w:szCs w:val="24"/>
        </w:rPr>
        <w:t>报告期内基金管理人运用固有资金投资本基金的情况</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份额单位：人民币元</w:t>
      </w:r>
    </w:p>
    <w:tbl>
      <w:tblPr>
        <w:tblStyle w:val="10"/>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日）持有的基金份额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10,010,250.00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期初持有的基金份额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基金合同生效日起至报告期期末基金总申购份额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基金合同生效日起至报告期期末基金拆分变动份额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减：基金合同生效日起至报告期期末基金总赎回份额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期末持有的基金份额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10,010,250.00</w:t>
            </w:r>
          </w:p>
        </w:tc>
      </w:tr>
      <w:tr>
        <w:tblPrEx>
          <w:tblCellMar>
            <w:top w:w="0" w:type="dxa"/>
            <w:left w:w="108" w:type="dxa"/>
            <w:bottom w:w="0" w:type="dxa"/>
            <w:right w:w="108" w:type="dxa"/>
          </w:tblCellMar>
        </w:tblPrEx>
        <w:trPr>
          <w:wBefore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期末持有的基金份额</w:t>
            </w:r>
          </w:p>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占基金总份额比例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4.03%</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7.4.10.4.2 </w:t>
      </w:r>
      <w:r>
        <w:rPr>
          <w:rFonts w:hint="eastAsia" w:ascii="宋体" w:hAnsi="宋体" w:cs="宋体"/>
          <w:b/>
          <w:bCs/>
          <w:color w:val="000000"/>
          <w:sz w:val="24"/>
          <w:szCs w:val="24"/>
        </w:rPr>
        <w:t>报告期末除基金管理人之外的其他关联方投资本基金的情况</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份额单位：份</w:t>
      </w:r>
    </w:p>
    <w:tbl>
      <w:tblPr>
        <w:tblStyle w:val="10"/>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dxa"/>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持有的基金份额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持有的基金份额占基金总份额的比例</w:t>
            </w:r>
          </w:p>
        </w:tc>
      </w:tr>
      <w:tr>
        <w:tblPrEx>
          <w:tblCellMar>
            <w:top w:w="0" w:type="dxa"/>
            <w:left w:w="108" w:type="dxa"/>
            <w:bottom w:w="0" w:type="dxa"/>
            <w:right w:w="108" w:type="dxa"/>
          </w:tblCellMar>
        </w:tblPrEx>
        <w:trPr>
          <w:wBefore w:w="0" w:type="dxa"/>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第一创业证券股份有限公司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4,999,450.00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7.4.10.5 </w:t>
      </w:r>
      <w:r>
        <w:rPr>
          <w:rFonts w:hint="eastAsia" w:ascii="宋体" w:hAnsi="宋体" w:cs="宋体"/>
          <w:b/>
          <w:bCs/>
          <w:color w:val="000000"/>
          <w:sz w:val="24"/>
          <w:szCs w:val="24"/>
        </w:rPr>
        <w:t>由关联方保管的银行存款余额及当期产生的利息收入</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dxa"/>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日至</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期末余额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当期利息收入</w:t>
            </w:r>
          </w:p>
        </w:tc>
      </w:tr>
      <w:tr>
        <w:tblPrEx>
          <w:tblCellMar>
            <w:top w:w="0" w:type="dxa"/>
            <w:left w:w="108" w:type="dxa"/>
            <w:bottom w:w="0" w:type="dxa"/>
            <w:right w:w="108" w:type="dxa"/>
          </w:tblCellMar>
        </w:tblPrEx>
        <w:trPr>
          <w:wBefore w:w="0" w:type="dxa"/>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中国工商银行活期存款</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15,901,846.23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104,614.41</w:t>
            </w:r>
          </w:p>
        </w:tc>
      </w:tr>
    </w:tbl>
    <w:p>
      <w:pPr>
        <w:spacing w:before="29" w:line="288" w:lineRule="auto"/>
        <w:ind w:left="15"/>
        <w:jc w:val="left"/>
        <w:rPr>
          <w:rFonts w:ascii="宋体" w:hAnsi="宋体" w:cs="宋体"/>
          <w:color w:val="000000"/>
        </w:rPr>
      </w:pPr>
      <w:r>
        <w:rPr>
          <w:rFonts w:hint="eastAsia" w:ascii="宋体" w:hAnsi="宋体" w:cs="宋体"/>
          <w:color w:val="000000"/>
        </w:rPr>
        <w:t>注：本基金的银行存款由基金托管人中国工商银行保管，按</w:t>
      </w:r>
      <w:r>
        <w:rPr>
          <w:rFonts w:hint="eastAsia" w:ascii="宋体" w:hAnsi="宋体" w:cs="宋体"/>
          <w:color w:val="000000"/>
          <w:highlight w:val="yellow"/>
        </w:rPr>
        <w:t>金融机构同业存款利率</w:t>
      </w:r>
      <w:r>
        <w:rPr>
          <w:rFonts w:hint="eastAsia" w:ascii="宋体" w:hAnsi="宋体" w:cs="宋体"/>
          <w:color w:val="000000"/>
        </w:rPr>
        <w:t>计息。</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sz w:val="24"/>
          <w:szCs w:val="24"/>
        </w:rPr>
      </w:pPr>
      <w:r>
        <w:rPr>
          <w:rFonts w:ascii="宋体" w:hAnsi="宋体" w:cs="宋体"/>
          <w:b/>
          <w:bCs/>
          <w:sz w:val="24"/>
          <w:szCs w:val="24"/>
        </w:rPr>
        <w:t xml:space="preserve">7.4.10.6 </w:t>
      </w:r>
      <w:r>
        <w:rPr>
          <w:rFonts w:hint="eastAsia" w:ascii="宋体" w:hAnsi="宋体" w:cs="宋体"/>
          <w:b/>
          <w:bCs/>
          <w:sz w:val="24"/>
          <w:szCs w:val="24"/>
        </w:rPr>
        <w:t>本基金在承销期内参与关联方承销证券的情况</w:t>
      </w:r>
    </w:p>
    <w:p>
      <w:pPr>
        <w:spacing w:before="29" w:line="288" w:lineRule="auto"/>
        <w:ind w:left="15" w:firstLine="480" w:firstLineChars="200"/>
        <w:jc w:val="left"/>
        <w:rPr>
          <w:rFonts w:hint="eastAsia" w:ascii="宋体"/>
          <w:kern w:val="0"/>
          <w:sz w:val="24"/>
        </w:rPr>
      </w:pPr>
      <w:r>
        <w:rPr>
          <w:rFonts w:ascii="宋体"/>
          <w:kern w:val="0"/>
          <w:sz w:val="24"/>
        </w:rPr>
        <w:t>本基金本报告期未发生在承销期内参与关联方承销证券的情况。</w:t>
      </w:r>
    </w:p>
    <w:p>
      <w:pPr>
        <w:spacing w:before="29" w:line="288" w:lineRule="auto"/>
        <w:ind w:left="15" w:firstLine="482" w:firstLineChars="200"/>
        <w:jc w:val="left"/>
        <w:rPr>
          <w:rFonts w:ascii="宋体" w:hAnsi="宋体" w:cs="宋体"/>
          <w:b/>
          <w:bCs/>
          <w:sz w:val="24"/>
          <w:szCs w:val="24"/>
        </w:rPr>
      </w:pPr>
    </w:p>
    <w:p>
      <w:pPr>
        <w:spacing w:before="29" w:line="288" w:lineRule="auto"/>
        <w:ind w:left="15"/>
        <w:jc w:val="left"/>
        <w:rPr>
          <w:rFonts w:ascii="宋体" w:hAnsi="宋体" w:cs="宋体"/>
          <w:b/>
          <w:bCs/>
          <w:sz w:val="24"/>
          <w:szCs w:val="24"/>
        </w:rPr>
      </w:pPr>
      <w:r>
        <w:rPr>
          <w:rFonts w:ascii="宋体" w:hAnsi="宋体" w:cs="宋体"/>
          <w:b/>
          <w:bCs/>
          <w:sz w:val="24"/>
          <w:szCs w:val="24"/>
        </w:rPr>
        <w:t xml:space="preserve">7.4.10.7 </w:t>
      </w:r>
      <w:r>
        <w:rPr>
          <w:rFonts w:hint="eastAsia" w:ascii="宋体" w:hAnsi="宋体" w:cs="宋体"/>
          <w:b/>
          <w:bCs/>
          <w:sz w:val="24"/>
          <w:szCs w:val="24"/>
        </w:rPr>
        <w:t>其他关联交易事项的说明</w:t>
      </w:r>
    </w:p>
    <w:p>
      <w:pPr>
        <w:spacing w:line="288" w:lineRule="auto"/>
        <w:ind w:firstLine="600" w:firstLineChars="250"/>
        <w:jc w:val="left"/>
        <w:rPr>
          <w:rFonts w:hint="eastAsia" w:ascii="宋体"/>
          <w:kern w:val="0"/>
          <w:sz w:val="24"/>
        </w:rPr>
      </w:pPr>
      <w:r>
        <w:rPr>
          <w:rFonts w:ascii="宋体"/>
          <w:kern w:val="0"/>
          <w:sz w:val="24"/>
        </w:rPr>
        <w:t>本基金本报告期无须作说明的其他关联交易事项。</w:t>
      </w:r>
    </w:p>
    <w:p>
      <w:pPr>
        <w:spacing w:line="288" w:lineRule="auto"/>
        <w:ind w:firstLine="575" w:firstLineChars="250"/>
        <w:jc w:val="left"/>
        <w:rPr>
          <w:rFonts w:ascii="MS Sans Serif" w:hAnsi="MS Sans Serif"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7.4.11 </w:t>
      </w:r>
      <w:r>
        <w:rPr>
          <w:rFonts w:hint="eastAsia" w:ascii="宋体" w:hAnsi="宋体" w:cs="宋体"/>
          <w:b/>
          <w:bCs/>
          <w:color w:val="000000"/>
          <w:sz w:val="24"/>
          <w:szCs w:val="24"/>
        </w:rPr>
        <w:t>利润分配情况</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7.4.11.1 </w:t>
      </w:r>
      <w:r>
        <w:rPr>
          <w:rFonts w:hint="eastAsia" w:ascii="宋体" w:hAnsi="宋体" w:cs="宋体"/>
          <w:b/>
          <w:bCs/>
          <w:color w:val="000000"/>
          <w:sz w:val="24"/>
          <w:szCs w:val="24"/>
        </w:rPr>
        <w:t>利润分配情况——非货币市场基金</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本基金于本期未进行利润分配。</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7.4.12 </w:t>
      </w:r>
      <w:r>
        <w:rPr>
          <w:rFonts w:hint="eastAsia" w:ascii="宋体" w:hAnsi="宋体" w:cs="宋体"/>
          <w:b/>
          <w:bCs/>
          <w:color w:val="000000"/>
          <w:sz w:val="24"/>
          <w:szCs w:val="24"/>
        </w:rPr>
        <w:t>期末（</w:t>
      </w:r>
      <w:r>
        <w:rPr>
          <w:rFonts w:ascii="宋体" w:hAnsi="宋体" w:cs="宋体"/>
          <w:b/>
          <w:bCs/>
          <w:color w:val="000000"/>
          <w:sz w:val="24"/>
          <w:szCs w:val="24"/>
        </w:rPr>
        <w:t>2015</w:t>
      </w:r>
      <w:r>
        <w:rPr>
          <w:rFonts w:hint="eastAsia" w:ascii="宋体" w:hAnsi="宋体" w:cs="宋体"/>
          <w:b/>
          <w:bCs/>
          <w:color w:val="000000"/>
          <w:sz w:val="24"/>
          <w:szCs w:val="24"/>
        </w:rPr>
        <w:t>年</w:t>
      </w:r>
      <w:r>
        <w:rPr>
          <w:rFonts w:ascii="宋体" w:hAnsi="宋体" w:cs="宋体"/>
          <w:b/>
          <w:bCs/>
          <w:color w:val="000000"/>
          <w:sz w:val="24"/>
          <w:szCs w:val="24"/>
        </w:rPr>
        <w:t>12</w:t>
      </w:r>
      <w:r>
        <w:rPr>
          <w:rFonts w:hint="eastAsia" w:ascii="宋体" w:hAnsi="宋体" w:cs="宋体"/>
          <w:b/>
          <w:bCs/>
          <w:color w:val="000000"/>
          <w:sz w:val="24"/>
          <w:szCs w:val="24"/>
        </w:rPr>
        <w:t>月</w:t>
      </w:r>
      <w:r>
        <w:rPr>
          <w:rFonts w:ascii="宋体" w:hAnsi="宋体" w:cs="宋体"/>
          <w:b/>
          <w:bCs/>
          <w:color w:val="000000"/>
          <w:sz w:val="24"/>
          <w:szCs w:val="24"/>
        </w:rPr>
        <w:t>31</w:t>
      </w:r>
      <w:r>
        <w:rPr>
          <w:rFonts w:hint="eastAsia" w:ascii="宋体" w:hAnsi="宋体" w:cs="宋体"/>
          <w:b/>
          <w:bCs/>
          <w:color w:val="000000"/>
          <w:sz w:val="24"/>
          <w:szCs w:val="24"/>
        </w:rPr>
        <w:t>日）本基金持有的流通受限证券</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7.4.12.1 </w:t>
      </w:r>
      <w:r>
        <w:rPr>
          <w:rFonts w:hint="eastAsia" w:ascii="宋体" w:hAnsi="宋体" w:cs="宋体"/>
          <w:b/>
          <w:bCs/>
          <w:color w:val="000000"/>
          <w:sz w:val="24"/>
          <w:szCs w:val="24"/>
        </w:rPr>
        <w:t>因认购新发</w:t>
      </w:r>
      <w:r>
        <w:rPr>
          <w:rFonts w:ascii="宋体" w:hAnsi="宋体" w:cs="宋体"/>
          <w:b/>
          <w:bCs/>
          <w:color w:val="000000"/>
          <w:sz w:val="24"/>
          <w:szCs w:val="24"/>
        </w:rPr>
        <w:t>/</w:t>
      </w:r>
      <w:r>
        <w:rPr>
          <w:rFonts w:hint="eastAsia" w:ascii="宋体" w:hAnsi="宋体" w:cs="宋体"/>
          <w:b/>
          <w:bCs/>
          <w:color w:val="000000"/>
          <w:sz w:val="24"/>
          <w:szCs w:val="24"/>
        </w:rPr>
        <w:t>增发证券而于期末持有的流通受限证券</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本基金于本期末未持有因认购新发</w:t>
      </w:r>
      <w:r>
        <w:rPr>
          <w:rFonts w:ascii="宋体" w:hAnsi="宋体" w:cs="宋体"/>
          <w:color w:val="000000"/>
          <w:sz w:val="24"/>
          <w:szCs w:val="24"/>
        </w:rPr>
        <w:t>/</w:t>
      </w:r>
      <w:r>
        <w:rPr>
          <w:rFonts w:hint="eastAsia" w:ascii="宋体" w:hAnsi="宋体" w:cs="宋体"/>
          <w:color w:val="000000"/>
          <w:sz w:val="24"/>
          <w:szCs w:val="24"/>
        </w:rPr>
        <w:t>增发证券而流通受限的证券。</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7.4.12.2 </w:t>
      </w:r>
      <w:r>
        <w:rPr>
          <w:rFonts w:hint="eastAsia" w:ascii="宋体" w:hAnsi="宋体" w:cs="宋体"/>
          <w:b/>
          <w:bCs/>
          <w:color w:val="000000"/>
          <w:sz w:val="24"/>
          <w:szCs w:val="24"/>
        </w:rPr>
        <w:t>期末持有的暂时停牌等流通受限股票</w:t>
      </w:r>
    </w:p>
    <w:p>
      <w:pPr>
        <w:spacing w:before="29" w:line="288" w:lineRule="auto"/>
        <w:ind w:left="15"/>
        <w:jc w:val="right"/>
        <w:rPr>
          <w:rFonts w:ascii="宋体" w:hAnsi="宋体" w:cs="宋体"/>
          <w:color w:val="000000"/>
          <w:sz w:val="18"/>
          <w:szCs w:val="18"/>
        </w:rPr>
      </w:pPr>
      <w:r>
        <w:rPr>
          <w:rFonts w:hint="eastAsia" w:ascii="宋体" w:hAnsi="宋体" w:cs="宋体"/>
          <w:color w:val="000000"/>
          <w:sz w:val="18"/>
          <w:szCs w:val="18"/>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期末</w:t>
            </w:r>
          </w:p>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复牌</w:t>
            </w:r>
          </w:p>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数量</w:t>
            </w:r>
          </w:p>
          <w:p>
            <w:pPr>
              <w:spacing w:before="29" w:line="288" w:lineRule="auto"/>
              <w:ind w:left="15"/>
              <w:jc w:val="center"/>
              <w:rPr>
                <w:rFonts w:ascii="宋体" w:hAnsi="宋体" w:cs="宋体"/>
                <w:color w:val="000000"/>
                <w:sz w:val="18"/>
                <w:szCs w:val="18"/>
              </w:rPr>
            </w:pPr>
            <w:r>
              <w:rPr>
                <w:rFonts w:ascii="宋体" w:hAnsi="宋体" w:cs="宋体"/>
                <w:color w:val="000000"/>
                <w:sz w:val="18"/>
                <w:szCs w:val="18"/>
              </w:rPr>
              <w:t>(</w:t>
            </w:r>
            <w:r>
              <w:rPr>
                <w:rFonts w:hint="eastAsia" w:ascii="宋体" w:hAnsi="宋体" w:cs="宋体"/>
                <w:color w:val="000000"/>
                <w:sz w:val="18"/>
                <w:szCs w:val="18"/>
              </w:rPr>
              <w:t>单位</w:t>
            </w:r>
            <w:r>
              <w:rPr>
                <w:rFonts w:ascii="宋体" w:hAnsi="宋体" w:cs="宋体"/>
                <w:color w:val="000000"/>
                <w:sz w:val="18"/>
                <w:szCs w:val="18"/>
              </w:rPr>
              <w:t xml:space="preserve">: </w:t>
            </w:r>
            <w:r>
              <w:rPr>
                <w:rFonts w:hint="eastAsia" w:ascii="宋体" w:hAnsi="宋体" w:cs="宋体"/>
                <w:color w:val="000000"/>
                <w:sz w:val="18"/>
                <w:szCs w:val="18"/>
              </w:rPr>
              <w:t>股</w:t>
            </w:r>
            <w:r>
              <w:rPr>
                <w:rFonts w:ascii="宋体" w:hAnsi="宋体" w:cs="宋体"/>
                <w:color w:val="000000"/>
                <w:sz w:val="18"/>
                <w:szCs w:val="18"/>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期末</w:t>
            </w:r>
          </w:p>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期末</w:t>
            </w:r>
          </w:p>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估值总额</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ascii="宋体" w:hAnsi="宋体" w:cs="宋体"/>
                <w:color w:val="000000"/>
                <w:sz w:val="18"/>
                <w:szCs w:val="18"/>
              </w:rPr>
              <w:t>600859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王府井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ascii="宋体" w:hAnsi="宋体" w:cs="宋体"/>
                <w:color w:val="000000"/>
                <w:sz w:val="18"/>
                <w:szCs w:val="18"/>
              </w:rPr>
              <w:t>2015-12-21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hint="eastAsia" w:ascii="宋体" w:hAnsi="宋体" w:cs="宋体"/>
                <w:color w:val="000000"/>
                <w:sz w:val="18"/>
                <w:szCs w:val="18"/>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18"/>
                <w:szCs w:val="18"/>
              </w:rPr>
            </w:pPr>
            <w:r>
              <w:rPr>
                <w:rFonts w:ascii="宋体" w:hAnsi="宋体" w:cs="宋体"/>
                <w:color w:val="000000"/>
                <w:sz w:val="18"/>
                <w:szCs w:val="18"/>
              </w:rPr>
              <w:t>27.22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18"/>
                <w:szCs w:val="18"/>
              </w:rPr>
            </w:pPr>
            <w:r>
              <w:rPr>
                <w:rFonts w:ascii="宋体" w:hAnsi="宋体" w:cs="宋体"/>
                <w:color w:val="000000"/>
                <w:sz w:val="18"/>
                <w:szCs w:val="18"/>
              </w:rPr>
              <w:t>2016-01-04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18"/>
                <w:szCs w:val="18"/>
              </w:rPr>
            </w:pPr>
            <w:r>
              <w:rPr>
                <w:rFonts w:ascii="宋体" w:hAnsi="宋体" w:cs="宋体"/>
                <w:color w:val="000000"/>
                <w:sz w:val="18"/>
                <w:szCs w:val="18"/>
              </w:rPr>
              <w:t>27.22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18"/>
                <w:szCs w:val="18"/>
              </w:rPr>
            </w:pPr>
            <w:r>
              <w:rPr>
                <w:rFonts w:ascii="宋体" w:hAnsi="宋体" w:cs="宋体"/>
                <w:color w:val="000000"/>
                <w:sz w:val="18"/>
                <w:szCs w:val="18"/>
              </w:rPr>
              <w:t>50,000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18"/>
                <w:szCs w:val="18"/>
              </w:rPr>
            </w:pPr>
            <w:r>
              <w:rPr>
                <w:rFonts w:ascii="宋体" w:hAnsi="宋体" w:cs="宋体"/>
                <w:color w:val="000000"/>
                <w:sz w:val="18"/>
                <w:szCs w:val="18"/>
              </w:rPr>
              <w:t>1,251,684.96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18"/>
                <w:szCs w:val="18"/>
              </w:rPr>
            </w:pPr>
            <w:r>
              <w:rPr>
                <w:rFonts w:ascii="宋体" w:hAnsi="宋体" w:cs="宋体"/>
                <w:color w:val="000000"/>
                <w:sz w:val="18"/>
                <w:szCs w:val="18"/>
              </w:rPr>
              <w:t>1,361,000.00</w:t>
            </w:r>
          </w:p>
        </w:tc>
      </w:tr>
    </w:tbl>
    <w:p>
      <w:pPr>
        <w:spacing w:before="29" w:line="288" w:lineRule="auto"/>
        <w:ind w:left="15"/>
        <w:jc w:val="left"/>
        <w:rPr>
          <w:rFonts w:ascii="宋体" w:hAnsi="宋体" w:cs="宋体"/>
          <w:color w:val="000000"/>
        </w:rPr>
      </w:pPr>
      <w:r>
        <w:rPr>
          <w:rFonts w:hint="eastAsia" w:ascii="宋体" w:hAnsi="宋体" w:cs="宋体"/>
          <w:color w:val="000000"/>
        </w:rPr>
        <w:t>注：本基金截至</w:t>
      </w:r>
      <w:r>
        <w:rPr>
          <w:rFonts w:ascii="宋体" w:hAnsi="宋体" w:cs="宋体"/>
          <w:color w:val="000000"/>
        </w:rPr>
        <w:t>2015</w:t>
      </w:r>
      <w:r>
        <w:rPr>
          <w:rFonts w:hint="eastAsia" w:ascii="宋体" w:hAnsi="宋体" w:cs="宋体"/>
          <w:color w:val="000000"/>
        </w:rPr>
        <w:t>年</w:t>
      </w:r>
      <w:r>
        <w:rPr>
          <w:rFonts w:ascii="宋体" w:hAnsi="宋体" w:cs="宋体"/>
          <w:color w:val="000000"/>
        </w:rPr>
        <w:t>12</w:t>
      </w:r>
      <w:r>
        <w:rPr>
          <w:rFonts w:hint="eastAsia" w:ascii="宋体" w:hAnsi="宋体" w:cs="宋体"/>
          <w:color w:val="000000"/>
        </w:rPr>
        <w:t>月</w:t>
      </w:r>
      <w:r>
        <w:rPr>
          <w:rFonts w:ascii="宋体" w:hAnsi="宋体" w:cs="宋体"/>
          <w:color w:val="000000"/>
        </w:rPr>
        <w:t>31</w:t>
      </w:r>
      <w:r>
        <w:rPr>
          <w:rFonts w:hint="eastAsia" w:ascii="宋体" w:hAnsi="宋体" w:cs="宋体"/>
          <w:color w:val="000000"/>
        </w:rPr>
        <w:t>日止持有以上因重大事项可能产生重大影响被暂时停牌的股票，该类股票将在所公布事项的重大影响消除后，经交易所批准复牌。</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7.4.12.3 </w:t>
      </w:r>
      <w:r>
        <w:rPr>
          <w:rFonts w:hint="eastAsia" w:ascii="宋体" w:hAnsi="宋体" w:cs="宋体"/>
          <w:b/>
          <w:bCs/>
          <w:color w:val="000000"/>
          <w:sz w:val="24"/>
          <w:szCs w:val="24"/>
        </w:rPr>
        <w:t>期末债券正回购交易中作为抵押的债券</w:t>
      </w:r>
    </w:p>
    <w:p>
      <w:pPr>
        <w:spacing w:before="29" w:line="288" w:lineRule="auto"/>
        <w:ind w:left="15"/>
        <w:jc w:val="left"/>
        <w:rPr>
          <w:rFonts w:ascii="MS Sans Serif" w:hAnsi="MS Sans Serif" w:cs="MS Sans Serif"/>
          <w:color w:val="000000"/>
          <w:sz w:val="23"/>
          <w:szCs w:val="23"/>
        </w:rPr>
      </w:pPr>
      <w:r>
        <w:rPr>
          <w:rFonts w:ascii="宋体" w:hAnsi="宋体" w:cs="宋体"/>
          <w:b/>
          <w:bCs/>
          <w:color w:val="000000"/>
          <w:sz w:val="24"/>
          <w:szCs w:val="24"/>
        </w:rPr>
        <w:t xml:space="preserve">7.4.12.3.1 </w:t>
      </w:r>
      <w:r>
        <w:rPr>
          <w:rFonts w:hint="eastAsia" w:ascii="宋体" w:hAnsi="宋体" w:cs="宋体"/>
          <w:b/>
          <w:bCs/>
          <w:color w:val="000000"/>
          <w:sz w:val="24"/>
          <w:szCs w:val="24"/>
        </w:rPr>
        <w:t>银行间市场债券正回购</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本基金于本期末未持有银行间市场债券正回购。</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7.4.12.3.2 </w:t>
      </w:r>
      <w:r>
        <w:rPr>
          <w:rFonts w:hint="eastAsia" w:ascii="宋体" w:hAnsi="宋体" w:cs="宋体"/>
          <w:b/>
          <w:bCs/>
          <w:color w:val="000000"/>
          <w:sz w:val="24"/>
          <w:szCs w:val="24"/>
        </w:rPr>
        <w:t>交易所市场债券正回购</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本基金于本期末未持有交易所市场债券正回购。</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 </w:t>
      </w:r>
      <w:r>
        <w:rPr>
          <w:rFonts w:hint="eastAsia" w:ascii="宋体" w:hAnsi="宋体" w:cs="宋体"/>
          <w:b/>
          <w:bCs/>
          <w:color w:val="000000"/>
          <w:sz w:val="24"/>
          <w:szCs w:val="24"/>
        </w:rPr>
        <w:t>金融工具风险及管理</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7.4.13.1 </w:t>
      </w:r>
      <w:r>
        <w:rPr>
          <w:rFonts w:hint="eastAsia" w:ascii="宋体" w:hAnsi="宋体" w:cs="宋体"/>
          <w:b/>
          <w:bCs/>
          <w:color w:val="000000"/>
          <w:sz w:val="24"/>
          <w:szCs w:val="24"/>
        </w:rPr>
        <w:t>风险管理政策和组织架构</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本基金的基金管理人奉行全面风险管理体系的建设，建立了以风险控制委员会为核心的、由督察长、风险管理委员会、监察稽核部和相关业务部门构成的四级风险管理架构体系。</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7.4.13.2</w:t>
      </w:r>
      <w:r>
        <w:rPr>
          <w:rFonts w:hint="eastAsia" w:ascii="宋体" w:hAnsi="宋体" w:cs="宋体"/>
          <w:b/>
          <w:bCs/>
          <w:color w:val="000000"/>
          <w:sz w:val="24"/>
          <w:szCs w:val="24"/>
        </w:rPr>
        <w:t>信用风险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信用风险是指基金在交易过程中因交易对手未履行合约责任，或者基金所投资证券之发行人出现违约、拒绝支付到期本息等情况，导致基金资产损失和收益变化的风险。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本基金的基金管理人建立了信用风险管理流程，通过对投资品种信用等级评估来控制证券发行人的信用风险，且通过分散化投资以分散信用风险。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本基金债券投资的信用评级情况按《中国人民银行信用评级管理指导意见》设定的标准统计及汇总。</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日，本基金未持有债券投资。</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7.4.13.3 </w:t>
      </w:r>
      <w:r>
        <w:rPr>
          <w:rFonts w:hint="eastAsia" w:ascii="宋体" w:hAnsi="宋体" w:cs="宋体"/>
          <w:b/>
          <w:bCs/>
          <w:color w:val="000000"/>
          <w:sz w:val="24"/>
          <w:szCs w:val="24"/>
        </w:rPr>
        <w:t>流动性风险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hAnsi="宋体" w:cs="宋体"/>
          <w:color w:val="000000"/>
          <w:sz w:val="24"/>
          <w:szCs w:val="24"/>
        </w:rPr>
        <w:t>10%</w:t>
      </w:r>
      <w:r>
        <w:rPr>
          <w:rFonts w:hint="eastAsia" w:ascii="宋体" w:hAnsi="宋体" w:cs="宋体"/>
          <w:color w:val="000000"/>
          <w:sz w:val="24"/>
          <w:szCs w:val="24"/>
        </w:rPr>
        <w:t>，且本基金与由本基金的基金管理人管理的其他基金共同持有一家公司发行的证券不得超过该证券的</w:t>
      </w:r>
      <w:r>
        <w:rPr>
          <w:rFonts w:ascii="宋体" w:hAnsi="宋体" w:cs="宋体"/>
          <w:color w:val="000000"/>
          <w:sz w:val="24"/>
          <w:szCs w:val="24"/>
        </w:rPr>
        <w:t>10%</w:t>
      </w:r>
      <w:r>
        <w:rPr>
          <w:rFonts w:hint="eastAsia" w:ascii="宋体" w:hAnsi="宋体" w:cs="宋体"/>
          <w:color w:val="000000"/>
          <w:sz w:val="24"/>
          <w:szCs w:val="24"/>
        </w:rPr>
        <w:t>。本基金所持大部分证券在证券交易所上市，其余亦可在银行间同业市场交易，因此除附注</w:t>
      </w:r>
      <w:r>
        <w:rPr>
          <w:rFonts w:ascii="宋体" w:hAnsi="宋体" w:cs="宋体"/>
          <w:color w:val="000000"/>
          <w:sz w:val="24"/>
          <w:szCs w:val="24"/>
        </w:rPr>
        <w:t>7.4.12</w:t>
      </w:r>
      <w:r>
        <w:rPr>
          <w:rFonts w:hint="eastAsia" w:ascii="宋体" w:hAnsi="宋体" w:cs="宋体"/>
          <w:color w:val="00000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日，本基金所承担的全部金融负债的合约约定到期日均较短且不计息，可赎回基金份额净值</w:t>
      </w:r>
      <w:r>
        <w:rPr>
          <w:rFonts w:ascii="宋体" w:hAnsi="宋体" w:cs="宋体"/>
          <w:color w:val="000000"/>
          <w:sz w:val="24"/>
          <w:szCs w:val="24"/>
        </w:rPr>
        <w:t>(</w:t>
      </w:r>
      <w:r>
        <w:rPr>
          <w:rFonts w:hint="eastAsia" w:ascii="宋体" w:hAnsi="宋体" w:cs="宋体"/>
          <w:color w:val="000000"/>
          <w:sz w:val="24"/>
          <w:szCs w:val="24"/>
        </w:rPr>
        <w:t>所有者权益</w:t>
      </w:r>
      <w:r>
        <w:rPr>
          <w:rFonts w:ascii="宋体" w:hAnsi="宋体" w:cs="宋体"/>
          <w:color w:val="000000"/>
          <w:sz w:val="24"/>
          <w:szCs w:val="24"/>
        </w:rPr>
        <w:t>)</w:t>
      </w:r>
      <w:r>
        <w:rPr>
          <w:rFonts w:hint="eastAsia" w:ascii="宋体" w:hAnsi="宋体" w:cs="宋体"/>
          <w:color w:val="000000"/>
          <w:sz w:val="24"/>
          <w:szCs w:val="24"/>
        </w:rPr>
        <w:t>无固定到期日且不计息，因此账面余额即为未折现的合约到期现金流量。</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 </w:t>
      </w:r>
      <w:r>
        <w:rPr>
          <w:rFonts w:hint="eastAsia" w:ascii="宋体" w:hAnsi="宋体" w:cs="宋体"/>
          <w:b/>
          <w:bCs/>
          <w:color w:val="000000"/>
          <w:sz w:val="24"/>
          <w:szCs w:val="24"/>
        </w:rPr>
        <w:t>市场风险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市场风险是指基金所持金融工具的公允价值或未来现金流量因所处市场各类价格因素的变动而发生波动的风险，包括利率风险、外汇风险和其他价格风险。</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7.4.13.4.1 </w:t>
      </w:r>
      <w:r>
        <w:rPr>
          <w:rFonts w:hint="eastAsia" w:ascii="宋体" w:hAnsi="宋体" w:cs="宋体"/>
          <w:b/>
          <w:bCs/>
          <w:color w:val="000000"/>
          <w:sz w:val="24"/>
          <w:szCs w:val="24"/>
        </w:rPr>
        <w:t>利率风险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本基金的基金管理人定期对本基金面临的利率敏感性缺口进行监控，并通过调整投资组合的久期等方法对上述利率风险进行管理。</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spacing w:before="145"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7.4.13.4.1.1 </w:t>
      </w:r>
      <w:r>
        <w:rPr>
          <w:rFonts w:hint="eastAsia" w:ascii="宋体" w:hAnsi="宋体" w:cs="宋体"/>
          <w:b/>
          <w:bCs/>
          <w:color w:val="000000"/>
          <w:sz w:val="24"/>
          <w:szCs w:val="24"/>
        </w:rPr>
        <w:t>利率风险敞口</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01"/>
        <w:gridCol w:w="1843"/>
        <w:gridCol w:w="709"/>
        <w:gridCol w:w="850"/>
        <w:gridCol w:w="1985"/>
        <w:gridCol w:w="1940"/>
        <w:tblGridChange w:id="0">
          <w:tblGrid>
            <w:gridCol w:w="1701"/>
            <w:gridCol w:w="1843"/>
            <w:gridCol w:w="709"/>
            <w:gridCol w:w="850"/>
            <w:gridCol w:w="1985"/>
            <w:gridCol w:w="1940"/>
          </w:tblGrid>
        </w:tblGridChange>
      </w:tblGrid>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年以内</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1-5</w:t>
            </w:r>
            <w:r>
              <w:rPr>
                <w:rFonts w:hint="eastAsia" w:ascii="宋体" w:hAnsi="宋体" w:cs="宋体"/>
                <w:color w:val="000000"/>
                <w:sz w:val="24"/>
                <w:szCs w:val="24"/>
              </w:rPr>
              <w:t>年</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年以上</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不计息</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银行存款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15,901,846.23</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15,901,846.23</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结算备付金</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21,826,917.00</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21,826,917.00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存出保证金</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13,128.52</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13,128.52</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交易性金融资产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166,111,695.90</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166,111,695.90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买入返售金融资产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44,000,000.00</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44,000,000.00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应收利息</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14,642.51</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14,642.51</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资产总计</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81,741,891.75</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166,126,338.41</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247,868,230.16</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负债</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3"/>
                <w:szCs w:val="23"/>
              </w:rPr>
            </w:pP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3"/>
                <w:szCs w:val="23"/>
              </w:rPr>
            </w:pP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3"/>
                <w:szCs w:val="23"/>
              </w:rPr>
            </w:pP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3"/>
                <w:szCs w:val="23"/>
              </w:rPr>
            </w:pP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3"/>
                <w:szCs w:val="23"/>
              </w:rPr>
            </w:pP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应付证券清算款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213,294.52</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213,294.52</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应付管理人报酬</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325,320.18</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325,320.18</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应付托管费</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54,220.07</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54,220.07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应付交易费用</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221,976.23</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221,976.23</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其他负债</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83,000.00</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83,000.00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负债总计</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897,811.00</w:t>
            </w: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897,811.00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利率敏感度缺口</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81,741,891.75</w:t>
            </w:r>
          </w:p>
        </w:tc>
        <w:tc>
          <w:tcPr>
            <w:tcW w:w="70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198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p>
        </w:tc>
        <w:tc>
          <w:tcPr>
            <w:tcW w:w="194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p>
        </w:tc>
      </w:tr>
    </w:tbl>
    <w:p>
      <w:pPr>
        <w:spacing w:before="145" w:line="288" w:lineRule="auto"/>
        <w:ind w:left="15"/>
        <w:jc w:val="left"/>
        <w:rPr>
          <w:rFonts w:ascii="宋体" w:hAnsi="宋体" w:cs="宋体"/>
          <w:color w:val="000000"/>
        </w:rPr>
      </w:pPr>
      <w:r>
        <w:rPr>
          <w:rFonts w:hint="eastAsia" w:ascii="宋体" w:hAnsi="宋体" w:cs="宋体"/>
          <w:color w:val="000000"/>
        </w:rPr>
        <w:t>注：表中所示为本基金资产及负债的账面价值，并按照合约规定的利率重新定价日或到期日孰早者予以分类。</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7.4.13.4.1.2 </w:t>
      </w:r>
      <w:r>
        <w:rPr>
          <w:rFonts w:hint="eastAsia" w:ascii="宋体" w:hAnsi="宋体" w:cs="宋体"/>
          <w:b/>
          <w:bCs/>
          <w:color w:val="000000"/>
          <w:sz w:val="24"/>
          <w:szCs w:val="24"/>
        </w:rPr>
        <w:t>利率风险的敏感性分析</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日，本基金未持有交易性债券投资，因此市场利率的变动对于本基金资产净值无重大影响。</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7.4.13.4.2 </w:t>
      </w:r>
      <w:r>
        <w:rPr>
          <w:rFonts w:hint="eastAsia" w:ascii="宋体" w:hAnsi="宋体" w:cs="宋体"/>
          <w:b/>
          <w:bCs/>
          <w:color w:val="000000"/>
          <w:sz w:val="24"/>
          <w:szCs w:val="24"/>
        </w:rPr>
        <w:t>外汇风险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外汇风险是指金融工具的公允价值或未来现金流量因外汇汇率变动而发生波动的风险。本基金的所有资产及负债以人民币计价，因此无重大外汇风险。</w:t>
      </w:r>
    </w:p>
    <w:p>
      <w:pPr>
        <w:spacing w:before="29" w:line="288" w:lineRule="auto"/>
        <w:ind w:left="15" w:firstLine="482"/>
        <w:jc w:val="left"/>
        <w:rPr>
          <w:rFonts w:ascii="MS Sans Serif" w:hAnsi="MS Sans Serif"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7.4.13.4.3 </w:t>
      </w:r>
      <w:r>
        <w:rPr>
          <w:rFonts w:hint="eastAsia" w:ascii="宋体" w:hAnsi="宋体" w:cs="宋体"/>
          <w:b/>
          <w:bCs/>
          <w:color w:val="000000"/>
          <w:sz w:val="24"/>
          <w:szCs w:val="24"/>
        </w:rPr>
        <w:t>其他价格风险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本基金通过投资组合的分散化降低其他价格风险。本基金投资组合中股票投资比例为基金总资产的</w:t>
      </w:r>
      <w:r>
        <w:rPr>
          <w:rFonts w:ascii="宋体" w:hAnsi="宋体" w:cs="宋体"/>
          <w:color w:val="000000"/>
          <w:sz w:val="24"/>
          <w:szCs w:val="24"/>
        </w:rPr>
        <w:t>0-95%</w:t>
      </w:r>
      <w:r>
        <w:rPr>
          <w:rFonts w:hint="eastAsia" w:ascii="宋体" w:hAnsi="宋体" w:cs="宋体"/>
          <w:color w:val="000000"/>
          <w:sz w:val="24"/>
          <w:szCs w:val="24"/>
        </w:rPr>
        <w:t>，基金持有全部权证的市值不超过基金资产净值的</w:t>
      </w:r>
      <w:r>
        <w:rPr>
          <w:rFonts w:ascii="宋体" w:hAnsi="宋体" w:cs="宋体"/>
          <w:color w:val="000000"/>
          <w:sz w:val="24"/>
          <w:szCs w:val="24"/>
        </w:rPr>
        <w:t>3%</w:t>
      </w:r>
      <w:r>
        <w:rPr>
          <w:rFonts w:hint="eastAsia" w:ascii="宋体" w:hAnsi="宋体" w:cs="宋体"/>
          <w:color w:val="000000"/>
          <w:sz w:val="24"/>
          <w:szCs w:val="24"/>
        </w:rPr>
        <w:t>，债券、中期票据、中小企业私募债券、资产支持证券、货币市场工具、债券回购、银行存款以及法律法规或中国证监会允许基金投资的其他金融工具的投资比例为基金资产的</w:t>
      </w:r>
      <w:r>
        <w:rPr>
          <w:rFonts w:ascii="宋体" w:hAnsi="宋体" w:cs="宋体"/>
          <w:color w:val="000000"/>
          <w:sz w:val="24"/>
          <w:szCs w:val="24"/>
        </w:rPr>
        <w:t>5%-100%</w:t>
      </w:r>
      <w:r>
        <w:rPr>
          <w:rFonts w:hint="eastAsia" w:ascii="宋体" w:hAnsi="宋体" w:cs="宋体"/>
          <w:color w:val="000000"/>
          <w:sz w:val="24"/>
          <w:szCs w:val="24"/>
        </w:rPr>
        <w:t>。其中，本基金每个交易日日终在扣除股指期货合约需缴纳的交易保证金后，应当保持不低于基金资产净值</w:t>
      </w:r>
      <w:r>
        <w:rPr>
          <w:rFonts w:ascii="宋体" w:hAnsi="宋体" w:cs="宋体"/>
          <w:color w:val="000000"/>
          <w:sz w:val="24"/>
          <w:szCs w:val="24"/>
        </w:rPr>
        <w:t>5%</w:t>
      </w:r>
      <w:r>
        <w:rPr>
          <w:rFonts w:hint="eastAsia" w:ascii="宋体" w:hAnsi="宋体" w:cs="宋体"/>
          <w:color w:val="000000"/>
          <w:sz w:val="24"/>
          <w:szCs w:val="24"/>
        </w:rPr>
        <w:t>的现金或者到期日在一年以内的政府债券。此外，本基金的基金管理人每日对本基金所持有的证券价格实施监控，定期运用多种定量方法对基金进行风险度量，包括</w:t>
      </w:r>
      <w:r>
        <w:rPr>
          <w:rFonts w:ascii="宋体" w:hAnsi="宋体" w:cs="宋体"/>
          <w:color w:val="000000"/>
          <w:sz w:val="24"/>
          <w:szCs w:val="24"/>
        </w:rPr>
        <w:t>VaR(Value at Risk)</w:t>
      </w:r>
      <w:r>
        <w:rPr>
          <w:rFonts w:hint="eastAsia" w:ascii="宋体" w:hAnsi="宋体" w:cs="宋体"/>
          <w:color w:val="000000"/>
          <w:sz w:val="24"/>
          <w:szCs w:val="24"/>
        </w:rPr>
        <w:t>指标等来测试本基金面临的潜在价格风险，及时可靠地对风险进行跟踪和控制。</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7.4.13.4.3.1 </w:t>
      </w:r>
      <w:r>
        <w:rPr>
          <w:rFonts w:hint="eastAsia" w:ascii="宋体" w:hAnsi="宋体" w:cs="宋体"/>
          <w:b/>
          <w:bCs/>
          <w:color w:val="000000"/>
          <w:sz w:val="24"/>
          <w:szCs w:val="24"/>
        </w:rPr>
        <w:t>其他价格风险敞口</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249"/>
        <w:gridCol w:w="2705"/>
        <w:gridCol w:w="3134"/>
      </w:tblGrid>
      <w:tr>
        <w:tblPrEx>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839"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本期末</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w:t>
            </w:r>
          </w:p>
        </w:tc>
      </w:tr>
      <w:tr>
        <w:tblPrEx>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公允价值</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占基金资产净值比例</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w:t>
            </w:r>
            <w:r>
              <w:rPr>
                <w:rFonts w:ascii="宋体" w:hAnsi="宋体" w:cs="宋体"/>
                <w:color w:val="000000"/>
                <w:sz w:val="24"/>
                <w:szCs w:val="24"/>
              </w:rPr>
              <w:t>%</w:t>
            </w: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交易性金融资产</w:t>
            </w:r>
            <w:r>
              <w:rPr>
                <w:rFonts w:ascii="宋体" w:hAnsi="宋体" w:cs="宋体"/>
                <w:color w:val="000000"/>
                <w:sz w:val="24"/>
                <w:szCs w:val="24"/>
              </w:rPr>
              <w:t>-</w:t>
            </w:r>
            <w:r>
              <w:rPr>
                <w:rFonts w:hint="eastAsia" w:ascii="宋体" w:hAnsi="宋体" w:cs="宋体"/>
                <w:color w:val="000000"/>
                <w:sz w:val="24"/>
                <w:szCs w:val="24"/>
              </w:rPr>
              <w:t>股票投资</w:t>
            </w: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166,111,695.90</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67.26</w:t>
            </w:r>
          </w:p>
        </w:tc>
      </w:tr>
      <w:tr>
        <w:tblPrEx>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交易性金融资产</w:t>
            </w:r>
            <w:r>
              <w:rPr>
                <w:rFonts w:ascii="宋体" w:hAnsi="宋体" w:cs="宋体"/>
                <w:color w:val="000000"/>
                <w:sz w:val="24"/>
                <w:szCs w:val="24"/>
              </w:rPr>
              <w:t>-</w:t>
            </w:r>
            <w:r>
              <w:rPr>
                <w:rFonts w:hint="eastAsia" w:ascii="宋体" w:hAnsi="宋体" w:cs="宋体"/>
                <w:color w:val="000000"/>
                <w:sz w:val="24"/>
                <w:szCs w:val="24"/>
              </w:rPr>
              <w:t>基金投资</w:t>
            </w: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交易性金融资产</w:t>
            </w:r>
            <w:r>
              <w:rPr>
                <w:rFonts w:ascii="宋体" w:hAnsi="宋体" w:cs="宋体"/>
                <w:color w:val="000000"/>
                <w:sz w:val="24"/>
                <w:szCs w:val="24"/>
              </w:rPr>
              <w:t>-</w:t>
            </w:r>
            <w:r>
              <w:rPr>
                <w:rFonts w:hint="eastAsia" w:ascii="宋体" w:hAnsi="宋体" w:cs="宋体"/>
                <w:color w:val="000000"/>
                <w:sz w:val="24"/>
                <w:szCs w:val="24"/>
              </w:rPr>
              <w:t>贵金属投资</w:t>
            </w: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衍生金融资产－权证投资</w:t>
            </w: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其他</w:t>
            </w: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270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166,111,695.90</w:t>
            </w:r>
          </w:p>
        </w:tc>
        <w:tc>
          <w:tcPr>
            <w:tcW w:w="313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67.26</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7.4.13.4.3.2 </w:t>
      </w:r>
      <w:r>
        <w:rPr>
          <w:rFonts w:hint="eastAsia" w:ascii="宋体" w:hAnsi="宋体" w:cs="宋体"/>
          <w:b/>
          <w:bCs/>
          <w:color w:val="000000"/>
          <w:sz w:val="24"/>
          <w:szCs w:val="24"/>
        </w:rPr>
        <w:t>其他价格风险的敏感性分析</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日，本基金成立未满一年，尚无足够经验数据。</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7.4.14 </w:t>
      </w:r>
      <w:r>
        <w:rPr>
          <w:rFonts w:hint="eastAsia" w:ascii="宋体" w:hAnsi="宋体" w:cs="宋体"/>
          <w:b/>
          <w:bCs/>
          <w:color w:val="000000"/>
          <w:sz w:val="24"/>
          <w:szCs w:val="24"/>
        </w:rPr>
        <w:t>有助于理解和分析会计报表需要说明的其他事项</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公允价值</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(a)</w:t>
      </w:r>
      <w:r>
        <w:rPr>
          <w:rFonts w:hint="eastAsia" w:ascii="宋体" w:hAnsi="宋体" w:cs="宋体"/>
          <w:color w:val="000000"/>
          <w:sz w:val="24"/>
          <w:szCs w:val="24"/>
        </w:rPr>
        <w:t>金融工具公允价值计量的方法</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公允价值计量结果所属的层次，由对公允价值计量整体而言具有重要意义的输入值所属的最低层次决定：</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第一层次：相同资产或负债在活跃市场上未经调整的报价。</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第二层次：除第一层次输入值外相关资产或负债直接或间接可观察的输入值。</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第三层次：相关资产或负债的不可观察输入值。</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(b)</w:t>
      </w:r>
      <w:r>
        <w:rPr>
          <w:rFonts w:hint="eastAsia" w:ascii="宋体" w:hAnsi="宋体" w:cs="宋体"/>
          <w:color w:val="000000"/>
          <w:sz w:val="24"/>
          <w:szCs w:val="24"/>
        </w:rPr>
        <w:t>持续的以公允价值计量的金融工具</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(i)</w:t>
      </w:r>
      <w:r>
        <w:rPr>
          <w:rFonts w:hint="eastAsia" w:ascii="宋体" w:hAnsi="宋体" w:cs="宋体"/>
          <w:color w:val="000000"/>
          <w:sz w:val="24"/>
          <w:szCs w:val="24"/>
        </w:rPr>
        <w:t>各层次金融工具公允价值</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日，本基金持有的以公允价值计量且其变动计入当期损益的金融资产中属于第一层次的余额为</w:t>
      </w:r>
      <w:r>
        <w:rPr>
          <w:rFonts w:ascii="宋体" w:hAnsi="宋体" w:cs="宋体"/>
          <w:color w:val="000000"/>
          <w:sz w:val="24"/>
          <w:szCs w:val="24"/>
        </w:rPr>
        <w:t xml:space="preserve">164,750,695.90 </w:t>
      </w:r>
      <w:r>
        <w:rPr>
          <w:rFonts w:hint="eastAsia" w:ascii="宋体" w:hAnsi="宋体" w:cs="宋体"/>
          <w:color w:val="000000"/>
          <w:sz w:val="24"/>
          <w:szCs w:val="24"/>
        </w:rPr>
        <w:t>元，属于第二层次的余额为</w:t>
      </w:r>
      <w:r>
        <w:rPr>
          <w:rFonts w:ascii="宋体" w:hAnsi="宋体" w:cs="宋体"/>
          <w:color w:val="000000"/>
          <w:sz w:val="24"/>
          <w:szCs w:val="24"/>
        </w:rPr>
        <w:t xml:space="preserve">1,361,000.00 </w:t>
      </w:r>
      <w:r>
        <w:rPr>
          <w:rFonts w:hint="eastAsia" w:ascii="宋体" w:hAnsi="宋体" w:cs="宋体"/>
          <w:color w:val="000000"/>
          <w:sz w:val="24"/>
          <w:szCs w:val="24"/>
        </w:rPr>
        <w:t>元，无属于第三层次的余额。</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(ii)</w:t>
      </w:r>
      <w:r>
        <w:rPr>
          <w:rFonts w:hint="eastAsia" w:ascii="宋体" w:hAnsi="宋体" w:cs="宋体"/>
          <w:color w:val="000000"/>
          <w:sz w:val="24"/>
          <w:szCs w:val="24"/>
        </w:rPr>
        <w:t>公允价值所属层次间的重大变动</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对于证券交易所上市的股票和债券，若出现重大事项停牌、交易不活跃</w:t>
      </w:r>
      <w:r>
        <w:rPr>
          <w:rFonts w:ascii="宋体" w:hAnsi="宋体" w:cs="宋体"/>
          <w:color w:val="000000"/>
          <w:sz w:val="24"/>
          <w:szCs w:val="24"/>
        </w:rPr>
        <w:t>(</w:t>
      </w:r>
      <w:r>
        <w:rPr>
          <w:rFonts w:hint="eastAsia" w:ascii="宋体" w:hAnsi="宋体" w:cs="宋体"/>
          <w:color w:val="000000"/>
          <w:sz w:val="24"/>
          <w:szCs w:val="24"/>
        </w:rPr>
        <w:t>包括涨跌停时的交易不活跃</w:t>
      </w:r>
      <w:r>
        <w:rPr>
          <w:rFonts w:ascii="宋体" w:hAnsi="宋体" w:cs="宋体"/>
          <w:color w:val="000000"/>
          <w:sz w:val="24"/>
          <w:szCs w:val="24"/>
        </w:rPr>
        <w:t>)</w:t>
      </w:r>
      <w:r>
        <w:rPr>
          <w:rFonts w:hint="eastAsia" w:ascii="宋体" w:hAnsi="宋体" w:cs="宋体"/>
          <w:color w:val="00000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本基金本期持有的以公允价值计量的金融工具的公允价值所属层次未发生重大变动。</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(iii)</w:t>
      </w:r>
      <w:r>
        <w:rPr>
          <w:rFonts w:hint="eastAsia" w:ascii="宋体" w:hAnsi="宋体" w:cs="宋体"/>
          <w:color w:val="000000"/>
          <w:sz w:val="24"/>
          <w:szCs w:val="24"/>
        </w:rPr>
        <w:t>第三层次公允价值余额和本期变动金额</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无。</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非持续的以公允价值计量的金融工具</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于</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12</w:t>
      </w:r>
      <w:r>
        <w:rPr>
          <w:rFonts w:hint="eastAsia" w:ascii="宋体" w:hAnsi="宋体" w:cs="宋体"/>
          <w:color w:val="000000"/>
          <w:sz w:val="24"/>
          <w:szCs w:val="24"/>
        </w:rPr>
        <w:t>月</w:t>
      </w:r>
      <w:r>
        <w:rPr>
          <w:rFonts w:ascii="宋体" w:hAnsi="宋体" w:cs="宋体"/>
          <w:color w:val="000000"/>
          <w:sz w:val="24"/>
          <w:szCs w:val="24"/>
        </w:rPr>
        <w:t>31</w:t>
      </w:r>
      <w:r>
        <w:rPr>
          <w:rFonts w:hint="eastAsia" w:ascii="宋体" w:hAnsi="宋体" w:cs="宋体"/>
          <w:color w:val="000000"/>
          <w:sz w:val="24"/>
          <w:szCs w:val="24"/>
        </w:rPr>
        <w:t>日，本基金未持有非持续的以公允价值计量的金融资产。</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(d)</w:t>
      </w:r>
      <w:r>
        <w:rPr>
          <w:rFonts w:hint="eastAsia" w:ascii="宋体" w:hAnsi="宋体" w:cs="宋体"/>
          <w:color w:val="000000"/>
          <w:sz w:val="24"/>
          <w:szCs w:val="24"/>
        </w:rPr>
        <w:t>不以公允价值计量的金融工具</w:t>
      </w:r>
    </w:p>
    <w:p>
      <w:pPr>
        <w:spacing w:before="145"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不以公允价值计量的金融资产和负债主要包括应收款项和其他金融负债，其账面价值与公允价值相差很小。</w:t>
      </w:r>
    </w:p>
    <w:p>
      <w:pPr>
        <w:spacing w:before="145" w:line="288" w:lineRule="auto"/>
        <w:ind w:left="15" w:firstLine="482"/>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除公允价值外，截至资产负债表日本基金无需要说明的其他重要事项。</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36" w:name="_Toc445827380"/>
      <w:r>
        <w:rPr>
          <w:rFonts w:hint="eastAsia" w:ascii="宋体" w:hAnsi="宋体" w:cs="宋体"/>
          <w:b/>
          <w:bCs/>
          <w:color w:val="000000"/>
          <w:sz w:val="24"/>
          <w:szCs w:val="24"/>
        </w:rPr>
        <w:t>§</w:t>
      </w:r>
      <w:r>
        <w:rPr>
          <w:rFonts w:ascii="宋体" w:hAnsi="宋体" w:cs="宋体"/>
          <w:b/>
          <w:bCs/>
          <w:color w:val="000000"/>
          <w:sz w:val="24"/>
          <w:szCs w:val="24"/>
        </w:rPr>
        <w:t xml:space="preserve">8  </w:t>
      </w:r>
      <w:r>
        <w:rPr>
          <w:rFonts w:hint="eastAsia" w:ascii="宋体" w:hAnsi="宋体" w:cs="宋体"/>
          <w:b/>
          <w:bCs/>
          <w:color w:val="000000"/>
          <w:sz w:val="24"/>
          <w:szCs w:val="24"/>
        </w:rPr>
        <w:t>投资组合报告</w:t>
      </w:r>
      <w:bookmarkEnd w:id="36"/>
    </w:p>
    <w:p>
      <w:pPr>
        <w:spacing w:before="29" w:line="288" w:lineRule="auto"/>
        <w:ind w:left="15"/>
        <w:jc w:val="left"/>
        <w:outlineLvl w:val="1"/>
        <w:rPr>
          <w:rFonts w:ascii="宋体" w:hAnsi="宋体" w:cs="宋体"/>
          <w:b/>
          <w:bCs/>
          <w:color w:val="000000"/>
          <w:sz w:val="24"/>
          <w:szCs w:val="24"/>
        </w:rPr>
      </w:pPr>
      <w:bookmarkStart w:id="37" w:name="_Toc445827381"/>
      <w:r>
        <w:rPr>
          <w:rFonts w:ascii="宋体" w:hAnsi="宋体" w:cs="宋体"/>
          <w:b/>
          <w:bCs/>
          <w:color w:val="000000"/>
          <w:sz w:val="24"/>
          <w:szCs w:val="24"/>
        </w:rPr>
        <w:t xml:space="preserve">8.1 </w:t>
      </w:r>
      <w:r>
        <w:rPr>
          <w:rFonts w:hint="eastAsia" w:ascii="宋体" w:hAnsi="宋体" w:cs="宋体"/>
          <w:b/>
          <w:bCs/>
          <w:color w:val="000000"/>
          <w:sz w:val="24"/>
          <w:szCs w:val="24"/>
        </w:rPr>
        <w:t>期末基金资产组合情况</w:t>
      </w:r>
      <w:bookmarkEnd w:id="37"/>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占基金总资产的比例</w:t>
            </w:r>
            <w:r>
              <w:rPr>
                <w:rFonts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166,111,695.90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67.02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166,111,695.90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67.02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44,000,000.00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17.75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4"/>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37,728,763.23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15.22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27,771.03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0.01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247,868,230.16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100.00</w:t>
            </w:r>
          </w:p>
        </w:tc>
      </w:tr>
    </w:tbl>
    <w:p>
      <w:pPr>
        <w:spacing w:before="29" w:line="288" w:lineRule="auto"/>
        <w:ind w:left="15"/>
        <w:jc w:val="left"/>
        <w:rPr>
          <w:rFonts w:ascii="宋体" w:hAnsi="宋体" w:cs="宋体"/>
          <w:color w:val="000000"/>
        </w:rPr>
      </w:pPr>
      <w:r>
        <w:rPr>
          <w:rFonts w:hint="eastAsia" w:ascii="宋体" w:hAnsi="宋体" w:cs="宋体"/>
          <w:color w:val="000000"/>
        </w:rPr>
        <w:t>注：注：本基金本报告期末通过沪港通交易机制投资的港股公允价值为</w:t>
      </w:r>
      <w:r>
        <w:rPr>
          <w:rFonts w:ascii="宋体" w:hAnsi="宋体" w:cs="宋体"/>
          <w:color w:val="000000"/>
        </w:rPr>
        <w:t>3,005,635.92</w:t>
      </w:r>
      <w:r>
        <w:rPr>
          <w:rFonts w:hint="eastAsia" w:ascii="宋体" w:hAnsi="宋体" w:cs="宋体"/>
          <w:color w:val="000000"/>
        </w:rPr>
        <w:t>元，占净值比为</w:t>
      </w:r>
      <w:r>
        <w:rPr>
          <w:rFonts w:ascii="宋体" w:hAnsi="宋体" w:cs="宋体"/>
          <w:color w:val="000000"/>
        </w:rPr>
        <w:t>1.22%</w:t>
      </w:r>
      <w:r>
        <w:rPr>
          <w:rFonts w:hint="eastAsia" w:ascii="宋体" w:hAnsi="宋体" w:cs="宋体"/>
          <w:color w:val="000000"/>
        </w:rPr>
        <w:t>。</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8.2 </w:t>
      </w:r>
      <w:r>
        <w:rPr>
          <w:rFonts w:hint="eastAsia" w:ascii="宋体" w:hAnsi="宋体" w:cs="宋体"/>
          <w:b/>
          <w:bCs/>
          <w:color w:val="000000"/>
          <w:sz w:val="24"/>
          <w:szCs w:val="24"/>
        </w:rPr>
        <w:t>报告期末按行业分类的股票投资组合</w:t>
      </w:r>
    </w:p>
    <w:p>
      <w:pPr>
        <w:spacing w:before="29" w:line="288" w:lineRule="auto"/>
        <w:ind w:left="15"/>
        <w:jc w:val="left"/>
        <w:outlineLvl w:val="1"/>
        <w:rPr>
          <w:rFonts w:ascii="宋体" w:hAnsi="宋体" w:cs="宋体"/>
          <w:b/>
          <w:bCs/>
          <w:color w:val="000000"/>
          <w:sz w:val="24"/>
          <w:szCs w:val="24"/>
        </w:rPr>
      </w:pPr>
      <w:bookmarkStart w:id="38" w:name="_Toc445827382"/>
      <w:r>
        <w:rPr>
          <w:rFonts w:ascii="宋体" w:hAnsi="宋体" w:cs="宋体"/>
          <w:b/>
          <w:bCs/>
          <w:color w:val="000000"/>
          <w:sz w:val="24"/>
          <w:szCs w:val="24"/>
        </w:rPr>
        <w:t xml:space="preserve">8.2.1 </w:t>
      </w:r>
      <w:r>
        <w:rPr>
          <w:rFonts w:hint="eastAsia" w:ascii="宋体" w:hAnsi="宋体" w:cs="宋体"/>
          <w:b/>
          <w:bCs/>
          <w:color w:val="000000"/>
          <w:sz w:val="24"/>
          <w:szCs w:val="24"/>
        </w:rPr>
        <w:t>报告期末按行业分类的境内股票投资组合</w:t>
      </w:r>
      <w:bookmarkEnd w:id="38"/>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占基金资产净值比例</w:t>
            </w:r>
            <w:r>
              <w:rPr>
                <w:rFonts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4,284,000.00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1.73</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15,896,177.20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6.44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46,704,839.89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18.91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9,065,329.59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3.67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3,541,500.00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1.43</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2,832,860.12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1.15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6,514,004.01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2.64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74,267,349.17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30.07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center"/>
              <w:rPr>
                <w:rFonts w:ascii="宋体" w:hAnsi="宋体" w:cs="宋体"/>
                <w:color w:val="000000"/>
                <w:sz w:val="23"/>
                <w:szCs w:val="23"/>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163,106,059.98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66.04</w:t>
            </w:r>
          </w:p>
        </w:tc>
      </w:tr>
    </w:tbl>
    <w:p>
      <w:pPr>
        <w:spacing w:line="288" w:lineRule="auto"/>
        <w:jc w:val="left"/>
        <w:rPr>
          <w:rFonts w:ascii="MS Sans Serif" w:hAnsi="MS Sans Serif" w:eastAsia="Times New Roman" w:cs="MS Sans Serif"/>
          <w:color w:val="000000"/>
          <w:sz w:val="2"/>
          <w:szCs w:val="2"/>
        </w:rPr>
      </w:pPr>
    </w:p>
    <w:p>
      <w:pPr>
        <w:spacing w:before="29" w:line="288" w:lineRule="auto"/>
        <w:ind w:left="15"/>
        <w:jc w:val="left"/>
        <w:rPr>
          <w:rFonts w:ascii="宋体" w:hAnsi="宋体" w:cs="宋体"/>
          <w:b/>
          <w:bCs/>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8.2.2 </w:t>
      </w:r>
      <w:r>
        <w:rPr>
          <w:rFonts w:hint="eastAsia" w:ascii="宋体" w:hAnsi="宋体" w:cs="宋体"/>
          <w:b/>
          <w:bCs/>
          <w:color w:val="000000"/>
          <w:sz w:val="24"/>
          <w:szCs w:val="24"/>
        </w:rPr>
        <w:t>报告期末按行业分类的沪港通投资股票投资组合</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p>
      <w:pPr>
        <w:spacing w:line="288" w:lineRule="auto"/>
        <w:jc w:val="left"/>
        <w:rPr>
          <w:rFonts w:ascii="MS Sans Serif" w:hAnsi="MS Sans Serif" w:eastAsia="Times New Roman" w:cs="MS Sans Serif"/>
          <w:color w:val="000000"/>
          <w:sz w:val="2"/>
          <w:szCs w:val="2"/>
        </w:rPr>
      </w:pPr>
    </w:p>
    <w:tbl>
      <w:tblPr>
        <w:tblStyle w:val="10"/>
        <w:tblW w:w="0" w:type="auto"/>
        <w:tblInd w:w="108" w:type="dxa"/>
        <w:tblLayout w:type="fixed"/>
        <w:tblCellMar>
          <w:top w:w="0" w:type="dxa"/>
          <w:left w:w="108" w:type="dxa"/>
          <w:bottom w:w="0" w:type="dxa"/>
          <w:right w:w="108" w:type="dxa"/>
        </w:tblCellMar>
      </w:tblPr>
      <w:tblGrid>
        <w:gridCol w:w="3127"/>
        <w:gridCol w:w="3128"/>
        <w:gridCol w:w="2833"/>
      </w:tblGrid>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沪港通投资股票行业分类行业类别</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沪港通投资股票行业分类公允价值</w:t>
            </w:r>
            <w:r>
              <w:rPr>
                <w:rFonts w:ascii="宋体" w:hAnsi="宋体" w:cs="宋体"/>
                <w:color w:val="000000"/>
                <w:sz w:val="24"/>
                <w:szCs w:val="24"/>
              </w:rPr>
              <w:t>(</w:t>
            </w:r>
            <w:r>
              <w:rPr>
                <w:rFonts w:hint="eastAsia" w:ascii="宋体" w:hAnsi="宋体" w:cs="宋体"/>
                <w:color w:val="000000"/>
                <w:sz w:val="24"/>
                <w:szCs w:val="24"/>
              </w:rPr>
              <w:t>元</w:t>
            </w:r>
            <w:r>
              <w:rPr>
                <w:rFonts w:ascii="宋体" w:hAnsi="宋体" w:cs="宋体"/>
                <w:color w:val="000000"/>
                <w:sz w:val="24"/>
                <w:szCs w:val="24"/>
              </w:rPr>
              <w:t>)</w:t>
            </w:r>
          </w:p>
        </w:tc>
        <w:tc>
          <w:tcPr>
            <w:tcW w:w="283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沪港通投资股票行业分类公允价值占基金资产净值比（％）</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A </w:t>
            </w:r>
            <w:r>
              <w:rPr>
                <w:rFonts w:hint="eastAsia" w:ascii="宋体" w:hAnsi="宋体" w:cs="宋体"/>
                <w:color w:val="000000"/>
                <w:sz w:val="24"/>
                <w:szCs w:val="24"/>
              </w:rPr>
              <w:t>农、林、牧、渔业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B </w:t>
            </w:r>
            <w:r>
              <w:rPr>
                <w:rFonts w:hint="eastAsia" w:ascii="宋体" w:hAnsi="宋体" w:cs="宋体"/>
                <w:color w:val="000000"/>
                <w:sz w:val="24"/>
                <w:szCs w:val="24"/>
              </w:rPr>
              <w:t>采矿业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561,648.96</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0.23</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C </w:t>
            </w:r>
            <w:r>
              <w:rPr>
                <w:rFonts w:hint="eastAsia" w:ascii="宋体" w:hAnsi="宋体" w:cs="宋体"/>
                <w:color w:val="000000"/>
                <w:sz w:val="24"/>
                <w:szCs w:val="24"/>
              </w:rPr>
              <w:t>制造业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268,105.98</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0.11</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D </w:t>
            </w:r>
            <w:r>
              <w:rPr>
                <w:rFonts w:hint="eastAsia" w:ascii="宋体" w:hAnsi="宋体" w:cs="宋体"/>
                <w:color w:val="000000"/>
                <w:sz w:val="24"/>
                <w:szCs w:val="24"/>
              </w:rPr>
              <w:t>电力、热力、燃气及水生产和供应业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E </w:t>
            </w:r>
            <w:r>
              <w:rPr>
                <w:rFonts w:hint="eastAsia" w:ascii="宋体" w:hAnsi="宋体" w:cs="宋体"/>
                <w:color w:val="000000"/>
                <w:sz w:val="24"/>
                <w:szCs w:val="24"/>
              </w:rPr>
              <w:t>建筑业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F </w:t>
            </w:r>
            <w:r>
              <w:rPr>
                <w:rFonts w:hint="eastAsia" w:ascii="宋体" w:hAnsi="宋体" w:cs="宋体"/>
                <w:color w:val="000000"/>
                <w:sz w:val="24"/>
                <w:szCs w:val="24"/>
              </w:rPr>
              <w:t>批发和零售业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G </w:t>
            </w:r>
            <w:r>
              <w:rPr>
                <w:rFonts w:hint="eastAsia" w:ascii="宋体" w:hAnsi="宋体" w:cs="宋体"/>
                <w:color w:val="000000"/>
                <w:sz w:val="24"/>
                <w:szCs w:val="24"/>
              </w:rPr>
              <w:t>交通运输、仓储和邮政业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262,509.84</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0.11</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H </w:t>
            </w:r>
            <w:r>
              <w:rPr>
                <w:rFonts w:hint="eastAsia" w:ascii="宋体" w:hAnsi="宋体" w:cs="宋体"/>
                <w:color w:val="000000"/>
                <w:sz w:val="24"/>
                <w:szCs w:val="24"/>
              </w:rPr>
              <w:t>住宿和餐饮业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I </w:t>
            </w:r>
            <w:r>
              <w:rPr>
                <w:rFonts w:hint="eastAsia" w:ascii="宋体" w:hAnsi="宋体" w:cs="宋体"/>
                <w:color w:val="000000"/>
                <w:sz w:val="24"/>
                <w:szCs w:val="24"/>
              </w:rPr>
              <w:t>信息传输、软件和信息技术服务业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J </w:t>
            </w:r>
            <w:r>
              <w:rPr>
                <w:rFonts w:hint="eastAsia" w:ascii="宋体" w:hAnsi="宋体" w:cs="宋体"/>
                <w:color w:val="000000"/>
                <w:sz w:val="24"/>
                <w:szCs w:val="24"/>
              </w:rPr>
              <w:t>金融业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1,913,371.14</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0.77</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K </w:t>
            </w:r>
            <w:r>
              <w:rPr>
                <w:rFonts w:hint="eastAsia" w:ascii="宋体" w:hAnsi="宋体" w:cs="宋体"/>
                <w:color w:val="000000"/>
                <w:sz w:val="24"/>
                <w:szCs w:val="24"/>
              </w:rPr>
              <w:t>房地产业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L </w:t>
            </w:r>
            <w:r>
              <w:rPr>
                <w:rFonts w:hint="eastAsia" w:ascii="宋体" w:hAnsi="宋体" w:cs="宋体"/>
                <w:color w:val="000000"/>
                <w:sz w:val="24"/>
                <w:szCs w:val="24"/>
              </w:rPr>
              <w:t>租赁和商务服务业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M </w:t>
            </w:r>
            <w:r>
              <w:rPr>
                <w:rFonts w:hint="eastAsia" w:ascii="宋体" w:hAnsi="宋体" w:cs="宋体"/>
                <w:color w:val="000000"/>
                <w:sz w:val="24"/>
                <w:szCs w:val="24"/>
              </w:rPr>
              <w:t>科学研究和技术服务业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N </w:t>
            </w:r>
            <w:r>
              <w:rPr>
                <w:rFonts w:hint="eastAsia" w:ascii="宋体" w:hAnsi="宋体" w:cs="宋体"/>
                <w:color w:val="000000"/>
                <w:sz w:val="24"/>
                <w:szCs w:val="24"/>
              </w:rPr>
              <w:t>水利、环境和公共设施管理业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O </w:t>
            </w:r>
            <w:r>
              <w:rPr>
                <w:rFonts w:hint="eastAsia" w:ascii="宋体" w:hAnsi="宋体" w:cs="宋体"/>
                <w:color w:val="000000"/>
                <w:sz w:val="24"/>
                <w:szCs w:val="24"/>
              </w:rPr>
              <w:t>居民服务、修理和其他服务业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P </w:t>
            </w:r>
            <w:r>
              <w:rPr>
                <w:rFonts w:hint="eastAsia" w:ascii="宋体" w:hAnsi="宋体" w:cs="宋体"/>
                <w:color w:val="000000"/>
                <w:sz w:val="24"/>
                <w:szCs w:val="24"/>
              </w:rPr>
              <w:t>教育</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Q </w:t>
            </w:r>
            <w:r>
              <w:rPr>
                <w:rFonts w:hint="eastAsia" w:ascii="宋体" w:hAnsi="宋体" w:cs="宋体"/>
                <w:color w:val="000000"/>
                <w:sz w:val="24"/>
                <w:szCs w:val="24"/>
              </w:rPr>
              <w:t>卫生和社会工作</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R </w:t>
            </w:r>
            <w:r>
              <w:rPr>
                <w:rFonts w:hint="eastAsia" w:ascii="宋体" w:hAnsi="宋体" w:cs="宋体"/>
                <w:color w:val="000000"/>
                <w:sz w:val="24"/>
                <w:szCs w:val="24"/>
              </w:rPr>
              <w:t>文化、体育和娱乐业</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 xml:space="preserve">S </w:t>
            </w:r>
            <w:r>
              <w:rPr>
                <w:rFonts w:hint="eastAsia" w:ascii="宋体" w:hAnsi="宋体" w:cs="宋体"/>
                <w:color w:val="000000"/>
                <w:sz w:val="24"/>
                <w:szCs w:val="24"/>
              </w:rPr>
              <w:t>综合</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312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hint="eastAsia" w:ascii="宋体" w:hAnsi="宋体" w:cs="宋体"/>
                <w:color w:val="000000"/>
                <w:sz w:val="24"/>
                <w:szCs w:val="24"/>
              </w:rPr>
              <w:t>合计</w:t>
            </w:r>
          </w:p>
        </w:tc>
        <w:tc>
          <w:tcPr>
            <w:tcW w:w="31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3,005,635.92</w:t>
            </w:r>
          </w:p>
        </w:tc>
        <w:tc>
          <w:tcPr>
            <w:tcW w:w="283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1.22</w:t>
            </w:r>
          </w:p>
        </w:tc>
      </w:tr>
    </w:tbl>
    <w:p>
      <w:pPr>
        <w:spacing w:before="29" w:line="288" w:lineRule="auto"/>
        <w:ind w:left="15"/>
        <w:jc w:val="left"/>
        <w:rPr>
          <w:rFonts w:ascii="宋体" w:hAnsi="宋体" w:cs="宋体"/>
          <w:color w:val="000000"/>
        </w:rPr>
      </w:pPr>
      <w:r>
        <w:rPr>
          <w:rFonts w:hint="eastAsia" w:ascii="宋体" w:hAnsi="宋体" w:cs="宋体"/>
          <w:color w:val="000000"/>
        </w:rPr>
        <w:t>注：通过沪港通机制投资的股票所属行业分类采用中国证券监督管理委员会制定的《上市公司行业分类指引》。</w:t>
      </w:r>
    </w:p>
    <w:p>
      <w:pPr>
        <w:spacing w:line="288" w:lineRule="auto"/>
        <w:jc w:val="left"/>
        <w:rPr>
          <w:rFonts w:ascii="MS Sans Serif" w:hAnsi="MS Sans Serif" w:eastAsia="Times New Roman" w:cs="MS Sans Serif"/>
          <w:color w:val="000000"/>
          <w:sz w:val="14"/>
          <w:szCs w:val="14"/>
        </w:rPr>
      </w:pPr>
    </w:p>
    <w:p>
      <w:pPr>
        <w:spacing w:before="29" w:line="288" w:lineRule="auto"/>
        <w:ind w:left="15"/>
        <w:jc w:val="left"/>
        <w:outlineLvl w:val="1"/>
        <w:rPr>
          <w:rFonts w:ascii="宋体" w:hAnsi="宋体" w:cs="宋体"/>
          <w:b/>
          <w:bCs/>
          <w:color w:val="000000"/>
          <w:sz w:val="24"/>
          <w:szCs w:val="24"/>
        </w:rPr>
      </w:pPr>
      <w:bookmarkStart w:id="39" w:name="_Toc445827383"/>
      <w:r>
        <w:rPr>
          <w:rFonts w:ascii="宋体" w:hAnsi="宋体" w:cs="宋体"/>
          <w:b/>
          <w:bCs/>
          <w:color w:val="000000"/>
          <w:sz w:val="24"/>
          <w:szCs w:val="24"/>
        </w:rPr>
        <w:t xml:space="preserve">8.3 </w:t>
      </w:r>
      <w:r>
        <w:rPr>
          <w:rFonts w:hint="eastAsia" w:ascii="宋体" w:hAnsi="宋体" w:cs="宋体"/>
          <w:b/>
          <w:bCs/>
          <w:color w:val="000000"/>
          <w:sz w:val="24"/>
          <w:szCs w:val="24"/>
        </w:rPr>
        <w:t>期末按公允价值占基金资产净值比例大小排序的所有股票投资明细</w:t>
      </w:r>
      <w:bookmarkEnd w:id="39"/>
    </w:p>
    <w:p>
      <w:pPr>
        <w:spacing w:line="288" w:lineRule="auto"/>
        <w:jc w:val="left"/>
        <w:rPr>
          <w:rFonts w:ascii="MS Sans Serif" w:hAnsi="MS Sans Serif" w:eastAsia="Times New Roman" w:cs="MS Sans Serif"/>
          <w:color w:val="000000"/>
          <w:sz w:val="2"/>
          <w:szCs w:val="2"/>
        </w:rPr>
      </w:pP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1445"/>
        <w:gridCol w:w="1445"/>
        <w:gridCol w:w="1806"/>
        <w:gridCol w:w="1806"/>
        <w:gridCol w:w="1806"/>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数量（股）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占基金资产净值比例</w:t>
            </w:r>
            <w:r>
              <w:rPr>
                <w:rFonts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平安银行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1,007,883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12,084,517.17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4.89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601328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交通银行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1,380,000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8,887,200.00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3.60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新疆众和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988,000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8,684,520.00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3.52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中信银行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8,519,600.00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3.45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建设银行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8,092,000.00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3.28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601818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光大银行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7,208,000.00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2.92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600509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天富能源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668,739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6,560,329.59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2.66</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华夏银行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6,541,032.00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601288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农业银行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6,460,000.00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民生银行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6,266,000.00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中国石化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5,406,400.00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招商银行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5,397,000.00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红星发展</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5,329,002.00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2.16</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000731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四川美丰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5,174,752.00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4,812,000.00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1.95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000422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湖北宜化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4,724,160.00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1.91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000709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河北钢铁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4,662,000.00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1.89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000877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天山股份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528,752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4,245,878.56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1.72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兰太实业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258,557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3,868,012.72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1.57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601333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广深铁路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749,901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3,757,004.01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1.52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葛洲坝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3,541,500.00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1.43</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华新水泥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430,979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3,512,478.85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601088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中国神华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2,994,000.00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1.21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亚盛集团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2,936,000.00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600125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铁龙物流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2,757,000.00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阳泉煤业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2,700,280.00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国投电力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2,505,000.00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中煤能源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409,976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2,480,354.80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000983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西山煤电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380,780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2,315,142.40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宝钢股份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2,287,800.00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0.93</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中国重工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2,256,000.00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600778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友好集团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119,956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1,471,860.12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0.60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鞍钢股份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299,954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1,430,780.58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H03328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交通银行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1,388,860.20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0.56</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王府井</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1,361,000.00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002041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登海种业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1,348,000.00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海信电器</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24,954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490,845.18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0.20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H01088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中国神华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309,822.66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0.13</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H01288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农业银行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268,784.30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H02009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金隅股份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268,105.98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H00525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广深铁路股份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262,509.84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H06818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中国光大银行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255,726.64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H01898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中煤能源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251,826.30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0.10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603866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桃李申购</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38,610.00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0.02</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0" w:name="_Toc445827384"/>
      <w:r>
        <w:rPr>
          <w:rFonts w:ascii="宋体" w:hAnsi="宋体" w:cs="宋体"/>
          <w:b/>
          <w:bCs/>
          <w:color w:val="000000"/>
          <w:sz w:val="24"/>
          <w:szCs w:val="24"/>
        </w:rPr>
        <w:t xml:space="preserve">8.4 </w:t>
      </w:r>
      <w:r>
        <w:rPr>
          <w:rFonts w:hint="eastAsia" w:ascii="宋体" w:hAnsi="宋体" w:cs="宋体"/>
          <w:b/>
          <w:bCs/>
          <w:color w:val="000000"/>
          <w:sz w:val="24"/>
          <w:szCs w:val="24"/>
        </w:rPr>
        <w:t>报告期内股票投资组合的重大变动</w:t>
      </w:r>
      <w:bookmarkEnd w:id="40"/>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8.4.1 </w:t>
      </w:r>
      <w:r>
        <w:rPr>
          <w:rFonts w:hint="eastAsia" w:ascii="宋体" w:hAnsi="宋体" w:cs="宋体"/>
          <w:b/>
          <w:bCs/>
          <w:color w:val="000000"/>
          <w:sz w:val="24"/>
          <w:szCs w:val="24"/>
        </w:rPr>
        <w:t>累计买入金额超出期末基金资产净值</w:t>
      </w:r>
      <w:r>
        <w:rPr>
          <w:rFonts w:ascii="宋体" w:hAnsi="宋体" w:cs="宋体"/>
          <w:b/>
          <w:bCs/>
          <w:color w:val="000000"/>
          <w:sz w:val="24"/>
          <w:szCs w:val="24"/>
        </w:rPr>
        <w:t>2%</w:t>
      </w:r>
      <w:r>
        <w:rPr>
          <w:rFonts w:hint="eastAsia" w:ascii="宋体" w:hAnsi="宋体" w:cs="宋体"/>
          <w:b/>
          <w:bCs/>
          <w:color w:val="000000"/>
          <w:sz w:val="24"/>
          <w:szCs w:val="24"/>
        </w:rPr>
        <w:t>或前</w:t>
      </w:r>
      <w:r>
        <w:rPr>
          <w:rFonts w:ascii="宋体" w:hAnsi="宋体" w:cs="宋体"/>
          <w:b/>
          <w:bCs/>
          <w:color w:val="000000"/>
          <w:sz w:val="24"/>
          <w:szCs w:val="24"/>
        </w:rPr>
        <w:t>20</w:t>
      </w:r>
      <w:r>
        <w:rPr>
          <w:rFonts w:hint="eastAsia" w:ascii="宋体" w:hAnsi="宋体" w:cs="宋体"/>
          <w:b/>
          <w:bCs/>
          <w:color w:val="000000"/>
          <w:sz w:val="24"/>
          <w:szCs w:val="24"/>
        </w:rPr>
        <w:t>名的股票明细</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1445"/>
        <w:gridCol w:w="2167"/>
        <w:gridCol w:w="2529"/>
        <w:gridCol w:w="2167"/>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股票代码</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股票名称</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本期累计买入金额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占期末基金资产净值比例</w:t>
            </w:r>
            <w:r>
              <w:rPr>
                <w:rFonts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平安银行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12,318,005.79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4.99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新疆众和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9,676,786.94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3.92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600509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天富能源</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9,183,976.05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3.72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交通银行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9,123,917.00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3.69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中信银行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8,925,800.00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3.61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建设银行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8,230,000.00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3.33</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光大银行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7,307,000.00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2.96</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河北钢铁</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6,839,000.00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2.77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000877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天山股份</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6,803,954.34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2.75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红星发展</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6,617,845.80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农业银行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6,580,000.00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2.66</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华夏银行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6,164,577.00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中国石化</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5,972,400.00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000731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四川美丰</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5,945,740.38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民生银行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5,893,475.00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2.39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华新水泥</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5,396,847.31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2.19</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招商银行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5,295,000.00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601333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广深铁路</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5,143,514.95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2.08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中国银行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4,956,000.00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2.01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兰太实业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4,809,979.54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1.95</w:t>
            </w:r>
          </w:p>
        </w:tc>
      </w:tr>
    </w:tbl>
    <w:p>
      <w:pPr>
        <w:spacing w:before="29" w:line="288" w:lineRule="auto"/>
        <w:ind w:left="15"/>
        <w:jc w:val="left"/>
        <w:rPr>
          <w:rFonts w:ascii="宋体" w:hAnsi="宋体" w:cs="宋体"/>
          <w:color w:val="000000"/>
        </w:rPr>
      </w:pPr>
      <w:r>
        <w:rPr>
          <w:rFonts w:hint="eastAsia" w:ascii="宋体" w:hAnsi="宋体" w:cs="宋体"/>
          <w:color w:val="000000"/>
        </w:rPr>
        <w:t>注：本期累计买入金额按买卖成交金额，不考虑相关交易费用。</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8.4.2 </w:t>
      </w:r>
      <w:r>
        <w:rPr>
          <w:rFonts w:hint="eastAsia" w:ascii="宋体" w:hAnsi="宋体" w:cs="宋体"/>
          <w:b/>
          <w:bCs/>
          <w:color w:val="000000"/>
          <w:sz w:val="24"/>
          <w:szCs w:val="24"/>
        </w:rPr>
        <w:t>累计卖出金额超出期末基金资产净值</w:t>
      </w:r>
      <w:r>
        <w:rPr>
          <w:rFonts w:ascii="宋体" w:hAnsi="宋体" w:cs="宋体"/>
          <w:b/>
          <w:bCs/>
          <w:color w:val="000000"/>
          <w:sz w:val="24"/>
          <w:szCs w:val="24"/>
        </w:rPr>
        <w:t>2%</w:t>
      </w:r>
      <w:r>
        <w:rPr>
          <w:rFonts w:hint="eastAsia" w:ascii="宋体" w:hAnsi="宋体" w:cs="宋体"/>
          <w:b/>
          <w:bCs/>
          <w:color w:val="000000"/>
          <w:sz w:val="24"/>
          <w:szCs w:val="24"/>
        </w:rPr>
        <w:t>或前</w:t>
      </w:r>
      <w:r>
        <w:rPr>
          <w:rFonts w:ascii="宋体" w:hAnsi="宋体" w:cs="宋体"/>
          <w:b/>
          <w:bCs/>
          <w:color w:val="000000"/>
          <w:sz w:val="24"/>
          <w:szCs w:val="24"/>
        </w:rPr>
        <w:t>20</w:t>
      </w:r>
      <w:r>
        <w:rPr>
          <w:rFonts w:hint="eastAsia" w:ascii="宋体" w:hAnsi="宋体" w:cs="宋体"/>
          <w:b/>
          <w:bCs/>
          <w:color w:val="000000"/>
          <w:sz w:val="24"/>
          <w:szCs w:val="24"/>
        </w:rPr>
        <w:t>名的股票明细</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1445"/>
        <w:gridCol w:w="2167"/>
        <w:gridCol w:w="2529"/>
        <w:gridCol w:w="2167"/>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股票代码</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股票名称</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本期累计卖出金额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占期末基金资产净值比例</w:t>
            </w:r>
            <w:r>
              <w:rPr>
                <w:rFonts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600586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金晶科技</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2,819,237.72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农</w:t>
            </w:r>
            <w:r>
              <w:rPr>
                <w:rFonts w:ascii="宋体" w:hAnsi="宋体" w:cs="宋体"/>
                <w:color w:val="000000"/>
                <w:sz w:val="24"/>
                <w:szCs w:val="24"/>
              </w:rPr>
              <w:t xml:space="preserve"> </w:t>
            </w:r>
            <w:r>
              <w:rPr>
                <w:rFonts w:hint="eastAsia" w:ascii="宋体" w:hAnsi="宋体" w:cs="宋体"/>
                <w:color w:val="000000"/>
                <w:sz w:val="24"/>
                <w:szCs w:val="24"/>
              </w:rPr>
              <w:t>产</w:t>
            </w:r>
            <w:r>
              <w:rPr>
                <w:rFonts w:ascii="宋体" w:hAnsi="宋体" w:cs="宋体"/>
                <w:color w:val="000000"/>
                <w:sz w:val="24"/>
                <w:szCs w:val="24"/>
              </w:rPr>
              <w:t xml:space="preserve"> </w:t>
            </w:r>
            <w:r>
              <w:rPr>
                <w:rFonts w:hint="eastAsia" w:ascii="宋体" w:hAnsi="宋体" w:cs="宋体"/>
                <w:color w:val="000000"/>
                <w:sz w:val="24"/>
                <w:szCs w:val="24"/>
              </w:rPr>
              <w:t>品</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2,520,176.00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1.02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600509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天富能源</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2,425,656.00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000401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冀东水泥</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2,394,603.36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000877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天山股份</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2,354,384.00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000983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西山煤电</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2,265,396.68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0.92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华侨城Ａ</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2,159,620.00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0.87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宝钢股份</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2,140,421.50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0.87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河北钢铁</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2,019,400.00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0.82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王府井</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1,973,190.40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0.80</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海信电器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1,850,865.51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0.75</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华新水泥</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1,819,772.00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0.74</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601898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中煤能源</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1,763,472.03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0.71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红星发展</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1,658,708.00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0.67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601333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广深铁路</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1,434,946.00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600125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铁龙物流</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1,403,866.00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0.57</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600888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新疆众和</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1,253,576.00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0.51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000895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双汇发展</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1,179,447.00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0.48</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阳泉煤业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1,144,926.00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0.46</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600328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兰太实业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769,000.00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eastAsia="Times New Roman"/>
                <w:color w:val="000000"/>
                <w:sz w:val="24"/>
                <w:szCs w:val="24"/>
              </w:rPr>
            </w:pPr>
            <w:r>
              <w:rPr>
                <w:rFonts w:eastAsia="Times New Roman"/>
                <w:color w:val="000000"/>
                <w:sz w:val="24"/>
                <w:szCs w:val="24"/>
              </w:rPr>
              <w:t>0.31</w:t>
            </w:r>
          </w:p>
        </w:tc>
      </w:tr>
    </w:tbl>
    <w:p>
      <w:pPr>
        <w:spacing w:before="29" w:line="288" w:lineRule="auto"/>
        <w:ind w:left="15"/>
        <w:jc w:val="left"/>
        <w:rPr>
          <w:rFonts w:ascii="宋体" w:hAnsi="宋体" w:cs="宋体"/>
          <w:color w:val="000000"/>
        </w:rPr>
      </w:pPr>
      <w:r>
        <w:rPr>
          <w:rFonts w:hint="eastAsia" w:ascii="宋体" w:hAnsi="宋体" w:cs="宋体"/>
          <w:color w:val="000000"/>
        </w:rPr>
        <w:t>注：本期累计卖出金额按买卖成交金额，不考虑相关交易费用。</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8.4.3 </w:t>
      </w:r>
      <w:r>
        <w:rPr>
          <w:rFonts w:hint="eastAsia" w:ascii="宋体" w:hAnsi="宋体" w:cs="宋体"/>
          <w:b/>
          <w:bCs/>
          <w:color w:val="000000"/>
          <w:sz w:val="24"/>
          <w:szCs w:val="24"/>
        </w:rPr>
        <w:t>买入股票的成本总额及卖出股票的收入总额</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971"/>
        <w:gridCol w:w="5057"/>
      </w:tblGrid>
      <w:tr>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买入股票的成本（成交）总额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206,288,672.40</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卖出股票的收入（成交）总额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39,085,607.20</w:t>
            </w:r>
          </w:p>
        </w:tc>
      </w:tr>
    </w:tbl>
    <w:p>
      <w:pPr>
        <w:spacing w:before="29" w:line="288" w:lineRule="auto"/>
        <w:ind w:left="15"/>
        <w:jc w:val="left"/>
        <w:rPr>
          <w:rFonts w:ascii="宋体" w:hAnsi="宋体" w:cs="宋体"/>
          <w:color w:val="000000"/>
        </w:rPr>
      </w:pPr>
      <w:r>
        <w:rPr>
          <w:rFonts w:hint="eastAsia" w:ascii="宋体" w:hAnsi="宋体" w:cs="宋体"/>
          <w:color w:val="000000"/>
        </w:rPr>
        <w:t>注：买入股票成本、卖出股票收入均按买卖成交金额填列，不考虑相关交易费用。</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1" w:name="_Toc445827385"/>
      <w:r>
        <w:rPr>
          <w:rFonts w:ascii="宋体" w:hAnsi="宋体" w:cs="宋体"/>
          <w:b/>
          <w:bCs/>
          <w:color w:val="000000"/>
          <w:sz w:val="24"/>
          <w:szCs w:val="24"/>
        </w:rPr>
        <w:t xml:space="preserve">8.5 </w:t>
      </w:r>
      <w:r>
        <w:rPr>
          <w:rFonts w:hint="eastAsia" w:ascii="宋体" w:hAnsi="宋体" w:cs="宋体"/>
          <w:b/>
          <w:bCs/>
          <w:color w:val="000000"/>
          <w:sz w:val="24"/>
          <w:szCs w:val="24"/>
        </w:rPr>
        <w:t>期末按债券品种分类的债券投资组合</w:t>
      </w:r>
      <w:bookmarkEnd w:id="41"/>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本基金本报告期末未持有债券。</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2" w:name="_Toc445827386"/>
      <w:r>
        <w:rPr>
          <w:rFonts w:ascii="宋体" w:hAnsi="宋体" w:cs="宋体"/>
          <w:b/>
          <w:bCs/>
          <w:color w:val="000000"/>
          <w:sz w:val="24"/>
          <w:szCs w:val="24"/>
        </w:rPr>
        <w:t xml:space="preserve">8.6 </w:t>
      </w:r>
      <w:r>
        <w:rPr>
          <w:rFonts w:hint="eastAsia" w:ascii="宋体" w:hAnsi="宋体" w:cs="宋体"/>
          <w:b/>
          <w:bCs/>
          <w:color w:val="000000"/>
          <w:sz w:val="24"/>
          <w:szCs w:val="24"/>
        </w:rPr>
        <w:t>期末按公允价值占基金资产净值比例大小排序的前五名债券投资明细</w:t>
      </w:r>
      <w:bookmarkEnd w:id="42"/>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本基金本报告期末未持有债券。</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3" w:name="_Toc445827387"/>
      <w:r>
        <w:rPr>
          <w:rFonts w:ascii="宋体" w:hAnsi="宋体" w:cs="宋体"/>
          <w:b/>
          <w:bCs/>
          <w:color w:val="000000"/>
          <w:sz w:val="24"/>
          <w:szCs w:val="24"/>
        </w:rPr>
        <w:t xml:space="preserve">8.7 </w:t>
      </w:r>
      <w:r>
        <w:rPr>
          <w:rFonts w:hint="eastAsia" w:ascii="宋体" w:hAnsi="宋体" w:cs="宋体"/>
          <w:b/>
          <w:bCs/>
          <w:color w:val="000000"/>
          <w:sz w:val="24"/>
          <w:szCs w:val="24"/>
        </w:rPr>
        <w:t>期末按公允价值占基金资产净值比例大小排序的所有资产支持证券投资明细</w:t>
      </w:r>
      <w:bookmarkEnd w:id="43"/>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本基金本报告期末未持有资产支持证券。</w:t>
      </w:r>
    </w:p>
    <w:p>
      <w:pPr>
        <w:spacing w:before="29" w:line="288" w:lineRule="auto"/>
        <w:ind w:left="15" w:firstLine="482"/>
        <w:jc w:val="left"/>
        <w:rPr>
          <w:rFonts w:ascii="MS Sans Serif" w:hAnsi="MS Sans Serif"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4" w:name="_Toc445827388"/>
      <w:r>
        <w:rPr>
          <w:rFonts w:ascii="宋体" w:hAnsi="宋体" w:cs="宋体"/>
          <w:b/>
          <w:bCs/>
          <w:color w:val="000000"/>
          <w:sz w:val="24"/>
          <w:szCs w:val="24"/>
        </w:rPr>
        <w:t xml:space="preserve">8.8 </w:t>
      </w:r>
      <w:r>
        <w:rPr>
          <w:rFonts w:hint="eastAsia" w:ascii="宋体" w:hAnsi="宋体" w:cs="宋体"/>
          <w:b/>
          <w:bCs/>
          <w:color w:val="000000"/>
          <w:sz w:val="24"/>
          <w:szCs w:val="24"/>
        </w:rPr>
        <w:t>报告期末按公允价值占基金资产净值比例大小排序的前五名贵金属投资明细</w:t>
      </w:r>
      <w:bookmarkEnd w:id="44"/>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本基金本报告期末未持有贵金属。</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5" w:name="_Toc445827389"/>
      <w:r>
        <w:rPr>
          <w:rFonts w:ascii="宋体" w:hAnsi="宋体" w:cs="宋体"/>
          <w:b/>
          <w:bCs/>
          <w:color w:val="000000"/>
          <w:sz w:val="24"/>
          <w:szCs w:val="24"/>
        </w:rPr>
        <w:t xml:space="preserve">8.9 </w:t>
      </w:r>
      <w:r>
        <w:rPr>
          <w:rFonts w:hint="eastAsia" w:ascii="宋体" w:hAnsi="宋体" w:cs="宋体"/>
          <w:b/>
          <w:bCs/>
          <w:color w:val="000000"/>
          <w:sz w:val="24"/>
          <w:szCs w:val="24"/>
        </w:rPr>
        <w:t>期末按公允价值占基金资产净值比例大小排序的前五名权证投资明细</w:t>
      </w:r>
      <w:bookmarkEnd w:id="45"/>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本基金本报告期末未持有权证。</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6" w:name="_Toc445827390"/>
      <w:r>
        <w:rPr>
          <w:rFonts w:ascii="宋体" w:hAnsi="宋体" w:cs="宋体"/>
          <w:b/>
          <w:bCs/>
          <w:color w:val="000000"/>
          <w:sz w:val="24"/>
          <w:szCs w:val="24"/>
        </w:rPr>
        <w:t xml:space="preserve">8.10 </w:t>
      </w:r>
      <w:r>
        <w:rPr>
          <w:rFonts w:hint="eastAsia" w:ascii="宋体" w:hAnsi="宋体" w:cs="宋体"/>
          <w:b/>
          <w:bCs/>
          <w:color w:val="000000"/>
          <w:sz w:val="24"/>
          <w:szCs w:val="24"/>
        </w:rPr>
        <w:t>报告期末本基金投资的股指期货交易情况说明</w:t>
      </w:r>
      <w:bookmarkEnd w:id="46"/>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8.10.1 </w:t>
      </w:r>
      <w:r>
        <w:rPr>
          <w:rFonts w:hint="eastAsia" w:ascii="宋体" w:hAnsi="宋体" w:cs="宋体"/>
          <w:b/>
          <w:bCs/>
          <w:color w:val="000000"/>
          <w:sz w:val="24"/>
          <w:szCs w:val="24"/>
        </w:rPr>
        <w:t>报告期末本基金投资的股指期货持仓和损益明细</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本基金本报告期未投资股指期货。</w:t>
      </w:r>
    </w:p>
    <w:p>
      <w:pPr>
        <w:spacing w:before="29" w:line="288" w:lineRule="auto"/>
        <w:ind w:left="15"/>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8.10.2 </w:t>
      </w:r>
      <w:r>
        <w:rPr>
          <w:rFonts w:hint="eastAsia" w:ascii="宋体" w:hAnsi="宋体" w:cs="宋体"/>
          <w:b/>
          <w:bCs/>
          <w:color w:val="000000"/>
          <w:sz w:val="24"/>
          <w:szCs w:val="24"/>
        </w:rPr>
        <w:t>本基金投资股指期货的投资政策</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本基金本报告期未投资股指期货。</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7" w:name="_Toc445827391"/>
      <w:r>
        <w:rPr>
          <w:rFonts w:ascii="宋体" w:hAnsi="宋体" w:cs="宋体"/>
          <w:b/>
          <w:bCs/>
          <w:color w:val="000000"/>
          <w:sz w:val="24"/>
          <w:szCs w:val="24"/>
        </w:rPr>
        <w:t xml:space="preserve">8.11 </w:t>
      </w:r>
      <w:r>
        <w:rPr>
          <w:rFonts w:hint="eastAsia" w:ascii="宋体" w:hAnsi="宋体" w:cs="宋体"/>
          <w:b/>
          <w:bCs/>
          <w:color w:val="000000"/>
          <w:sz w:val="24"/>
          <w:szCs w:val="24"/>
        </w:rPr>
        <w:t>报告期末本基金投资的国债期货交易情况说明</w:t>
      </w:r>
      <w:bookmarkEnd w:id="47"/>
    </w:p>
    <w:p>
      <w:pPr>
        <w:spacing w:before="29" w:line="288" w:lineRule="auto"/>
        <w:ind w:left="15"/>
        <w:jc w:val="left"/>
        <w:rPr>
          <w:rFonts w:ascii="MS Sans Serif" w:hAnsi="MS Sans Serif" w:cs="MS Sans Serif"/>
          <w:color w:val="000000"/>
          <w:sz w:val="16"/>
          <w:szCs w:val="16"/>
        </w:rPr>
      </w:pPr>
      <w:r>
        <w:rPr>
          <w:rFonts w:ascii="宋体" w:hAnsi="宋体" w:cs="宋体"/>
          <w:b/>
          <w:bCs/>
          <w:color w:val="000000"/>
          <w:sz w:val="24"/>
          <w:szCs w:val="24"/>
        </w:rPr>
        <w:t xml:space="preserve">8.11.1 </w:t>
      </w:r>
      <w:r>
        <w:rPr>
          <w:rFonts w:hint="eastAsia" w:ascii="宋体" w:hAnsi="宋体" w:cs="宋体"/>
          <w:b/>
          <w:bCs/>
          <w:color w:val="000000"/>
          <w:sz w:val="24"/>
          <w:szCs w:val="24"/>
        </w:rPr>
        <w:t>本期国债期货投资政策</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本基金本报告期未投资国债期货。</w:t>
      </w:r>
    </w:p>
    <w:p>
      <w:pPr>
        <w:spacing w:before="29" w:line="288" w:lineRule="auto"/>
        <w:ind w:left="15" w:leftChars="7" w:firstLine="480" w:firstLineChars="200"/>
        <w:jc w:val="left"/>
        <w:rPr>
          <w:rFonts w:ascii="宋体" w:hAnsi="宋体" w:cs="宋体"/>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8.11.2 </w:t>
      </w:r>
      <w:r>
        <w:rPr>
          <w:rFonts w:hint="eastAsia" w:ascii="宋体" w:hAnsi="宋体" w:cs="宋体"/>
          <w:b/>
          <w:bCs/>
          <w:color w:val="000000"/>
          <w:sz w:val="24"/>
          <w:szCs w:val="24"/>
        </w:rPr>
        <w:t>报告期末本基金投资的国债期货持仓和损益明细</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本基金本报告期未投资国债期货。</w:t>
      </w:r>
    </w:p>
    <w:p>
      <w:pPr>
        <w:spacing w:line="288" w:lineRule="auto"/>
        <w:jc w:val="left"/>
        <w:rPr>
          <w:rFonts w:ascii="MS Sans Serif" w:hAnsi="MS Sans Serif" w:eastAsia="Times New Roman" w:cs="MS Sans Serif"/>
          <w:color w:val="000000"/>
          <w:sz w:val="19"/>
          <w:szCs w:val="19"/>
        </w:rPr>
      </w:pPr>
    </w:p>
    <w:p>
      <w:pPr>
        <w:spacing w:before="29" w:line="288" w:lineRule="auto"/>
        <w:ind w:left="15"/>
        <w:jc w:val="left"/>
        <w:rPr>
          <w:rFonts w:ascii="MS Sans Serif" w:hAnsi="MS Sans Serif" w:cs="MS Sans Serif"/>
          <w:color w:val="000000"/>
          <w:sz w:val="16"/>
          <w:szCs w:val="16"/>
        </w:rPr>
      </w:pPr>
      <w:r>
        <w:rPr>
          <w:rFonts w:ascii="宋体" w:hAnsi="宋体" w:cs="宋体"/>
          <w:b/>
          <w:bCs/>
          <w:color w:val="000000"/>
          <w:sz w:val="24"/>
          <w:szCs w:val="24"/>
        </w:rPr>
        <w:t xml:space="preserve">8.11.3 </w:t>
      </w:r>
      <w:r>
        <w:rPr>
          <w:rFonts w:hint="eastAsia" w:ascii="宋体" w:hAnsi="宋体" w:cs="宋体"/>
          <w:b/>
          <w:bCs/>
          <w:color w:val="000000"/>
          <w:sz w:val="24"/>
          <w:szCs w:val="24"/>
        </w:rPr>
        <w:t>本期国债期货投资评价</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本基金本报告期未投资国债期货。</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48" w:name="_Toc445827392"/>
      <w:r>
        <w:rPr>
          <w:rFonts w:ascii="宋体" w:hAnsi="宋体" w:cs="宋体"/>
          <w:b/>
          <w:bCs/>
          <w:color w:val="000000"/>
          <w:sz w:val="24"/>
          <w:szCs w:val="24"/>
        </w:rPr>
        <w:t xml:space="preserve">8.12 </w:t>
      </w:r>
      <w:r>
        <w:rPr>
          <w:rFonts w:hint="eastAsia" w:ascii="宋体" w:hAnsi="宋体" w:cs="宋体"/>
          <w:b/>
          <w:bCs/>
          <w:color w:val="000000"/>
          <w:sz w:val="24"/>
          <w:szCs w:val="24"/>
        </w:rPr>
        <w:t>投资组合报告附注</w:t>
      </w:r>
      <w:bookmarkEnd w:id="48"/>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8.12.1</w:t>
      </w:r>
      <w:r>
        <w:rPr>
          <w:rFonts w:hint="eastAsia" w:ascii="宋体" w:hAnsi="宋体" w:cs="宋体"/>
          <w:b/>
          <w:bCs/>
          <w:color w:val="000000"/>
          <w:sz w:val="24"/>
          <w:szCs w:val="24"/>
        </w:rPr>
        <w:t>基金投资前十名证券的发行主体被监管部门立案调查或编制日前一年内受到公开谴责、处罚的投资决策程序说明</w:t>
      </w:r>
    </w:p>
    <w:p>
      <w:pPr>
        <w:spacing w:before="29" w:line="288" w:lineRule="auto"/>
        <w:ind w:left="15" w:leftChars="7" w:firstLine="480" w:firstLineChars="200"/>
        <w:jc w:val="left"/>
        <w:rPr>
          <w:rFonts w:ascii="宋体" w:hAnsi="宋体" w:cs="宋体"/>
          <w:color w:val="000000"/>
          <w:sz w:val="24"/>
          <w:szCs w:val="24"/>
        </w:rPr>
      </w:pPr>
      <w:r>
        <w:rPr>
          <w:rFonts w:hint="eastAsia" w:ascii="宋体" w:hAnsi="宋体" w:cs="宋体"/>
          <w:color w:val="000000"/>
          <w:sz w:val="24"/>
          <w:szCs w:val="24"/>
        </w:rPr>
        <w:t>本基金本报告期投资的前十名证券的发行主体，本报告期没有出现被监管部门立案调查的情形，也没有出现在报告编制日前一年内受到公开谴责、处罚的情形。</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8.12.2</w:t>
      </w:r>
      <w:r>
        <w:rPr>
          <w:rFonts w:hint="eastAsia" w:ascii="宋体" w:hAnsi="宋体" w:cs="宋体"/>
          <w:b/>
          <w:bCs/>
          <w:color w:val="000000"/>
          <w:sz w:val="24"/>
          <w:szCs w:val="24"/>
        </w:rPr>
        <w:t>基金投资前十名股票中投资于超出基金合同规定备选股票库之外的投资决策程序说明</w:t>
      </w:r>
    </w:p>
    <w:p>
      <w:pPr>
        <w:spacing w:before="29" w:line="288" w:lineRule="auto"/>
        <w:ind w:left="15" w:firstLine="480" w:firstLineChars="200"/>
        <w:jc w:val="left"/>
        <w:rPr>
          <w:rFonts w:ascii="宋体" w:hAnsi="宋体" w:cs="宋体"/>
          <w:color w:val="000000"/>
          <w:sz w:val="24"/>
          <w:szCs w:val="24"/>
        </w:rPr>
      </w:pPr>
      <w:r>
        <w:rPr>
          <w:rFonts w:hint="eastAsia" w:ascii="宋体" w:hAnsi="宋体" w:cs="宋体"/>
          <w:color w:val="000000"/>
          <w:sz w:val="24"/>
          <w:szCs w:val="24"/>
        </w:rPr>
        <w:t>本基金投资的前十名股票中，没有投资于超出基金合同规定备选股票库之外的股票。</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8.12.3 </w:t>
      </w:r>
      <w:r>
        <w:rPr>
          <w:rFonts w:hint="eastAsia" w:ascii="宋体" w:hAnsi="宋体" w:cs="宋体"/>
          <w:b/>
          <w:bCs/>
          <w:color w:val="000000"/>
          <w:sz w:val="24"/>
          <w:szCs w:val="24"/>
        </w:rPr>
        <w:t>期末其他各项资产构成</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0"/>
        <w:gridCol w:w="3612"/>
        <w:gridCol w:w="4696"/>
      </w:tblGrid>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金额</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13,128.52</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14,642.51</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其他</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合计</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27,771.03</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8.12.4 </w:t>
      </w:r>
      <w:r>
        <w:rPr>
          <w:rFonts w:hint="eastAsia" w:ascii="宋体" w:hAnsi="宋体" w:cs="宋体"/>
          <w:b/>
          <w:bCs/>
          <w:color w:val="000000"/>
          <w:sz w:val="24"/>
          <w:szCs w:val="24"/>
        </w:rPr>
        <w:t>期末持有的处于转股期的可转换债券明细</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本基金本报告期末未持有处于转股期的可转换债券。</w:t>
      </w:r>
    </w:p>
    <w:p>
      <w:pPr>
        <w:spacing w:line="288" w:lineRule="auto"/>
        <w:jc w:val="left"/>
        <w:rPr>
          <w:rFonts w:ascii="MS Sans Serif" w:hAnsi="MS Sans Serif" w:eastAsia="Times New Roman" w:cs="MS Sans Serif"/>
          <w:color w:val="000000"/>
          <w:sz w:val="24"/>
          <w:szCs w:val="24"/>
        </w:rPr>
      </w:pP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8.12.5 </w:t>
      </w:r>
      <w:r>
        <w:rPr>
          <w:rFonts w:hint="eastAsia" w:ascii="宋体" w:hAnsi="宋体" w:cs="宋体"/>
          <w:b/>
          <w:bCs/>
          <w:color w:val="000000"/>
          <w:sz w:val="24"/>
          <w:szCs w:val="24"/>
        </w:rPr>
        <w:t>期末前十名股票中存在流通受限情况的说明</w:t>
      </w:r>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本基金本报告期末前十名股票不存在流通受限的情况。</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49" w:name="_Toc445827393"/>
      <w:r>
        <w:rPr>
          <w:rFonts w:hint="eastAsia" w:ascii="宋体" w:hAnsi="宋体" w:cs="宋体"/>
          <w:b/>
          <w:bCs/>
          <w:color w:val="000000"/>
          <w:sz w:val="24"/>
          <w:szCs w:val="24"/>
        </w:rPr>
        <w:t>§</w:t>
      </w:r>
      <w:r>
        <w:rPr>
          <w:rFonts w:ascii="宋体" w:hAnsi="宋体" w:cs="宋体"/>
          <w:b/>
          <w:bCs/>
          <w:color w:val="000000"/>
          <w:sz w:val="24"/>
          <w:szCs w:val="24"/>
        </w:rPr>
        <w:t xml:space="preserve">9  </w:t>
      </w:r>
      <w:r>
        <w:rPr>
          <w:rFonts w:hint="eastAsia" w:ascii="宋体" w:hAnsi="宋体" w:cs="宋体"/>
          <w:b/>
          <w:bCs/>
          <w:color w:val="000000"/>
          <w:sz w:val="24"/>
          <w:szCs w:val="24"/>
        </w:rPr>
        <w:t>基金份额持有人信息</w:t>
      </w:r>
      <w:bookmarkEnd w:id="49"/>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0" w:name="_Toc445827394"/>
      <w:r>
        <w:rPr>
          <w:rFonts w:ascii="宋体" w:hAnsi="宋体" w:cs="宋体"/>
          <w:b/>
          <w:bCs/>
          <w:color w:val="000000"/>
          <w:sz w:val="24"/>
          <w:szCs w:val="24"/>
        </w:rPr>
        <w:t xml:space="preserve">9.1 </w:t>
      </w:r>
      <w:r>
        <w:rPr>
          <w:rFonts w:hint="eastAsia" w:ascii="宋体" w:hAnsi="宋体" w:cs="宋体"/>
          <w:b/>
          <w:bCs/>
          <w:color w:val="000000"/>
          <w:sz w:val="24"/>
          <w:szCs w:val="24"/>
        </w:rPr>
        <w:t>期末基金份额持有人户数及持有人结构</w:t>
      </w:r>
      <w:bookmarkEnd w:id="50"/>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份额单位：份</w:t>
      </w:r>
    </w:p>
    <w:tbl>
      <w:tblPr>
        <w:tblStyle w:val="10"/>
        <w:tblW w:w="0" w:type="auto"/>
        <w:tblInd w:w="108" w:type="dxa"/>
        <w:tblLayout w:type="fixed"/>
        <w:tblCellMar>
          <w:top w:w="0" w:type="dxa"/>
          <w:left w:w="108" w:type="dxa"/>
          <w:bottom w:w="0" w:type="dxa"/>
          <w:right w:w="108" w:type="dxa"/>
        </w:tblCellMar>
      </w:tblPr>
      <w:tblGrid>
        <w:gridCol w:w="1443"/>
        <w:gridCol w:w="1806"/>
        <w:gridCol w:w="1806"/>
        <w:gridCol w:w="1083"/>
        <w:gridCol w:w="1806"/>
        <w:gridCol w:w="1084"/>
      </w:tblGrid>
      <w:tr>
        <w:trPr>
          <w:wBefore w:w="0" w:type="dxa"/>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持有人户数</w:t>
            </w:r>
          </w:p>
          <w:p>
            <w:pPr>
              <w:spacing w:before="29" w:line="288" w:lineRule="auto"/>
              <w:ind w:left="15"/>
              <w:jc w:val="center"/>
              <w:rPr>
                <w:rFonts w:ascii="宋体" w:hAnsi="宋体" w:cs="宋体"/>
                <w:color w:val="000000"/>
                <w:sz w:val="24"/>
                <w:szCs w:val="24"/>
              </w:rPr>
            </w:pPr>
            <w:r>
              <w:rPr>
                <w:rFonts w:ascii="宋体" w:hAnsi="宋体" w:cs="宋体"/>
                <w:color w:val="000000"/>
                <w:sz w:val="24"/>
                <w:szCs w:val="24"/>
              </w:rPr>
              <w:t>(</w:t>
            </w:r>
            <w:r>
              <w:rPr>
                <w:rFonts w:hint="eastAsia" w:ascii="宋体" w:hAnsi="宋体" w:cs="宋体"/>
                <w:color w:val="000000"/>
                <w:sz w:val="24"/>
                <w:szCs w:val="24"/>
              </w:rPr>
              <w:t>户</w:t>
            </w:r>
            <w:r>
              <w:rPr>
                <w:rFonts w:ascii="宋体" w:hAnsi="宋体" w:cs="宋体"/>
                <w:color w:val="000000"/>
                <w:sz w:val="24"/>
                <w:szCs w:val="24"/>
              </w:rPr>
              <w:t>)</w:t>
            </w:r>
          </w:p>
        </w:tc>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持有人结构</w:t>
            </w:r>
          </w:p>
        </w:tc>
      </w:tr>
      <w:tr>
        <w:tblPrEx>
          <w:tblCellMar>
            <w:top w:w="0" w:type="dxa"/>
            <w:left w:w="108" w:type="dxa"/>
            <w:bottom w:w="0" w:type="dxa"/>
            <w:right w:w="108" w:type="dxa"/>
          </w:tblCellMar>
        </w:tblPrEx>
        <w:trPr>
          <w:wBefore w:w="0" w:type="dxa"/>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机构投资者</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个人投资者</w:t>
            </w:r>
          </w:p>
        </w:tc>
      </w:tr>
      <w:tr>
        <w:tblPrEx>
          <w:tblCellMar>
            <w:top w:w="0" w:type="dxa"/>
            <w:left w:w="108" w:type="dxa"/>
            <w:bottom w:w="0" w:type="dxa"/>
            <w:right w:w="108" w:type="dxa"/>
          </w:tblCellMar>
        </w:tblPrEx>
        <w:trPr>
          <w:wBefore w:w="0" w:type="dxa"/>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占总份额比例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占总份额比例</w:t>
            </w:r>
          </w:p>
        </w:tc>
      </w:tr>
      <w:tr>
        <w:tblPrEx>
          <w:tblCellMar>
            <w:top w:w="0" w:type="dxa"/>
            <w:left w:w="108" w:type="dxa"/>
            <w:bottom w:w="0" w:type="dxa"/>
            <w:right w:w="108" w:type="dxa"/>
          </w:tblCellMar>
        </w:tblPrEx>
        <w:trPr>
          <w:wBefore w:w="0" w:type="dxa"/>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134,857.67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15,009,700.00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233,263,277.05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ascii="宋体" w:hAnsi="宋体" w:cs="宋体"/>
                <w:color w:val="000000"/>
                <w:sz w:val="24"/>
                <w:szCs w:val="24"/>
              </w:rPr>
              <w:t>93.95%</w:t>
            </w:r>
          </w:p>
        </w:tc>
      </w:tr>
    </w:tbl>
    <w:p>
      <w:pPr>
        <w:spacing w:line="288" w:lineRule="auto"/>
        <w:jc w:val="left"/>
        <w:rPr>
          <w:rFonts w:ascii="MS Sans Serif" w:hAnsi="MS Sans Serif"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1" w:name="_Toc445827395"/>
      <w:r>
        <w:rPr>
          <w:rFonts w:ascii="宋体" w:hAnsi="宋体" w:cs="宋体"/>
          <w:b/>
          <w:bCs/>
          <w:color w:val="000000"/>
          <w:sz w:val="24"/>
          <w:szCs w:val="24"/>
        </w:rPr>
        <w:t xml:space="preserve">9.2 </w:t>
      </w:r>
      <w:r>
        <w:rPr>
          <w:rFonts w:hint="eastAsia" w:ascii="宋体" w:hAnsi="宋体" w:cs="宋体"/>
          <w:b/>
          <w:bCs/>
          <w:color w:val="000000"/>
          <w:sz w:val="24"/>
          <w:szCs w:val="24"/>
        </w:rPr>
        <w:t>期末基金管理人的从业人员持有本基金的情况</w:t>
      </w:r>
      <w:bookmarkEnd w:id="51"/>
    </w:p>
    <w:tbl>
      <w:tblPr>
        <w:tblStyle w:val="10"/>
        <w:tblW w:w="0" w:type="auto"/>
        <w:tblInd w:w="108" w:type="dxa"/>
        <w:tblLayout w:type="fixed"/>
        <w:tblCellMar>
          <w:top w:w="0" w:type="dxa"/>
          <w:left w:w="108" w:type="dxa"/>
          <w:bottom w:w="0" w:type="dxa"/>
          <w:right w:w="108" w:type="dxa"/>
        </w:tblCellMar>
      </w:tblPr>
      <w:tblGrid>
        <w:gridCol w:w="3971"/>
        <w:gridCol w:w="2529"/>
        <w:gridCol w:w="2528"/>
      </w:tblGrid>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持有份额总数（份）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占基金总份额比例</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2,290,946.27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0.92%</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2" w:name="_Toc445827396"/>
      <w:r>
        <w:rPr>
          <w:rFonts w:ascii="宋体" w:hAnsi="宋体" w:cs="宋体"/>
          <w:b/>
          <w:bCs/>
          <w:color w:val="000000"/>
          <w:sz w:val="24"/>
          <w:szCs w:val="24"/>
        </w:rPr>
        <w:t xml:space="preserve">9.3 </w:t>
      </w:r>
      <w:r>
        <w:rPr>
          <w:rFonts w:hint="eastAsia" w:ascii="宋体" w:hAnsi="宋体" w:cs="宋体"/>
          <w:b/>
          <w:bCs/>
          <w:color w:val="000000"/>
          <w:sz w:val="24"/>
          <w:szCs w:val="24"/>
        </w:rPr>
        <w:t>期末基金管理人的从业人员持有本开放式基金份额总量区间情况</w:t>
      </w:r>
      <w:bookmarkEnd w:id="52"/>
    </w:p>
    <w:tbl>
      <w:tblPr>
        <w:tblStyle w:val="10"/>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项目</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持有基金份额总量的数量区间（万份）</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&gt;100</w:t>
            </w:r>
          </w:p>
        </w:tc>
      </w:tr>
      <w:tr>
        <w:tblPrEx>
          <w:tblCellMar>
            <w:top w:w="0" w:type="dxa"/>
            <w:left w:w="108" w:type="dxa"/>
            <w:bottom w:w="0" w:type="dxa"/>
            <w:right w:w="108" w:type="dxa"/>
          </w:tblCellMar>
        </w:tblPrEx>
        <w:trPr>
          <w:wBefore w:w="0" w:type="dxa"/>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hAnsi="宋体" w:cs="宋体"/>
                <w:color w:val="000000"/>
                <w:sz w:val="24"/>
                <w:szCs w:val="24"/>
              </w:rPr>
            </w:pPr>
            <w:r>
              <w:rPr>
                <w:rFonts w:ascii="宋体" w:hAnsi="宋体" w:cs="宋体"/>
                <w:color w:val="000000"/>
                <w:sz w:val="24"/>
                <w:szCs w:val="24"/>
              </w:rPr>
              <w:t>10~50</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53" w:name="_Toc445827397"/>
      <w:r>
        <w:rPr>
          <w:rFonts w:hint="eastAsia" w:ascii="宋体" w:hAnsi="宋体" w:cs="宋体"/>
          <w:b/>
          <w:bCs/>
          <w:color w:val="000000"/>
          <w:sz w:val="24"/>
          <w:szCs w:val="24"/>
        </w:rPr>
        <w:t>§</w:t>
      </w:r>
      <w:r>
        <w:rPr>
          <w:rFonts w:ascii="宋体" w:hAnsi="宋体" w:cs="宋体"/>
          <w:b/>
          <w:bCs/>
          <w:color w:val="000000"/>
          <w:sz w:val="24"/>
          <w:szCs w:val="24"/>
        </w:rPr>
        <w:t xml:space="preserve">10 </w:t>
      </w:r>
      <w:r>
        <w:rPr>
          <w:rFonts w:hint="eastAsia" w:ascii="宋体" w:hAnsi="宋体" w:cs="宋体"/>
          <w:b/>
          <w:bCs/>
          <w:color w:val="000000"/>
          <w:sz w:val="24"/>
          <w:szCs w:val="24"/>
        </w:rPr>
        <w:t>开放式基金份额变动</w:t>
      </w:r>
      <w:bookmarkEnd w:id="53"/>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单位：份</w:t>
      </w:r>
    </w:p>
    <w:tbl>
      <w:tblPr>
        <w:tblStyle w:val="10"/>
        <w:tblW w:w="0" w:type="auto"/>
        <w:tblInd w:w="108" w:type="dxa"/>
        <w:tblLayout w:type="fixed"/>
        <w:tblCellMar>
          <w:top w:w="0" w:type="dxa"/>
          <w:left w:w="108" w:type="dxa"/>
          <w:bottom w:w="0" w:type="dxa"/>
          <w:right w:w="108" w:type="dxa"/>
        </w:tblCellMar>
      </w:tblPr>
      <w:tblGrid>
        <w:gridCol w:w="6138"/>
        <w:gridCol w:w="2890"/>
      </w:tblGrid>
      <w:tr>
        <w:trPr>
          <w:wBefore w:w="0" w:type="dxa"/>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w:t>
            </w:r>
            <w:r>
              <w:rPr>
                <w:rFonts w:ascii="宋体" w:hAnsi="宋体" w:cs="宋体"/>
                <w:color w:val="000000"/>
                <w:sz w:val="24"/>
                <w:szCs w:val="24"/>
              </w:rPr>
              <w:t>(2015</w:t>
            </w:r>
            <w:r>
              <w:rPr>
                <w:rFonts w:hint="eastAsia" w:ascii="宋体" w:hAnsi="宋体" w:cs="宋体"/>
                <w:color w:val="000000"/>
                <w:sz w:val="24"/>
                <w:szCs w:val="24"/>
              </w:rPr>
              <w:t>年</w:t>
            </w:r>
            <w:r>
              <w:rPr>
                <w:rFonts w:ascii="宋体" w:hAnsi="宋体" w:cs="宋体"/>
                <w:color w:val="000000"/>
                <w:sz w:val="24"/>
                <w:szCs w:val="24"/>
              </w:rPr>
              <w:t>8</w:t>
            </w:r>
            <w:r>
              <w:rPr>
                <w:rFonts w:hint="eastAsia" w:ascii="宋体" w:hAnsi="宋体" w:cs="宋体"/>
                <w:color w:val="000000"/>
                <w:sz w:val="24"/>
                <w:szCs w:val="24"/>
              </w:rPr>
              <w:t>月</w:t>
            </w:r>
            <w:r>
              <w:rPr>
                <w:rFonts w:ascii="宋体" w:hAnsi="宋体" w:cs="宋体"/>
                <w:color w:val="000000"/>
                <w:sz w:val="24"/>
                <w:szCs w:val="24"/>
              </w:rPr>
              <w:t>24</w:t>
            </w:r>
            <w:r>
              <w:rPr>
                <w:rFonts w:hint="eastAsia" w:ascii="宋体" w:hAnsi="宋体" w:cs="宋体"/>
                <w:color w:val="000000"/>
                <w:sz w:val="24"/>
                <w:szCs w:val="24"/>
              </w:rPr>
              <w:t>日</w:t>
            </w:r>
            <w:r>
              <w:rPr>
                <w:rFonts w:ascii="宋体" w:hAnsi="宋体" w:cs="宋体"/>
                <w:color w:val="000000"/>
                <w:sz w:val="24"/>
                <w:szCs w:val="24"/>
              </w:rPr>
              <w:t>)</w:t>
            </w:r>
            <w:r>
              <w:rPr>
                <w:rFonts w:hint="eastAsia" w:ascii="宋体" w:hAnsi="宋体" w:cs="宋体"/>
                <w:color w:val="000000"/>
                <w:sz w:val="24"/>
                <w:szCs w:val="24"/>
              </w:rPr>
              <w:t>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303,868,723.06</w:t>
            </w:r>
          </w:p>
        </w:tc>
      </w:tr>
      <w:tr>
        <w:tblPrEx>
          <w:tblCellMar>
            <w:top w:w="0" w:type="dxa"/>
            <w:left w:w="108" w:type="dxa"/>
            <w:bottom w:w="0" w:type="dxa"/>
            <w:right w:w="108" w:type="dxa"/>
          </w:tblCellMar>
        </w:tblPrEx>
        <w:trPr>
          <w:wBefore w:w="0" w:type="dxa"/>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627,470.04</w:t>
            </w:r>
          </w:p>
        </w:tc>
      </w:tr>
      <w:tr>
        <w:tblPrEx>
          <w:tblCellMar>
            <w:top w:w="0" w:type="dxa"/>
            <w:left w:w="108" w:type="dxa"/>
            <w:bottom w:w="0" w:type="dxa"/>
            <w:right w:w="108" w:type="dxa"/>
          </w:tblCellMar>
        </w:tblPrEx>
        <w:trPr>
          <w:wBefore w:w="0" w:type="dxa"/>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56,223,216.05</w:t>
            </w:r>
          </w:p>
        </w:tc>
      </w:tr>
      <w:tr>
        <w:tblPrEx>
          <w:tblCellMar>
            <w:top w:w="0" w:type="dxa"/>
            <w:left w:w="108" w:type="dxa"/>
            <w:bottom w:w="0" w:type="dxa"/>
            <w:right w:w="108" w:type="dxa"/>
          </w:tblCellMar>
        </w:tblPrEx>
        <w:trPr>
          <w:wBefore w:w="0" w:type="dxa"/>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hAnsi="宋体" w:cs="宋体"/>
                <w:color w:val="000000"/>
                <w:sz w:val="24"/>
                <w:szCs w:val="24"/>
              </w:rPr>
            </w:pPr>
            <w:r>
              <w:rPr>
                <w:rFonts w:hint="eastAsia" w:ascii="宋体" w:hAnsi="宋体" w:cs="宋体"/>
                <w:color w:val="000000"/>
                <w:sz w:val="24"/>
                <w:szCs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eastAsia="Times New Roman"/>
                <w:color w:val="000000"/>
                <w:sz w:val="24"/>
                <w:szCs w:val="24"/>
              </w:rPr>
            </w:pPr>
            <w:r>
              <w:rPr>
                <w:rFonts w:eastAsia="Times New Roman"/>
                <w:color w:val="000000"/>
                <w:sz w:val="24"/>
                <w:szCs w:val="24"/>
              </w:rPr>
              <w:t>248,272,977.05</w:t>
            </w:r>
          </w:p>
        </w:tc>
      </w:tr>
    </w:tbl>
    <w:p>
      <w:pPr>
        <w:spacing w:line="288" w:lineRule="auto"/>
        <w:jc w:val="left"/>
        <w:rPr>
          <w:rFonts w:ascii="MS Sans Serif" w:hAnsi="MS Sans Serif" w:eastAsia="Times New Roman" w:cs="MS Sans Serif"/>
          <w:color w:val="000000"/>
          <w:sz w:val="23"/>
          <w:szCs w:val="23"/>
        </w:rPr>
      </w:pPr>
    </w:p>
    <w:p>
      <w:pPr>
        <w:spacing w:before="29" w:line="288" w:lineRule="auto"/>
        <w:ind w:left="15"/>
        <w:jc w:val="center"/>
        <w:outlineLvl w:val="0"/>
        <w:rPr>
          <w:rFonts w:ascii="宋体" w:hAnsi="宋体" w:cs="宋体"/>
          <w:b/>
          <w:bCs/>
          <w:color w:val="000000"/>
          <w:sz w:val="24"/>
          <w:szCs w:val="24"/>
        </w:rPr>
      </w:pPr>
      <w:bookmarkStart w:id="54" w:name="_Toc445827398"/>
      <w:r>
        <w:rPr>
          <w:rFonts w:hint="eastAsia" w:ascii="宋体" w:hAnsi="宋体" w:cs="宋体"/>
          <w:b/>
          <w:bCs/>
          <w:color w:val="000000"/>
          <w:sz w:val="24"/>
          <w:szCs w:val="24"/>
        </w:rPr>
        <w:t>§</w:t>
      </w:r>
      <w:r>
        <w:rPr>
          <w:rFonts w:ascii="宋体" w:hAnsi="宋体" w:cs="宋体"/>
          <w:b/>
          <w:bCs/>
          <w:color w:val="000000"/>
          <w:sz w:val="24"/>
          <w:szCs w:val="24"/>
        </w:rPr>
        <w:t xml:space="preserve">11 </w:t>
      </w:r>
      <w:r>
        <w:rPr>
          <w:rFonts w:hint="eastAsia" w:ascii="宋体" w:hAnsi="宋体" w:cs="宋体"/>
          <w:b/>
          <w:bCs/>
          <w:color w:val="000000"/>
          <w:sz w:val="24"/>
          <w:szCs w:val="24"/>
        </w:rPr>
        <w:t>重大事件揭示</w:t>
      </w:r>
      <w:bookmarkEnd w:id="54"/>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5" w:name="_Toc445827399"/>
      <w:r>
        <w:rPr>
          <w:rFonts w:ascii="宋体" w:hAnsi="宋体" w:cs="宋体"/>
          <w:b/>
          <w:bCs/>
          <w:color w:val="000000"/>
          <w:sz w:val="24"/>
          <w:szCs w:val="24"/>
        </w:rPr>
        <w:t xml:space="preserve">11.1 </w:t>
      </w:r>
      <w:r>
        <w:rPr>
          <w:rFonts w:hint="eastAsia" w:ascii="宋体" w:hAnsi="宋体" w:cs="宋体"/>
          <w:b/>
          <w:bCs/>
          <w:color w:val="000000"/>
          <w:sz w:val="24"/>
          <w:szCs w:val="24"/>
        </w:rPr>
        <w:t>基金份额持有人大会决议</w:t>
      </w:r>
      <w:bookmarkEnd w:id="55"/>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本报告期内无基金份额持有人大会决议。</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6" w:name="_Toc445827400"/>
      <w:r>
        <w:rPr>
          <w:rFonts w:ascii="宋体" w:hAnsi="宋体" w:cs="宋体"/>
          <w:b/>
          <w:bCs/>
          <w:color w:val="000000"/>
          <w:sz w:val="24"/>
          <w:szCs w:val="24"/>
        </w:rPr>
        <w:t xml:space="preserve">11.2 </w:t>
      </w:r>
      <w:r>
        <w:rPr>
          <w:rFonts w:hint="eastAsia" w:ascii="宋体" w:hAnsi="宋体" w:cs="宋体"/>
          <w:b/>
          <w:bCs/>
          <w:color w:val="000000"/>
          <w:sz w:val="24"/>
          <w:szCs w:val="24"/>
        </w:rPr>
        <w:t>基金管理人、基金托管人的专门基金托管部门的重大人事变动</w:t>
      </w:r>
      <w:bookmarkEnd w:id="56"/>
    </w:p>
    <w:p>
      <w:pPr>
        <w:spacing w:before="29" w:line="288" w:lineRule="auto"/>
        <w:ind w:left="15" w:firstLine="482"/>
        <w:jc w:val="left"/>
        <w:rPr>
          <w:rFonts w:hint="eastAsia" w:ascii="宋体" w:hAnsi="宋体" w:cs="宋体"/>
          <w:color w:val="000000"/>
          <w:sz w:val="24"/>
          <w:szCs w:val="24"/>
        </w:rPr>
      </w:pPr>
      <w:r>
        <w:rPr>
          <w:rFonts w:hint="eastAsia" w:ascii="宋体" w:hAnsi="宋体" w:cs="宋体"/>
          <w:color w:val="000000"/>
          <w:sz w:val="24"/>
          <w:szCs w:val="24"/>
        </w:rPr>
        <w:t>本报告期内，基金管理人未发生重大人事变动。</w:t>
      </w:r>
    </w:p>
    <w:p>
      <w:pPr>
        <w:spacing w:before="29" w:line="288" w:lineRule="auto"/>
        <w:ind w:left="15" w:firstLine="482"/>
        <w:jc w:val="left"/>
        <w:rPr>
          <w:rFonts w:ascii="宋体" w:hAnsi="宋体" w:cs="宋体"/>
          <w:color w:val="000000"/>
          <w:sz w:val="24"/>
          <w:szCs w:val="24"/>
        </w:rPr>
      </w:pPr>
      <w:r>
        <w:rPr>
          <w:rFonts w:ascii="宋体"/>
          <w:kern w:val="0"/>
          <w:sz w:val="24"/>
        </w:rPr>
        <w:t>本报告期内，基金托管人的专门基金托管部门未发生重大人事变动。</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7" w:name="_Toc445827401"/>
      <w:r>
        <w:rPr>
          <w:rFonts w:ascii="宋体" w:hAnsi="宋体" w:cs="宋体"/>
          <w:b/>
          <w:bCs/>
          <w:color w:val="000000"/>
          <w:sz w:val="24"/>
          <w:szCs w:val="24"/>
        </w:rPr>
        <w:t xml:space="preserve">11.3 </w:t>
      </w:r>
      <w:r>
        <w:rPr>
          <w:rFonts w:hint="eastAsia" w:ascii="宋体" w:hAnsi="宋体" w:cs="宋体"/>
          <w:b/>
          <w:bCs/>
          <w:color w:val="000000"/>
          <w:sz w:val="24"/>
          <w:szCs w:val="24"/>
        </w:rPr>
        <w:t>涉及基金管理人、基金财产、基金托管业务的诉讼</w:t>
      </w:r>
      <w:bookmarkEnd w:id="57"/>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本报告期内，无涉及基金管理人、基金财产、基金托管业务的诉讼。</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8" w:name="_Toc445827402"/>
      <w:r>
        <w:rPr>
          <w:rFonts w:ascii="宋体" w:hAnsi="宋体" w:cs="宋体"/>
          <w:b/>
          <w:bCs/>
          <w:color w:val="000000"/>
          <w:sz w:val="24"/>
          <w:szCs w:val="24"/>
        </w:rPr>
        <w:t xml:space="preserve">11.4 </w:t>
      </w:r>
      <w:r>
        <w:rPr>
          <w:rFonts w:hint="eastAsia" w:ascii="宋体" w:hAnsi="宋体" w:cs="宋体"/>
          <w:b/>
          <w:bCs/>
          <w:color w:val="000000"/>
          <w:sz w:val="24"/>
          <w:szCs w:val="24"/>
        </w:rPr>
        <w:t>基金投资策略的改变</w:t>
      </w:r>
      <w:bookmarkEnd w:id="58"/>
    </w:p>
    <w:p>
      <w:pPr>
        <w:spacing w:line="288" w:lineRule="auto"/>
        <w:ind w:firstLine="480" w:firstLineChars="200"/>
        <w:jc w:val="left"/>
        <w:rPr>
          <w:rFonts w:ascii="宋体" w:hAnsi="宋体" w:cs="宋体"/>
          <w:color w:val="000000"/>
          <w:sz w:val="23"/>
          <w:szCs w:val="23"/>
        </w:rPr>
      </w:pPr>
      <w:r>
        <w:rPr>
          <w:rFonts w:ascii="宋体"/>
          <w:kern w:val="0"/>
          <w:sz w:val="24"/>
        </w:rPr>
        <w:t>本报告期内本基金投资策略未改变。</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59" w:name="_Toc445827403"/>
      <w:r>
        <w:rPr>
          <w:rFonts w:ascii="宋体" w:hAnsi="宋体" w:cs="宋体"/>
          <w:b/>
          <w:bCs/>
          <w:color w:val="000000"/>
          <w:sz w:val="24"/>
          <w:szCs w:val="24"/>
        </w:rPr>
        <w:t xml:space="preserve">11.5 </w:t>
      </w:r>
      <w:r>
        <w:rPr>
          <w:rFonts w:hint="eastAsia" w:ascii="宋体" w:hAnsi="宋体" w:cs="宋体"/>
          <w:b/>
          <w:bCs/>
          <w:color w:val="000000"/>
          <w:sz w:val="24"/>
          <w:szCs w:val="24"/>
        </w:rPr>
        <w:t>为基金进行审计的会计师事务所情况</w:t>
      </w:r>
      <w:bookmarkEnd w:id="59"/>
    </w:p>
    <w:p>
      <w:pPr>
        <w:spacing w:line="288" w:lineRule="auto"/>
        <w:ind w:firstLine="600" w:firstLineChars="250"/>
        <w:jc w:val="left"/>
        <w:rPr>
          <w:rFonts w:ascii="宋体" w:hAnsi="宋体" w:cs="宋体"/>
          <w:color w:val="000000"/>
          <w:sz w:val="23"/>
          <w:szCs w:val="23"/>
        </w:rPr>
      </w:pPr>
      <w:r>
        <w:rPr>
          <w:rFonts w:ascii="宋体"/>
          <w:kern w:val="0"/>
          <w:sz w:val="24"/>
        </w:rPr>
        <w:t>本报告期内本基金未更换会计师事务所，本年度支付给普华永道中天会计师事务所(特殊普通合伙)审计费用53,000.00元，该审计机构连续提供审计服务的年限为1年。</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60" w:name="_Toc445827404"/>
      <w:r>
        <w:rPr>
          <w:rFonts w:ascii="宋体" w:hAnsi="宋体" w:cs="宋体"/>
          <w:b/>
          <w:bCs/>
          <w:color w:val="000000"/>
          <w:sz w:val="24"/>
          <w:szCs w:val="24"/>
        </w:rPr>
        <w:t xml:space="preserve">11.6 </w:t>
      </w:r>
      <w:r>
        <w:rPr>
          <w:rFonts w:hint="eastAsia" w:ascii="宋体" w:hAnsi="宋体" w:cs="宋体"/>
          <w:b/>
          <w:bCs/>
          <w:color w:val="000000"/>
          <w:sz w:val="24"/>
          <w:szCs w:val="24"/>
        </w:rPr>
        <w:t>管理人、托管人及其高级管理人员受稽查或处罚等情况</w:t>
      </w:r>
      <w:bookmarkEnd w:id="60"/>
    </w:p>
    <w:p>
      <w:pPr>
        <w:spacing w:before="29" w:line="288" w:lineRule="auto"/>
        <w:ind w:left="15" w:firstLine="482"/>
        <w:jc w:val="left"/>
        <w:rPr>
          <w:rFonts w:ascii="宋体" w:hAnsi="宋体" w:cs="宋体"/>
          <w:color w:val="000000"/>
          <w:sz w:val="24"/>
          <w:szCs w:val="24"/>
        </w:rPr>
      </w:pPr>
      <w:r>
        <w:rPr>
          <w:rFonts w:ascii="宋体"/>
          <w:kern w:val="0"/>
          <w:sz w:val="24"/>
        </w:rPr>
        <w:t>本报告期内，基金管理人、基金托管人及其高级管理人员没有受到监管部门稽查或处罚等情况。</w:t>
      </w:r>
    </w:p>
    <w:p>
      <w:pPr>
        <w:spacing w:before="29" w:line="288" w:lineRule="auto"/>
        <w:ind w:left="15" w:firstLine="482"/>
        <w:jc w:val="left"/>
        <w:rPr>
          <w:rFonts w:ascii="宋体" w:hAnsi="宋体" w:cs="宋体"/>
          <w:color w:val="000000"/>
          <w:sz w:val="24"/>
          <w:szCs w:val="24"/>
        </w:rPr>
      </w:pPr>
    </w:p>
    <w:p>
      <w:pPr>
        <w:spacing w:before="29" w:line="288" w:lineRule="auto"/>
        <w:ind w:left="15"/>
        <w:jc w:val="left"/>
        <w:outlineLvl w:val="1"/>
        <w:rPr>
          <w:rFonts w:ascii="宋体" w:hAnsi="宋体" w:cs="宋体"/>
          <w:b/>
          <w:bCs/>
          <w:color w:val="000000"/>
          <w:sz w:val="24"/>
          <w:szCs w:val="24"/>
        </w:rPr>
      </w:pPr>
      <w:bookmarkStart w:id="61" w:name="_Toc445827405"/>
      <w:r>
        <w:rPr>
          <w:rFonts w:ascii="宋体" w:hAnsi="宋体" w:cs="宋体"/>
          <w:b/>
          <w:bCs/>
          <w:color w:val="000000"/>
          <w:sz w:val="24"/>
          <w:szCs w:val="24"/>
        </w:rPr>
        <w:t xml:space="preserve">11.7 </w:t>
      </w:r>
      <w:r>
        <w:rPr>
          <w:rFonts w:hint="eastAsia" w:ascii="宋体" w:hAnsi="宋体" w:cs="宋体"/>
          <w:b/>
          <w:bCs/>
          <w:color w:val="000000"/>
          <w:sz w:val="24"/>
          <w:szCs w:val="24"/>
        </w:rPr>
        <w:t>基金租用证券公司交易单元的有关情况</w:t>
      </w:r>
      <w:bookmarkEnd w:id="61"/>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11.7.1 </w:t>
      </w:r>
      <w:r>
        <w:rPr>
          <w:rFonts w:hint="eastAsia" w:ascii="宋体" w:hAnsi="宋体" w:cs="宋体"/>
          <w:b/>
          <w:bCs/>
          <w:color w:val="000000"/>
          <w:sz w:val="24"/>
          <w:szCs w:val="24"/>
        </w:rPr>
        <w:t>基金租用证券公司交易单元进行股票投资及佣金支付情况</w:t>
      </w: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560"/>
        <w:gridCol w:w="850"/>
        <w:gridCol w:w="1843"/>
        <w:gridCol w:w="1163"/>
        <w:gridCol w:w="1445"/>
        <w:gridCol w:w="1445"/>
        <w:gridCol w:w="722"/>
      </w:tblGrid>
      <w:tr>
        <w:tblPrEx>
          <w:tblCellMar>
            <w:top w:w="0" w:type="dxa"/>
            <w:left w:w="108" w:type="dxa"/>
            <w:bottom w:w="0" w:type="dxa"/>
            <w:right w:w="108" w:type="dxa"/>
          </w:tblCellMar>
        </w:tblPrEx>
        <w:trPr>
          <w:wBefore w:w="0" w:type="dxa"/>
          <w:wAfter w:w="0" w:type="dxa"/>
        </w:trPr>
        <w:tc>
          <w:tcPr>
            <w:tcW w:w="1560"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券商名称</w:t>
            </w:r>
          </w:p>
        </w:tc>
        <w:tc>
          <w:tcPr>
            <w:tcW w:w="850"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交易单元</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数量</w:t>
            </w:r>
          </w:p>
        </w:tc>
        <w:tc>
          <w:tcPr>
            <w:tcW w:w="3006"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股票交易</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备注</w:t>
            </w:r>
          </w:p>
        </w:tc>
      </w:tr>
      <w:tr>
        <w:tblPrEx>
          <w:tblCellMar>
            <w:top w:w="0" w:type="dxa"/>
            <w:left w:w="108" w:type="dxa"/>
            <w:bottom w:w="0" w:type="dxa"/>
            <w:right w:w="108" w:type="dxa"/>
          </w:tblCellMar>
        </w:tblPrEx>
        <w:trPr>
          <w:wBefore w:w="0" w:type="dxa"/>
          <w:wAfter w:w="0" w:type="dxa"/>
        </w:trPr>
        <w:tc>
          <w:tcPr>
            <w:tcW w:w="1560"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850"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成交金额</w:t>
            </w:r>
          </w:p>
        </w:tc>
        <w:tc>
          <w:tcPr>
            <w:tcW w:w="116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占股票</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成交总额比例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占当期佣金</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center"/>
              <w:rPr>
                <w:sz w:val="20"/>
                <w:szCs w:val="20"/>
              </w:rPr>
            </w:pPr>
          </w:p>
        </w:tc>
      </w:tr>
      <w:tr>
        <w:tblPrEx>
          <w:tblCellMar>
            <w:top w:w="0" w:type="dxa"/>
            <w:left w:w="108" w:type="dxa"/>
            <w:bottom w:w="0" w:type="dxa"/>
            <w:right w:w="108" w:type="dxa"/>
          </w:tblCellMar>
        </w:tblPrEx>
        <w:trPr>
          <w:wBefore w:w="0" w:type="dxa"/>
          <w:wAfter w:w="0" w:type="dxa"/>
        </w:trPr>
        <w:tc>
          <w:tcPr>
            <w:tcW w:w="156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第一创业证券</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26,105,899.33</w:t>
            </w:r>
          </w:p>
        </w:tc>
        <w:tc>
          <w:tcPr>
            <w:tcW w:w="116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10.77%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18,933.93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8.64%</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4"/>
                <w:szCs w:val="24"/>
              </w:rPr>
            </w:pPr>
          </w:p>
        </w:tc>
      </w:tr>
      <w:tr>
        <w:tblPrEx>
          <w:tblCellMar>
            <w:top w:w="0" w:type="dxa"/>
            <w:left w:w="108" w:type="dxa"/>
            <w:bottom w:w="0" w:type="dxa"/>
            <w:right w:w="108" w:type="dxa"/>
          </w:tblCellMar>
        </w:tblPrEx>
        <w:trPr>
          <w:wBefore w:w="0" w:type="dxa"/>
          <w:wAfter w:w="0" w:type="dxa"/>
        </w:trPr>
        <w:tc>
          <w:tcPr>
            <w:tcW w:w="156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银河证券</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793,783.00</w:t>
            </w:r>
          </w:p>
        </w:tc>
        <w:tc>
          <w:tcPr>
            <w:tcW w:w="116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0.33%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564.67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0.26%</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3"/>
                <w:szCs w:val="23"/>
              </w:rPr>
            </w:pPr>
          </w:p>
        </w:tc>
      </w:tr>
      <w:tr>
        <w:tblPrEx>
          <w:tblCellMar>
            <w:top w:w="0" w:type="dxa"/>
            <w:left w:w="108" w:type="dxa"/>
            <w:bottom w:w="0" w:type="dxa"/>
            <w:right w:w="108" w:type="dxa"/>
          </w:tblCellMar>
        </w:tblPrEx>
        <w:trPr>
          <w:wBefore w:w="0" w:type="dxa"/>
          <w:wAfter w:w="0" w:type="dxa"/>
        </w:trPr>
        <w:tc>
          <w:tcPr>
            <w:tcW w:w="156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中信建投证券</w:t>
            </w:r>
          </w:p>
        </w:tc>
        <w:tc>
          <w:tcPr>
            <w:tcW w:w="85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215,509,645.74</w:t>
            </w:r>
          </w:p>
        </w:tc>
        <w:tc>
          <w:tcPr>
            <w:tcW w:w="116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88.90%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199,526.43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91.10%</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line="288" w:lineRule="auto"/>
              <w:jc w:val="right"/>
              <w:rPr>
                <w:rFonts w:ascii="宋体" w:hAnsi="宋体" w:cs="宋体"/>
                <w:color w:val="000000"/>
                <w:sz w:val="24"/>
                <w:szCs w:val="24"/>
              </w:rPr>
            </w:pPr>
          </w:p>
        </w:tc>
      </w:tr>
    </w:tbl>
    <w:p>
      <w:pPr>
        <w:spacing w:before="29" w:line="288" w:lineRule="auto"/>
        <w:ind w:left="15"/>
        <w:jc w:val="left"/>
        <w:rPr>
          <w:rFonts w:ascii="宋体" w:hAnsi="宋体" w:cs="宋体"/>
          <w:color w:val="000000"/>
        </w:rPr>
      </w:pPr>
      <w:r>
        <w:rPr>
          <w:rFonts w:hint="eastAsia" w:ascii="宋体" w:hAnsi="宋体" w:cs="宋体"/>
          <w:color w:val="000000"/>
        </w:rPr>
        <w:t>注：交易单元的选择标准和程序：</w:t>
      </w:r>
    </w:p>
    <w:p>
      <w:pPr>
        <w:spacing w:before="29" w:line="288" w:lineRule="auto"/>
        <w:ind w:left="15"/>
        <w:jc w:val="left"/>
        <w:rPr>
          <w:rFonts w:ascii="宋体" w:hAnsi="宋体" w:cs="宋体"/>
          <w:color w:val="000000"/>
        </w:rPr>
      </w:pPr>
      <w:r>
        <w:rPr>
          <w:rFonts w:hint="eastAsia" w:ascii="宋体" w:hAnsi="宋体" w:cs="宋体"/>
          <w:color w:val="000000"/>
        </w:rPr>
        <w:t>（</w:t>
      </w:r>
      <w:r>
        <w:rPr>
          <w:rFonts w:ascii="宋体" w:hAnsi="宋体" w:cs="宋体"/>
          <w:color w:val="000000"/>
        </w:rPr>
        <w:t>1</w:t>
      </w:r>
      <w:r>
        <w:rPr>
          <w:rFonts w:hint="eastAsia" w:ascii="宋体" w:hAnsi="宋体" w:cs="宋体"/>
          <w:color w:val="000000"/>
        </w:rPr>
        <w:t>）实力雄厚，信誉良好，注册资本不少于</w:t>
      </w:r>
      <w:r>
        <w:rPr>
          <w:rFonts w:ascii="宋体" w:hAnsi="宋体" w:cs="宋体"/>
          <w:color w:val="000000"/>
        </w:rPr>
        <w:t>5</w:t>
      </w:r>
      <w:r>
        <w:rPr>
          <w:rFonts w:hint="eastAsia" w:ascii="宋体" w:hAnsi="宋体" w:cs="宋体"/>
          <w:color w:val="000000"/>
        </w:rPr>
        <w:t>亿元人民币；</w:t>
      </w:r>
    </w:p>
    <w:p>
      <w:pPr>
        <w:spacing w:before="29" w:line="288" w:lineRule="auto"/>
        <w:ind w:left="15"/>
        <w:jc w:val="left"/>
        <w:rPr>
          <w:rFonts w:ascii="宋体" w:hAnsi="宋体" w:cs="宋体"/>
          <w:color w:val="000000"/>
        </w:rPr>
      </w:pPr>
      <w:r>
        <w:rPr>
          <w:rFonts w:hint="eastAsia" w:ascii="宋体" w:hAnsi="宋体" w:cs="宋体"/>
          <w:color w:val="000000"/>
        </w:rPr>
        <w:t>（</w:t>
      </w:r>
      <w:r>
        <w:rPr>
          <w:rFonts w:ascii="宋体" w:hAnsi="宋体" w:cs="宋体"/>
          <w:color w:val="000000"/>
        </w:rPr>
        <w:t>2</w:t>
      </w:r>
      <w:r>
        <w:rPr>
          <w:rFonts w:hint="eastAsia" w:ascii="宋体" w:hAnsi="宋体" w:cs="宋体"/>
          <w:color w:val="000000"/>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spacing w:before="29" w:line="288" w:lineRule="auto"/>
        <w:ind w:left="15"/>
        <w:jc w:val="left"/>
        <w:rPr>
          <w:rFonts w:ascii="宋体" w:hAnsi="宋体" w:cs="宋体"/>
          <w:color w:val="000000"/>
        </w:rPr>
      </w:pPr>
      <w:r>
        <w:rPr>
          <w:rFonts w:hint="eastAsia" w:ascii="宋体" w:hAnsi="宋体" w:cs="宋体"/>
          <w:color w:val="000000"/>
        </w:rPr>
        <w:t>（</w:t>
      </w:r>
      <w:r>
        <w:rPr>
          <w:rFonts w:ascii="宋体" w:hAnsi="宋体" w:cs="宋体"/>
          <w:color w:val="000000"/>
        </w:rPr>
        <w:t>3</w:t>
      </w:r>
      <w:r>
        <w:rPr>
          <w:rFonts w:hint="eastAsia" w:ascii="宋体" w:hAnsi="宋体" w:cs="宋体"/>
          <w:color w:val="000000"/>
        </w:rPr>
        <w:t>）财务状况良好，各项财务指标显示公司经营状况稳定；</w:t>
      </w:r>
    </w:p>
    <w:p>
      <w:pPr>
        <w:spacing w:before="29" w:line="288" w:lineRule="auto"/>
        <w:ind w:left="15"/>
        <w:jc w:val="left"/>
        <w:rPr>
          <w:rFonts w:ascii="宋体" w:hAnsi="宋体" w:cs="宋体"/>
          <w:color w:val="000000"/>
        </w:rPr>
      </w:pPr>
      <w:r>
        <w:rPr>
          <w:rFonts w:hint="eastAsia" w:ascii="宋体" w:hAnsi="宋体" w:cs="宋体"/>
          <w:color w:val="000000"/>
        </w:rPr>
        <w:t>（</w:t>
      </w:r>
      <w:r>
        <w:rPr>
          <w:rFonts w:ascii="宋体" w:hAnsi="宋体" w:cs="宋体"/>
          <w:color w:val="000000"/>
        </w:rPr>
        <w:t>4</w:t>
      </w:r>
      <w:r>
        <w:rPr>
          <w:rFonts w:hint="eastAsia" w:ascii="宋体" w:hAnsi="宋体" w:cs="宋体"/>
          <w:color w:val="000000"/>
        </w:rPr>
        <w:t>）经营行为规范，内部管理规范、严格，具备健全的内部控制制度，并能满足基金运作高度保密的要求；</w:t>
      </w:r>
    </w:p>
    <w:p>
      <w:pPr>
        <w:spacing w:before="29" w:line="288" w:lineRule="auto"/>
        <w:ind w:left="15"/>
        <w:jc w:val="left"/>
        <w:rPr>
          <w:rFonts w:ascii="宋体" w:hAnsi="宋体" w:cs="宋体"/>
          <w:color w:val="000000"/>
        </w:rPr>
      </w:pPr>
      <w:r>
        <w:rPr>
          <w:rFonts w:hint="eastAsia" w:ascii="宋体" w:hAnsi="宋体" w:cs="宋体"/>
          <w:color w:val="000000"/>
        </w:rPr>
        <w:t>（</w:t>
      </w:r>
      <w:r>
        <w:rPr>
          <w:rFonts w:ascii="宋体" w:hAnsi="宋体" w:cs="宋体"/>
          <w:color w:val="000000"/>
        </w:rPr>
        <w:t>5</w:t>
      </w:r>
      <w:r>
        <w:rPr>
          <w:rFonts w:hint="eastAsia" w:ascii="宋体" w:hAnsi="宋体" w:cs="宋体"/>
          <w:color w:val="000000"/>
        </w:rPr>
        <w:t>）具备基金运作所需的高效、安全的通讯条件，交易设施符合代理基金进行证券交易的需要，并能为基金提供全面的信息服务。</w:t>
      </w:r>
    </w:p>
    <w:p>
      <w:pPr>
        <w:spacing w:before="29" w:line="288" w:lineRule="auto"/>
        <w:ind w:left="15"/>
        <w:jc w:val="left"/>
        <w:rPr>
          <w:rFonts w:ascii="宋体" w:hAnsi="宋体" w:cs="宋体"/>
          <w:color w:val="000000"/>
        </w:rPr>
      </w:pPr>
      <w:r>
        <w:rPr>
          <w:rFonts w:hint="eastAsia" w:ascii="宋体" w:hAnsi="宋体" w:cs="宋体"/>
          <w:color w:val="000000"/>
        </w:rPr>
        <w:t>基金管理人根据以上标准进行考察后确定租用券商的交易单元，并与被选中的证券经营机构签订交易单元租用协议。</w:t>
      </w:r>
    </w:p>
    <w:p>
      <w:pPr>
        <w:spacing w:before="29" w:line="288" w:lineRule="auto"/>
        <w:ind w:left="15"/>
        <w:jc w:val="left"/>
        <w:rPr>
          <w:rFonts w:ascii="宋体" w:hAnsi="宋体" w:cs="宋体"/>
          <w:color w:val="000000"/>
        </w:rPr>
      </w:pPr>
      <w:r>
        <w:rPr>
          <w:rFonts w:hint="eastAsia" w:ascii="宋体" w:hAnsi="宋体" w:cs="宋体"/>
          <w:color w:val="000000"/>
        </w:rPr>
        <w:t>本基金在报告期内成立，交易单元均于本期内新增。</w:t>
      </w:r>
    </w:p>
    <w:p>
      <w:pPr>
        <w:spacing w:before="29" w:line="288" w:lineRule="auto"/>
        <w:ind w:left="15"/>
        <w:jc w:val="left"/>
        <w:rPr>
          <w:rFonts w:ascii="宋体" w:hAnsi="宋体" w:cs="宋体"/>
          <w:b/>
          <w:bCs/>
          <w:color w:val="000000"/>
          <w:sz w:val="24"/>
          <w:szCs w:val="24"/>
        </w:rPr>
      </w:pPr>
      <w:r>
        <w:rPr>
          <w:rFonts w:ascii="宋体" w:hAnsi="宋体" w:cs="宋体"/>
          <w:b/>
          <w:bCs/>
          <w:color w:val="000000"/>
          <w:sz w:val="24"/>
          <w:szCs w:val="24"/>
        </w:rPr>
        <w:t xml:space="preserve">11.7.2 </w:t>
      </w:r>
      <w:r>
        <w:rPr>
          <w:rFonts w:hint="eastAsia" w:ascii="宋体" w:hAnsi="宋体" w:cs="宋体"/>
          <w:b/>
          <w:bCs/>
          <w:color w:val="000000"/>
          <w:sz w:val="24"/>
          <w:szCs w:val="24"/>
        </w:rPr>
        <w:t>基金租用证券公司交易单元进行其他证券投资的情况</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right"/>
        <w:rPr>
          <w:rFonts w:ascii="宋体" w:hAnsi="宋体" w:cs="宋体"/>
          <w:color w:val="000000"/>
          <w:sz w:val="24"/>
          <w:szCs w:val="24"/>
        </w:rPr>
      </w:pPr>
      <w:r>
        <w:rPr>
          <w:rFonts w:hint="eastAsia" w:ascii="宋体" w:hAnsi="宋体" w:cs="宋体"/>
          <w:color w:val="00000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3"/>
        <w:gridCol w:w="1083"/>
        <w:gridCol w:w="1445"/>
        <w:gridCol w:w="1274"/>
        <w:gridCol w:w="1255"/>
        <w:gridCol w:w="1083"/>
        <w:gridCol w:w="1445"/>
      </w:tblGrid>
      <w:tr>
        <w:tblPrEx>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权证交易</w:t>
            </w:r>
          </w:p>
        </w:tc>
      </w:tr>
      <w:tr>
        <w:tblPrEx>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spacing w:line="288" w:lineRule="auto"/>
              <w:jc w:val="left"/>
              <w:rPr>
                <w:sz w:val="20"/>
                <w:szCs w:val="20"/>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占债券</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成交总额比例</w:t>
            </w:r>
          </w:p>
        </w:tc>
        <w:tc>
          <w:tcPr>
            <w:tcW w:w="12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成交金额</w:t>
            </w:r>
          </w:p>
        </w:tc>
        <w:tc>
          <w:tcPr>
            <w:tcW w:w="125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占债券回购</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占权证</w:t>
            </w:r>
          </w:p>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成交总额比例</w:t>
            </w:r>
          </w:p>
        </w:tc>
      </w:tr>
      <w:tr>
        <w:tblPrEx>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2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18,154,600,000.00</w:t>
            </w:r>
          </w:p>
        </w:tc>
        <w:tc>
          <w:tcPr>
            <w:tcW w:w="125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74.58%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2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25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r>
      <w:tr>
        <w:tblPrEx>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hAnsi="宋体" w:cs="宋体"/>
                <w:color w:val="000000"/>
                <w:sz w:val="24"/>
                <w:szCs w:val="24"/>
              </w:rPr>
            </w:pPr>
            <w:r>
              <w:rPr>
                <w:rFonts w:hint="eastAsia" w:ascii="宋体" w:hAnsi="宋体" w:cs="宋体"/>
                <w:color w:val="000000"/>
                <w:sz w:val="24"/>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274"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6,187,400,000.00</w:t>
            </w:r>
          </w:p>
        </w:tc>
        <w:tc>
          <w:tcPr>
            <w:tcW w:w="125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eastAsia="Times New Roman"/>
                <w:color w:val="000000"/>
                <w:sz w:val="24"/>
                <w:szCs w:val="24"/>
              </w:rPr>
              <w:t>25.42%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eastAsia="Times New Roman"/>
                <w:color w:val="000000"/>
                <w:sz w:val="24"/>
                <w:szCs w:val="24"/>
              </w:rPr>
            </w:pPr>
            <w:r>
              <w:rPr>
                <w:rFonts w:hint="eastAsia" w:ascii="宋体" w:hAnsi="宋体" w:cs="宋体"/>
                <w:color w:val="000000"/>
                <w:sz w:val="24"/>
                <w:szCs w:val="24"/>
              </w:rPr>
              <w:t>－</w:t>
            </w:r>
          </w:p>
        </w:tc>
      </w:tr>
    </w:tbl>
    <w:p>
      <w:pPr>
        <w:spacing w:before="29" w:line="288" w:lineRule="auto"/>
        <w:ind w:left="15"/>
        <w:jc w:val="left"/>
        <w:rPr>
          <w:rFonts w:ascii="宋体" w:hAnsi="宋体" w:cs="宋体"/>
          <w:color w:val="000000"/>
        </w:rPr>
      </w:pPr>
    </w:p>
    <w:p>
      <w:pPr>
        <w:spacing w:before="29" w:line="288" w:lineRule="auto"/>
        <w:jc w:val="left"/>
        <w:outlineLvl w:val="1"/>
        <w:rPr>
          <w:rFonts w:ascii="宋体" w:hAnsi="宋体" w:cs="宋体"/>
          <w:b/>
          <w:bCs/>
          <w:color w:val="000000"/>
          <w:sz w:val="24"/>
          <w:szCs w:val="24"/>
        </w:rPr>
      </w:pPr>
      <w:bookmarkStart w:id="62" w:name="_Toc445827406"/>
      <w:r>
        <w:rPr>
          <w:rFonts w:ascii="宋体" w:hAnsi="宋体" w:cs="宋体"/>
          <w:b/>
          <w:bCs/>
          <w:color w:val="000000"/>
          <w:sz w:val="24"/>
          <w:szCs w:val="24"/>
        </w:rPr>
        <w:t xml:space="preserve">11.8 </w:t>
      </w:r>
      <w:r>
        <w:rPr>
          <w:rFonts w:hint="eastAsia" w:ascii="宋体" w:hAnsi="宋体" w:cs="宋体"/>
          <w:b/>
          <w:bCs/>
          <w:color w:val="000000"/>
          <w:sz w:val="24"/>
          <w:szCs w:val="24"/>
        </w:rPr>
        <w:t>其他重大事件</w:t>
      </w:r>
      <w:bookmarkEnd w:id="62"/>
    </w:p>
    <w:tbl>
      <w:tblPr>
        <w:tblStyle w:val="10"/>
        <w:tblW w:w="0" w:type="auto"/>
        <w:tblInd w:w="108" w:type="dxa"/>
        <w:tblLayout w:type="fixed"/>
        <w:tblCellMar>
          <w:top w:w="0" w:type="dxa"/>
          <w:left w:w="108" w:type="dxa"/>
          <w:bottom w:w="0" w:type="dxa"/>
          <w:right w:w="108" w:type="dxa"/>
        </w:tblCellMar>
      </w:tblPr>
      <w:tblGrid>
        <w:gridCol w:w="720"/>
        <w:gridCol w:w="3612"/>
        <w:gridCol w:w="2890"/>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hint="eastAsia" w:ascii="宋体"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hint="eastAsia" w:ascii="宋体" w:cs="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hint="eastAsia" w:ascii="宋体" w:cs="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hint="eastAsia" w:ascii="宋体" w:cs="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关于参加中国工商银行个人电子银行基金申购费费率优惠活动的公告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2015-06-03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创金合信沪港深研究精选灵活配置混合型证券投资基金基金份额发售公告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2015-07-20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创金合信沪港深研究精选灵活配置混合型证券投资基金延长募集期的公告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2015-08-12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创金合信沪港深研究精选灵活配置混合型证券投资基金基金合同生效公告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2015-08-25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创金合信沪港深研究精选灵活配置混合型证券投资基金基金经理变更公告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2015-08-25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创金合信基金管理有限公司关于参加天天基金网费率优惠的公告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2015-09-02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关于创金合信基金管理有限公司旗下基金参与天天基金费率优惠活动的公告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2015-09-02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创金合信沪港深研究精选灵活配置混合型证券投资基金开放日常申购、赎回业务公告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2015-10-12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关于增加中投证券及国信证券为创金合信沪港深研究精选灵活配置混合型证券投资基金代销机构的公告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2015-10-12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创金合信沪港深研究精选灵活配置混合型证券投资基金开放定期定额投资业务公告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2015-10-15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关于创金合信沪港深研究精选灵活配置混合型证券投资基金参与代销机构费率优惠活动的公告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2015-10-15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创金合信基金管理有限公司关于增加上海陆金所资产管理有限公司为旗下基金代销机构并参与其费率优惠活动的公告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2015-10-29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创金合信基金管理有限公司关于增加浙江同花顺基金销售有限公司为旗下基金代销机构并参与其费率优惠活动的公告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2015-11-25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2015-12-02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创金合信基金管理有限公司旗下基金关于增加兴业银行股份有限公司为旗下基金代销机构并参与其费率优惠活动的公告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2015-12-09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s="宋体"/>
                <w:color w:val="000000"/>
                <w:kern w:val="0"/>
                <w:sz w:val="24"/>
                <w:szCs w:val="24"/>
              </w:rPr>
            </w:pPr>
            <w:r>
              <w:rPr>
                <w:rFonts w:ascii="宋体" w:cs="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关于指数熔断机制实施后对创金合信基金管理有限公司旗下公募基金业务规则影响的公告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hint="eastAsia" w:ascii="宋体" w:cs="宋体"/>
                <w:color w:val="000000"/>
                <w:kern w:val="0"/>
                <w:sz w:val="24"/>
                <w:szCs w:val="24"/>
              </w:rPr>
              <w:t>中国证券报、公司网站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s="宋体"/>
                <w:color w:val="000000"/>
                <w:kern w:val="0"/>
                <w:sz w:val="24"/>
                <w:szCs w:val="24"/>
              </w:rPr>
            </w:pPr>
            <w:r>
              <w:rPr>
                <w:rFonts w:ascii="宋体" w:cs="宋体"/>
                <w:color w:val="000000"/>
                <w:kern w:val="0"/>
                <w:sz w:val="24"/>
                <w:szCs w:val="24"/>
              </w:rPr>
              <w:t>2015-12-31</w:t>
            </w:r>
          </w:p>
        </w:tc>
      </w:tr>
    </w:tbl>
    <w:p>
      <w:pPr>
        <w:spacing w:line="288" w:lineRule="auto"/>
        <w:jc w:val="left"/>
        <w:rPr>
          <w:rFonts w:ascii="MS Sans Serif" w:hAnsi="MS Sans Serif" w:eastAsia="Times New Roman" w:cs="MS Sans Serif"/>
          <w:color w:val="000000"/>
          <w:sz w:val="24"/>
          <w:szCs w:val="24"/>
        </w:rPr>
      </w:pPr>
    </w:p>
    <w:p>
      <w:pPr>
        <w:spacing w:before="29" w:line="288" w:lineRule="auto"/>
        <w:ind w:left="15"/>
        <w:jc w:val="center"/>
        <w:outlineLvl w:val="0"/>
        <w:rPr>
          <w:rFonts w:ascii="宋体" w:hAnsi="宋体" w:cs="宋体"/>
          <w:b/>
          <w:bCs/>
          <w:color w:val="000000"/>
          <w:sz w:val="24"/>
          <w:szCs w:val="24"/>
        </w:rPr>
      </w:pPr>
      <w:bookmarkStart w:id="63" w:name="_Toc445827407"/>
      <w:r>
        <w:rPr>
          <w:rFonts w:hint="eastAsia" w:ascii="宋体" w:hAnsi="宋体" w:cs="宋体"/>
          <w:b/>
          <w:bCs/>
          <w:color w:val="000000"/>
          <w:sz w:val="24"/>
          <w:szCs w:val="24"/>
        </w:rPr>
        <w:t>§</w:t>
      </w:r>
      <w:r>
        <w:rPr>
          <w:rFonts w:ascii="宋体" w:hAnsi="宋体" w:cs="宋体"/>
          <w:b/>
          <w:bCs/>
          <w:color w:val="000000"/>
          <w:sz w:val="24"/>
          <w:szCs w:val="24"/>
        </w:rPr>
        <w:t xml:space="preserve">12 </w:t>
      </w:r>
      <w:r>
        <w:rPr>
          <w:rFonts w:hint="eastAsia" w:ascii="宋体" w:hAnsi="宋体" w:cs="宋体"/>
          <w:b/>
          <w:bCs/>
          <w:color w:val="000000"/>
          <w:sz w:val="24"/>
          <w:szCs w:val="24"/>
        </w:rPr>
        <w:t>备查文件目录</w:t>
      </w:r>
      <w:bookmarkEnd w:id="63"/>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64" w:name="_Toc445827408"/>
      <w:r>
        <w:rPr>
          <w:rFonts w:ascii="宋体" w:hAnsi="宋体" w:cs="宋体"/>
          <w:b/>
          <w:bCs/>
          <w:color w:val="000000"/>
          <w:sz w:val="24"/>
          <w:szCs w:val="24"/>
        </w:rPr>
        <w:t xml:space="preserve">12.1 </w:t>
      </w:r>
      <w:r>
        <w:rPr>
          <w:rFonts w:hint="eastAsia" w:ascii="宋体" w:hAnsi="宋体" w:cs="宋体"/>
          <w:b/>
          <w:bCs/>
          <w:color w:val="000000"/>
          <w:sz w:val="24"/>
          <w:szCs w:val="24"/>
        </w:rPr>
        <w:t>备查文件目录</w:t>
      </w:r>
      <w:bookmarkEnd w:id="64"/>
    </w:p>
    <w:p>
      <w:pPr>
        <w:spacing w:before="29" w:line="288" w:lineRule="auto"/>
        <w:ind w:left="15"/>
        <w:jc w:val="left"/>
        <w:rPr>
          <w:rFonts w:ascii="宋体" w:hAns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、《创金合信沪港深研究精选灵活配置混合型证券投资基金基金合同》</w:t>
      </w:r>
    </w:p>
    <w:p>
      <w:pPr>
        <w:spacing w:before="29" w:line="288" w:lineRule="auto"/>
        <w:ind w:left="15"/>
        <w:jc w:val="left"/>
        <w:rPr>
          <w:rFonts w:ascii="宋体" w:hAns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、《创金合信沪港深研究精选灵活配置混合型证券投资基金托管协议》</w:t>
      </w:r>
    </w:p>
    <w:p>
      <w:pPr>
        <w:spacing w:before="29" w:line="288" w:lineRule="auto"/>
        <w:ind w:left="15"/>
        <w:jc w:val="left"/>
        <w:rPr>
          <w:rFonts w:ascii="宋体" w:hAns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、《创金合信沪港深研究精选灵活配置混合型证券投资基金</w:t>
      </w:r>
      <w:r>
        <w:rPr>
          <w:rFonts w:ascii="宋体" w:hAnsi="宋体" w:cs="宋体"/>
          <w:color w:val="000000"/>
          <w:sz w:val="24"/>
          <w:szCs w:val="24"/>
        </w:rPr>
        <w:t>2015</w:t>
      </w:r>
      <w:r>
        <w:rPr>
          <w:rFonts w:hint="eastAsia" w:ascii="宋体" w:hAnsi="宋体" w:cs="宋体"/>
          <w:color w:val="000000"/>
          <w:sz w:val="24"/>
          <w:szCs w:val="24"/>
        </w:rPr>
        <w:t>年年度报告》</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65" w:name="_Toc445827409"/>
      <w:r>
        <w:rPr>
          <w:rFonts w:ascii="宋体" w:hAnsi="宋体" w:cs="宋体"/>
          <w:b/>
          <w:bCs/>
          <w:color w:val="000000"/>
          <w:sz w:val="24"/>
          <w:szCs w:val="24"/>
        </w:rPr>
        <w:t xml:space="preserve">12.2 </w:t>
      </w:r>
      <w:r>
        <w:rPr>
          <w:rFonts w:hint="eastAsia" w:ascii="宋体" w:hAnsi="宋体" w:cs="宋体"/>
          <w:b/>
          <w:bCs/>
          <w:color w:val="000000"/>
          <w:sz w:val="24"/>
          <w:szCs w:val="24"/>
        </w:rPr>
        <w:t>存放地点</w:t>
      </w:r>
      <w:bookmarkEnd w:id="65"/>
    </w:p>
    <w:p>
      <w:pPr>
        <w:spacing w:before="29" w:line="288" w:lineRule="auto"/>
        <w:ind w:left="15" w:firstLine="482"/>
        <w:jc w:val="left"/>
        <w:rPr>
          <w:rFonts w:ascii="宋体" w:hAnsi="宋体" w:cs="宋体"/>
          <w:color w:val="000000"/>
          <w:sz w:val="24"/>
          <w:szCs w:val="24"/>
        </w:rPr>
      </w:pPr>
      <w:r>
        <w:rPr>
          <w:rFonts w:hint="eastAsia" w:ascii="宋体" w:hAnsi="宋体" w:cs="宋体"/>
          <w:color w:val="000000"/>
          <w:sz w:val="24"/>
          <w:szCs w:val="24"/>
        </w:rPr>
        <w:t>深圳市福田中心区福华一路</w:t>
      </w:r>
      <w:r>
        <w:rPr>
          <w:rFonts w:ascii="宋体" w:hAnsi="宋体" w:cs="宋体"/>
          <w:color w:val="000000"/>
          <w:sz w:val="24"/>
          <w:szCs w:val="24"/>
        </w:rPr>
        <w:t>115</w:t>
      </w:r>
      <w:r>
        <w:rPr>
          <w:rFonts w:hint="eastAsia" w:ascii="宋体" w:hAnsi="宋体" w:cs="宋体"/>
          <w:color w:val="000000"/>
          <w:sz w:val="24"/>
          <w:szCs w:val="24"/>
        </w:rPr>
        <w:t>号投行大厦</w:t>
      </w:r>
      <w:r>
        <w:rPr>
          <w:rFonts w:ascii="宋体" w:hAnsi="宋体" w:cs="宋体"/>
          <w:color w:val="000000"/>
          <w:sz w:val="24"/>
          <w:szCs w:val="24"/>
        </w:rPr>
        <w:t>15</w:t>
      </w:r>
      <w:r>
        <w:rPr>
          <w:rFonts w:hint="eastAsia" w:ascii="宋体" w:hAnsi="宋体" w:cs="宋体"/>
          <w:color w:val="000000"/>
          <w:sz w:val="24"/>
          <w:szCs w:val="24"/>
        </w:rPr>
        <w:t>楼</w:t>
      </w:r>
    </w:p>
    <w:p>
      <w:pPr>
        <w:spacing w:line="288" w:lineRule="auto"/>
        <w:jc w:val="left"/>
        <w:rPr>
          <w:rFonts w:ascii="MS Sans Serif" w:hAnsi="MS Sans Serif" w:eastAsia="Times New Roman" w:cs="MS Sans Serif"/>
          <w:color w:val="000000"/>
          <w:sz w:val="23"/>
          <w:szCs w:val="23"/>
        </w:rPr>
      </w:pPr>
    </w:p>
    <w:p>
      <w:pPr>
        <w:spacing w:before="29" w:line="288" w:lineRule="auto"/>
        <w:ind w:left="15"/>
        <w:jc w:val="left"/>
        <w:outlineLvl w:val="1"/>
        <w:rPr>
          <w:rFonts w:ascii="宋体" w:hAnsi="宋体" w:cs="宋体"/>
          <w:b/>
          <w:bCs/>
          <w:color w:val="000000"/>
          <w:sz w:val="24"/>
          <w:szCs w:val="24"/>
        </w:rPr>
      </w:pPr>
      <w:bookmarkStart w:id="66" w:name="_Toc445827410"/>
      <w:r>
        <w:rPr>
          <w:rFonts w:ascii="宋体" w:hAnsi="宋体" w:cs="宋体"/>
          <w:b/>
          <w:bCs/>
          <w:color w:val="000000"/>
          <w:sz w:val="24"/>
          <w:szCs w:val="24"/>
        </w:rPr>
        <w:t xml:space="preserve">12.3 </w:t>
      </w:r>
      <w:r>
        <w:rPr>
          <w:rFonts w:hint="eastAsia" w:ascii="宋体" w:hAnsi="宋体" w:cs="宋体"/>
          <w:b/>
          <w:bCs/>
          <w:color w:val="000000"/>
          <w:sz w:val="24"/>
          <w:szCs w:val="24"/>
        </w:rPr>
        <w:t>查阅方式</w:t>
      </w:r>
      <w:bookmarkEnd w:id="66"/>
    </w:p>
    <w:p>
      <w:pPr>
        <w:spacing w:before="29" w:line="288" w:lineRule="auto"/>
        <w:ind w:left="15" w:firstLine="482"/>
        <w:jc w:val="left"/>
        <w:rPr>
          <w:rFonts w:ascii="宋体" w:hAnsi="宋体" w:cs="宋体"/>
          <w:color w:val="000000"/>
          <w:sz w:val="24"/>
          <w:szCs w:val="24"/>
        </w:rPr>
      </w:pPr>
      <w:r>
        <w:rPr>
          <w:rFonts w:ascii="宋体" w:hAnsi="宋体" w:cs="宋体"/>
          <w:color w:val="000000"/>
          <w:sz w:val="24"/>
          <w:szCs w:val="24"/>
        </w:rPr>
        <w:t>www.cjhxfund.com</w:t>
      </w:r>
    </w:p>
    <w:p>
      <w:pPr>
        <w:spacing w:line="288" w:lineRule="auto"/>
        <w:jc w:val="left"/>
        <w:rPr>
          <w:rFonts w:ascii="MS Sans Serif" w:hAnsi="MS Sans Serif" w:eastAsia="Times New Roman" w:cs="MS Sans Serif"/>
          <w:color w:val="000000"/>
          <w:sz w:val="23"/>
          <w:szCs w:val="23"/>
        </w:rPr>
      </w:pPr>
    </w:p>
    <w:p>
      <w:pPr>
        <w:spacing w:before="29" w:line="288" w:lineRule="auto"/>
        <w:ind w:left="15" w:firstLine="482"/>
        <w:jc w:val="right"/>
        <w:rPr>
          <w:rFonts w:ascii="宋体" w:hAnsi="宋体" w:cs="宋体"/>
          <w:b/>
          <w:bCs/>
          <w:color w:val="000000"/>
          <w:sz w:val="24"/>
          <w:szCs w:val="24"/>
        </w:rPr>
      </w:pPr>
      <w:r>
        <w:rPr>
          <w:rFonts w:hint="eastAsia" w:ascii="宋体" w:hAnsi="宋体" w:cs="宋体"/>
          <w:b/>
          <w:bCs/>
          <w:color w:val="000000"/>
          <w:sz w:val="24"/>
          <w:szCs w:val="24"/>
        </w:rPr>
        <w:t>创金合信基金管理有限公司</w:t>
      </w:r>
    </w:p>
    <w:p>
      <w:pPr>
        <w:spacing w:line="288" w:lineRule="auto"/>
        <w:jc w:val="left"/>
        <w:rPr>
          <w:rFonts w:ascii="MS Sans Serif" w:hAnsi="MS Sans Serif" w:eastAsia="Times New Roman" w:cs="MS Sans Serif"/>
          <w:color w:val="000000"/>
          <w:sz w:val="16"/>
          <w:szCs w:val="16"/>
        </w:rPr>
      </w:pPr>
    </w:p>
    <w:p>
      <w:pPr>
        <w:spacing w:before="29" w:line="288" w:lineRule="auto"/>
        <w:ind w:left="15" w:firstLine="482"/>
        <w:jc w:val="right"/>
        <w:rPr>
          <w:rFonts w:ascii="宋体" w:hAnsi="宋体" w:cs="宋体"/>
          <w:b/>
          <w:bCs/>
          <w:color w:val="000000"/>
          <w:sz w:val="24"/>
          <w:szCs w:val="24"/>
        </w:rPr>
      </w:pPr>
      <w:r>
        <w:rPr>
          <w:rFonts w:hint="eastAsia" w:ascii="宋体" w:hAnsi="宋体" w:cs="宋体"/>
          <w:b/>
          <w:bCs/>
          <w:color w:val="000000"/>
          <w:sz w:val="24"/>
          <w:szCs w:val="24"/>
        </w:rPr>
        <w:t>二〇一六年三月二十六日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108" w:type="dxa"/>
      <w:tblLayout w:type="fixed"/>
      <w:tblCellMar>
        <w:top w:w="0" w:type="dxa"/>
        <w:left w:w="108" w:type="dxa"/>
        <w:bottom w:w="0" w:type="dxa"/>
        <w:right w:w="108" w:type="dxa"/>
      </w:tblCellMar>
    </w:tblPr>
    <w:tblGrid>
      <w:gridCol w:w="2888"/>
      <w:gridCol w:w="6140"/>
    </w:tblGrid>
    <w:tr>
      <w:tblPrEx>
        <w:tblCellMar>
          <w:top w:w="0" w:type="dxa"/>
          <w:left w:w="108" w:type="dxa"/>
          <w:bottom w:w="0" w:type="dxa"/>
          <w:right w:w="108" w:type="dxa"/>
        </w:tblCellMar>
      </w:tblPrEx>
      <w:trPr>
        <w:wBefore w:w="0" w:type="dxa"/>
      </w:trPr>
      <w:tc>
        <w:tcPr>
          <w:tcW w:w="2888" w:type="dxa"/>
          <w:tcBorders>
            <w:top w:val="nil"/>
            <w:left w:val="nil"/>
            <w:bottom w:val="nil"/>
            <w:right w:val="nil"/>
          </w:tcBorders>
          <w:noWrap w:val="0"/>
          <w:vAlign w:val="top"/>
        </w:tcPr>
        <w:p>
          <w:pPr>
            <w:spacing w:line="240" w:lineRule="atLeast"/>
            <w:jc w:val="left"/>
            <w:rPr>
              <w:sz w:val="24"/>
              <w:szCs w:val="24"/>
            </w:rPr>
          </w:pPr>
          <w:r>
            <w:rPr>
              <w:sz w:val="24"/>
              <w:szCs w:val="24"/>
              <w:lang/>
            </w:rPr>
            <w:pict>
              <v:shape id="_x0000_i1025" o:spt="75" type="#_x0000_t75" style="height:16.5pt;width:134.95pt;" filled="f" stroked="f" coordsize="21600,21600">
                <v:path/>
                <v:fill on="f" focussize="0,0"/>
                <v:stroke on="f"/>
                <v:imagedata r:id="rId1" grayscale="f" bilevel="f" o:title=""/>
                <o:lock v:ext="edit" aspectratio="t"/>
                <w10:wrap type="none"/>
                <w10:anchorlock/>
              </v:shape>
            </w:pict>
          </w:r>
        </w:p>
      </w:tc>
      <w:tc>
        <w:tcPr>
          <w:tcW w:w="6140" w:type="dxa"/>
          <w:vMerge w:val="restart"/>
          <w:tcBorders>
            <w:top w:val="nil"/>
            <w:left w:val="nil"/>
            <w:bottom w:val="nil"/>
            <w:right w:val="nil"/>
          </w:tcBorders>
          <w:noWrap w:val="0"/>
          <w:vAlign w:val="center"/>
        </w:tcPr>
        <w:p>
          <w:pPr>
            <w:spacing w:before="30" w:line="211" w:lineRule="exact"/>
            <w:ind w:left="15"/>
            <w:jc w:val="right"/>
            <w:rPr>
              <w:rFonts w:ascii="宋体" w:hAnsi="宋体" w:cs="宋体"/>
              <w:color w:val="000000"/>
            </w:rPr>
          </w:pPr>
          <w:r>
            <w:rPr>
              <w:rFonts w:hint="eastAsia" w:ascii="宋体" w:hAnsi="宋体" w:cs="宋体"/>
              <w:color w:val="000000"/>
            </w:rPr>
            <w:t>创金合信沪港深研究精选灵活配置混合型证券投资基金</w:t>
          </w:r>
          <w:r>
            <w:rPr>
              <w:rFonts w:ascii="宋体" w:hAnsi="宋体" w:cs="宋体"/>
              <w:color w:val="000000"/>
            </w:rPr>
            <w:t>2015</w:t>
          </w:r>
          <w:r>
            <w:rPr>
              <w:rFonts w:hint="eastAsia" w:ascii="宋体" w:hAnsi="宋体" w:cs="宋体"/>
              <w:color w:val="000000"/>
            </w:rPr>
            <w:t>年年度报告</w:t>
          </w:r>
        </w:p>
      </w:tc>
    </w:tr>
    <w:tr>
      <w:tblPrEx>
        <w:tblCellMar>
          <w:top w:w="0" w:type="dxa"/>
          <w:left w:w="108" w:type="dxa"/>
          <w:bottom w:w="0" w:type="dxa"/>
          <w:right w:w="108" w:type="dxa"/>
        </w:tblCellMar>
      </w:tblPrEx>
      <w:trPr>
        <w:wBefore w:w="0" w:type="dxa"/>
        <w:trHeight w:val="103" w:hRule="atLeast"/>
      </w:trPr>
      <w:tc>
        <w:tcPr>
          <w:tcW w:w="9028" w:type="dxa"/>
          <w:gridSpan w:val="2"/>
          <w:vMerge w:val="continue"/>
          <w:tcBorders>
            <w:top w:val="nil"/>
            <w:left w:val="nil"/>
            <w:bottom w:val="nil"/>
            <w:right w:val="nil"/>
          </w:tcBorders>
          <w:noWrap w:val="0"/>
          <w:vAlign w:val="top"/>
        </w:tcPr>
        <w:p>
          <w:pPr>
            <w:jc w:val="left"/>
            <w:rPr>
              <w:sz w:val="9"/>
              <w:szCs w:val="9"/>
            </w:rPr>
          </w:pPr>
        </w:p>
      </w:tc>
    </w:tr>
    <w:tr>
      <w:tblPrEx>
        <w:tblCellMar>
          <w:top w:w="0" w:type="dxa"/>
          <w:left w:w="108" w:type="dxa"/>
          <w:bottom w:w="0" w:type="dxa"/>
          <w:right w:w="108" w:type="dxa"/>
        </w:tblCellMar>
      </w:tblPrEx>
      <w:trPr>
        <w:wBefore w:w="0" w:type="dxa"/>
      </w:trPr>
      <w:tc>
        <w:tcPr>
          <w:tcW w:w="9028" w:type="dxa"/>
          <w:gridSpan w:val="2"/>
          <w:tcBorders>
            <w:top w:val="single" w:color="000000" w:sz="8" w:space="0"/>
            <w:left w:val="nil"/>
            <w:bottom w:val="nil"/>
            <w:right w:val="nil"/>
          </w:tcBorders>
          <w:noWrap w:val="0"/>
          <w:vAlign w:val="top"/>
        </w:tcPr>
        <w:p>
          <w:pPr>
            <w:jc w:val="left"/>
            <w:rPr>
              <w:rFonts w:ascii="Arial" w:hAnsi="Arial" w:cs="Arial"/>
              <w:color w:val="00000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49D6"/>
    <w:rsid w:val="000800FF"/>
    <w:rsid w:val="000F2BDB"/>
    <w:rsid w:val="00105C19"/>
    <w:rsid w:val="00131C4A"/>
    <w:rsid w:val="00143786"/>
    <w:rsid w:val="00167A26"/>
    <w:rsid w:val="001A12C7"/>
    <w:rsid w:val="001D6756"/>
    <w:rsid w:val="001D6D0A"/>
    <w:rsid w:val="001E06AA"/>
    <w:rsid w:val="00213E2C"/>
    <w:rsid w:val="00214DA8"/>
    <w:rsid w:val="002F4EEE"/>
    <w:rsid w:val="0032754A"/>
    <w:rsid w:val="00371141"/>
    <w:rsid w:val="003D581B"/>
    <w:rsid w:val="00411658"/>
    <w:rsid w:val="004541C9"/>
    <w:rsid w:val="00476E0C"/>
    <w:rsid w:val="004A28A1"/>
    <w:rsid w:val="004B04E7"/>
    <w:rsid w:val="00575A49"/>
    <w:rsid w:val="00593970"/>
    <w:rsid w:val="005F2A12"/>
    <w:rsid w:val="00603D14"/>
    <w:rsid w:val="006279A0"/>
    <w:rsid w:val="006312F7"/>
    <w:rsid w:val="006611AF"/>
    <w:rsid w:val="00746371"/>
    <w:rsid w:val="00764A9E"/>
    <w:rsid w:val="0088402F"/>
    <w:rsid w:val="00891561"/>
    <w:rsid w:val="00892FB3"/>
    <w:rsid w:val="008C6DE4"/>
    <w:rsid w:val="008F2F45"/>
    <w:rsid w:val="009561B2"/>
    <w:rsid w:val="00982E3F"/>
    <w:rsid w:val="00986C25"/>
    <w:rsid w:val="00A025F5"/>
    <w:rsid w:val="00A14B03"/>
    <w:rsid w:val="00A244CB"/>
    <w:rsid w:val="00A44449"/>
    <w:rsid w:val="00A5410F"/>
    <w:rsid w:val="00A934C5"/>
    <w:rsid w:val="00A955C2"/>
    <w:rsid w:val="00AE3A40"/>
    <w:rsid w:val="00B47349"/>
    <w:rsid w:val="00B83E3A"/>
    <w:rsid w:val="00BB49D6"/>
    <w:rsid w:val="00C4330E"/>
    <w:rsid w:val="00C67A6C"/>
    <w:rsid w:val="00C71C0D"/>
    <w:rsid w:val="00C83956"/>
    <w:rsid w:val="00CA352A"/>
    <w:rsid w:val="00CF187C"/>
    <w:rsid w:val="00E62C06"/>
    <w:rsid w:val="00ED1CFD"/>
    <w:rsid w:val="00EF1B18"/>
    <w:rsid w:val="00EF39AF"/>
    <w:rsid w:val="00F43073"/>
    <w:rsid w:val="00FB02C8"/>
    <w:rsid w:val="00FC5153"/>
    <w:rsid w:val="00FD31C5"/>
    <w:rsid w:val="00FE58A0"/>
    <w:rsid w:val="6DF168D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name="heading 2"/>
    <w:lsdException w:qFormat="1" w:uiPriority="99" w:name="heading 3"/>
    <w:lsdException w:qFormat="1" w:uiPriority="99"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qFormat/>
    <w:uiPriority w:val="0"/>
    <w:pPr>
      <w:jc w:val="both"/>
    </w:pPr>
    <w:rPr>
      <w:kern w:val="2"/>
      <w:sz w:val="21"/>
      <w:szCs w:val="21"/>
      <w:lang w:val="en-US" w:eastAsia="zh-CN" w:bidi="ar-SA"/>
    </w:rPr>
  </w:style>
  <w:style w:type="paragraph" w:styleId="2">
    <w:name w:val="heading 1"/>
    <w:basedOn w:val="1"/>
    <w:next w:val="1"/>
    <w:link w:val="17"/>
    <w:qFormat/>
    <w:uiPriority w:val="9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Style w:val="10"/>
      <w:tblCellMar>
        <w:top w:w="0" w:type="dxa"/>
        <w:left w:w="108" w:type="dxa"/>
        <w:bottom w:w="0" w:type="dxa"/>
        <w:right w:w="108" w:type="dxa"/>
      </w:tblCellMar>
    </w:tblPr>
    <w:trPr>
      <w:wBefore w:w="0" w:type="dxa"/>
    </w:trPr>
  </w:style>
  <w:style w:type="paragraph" w:styleId="3">
    <w:name w:val="annotation text"/>
    <w:basedOn w:val="1"/>
    <w:link w:val="19"/>
    <w:semiHidden/>
    <w:unhideWhenUsed/>
    <w:uiPriority w:val="99"/>
    <w:pPr>
      <w:jc w:val="left"/>
    </w:pPr>
  </w:style>
  <w:style w:type="paragraph" w:styleId="4">
    <w:name w:val="Balloon Text"/>
    <w:basedOn w:val="1"/>
    <w:link w:val="18"/>
    <w:semiHidden/>
    <w:unhideWhenUsed/>
    <w:uiPriority w:val="99"/>
    <w:rPr>
      <w:sz w:val="18"/>
      <w:szCs w:val="18"/>
    </w:rPr>
  </w:style>
  <w:style w:type="paragraph" w:styleId="5">
    <w:name w:val="footer"/>
    <w:basedOn w:val="1"/>
    <w:link w:val="16"/>
    <w:semiHidden/>
    <w:unhideWhenUsed/>
    <w:uiPriority w:val="99"/>
    <w:pPr>
      <w:tabs>
        <w:tab w:val="center" w:pos="4153"/>
        <w:tab w:val="right" w:pos="8306"/>
      </w:tabs>
      <w:snapToGrid w:val="0"/>
      <w:jc w:val="left"/>
    </w:pPr>
    <w:rPr>
      <w:sz w:val="18"/>
      <w:szCs w:val="18"/>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annotation subject"/>
    <w:basedOn w:val="3"/>
    <w:next w:val="3"/>
    <w:link w:val="20"/>
    <w:semiHidden/>
    <w:unhideWhenUsed/>
    <w:uiPriority w:val="99"/>
    <w:rPr>
      <w:b/>
      <w:bCs/>
    </w:r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sz w:val="21"/>
      <w:szCs w:val="21"/>
    </w:rPr>
  </w:style>
  <w:style w:type="paragraph" w:styleId="14">
    <w:name w:val=""/>
    <w:basedOn w:val="2"/>
    <w:next w:val="1"/>
    <w:semiHidden/>
    <w:unhideWhenUsed/>
    <w:qFormat/>
    <w:uiPriority w:val="39"/>
    <w:pPr>
      <w:spacing w:before="480" w:after="0" w:line="276" w:lineRule="auto"/>
      <w:jc w:val="left"/>
      <w:outlineLvl w:val="9"/>
    </w:pPr>
    <w:rPr>
      <w:rFonts w:ascii="Cambria" w:hAnsi="Cambria"/>
      <w:color w:val="365F91"/>
      <w:kern w:val="0"/>
      <w:sz w:val="28"/>
      <w:szCs w:val="28"/>
    </w:rPr>
  </w:style>
  <w:style w:type="character" w:customStyle="1" w:styleId="15">
    <w:name w:val="页眉 Char"/>
    <w:basedOn w:val="11"/>
    <w:link w:val="6"/>
    <w:semiHidden/>
    <w:uiPriority w:val="99"/>
    <w:rPr>
      <w:rFonts w:cs="Times New Roman"/>
      <w:sz w:val="18"/>
      <w:szCs w:val="18"/>
    </w:rPr>
  </w:style>
  <w:style w:type="character" w:customStyle="1" w:styleId="16">
    <w:name w:val="页脚 Char"/>
    <w:basedOn w:val="11"/>
    <w:link w:val="5"/>
    <w:semiHidden/>
    <w:uiPriority w:val="99"/>
    <w:rPr>
      <w:rFonts w:cs="Times New Roman"/>
      <w:sz w:val="18"/>
      <w:szCs w:val="18"/>
    </w:rPr>
  </w:style>
  <w:style w:type="character" w:customStyle="1" w:styleId="17">
    <w:name w:val="标题 1 Char"/>
    <w:basedOn w:val="11"/>
    <w:link w:val="2"/>
    <w:uiPriority w:val="99"/>
    <w:rPr>
      <w:rFonts w:cs="Times New Roman"/>
      <w:b/>
      <w:bCs/>
      <w:kern w:val="44"/>
      <w:sz w:val="44"/>
      <w:szCs w:val="44"/>
    </w:rPr>
  </w:style>
  <w:style w:type="character" w:customStyle="1" w:styleId="18">
    <w:name w:val="批注框文本 Char"/>
    <w:basedOn w:val="11"/>
    <w:link w:val="4"/>
    <w:semiHidden/>
    <w:uiPriority w:val="99"/>
    <w:rPr>
      <w:kern w:val="2"/>
      <w:sz w:val="18"/>
      <w:szCs w:val="18"/>
    </w:rPr>
  </w:style>
  <w:style w:type="character" w:customStyle="1" w:styleId="19">
    <w:name w:val="批注文字 Char"/>
    <w:basedOn w:val="11"/>
    <w:link w:val="3"/>
    <w:semiHidden/>
    <w:uiPriority w:val="99"/>
    <w:rPr>
      <w:kern w:val="2"/>
      <w:sz w:val="21"/>
      <w:szCs w:val="21"/>
    </w:rPr>
  </w:style>
  <w:style w:type="character" w:customStyle="1" w:styleId="20">
    <w:name w:val="批注主题 Char"/>
    <w:basedOn w:val="19"/>
    <w:link w:val="9"/>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54</Pages>
  <Words>6364</Words>
  <Characters>36275</Characters>
  <Lines>302</Lines>
  <Paragraphs>85</Paragraphs>
  <TotalTime>0</TotalTime>
  <ScaleCrop>false</ScaleCrop>
  <LinksUpToDate>false</LinksUpToDate>
  <CharactersWithSpaces>42554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2016-03-18T01:10:00Z</dcterms:created>
  <dc:creator>guiyan</dc:creator>
  <cp:lastModifiedBy>Administrator</cp:lastModifiedBy>
  <dcterms:modified xsi:type="dcterms:W3CDTF">2019-12-26T14:04:20Z</dcterms:modified>
  <dc:title>创金合信沪港深研究精选灵活配置混合型证券投资基金2015年年度报告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