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E w:val="0"/>
        <w:autoSpaceDN w:val="0"/>
        <w:adjustRightInd w:val="0"/>
        <w:spacing w:beforeLines="0" w:afterLines="0" w:line="288" w:lineRule="auto"/>
        <w:jc w:val="center"/>
        <w:rPr>
          <w:rFonts w:hint="default" w:ascii="Times New Roman" w:eastAsia="Times New Roman"/>
          <w:color w:val="000000"/>
          <w:kern w:val="0"/>
          <w:sz w:val="24"/>
        </w:rPr>
      </w:pPr>
      <w:bookmarkStart w:id="66" w:name="_GoBack"/>
      <w:bookmarkEnd w:id="66"/>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创金合信沪港深研究精选灵活配置混合型证券投资基金</w:t>
      </w:r>
      <w:r>
        <w:rPr>
          <w:rFonts w:hint="default" w:ascii="Times New Roman" w:hAnsi="Times New Roman"/>
          <w:b/>
          <w:color w:val="000000"/>
          <w:kern w:val="0"/>
          <w:sz w:val="24"/>
        </w:rPr>
        <w:t>2016</w:t>
      </w:r>
      <w:r>
        <w:rPr>
          <w:rFonts w:hint="eastAsia" w:ascii="Times New Roman" w:hAnsi="Times New Roman"/>
          <w:b/>
          <w:color w:val="000000"/>
          <w:kern w:val="0"/>
          <w:sz w:val="24"/>
        </w:rPr>
        <w:t>年年度报告</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30" w:beforeLines="0" w:afterLines="0" w:line="288" w:lineRule="auto"/>
        <w:ind w:left="15"/>
        <w:jc w:val="center"/>
        <w:rPr>
          <w:rFonts w:hint="default" w:ascii="Times New Roman" w:eastAsia="Times New Roman"/>
          <w:b/>
          <w:color w:val="000000"/>
          <w:kern w:val="0"/>
          <w:sz w:val="24"/>
        </w:rPr>
      </w:pP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w:t>
      </w:r>
    </w:p>
    <w:p>
      <w:pPr>
        <w:autoSpaceDE w:val="0"/>
        <w:autoSpaceDN w:val="0"/>
        <w:adjustRightInd w:val="0"/>
        <w:spacing w:beforeLines="0" w:afterLines="0" w:line="288" w:lineRule="auto"/>
        <w:jc w:val="center"/>
        <w:rPr>
          <w:rFonts w:hint="default" w:ascii="Times New Roman" w:eastAsia="Times New Roman"/>
          <w:b/>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基金管理人：创金合信基金管理有限公司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基金托管人：中国工商银行股份有限公司</w:t>
      </w:r>
    </w:p>
    <w:p>
      <w:pPr>
        <w:autoSpaceDE w:val="0"/>
        <w:autoSpaceDN w:val="0"/>
        <w:adjustRightInd w:val="0"/>
        <w:spacing w:beforeLines="0" w:afterLines="0" w:line="288" w:lineRule="auto"/>
        <w:jc w:val="center"/>
        <w:rPr>
          <w:rFonts w:hint="default" w:ascii="Times New Roman" w:eastAsia="Times New Roman"/>
          <w:color w:val="000000"/>
          <w:kern w:val="0"/>
          <w:sz w:val="24"/>
        </w:rPr>
      </w:pPr>
    </w:p>
    <w:p>
      <w:pPr>
        <w:autoSpaceDE w:val="0"/>
        <w:autoSpaceDN w:val="0"/>
        <w:adjustRightInd w:val="0"/>
        <w:spacing w:before="30" w:beforeLines="0" w:afterLines="0" w:line="288" w:lineRule="auto"/>
        <w:ind w:left="15" w:firstLine="482"/>
        <w:jc w:val="center"/>
        <w:rPr>
          <w:rFonts w:hint="default" w:ascii="Times New Roman" w:eastAsia="Times New Roman"/>
          <w:b/>
          <w:color w:val="000000"/>
          <w:kern w:val="0"/>
          <w:sz w:val="24"/>
        </w:rPr>
      </w:pPr>
      <w:r>
        <w:rPr>
          <w:rFonts w:hint="eastAsia" w:ascii="Times New Roman" w:hAnsi="Times New Roman"/>
          <w:b/>
          <w:color w:val="000000"/>
          <w:kern w:val="0"/>
          <w:sz w:val="24"/>
        </w:rPr>
        <w:t>送出日期：</w:t>
      </w:r>
      <w:r>
        <w:rPr>
          <w:rFonts w:hint="default" w:ascii="Times New Roman" w:hAnsi="Times New Roman"/>
          <w:b/>
          <w:color w:val="000000"/>
          <w:kern w:val="0"/>
          <w:sz w:val="24"/>
        </w:rPr>
        <w:t>2017</w:t>
      </w:r>
      <w:r>
        <w:rPr>
          <w:rFonts w:hint="eastAsia" w:ascii="Times New Roman" w:hAnsi="Times New Roman"/>
          <w:b/>
          <w:color w:val="000000"/>
          <w:kern w:val="0"/>
          <w:sz w:val="24"/>
        </w:rPr>
        <w:t>年</w:t>
      </w:r>
      <w:r>
        <w:rPr>
          <w:rFonts w:hint="default" w:ascii="Times New Roman" w:hAnsi="Times New Roman"/>
          <w:b/>
          <w:color w:val="000000"/>
          <w:kern w:val="0"/>
          <w:sz w:val="24"/>
        </w:rPr>
        <w:t>3</w:t>
      </w:r>
      <w:r>
        <w:rPr>
          <w:rFonts w:hint="eastAsia" w:ascii="Times New Roman" w:hAnsi="Times New Roman"/>
          <w:b/>
          <w:color w:val="000000"/>
          <w:kern w:val="0"/>
          <w:sz w:val="24"/>
        </w:rPr>
        <w:t>月</w:t>
      </w:r>
      <w:r>
        <w:rPr>
          <w:rFonts w:hint="default" w:ascii="Times New Roman" w:hAnsi="Times New Roman"/>
          <w:b/>
          <w:color w:val="000000"/>
          <w:kern w:val="0"/>
          <w:sz w:val="24"/>
        </w:rPr>
        <w:t>27</w:t>
      </w:r>
      <w:r>
        <w:rPr>
          <w:rFonts w:hint="eastAsia" w:ascii="Times New Roman" w:hAnsi="Times New Roman"/>
          <w:b/>
          <w:color w:val="000000"/>
          <w:kern w:val="0"/>
          <w:sz w:val="24"/>
        </w:rPr>
        <w:t>日</w:t>
      </w:r>
    </w:p>
    <w:p>
      <w:pPr>
        <w:autoSpaceDE w:val="0"/>
        <w:autoSpaceDN w:val="0"/>
        <w:adjustRightInd w:val="0"/>
        <w:spacing w:beforeLines="0" w:afterLines="0" w:line="288" w:lineRule="auto"/>
        <w:jc w:val="left"/>
        <w:rPr>
          <w:rFonts w:hint="default" w:ascii="Times New Roman" w:eastAsia="Times New Roman"/>
          <w:kern w:val="0"/>
          <w:sz w:val="24"/>
        </w:rPr>
        <w:sectPr>
          <w:headerReference r:id="rId3" w:type="default"/>
          <w:footerReference r:id="rId4" w:type="default"/>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center"/>
        <w:outlineLvl w:val="0"/>
        <w:rPr>
          <w:rFonts w:hint="default" w:ascii="Times New Roman" w:eastAsia="Times New Roman"/>
          <w:b/>
          <w:color w:val="000000"/>
          <w:kern w:val="0"/>
          <w:sz w:val="24"/>
        </w:rPr>
      </w:pPr>
      <w:bookmarkStart w:id="0" w:name="_Toc477899846"/>
      <w:r>
        <w:rPr>
          <w:rFonts w:hint="eastAsia" w:ascii="Times New Roman" w:hAnsi="Times New Roman"/>
          <w:b/>
          <w:color w:val="000000"/>
          <w:kern w:val="0"/>
          <w:sz w:val="24"/>
        </w:rPr>
        <w:t>§</w:t>
      </w:r>
      <w:r>
        <w:rPr>
          <w:rFonts w:hint="default" w:ascii="Times New Roman" w:hAnsi="Times New Roman"/>
          <w:b/>
          <w:color w:val="000000"/>
          <w:kern w:val="0"/>
          <w:sz w:val="24"/>
        </w:rPr>
        <w:t xml:space="preserve">1  </w:t>
      </w:r>
      <w:r>
        <w:rPr>
          <w:rFonts w:hint="eastAsia" w:ascii="Times New Roman" w:hAnsi="Times New Roman"/>
          <w:b/>
          <w:color w:val="000000"/>
          <w:kern w:val="0"/>
          <w:sz w:val="24"/>
        </w:rPr>
        <w:t>重要提示及目录</w:t>
      </w:r>
      <w:bookmarkEnd w:id="0"/>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1" w:name="_Toc477899847"/>
      <w:r>
        <w:rPr>
          <w:rFonts w:hint="default" w:ascii="Times New Roman" w:hAnsi="Times New Roman"/>
          <w:b/>
          <w:color w:val="000000"/>
          <w:kern w:val="0"/>
          <w:sz w:val="24"/>
        </w:rPr>
        <w:t xml:space="preserve">1.1 </w:t>
      </w:r>
      <w:r>
        <w:rPr>
          <w:rFonts w:hint="eastAsia" w:ascii="Times New Roman" w:hAnsi="Times New Roman"/>
          <w:b/>
          <w:color w:val="000000"/>
          <w:kern w:val="0"/>
          <w:sz w:val="24"/>
        </w:rPr>
        <w:t>重要提示</w:t>
      </w:r>
      <w:bookmarkEnd w:id="1"/>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90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基金托管人中国工商银行股份有限公司根据本基金合同规定，于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w:t>
            </w:r>
            <w:r>
              <w:rPr>
                <w:rFonts w:hint="default" w:ascii="Times New Roman" w:hAnsi="Times New Roman"/>
                <w:color w:val="000000"/>
                <w:kern w:val="0"/>
                <w:sz w:val="24"/>
              </w:rPr>
              <w:t>22</w:t>
            </w:r>
            <w:r>
              <w:rPr>
                <w:rFonts w:hint="eastAsia" w:ascii="Times New Roman" w:hAnsi="Times New Roman"/>
                <w:color w:val="000000"/>
                <w:kern w:val="0"/>
                <w:sz w:val="24"/>
              </w:rPr>
              <w:t>日复核了本报告中的财务指标、净值表现、利润分配情况、财务会计报告、投资组合报告等内容，保证复核内容不存在虚假记载、误导性陈述或者重大遗漏。　　</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基金管理人承诺以诚实信用、勤勉尽责的原则管理和运用基金资产，但不保证基金一定盈利。</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基金的过往业绩并不代表其未来表现。投资有风险，投资者在作出投资决策前应仔细阅读本基金的招募说明书及其更新。</w:t>
            </w:r>
          </w:p>
          <w:p>
            <w:pPr>
              <w:autoSpaceDE w:val="0"/>
              <w:autoSpaceDN w:val="0"/>
              <w:adjustRightInd w:val="0"/>
              <w:spacing w:before="30"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本报告期自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01</w:t>
            </w:r>
            <w:r>
              <w:rPr>
                <w:rFonts w:hint="eastAsia" w:ascii="Times New Roman" w:hAnsi="Times New Roman"/>
                <w:color w:val="000000"/>
                <w:kern w:val="0"/>
                <w:sz w:val="24"/>
              </w:rPr>
              <w:t>月</w:t>
            </w:r>
            <w:r>
              <w:rPr>
                <w:rFonts w:hint="default" w:ascii="Times New Roman" w:hAnsi="Times New Roman"/>
                <w:color w:val="000000"/>
                <w:kern w:val="0"/>
                <w:sz w:val="24"/>
              </w:rPr>
              <w:t>01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w:t>
            </w:r>
          </w:p>
        </w:tc>
      </w:tr>
    </w:tbl>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30" w:beforeLines="0" w:afterLines="0" w:line="288" w:lineRule="auto"/>
        <w:ind w:left="15"/>
        <w:jc w:val="left"/>
        <w:outlineLvl w:val="1"/>
        <w:rPr>
          <w:rFonts w:hint="default" w:ascii="Times New Roman" w:eastAsia="Times New Roman"/>
          <w:b/>
          <w:color w:val="000000"/>
          <w:kern w:val="0"/>
          <w:sz w:val="24"/>
        </w:rPr>
      </w:pPr>
      <w:bookmarkStart w:id="2" w:name="_Toc477899848"/>
      <w:r>
        <w:rPr>
          <w:rFonts w:hint="default" w:ascii="Times New Roman" w:hAnsi="Times New Roman"/>
          <w:b/>
          <w:color w:val="000000"/>
          <w:kern w:val="0"/>
          <w:sz w:val="24"/>
        </w:rPr>
        <w:t xml:space="preserve">1.2  </w:t>
      </w:r>
      <w:r>
        <w:rPr>
          <w:rFonts w:hint="eastAsia" w:ascii="Times New Roman" w:hAnsi="Times New Roman"/>
          <w:b/>
          <w:color w:val="000000"/>
          <w:kern w:val="0"/>
          <w:sz w:val="24"/>
        </w:rPr>
        <w:t>目录</w:t>
      </w:r>
      <w:bookmarkEnd w:id="2"/>
    </w:p>
    <w:p>
      <w:pPr>
        <w:pStyle w:val="6"/>
        <w:tabs>
          <w:tab w:val="right" w:leader="dot" w:pos="9080"/>
        </w:tabs>
        <w:spacing w:beforeLines="0" w:afterLines="0"/>
        <w:rPr>
          <w:rFonts w:hint="default" w:eastAsia="Times New Roman"/>
          <w:sz w:val="21"/>
          <w:lang/>
        </w:rPr>
      </w:pPr>
      <w:r>
        <w:rPr>
          <w:rFonts w:hint="default" w:ascii="Times New Roman" w:hAnsi="Times New Roman"/>
          <w:b/>
          <w:color w:val="000000"/>
          <w:kern w:val="0"/>
          <w:sz w:val="24"/>
        </w:rPr>
        <w:fldChar w:fldCharType="begin"/>
      </w:r>
      <w:r>
        <w:rPr>
          <w:rFonts w:hint="default" w:ascii="Times New Roman" w:hAnsi="Times New Roman"/>
          <w:b/>
          <w:color w:val="000000"/>
          <w:kern w:val="0"/>
          <w:sz w:val="24"/>
        </w:rPr>
        <w:instrText xml:space="preserve"> TOC \o "1-2" \h \z \u </w:instrText>
      </w:r>
      <w:r>
        <w:rPr>
          <w:rFonts w:hint="default" w:ascii="Times New Roman" w:hAnsi="Times New Roman"/>
          <w:b/>
          <w:color w:val="000000"/>
          <w:kern w:val="0"/>
          <w:sz w:val="24"/>
        </w:rPr>
        <w:fldChar w:fldCharType="separate"/>
      </w: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  </w:t>
      </w:r>
      <w:r>
        <w:rPr>
          <w:rStyle w:val="10"/>
          <w:rFonts w:hint="eastAsia" w:ascii="Times New Roman" w:hAnsi="Times New Roman" w:eastAsia="宋体"/>
          <w:b/>
          <w:kern w:val="0"/>
          <w:sz w:val="21"/>
          <w:lang/>
        </w:rPr>
        <w:t>重要提示及目录</w:t>
      </w:r>
      <w:r>
        <w:rPr>
          <w:rFonts w:hint="default" w:eastAsia="Times New Roman"/>
          <w:sz w:val="21"/>
          <w:lang/>
        </w:rPr>
        <w:tab/>
      </w:r>
      <w:r>
        <w:rPr>
          <w:rFonts w:hint="default"/>
          <w:sz w:val="21"/>
          <w:lang/>
        </w:rPr>
        <w:fldChar w:fldCharType="begin"/>
      </w:r>
      <w:r>
        <w:rPr>
          <w:rFonts w:hint="default"/>
          <w:sz w:val="21"/>
          <w:lang/>
        </w:rPr>
        <w:instrText xml:space="preserve"> PAGEREF _Toc477899846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重要提示</w:t>
      </w:r>
      <w:r>
        <w:rPr>
          <w:rFonts w:hint="default" w:eastAsia="Times New Roman"/>
          <w:sz w:val="21"/>
          <w:lang/>
        </w:rPr>
        <w:tab/>
      </w:r>
      <w:r>
        <w:rPr>
          <w:rFonts w:hint="default"/>
          <w:sz w:val="21"/>
          <w:lang/>
        </w:rPr>
        <w:fldChar w:fldCharType="begin"/>
      </w:r>
      <w:r>
        <w:rPr>
          <w:rFonts w:hint="default"/>
          <w:sz w:val="21"/>
          <w:lang/>
        </w:rPr>
        <w:instrText xml:space="preserve"> PAGEREF _Toc477899847 \h </w:instrText>
      </w:r>
      <w:r>
        <w:rPr>
          <w:rFonts w:hint="default"/>
          <w:sz w:val="21"/>
          <w:lang/>
        </w:rPr>
        <w:fldChar w:fldCharType="separate"/>
      </w:r>
      <w:r>
        <w:rPr>
          <w:rFonts w:hint="default"/>
          <w:sz w:val="21"/>
          <w:lang/>
        </w:rPr>
        <w:t>2</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目录</w:t>
      </w:r>
      <w:r>
        <w:rPr>
          <w:rFonts w:hint="default" w:eastAsia="Times New Roman"/>
          <w:sz w:val="21"/>
          <w:lang/>
        </w:rPr>
        <w:tab/>
      </w:r>
      <w:r>
        <w:rPr>
          <w:rFonts w:hint="default"/>
          <w:sz w:val="21"/>
          <w:lang/>
        </w:rPr>
        <w:fldChar w:fldCharType="begin"/>
      </w:r>
      <w:r>
        <w:rPr>
          <w:rFonts w:hint="default"/>
          <w:sz w:val="21"/>
          <w:lang/>
        </w:rPr>
        <w:instrText xml:space="preserve"> PAGEREF _Toc477899848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"_Toc477899849"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  </w:t>
      </w:r>
      <w:r>
        <w:rPr>
          <w:rStyle w:val="10"/>
          <w:rFonts w:hint="eastAsia" w:ascii="Times New Roman" w:hAnsi="Times New Roman" w:eastAsia="宋体"/>
          <w:b/>
          <w:kern w:val="0"/>
          <w:sz w:val="21"/>
          <w:lang/>
        </w:rPr>
        <w:t>基金简介</w:t>
      </w:r>
      <w:r>
        <w:rPr>
          <w:rFonts w:hint="default" w:eastAsia="Times New Roman"/>
          <w:sz w:val="21"/>
          <w:lang/>
        </w:rPr>
        <w:tab/>
      </w:r>
      <w:r>
        <w:rPr>
          <w:rFonts w:hint="default"/>
          <w:sz w:val="21"/>
          <w:lang/>
        </w:rPr>
        <w:fldChar w:fldCharType="begin"/>
      </w:r>
      <w:r>
        <w:rPr>
          <w:rFonts w:hint="default"/>
          <w:sz w:val="21"/>
          <w:lang/>
        </w:rPr>
        <w:instrText xml:space="preserve"> PAGEREF _Toc477899849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2.1 </w:t>
      </w:r>
      <w:r>
        <w:rPr>
          <w:rStyle w:val="10"/>
          <w:rFonts w:hint="eastAsia" w:ascii="Times New Roman" w:hAnsi="Times New Roman" w:eastAsia="宋体"/>
          <w:b/>
          <w:kern w:val="0"/>
          <w:sz w:val="21"/>
          <w:lang/>
        </w:rPr>
        <w:t>基金基本情况</w:t>
      </w:r>
      <w:r>
        <w:rPr>
          <w:rFonts w:hint="default" w:eastAsia="Times New Roman"/>
          <w:sz w:val="21"/>
          <w:lang/>
        </w:rPr>
        <w:tab/>
      </w:r>
      <w:r>
        <w:rPr>
          <w:rFonts w:hint="default"/>
          <w:sz w:val="21"/>
          <w:lang/>
        </w:rPr>
        <w:fldChar w:fldCharType="begin"/>
      </w:r>
      <w:r>
        <w:rPr>
          <w:rFonts w:hint="default"/>
          <w:sz w:val="21"/>
          <w:lang/>
        </w:rPr>
        <w:instrText xml:space="preserve"> PAGEREF _Toc477899850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2.2 </w:t>
      </w:r>
      <w:r>
        <w:rPr>
          <w:rStyle w:val="10"/>
          <w:rFonts w:hint="eastAsia" w:ascii="Times New Roman" w:hAnsi="Times New Roman" w:eastAsia="宋体"/>
          <w:b/>
          <w:kern w:val="0"/>
          <w:sz w:val="21"/>
          <w:lang/>
        </w:rPr>
        <w:t>基金产品说明</w:t>
      </w:r>
      <w:r>
        <w:rPr>
          <w:rFonts w:hint="default" w:eastAsia="Times New Roman"/>
          <w:sz w:val="21"/>
          <w:lang/>
        </w:rPr>
        <w:tab/>
      </w:r>
      <w:r>
        <w:rPr>
          <w:rFonts w:hint="default"/>
          <w:sz w:val="21"/>
          <w:lang/>
        </w:rPr>
        <w:fldChar w:fldCharType="begin"/>
      </w:r>
      <w:r>
        <w:rPr>
          <w:rFonts w:hint="default"/>
          <w:sz w:val="21"/>
          <w:lang/>
        </w:rPr>
        <w:instrText xml:space="preserve"> PAGEREF _Toc477899851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2.3 </w:t>
      </w:r>
      <w:r>
        <w:rPr>
          <w:rStyle w:val="10"/>
          <w:rFonts w:hint="eastAsia" w:ascii="Times New Roman" w:hAnsi="Times New Roman" w:eastAsia="宋体"/>
          <w:b/>
          <w:kern w:val="0"/>
          <w:sz w:val="21"/>
          <w:lang/>
        </w:rPr>
        <w:t>基金管理人和基金托管人</w:t>
      </w:r>
      <w:r>
        <w:rPr>
          <w:rFonts w:hint="default" w:eastAsia="Times New Roman"/>
          <w:sz w:val="21"/>
          <w:lang/>
        </w:rPr>
        <w:tab/>
      </w:r>
      <w:r>
        <w:rPr>
          <w:rFonts w:hint="default"/>
          <w:sz w:val="21"/>
          <w:lang/>
        </w:rPr>
        <w:fldChar w:fldCharType="begin"/>
      </w:r>
      <w:r>
        <w:rPr>
          <w:rFonts w:hint="default"/>
          <w:sz w:val="21"/>
          <w:lang/>
        </w:rPr>
        <w:instrText xml:space="preserve"> PAGEREF _Toc477899852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2.4 </w:t>
      </w:r>
      <w:r>
        <w:rPr>
          <w:rStyle w:val="10"/>
          <w:rFonts w:hint="eastAsia" w:ascii="Times New Roman" w:hAnsi="Times New Roman" w:eastAsia="宋体"/>
          <w:b/>
          <w:kern w:val="0"/>
          <w:sz w:val="21"/>
          <w:lang/>
        </w:rPr>
        <w:t>信息披露方式</w:t>
      </w:r>
      <w:r>
        <w:rPr>
          <w:rFonts w:hint="default" w:eastAsia="Times New Roman"/>
          <w:sz w:val="21"/>
          <w:lang/>
        </w:rPr>
        <w:tab/>
      </w:r>
      <w:r>
        <w:rPr>
          <w:rFonts w:hint="default"/>
          <w:sz w:val="21"/>
          <w:lang/>
        </w:rPr>
        <w:fldChar w:fldCharType="begin"/>
      </w:r>
      <w:r>
        <w:rPr>
          <w:rFonts w:hint="default"/>
          <w:sz w:val="21"/>
          <w:lang/>
        </w:rPr>
        <w:instrText xml:space="preserve"> PAGEREF _Toc477899853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2.5 </w:t>
      </w:r>
      <w:r>
        <w:rPr>
          <w:rStyle w:val="10"/>
          <w:rFonts w:hint="eastAsia" w:ascii="Times New Roman" w:hAnsi="Times New Roman" w:eastAsia="宋体"/>
          <w:b/>
          <w:kern w:val="0"/>
          <w:sz w:val="21"/>
          <w:lang/>
        </w:rPr>
        <w:t>其他相关资料</w:t>
      </w:r>
      <w:r>
        <w:rPr>
          <w:rFonts w:hint="default" w:eastAsia="Times New Roman"/>
          <w:sz w:val="21"/>
          <w:lang/>
        </w:rPr>
        <w:tab/>
      </w:r>
      <w:r>
        <w:rPr>
          <w:rFonts w:hint="default"/>
          <w:sz w:val="21"/>
          <w:lang/>
        </w:rPr>
        <w:fldChar w:fldCharType="begin"/>
      </w:r>
      <w:r>
        <w:rPr>
          <w:rFonts w:hint="default"/>
          <w:sz w:val="21"/>
          <w:lang/>
        </w:rPr>
        <w:instrText xml:space="preserve"> PAGEREF _Toc477899854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  </w:t>
      </w:r>
      <w:r>
        <w:rPr>
          <w:rStyle w:val="10"/>
          <w:rFonts w:hint="eastAsia" w:ascii="Times New Roman" w:hAnsi="Times New Roman" w:eastAsia="宋体"/>
          <w:b/>
          <w:kern w:val="0"/>
          <w:sz w:val="21"/>
          <w:lang/>
        </w:rPr>
        <w:t>主要财务指标、基金净值表现及利润分配情况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_Toc477899855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3.1 </w:t>
      </w:r>
      <w:r>
        <w:rPr>
          <w:rStyle w:val="10"/>
          <w:rFonts w:hint="eastAsia" w:ascii="Times New Roman" w:hAnsi="Times New Roman" w:eastAsia="宋体"/>
          <w:b/>
          <w:kern w:val="0"/>
          <w:sz w:val="21"/>
          <w:lang/>
        </w:rPr>
        <w:t>主要会计数据和财务指标</w:t>
      </w:r>
      <w:r>
        <w:rPr>
          <w:rFonts w:hint="default" w:eastAsia="Times New Roman"/>
          <w:sz w:val="21"/>
          <w:lang/>
        </w:rPr>
        <w:tab/>
      </w:r>
      <w:r>
        <w:rPr>
          <w:rFonts w:hint="default"/>
          <w:sz w:val="21"/>
          <w:lang/>
        </w:rPr>
        <w:fldChar w:fldCharType="begin"/>
      </w:r>
      <w:r>
        <w:rPr>
          <w:rFonts w:hint="default"/>
          <w:sz w:val="21"/>
          <w:lang/>
        </w:rPr>
        <w:instrText xml:space="preserve"> PAGEREF _Toc477899856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3.2 </w:t>
      </w:r>
      <w:r>
        <w:rPr>
          <w:rStyle w:val="10"/>
          <w:rFonts w:hint="eastAsia" w:ascii="Times New Roman" w:hAnsi="Times New Roman" w:eastAsia="宋体"/>
          <w:b/>
          <w:kern w:val="0"/>
          <w:sz w:val="21"/>
          <w:lang/>
        </w:rPr>
        <w:t>基金净值表现</w:t>
      </w:r>
      <w:r>
        <w:rPr>
          <w:rFonts w:hint="default" w:eastAsia="Times New Roman"/>
          <w:sz w:val="21"/>
          <w:lang/>
        </w:rPr>
        <w:tab/>
      </w:r>
      <w:r>
        <w:rPr>
          <w:rFonts w:hint="default"/>
          <w:sz w:val="21"/>
          <w:lang/>
        </w:rPr>
        <w:fldChar w:fldCharType="begin"/>
      </w:r>
      <w:r>
        <w:rPr>
          <w:rFonts w:hint="default"/>
          <w:sz w:val="21"/>
          <w:lang/>
        </w:rPr>
        <w:instrText xml:space="preserve"> PAGEREF _Toc477899857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3.3 </w:t>
      </w:r>
      <w:r>
        <w:rPr>
          <w:rStyle w:val="10"/>
          <w:rFonts w:hint="eastAsia" w:ascii="Times New Roman" w:hAnsi="Times New Roman" w:eastAsia="宋体"/>
          <w:b/>
          <w:kern w:val="0"/>
          <w:sz w:val="21"/>
          <w:lang/>
        </w:rPr>
        <w:t>过去三年基金的利润分配情况</w:t>
      </w:r>
      <w:r>
        <w:rPr>
          <w:rFonts w:hint="default" w:eastAsia="Times New Roman"/>
          <w:sz w:val="21"/>
          <w:lang/>
        </w:rPr>
        <w:tab/>
      </w:r>
      <w:r>
        <w:rPr>
          <w:rFonts w:hint="default"/>
          <w:sz w:val="21"/>
          <w:lang/>
        </w:rPr>
        <w:fldChar w:fldCharType="begin"/>
      </w:r>
      <w:r>
        <w:rPr>
          <w:rFonts w:hint="default"/>
          <w:sz w:val="21"/>
          <w:lang/>
        </w:rPr>
        <w:instrText xml:space="preserve"> PAGEREF _Toc477899858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"_Toc477899859"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  </w:t>
      </w:r>
      <w:r>
        <w:rPr>
          <w:rStyle w:val="10"/>
          <w:rFonts w:hint="eastAsia" w:ascii="Times New Roman" w:hAnsi="Times New Roman" w:eastAsia="宋体"/>
          <w:b/>
          <w:kern w:val="0"/>
          <w:sz w:val="21"/>
          <w:lang/>
        </w:rPr>
        <w:t>管理人报告</w:t>
      </w:r>
      <w:r>
        <w:rPr>
          <w:rFonts w:hint="default" w:eastAsia="Times New Roman"/>
          <w:sz w:val="21"/>
          <w:lang/>
        </w:rPr>
        <w:tab/>
      </w:r>
      <w:r>
        <w:rPr>
          <w:rFonts w:hint="default"/>
          <w:sz w:val="21"/>
          <w:lang/>
        </w:rPr>
        <w:fldChar w:fldCharType="begin"/>
      </w:r>
      <w:r>
        <w:rPr>
          <w:rFonts w:hint="default"/>
          <w:sz w:val="21"/>
          <w:lang/>
        </w:rPr>
        <w:instrText xml:space="preserve"> PAGEREF _Toc477899859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4.1 </w:t>
      </w:r>
      <w:r>
        <w:rPr>
          <w:rStyle w:val="10"/>
          <w:rFonts w:hint="eastAsia" w:ascii="Times New Roman" w:hAnsi="Times New Roman" w:eastAsia="宋体"/>
          <w:b/>
          <w:kern w:val="0"/>
          <w:sz w:val="21"/>
          <w:lang/>
        </w:rPr>
        <w:t>基金管理人及基金经理情况</w:t>
      </w:r>
      <w:r>
        <w:rPr>
          <w:rFonts w:hint="default" w:eastAsia="Times New Roman"/>
          <w:sz w:val="21"/>
          <w:lang/>
        </w:rPr>
        <w:tab/>
      </w:r>
      <w:r>
        <w:rPr>
          <w:rFonts w:hint="default"/>
          <w:sz w:val="21"/>
          <w:lang/>
        </w:rPr>
        <w:fldChar w:fldCharType="begin"/>
      </w:r>
      <w:r>
        <w:rPr>
          <w:rFonts w:hint="default"/>
          <w:sz w:val="21"/>
          <w:lang/>
        </w:rPr>
        <w:instrText xml:space="preserve"> PAGEREF _Toc477899860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4.2 </w:t>
      </w:r>
      <w:r>
        <w:rPr>
          <w:rStyle w:val="10"/>
          <w:rFonts w:hint="eastAsia" w:ascii="Times New Roman" w:hAnsi="Times New Roman" w:eastAsia="宋体"/>
          <w:b/>
          <w:kern w:val="0"/>
          <w:sz w:val="21"/>
          <w:lang/>
        </w:rPr>
        <w:t>管理人对报告期内本基金运作遵规守信情况的说明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_Toc477899861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4.3 </w:t>
      </w:r>
      <w:r>
        <w:rPr>
          <w:rStyle w:val="10"/>
          <w:rFonts w:hint="eastAsia" w:ascii="Times New Roman" w:hAnsi="Times New Roman" w:eastAsia="宋体"/>
          <w:b/>
          <w:kern w:val="0"/>
          <w:sz w:val="21"/>
          <w:lang/>
        </w:rPr>
        <w:t>管理人对报告期内公平交易情况的专项说明</w:t>
      </w:r>
      <w:r>
        <w:rPr>
          <w:rFonts w:hint="default" w:eastAsia="Times New Roman"/>
          <w:sz w:val="21"/>
          <w:lang/>
        </w:rPr>
        <w:tab/>
      </w:r>
      <w:r>
        <w:rPr>
          <w:rFonts w:hint="default"/>
          <w:sz w:val="21"/>
          <w:lang/>
        </w:rPr>
        <w:fldChar w:fldCharType="begin"/>
      </w:r>
      <w:r>
        <w:rPr>
          <w:rFonts w:hint="default"/>
          <w:sz w:val="21"/>
          <w:lang/>
        </w:rPr>
        <w:instrText xml:space="preserve"> PAGEREF _Toc477899862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4.4 </w:t>
      </w:r>
      <w:r>
        <w:rPr>
          <w:rStyle w:val="10"/>
          <w:rFonts w:hint="eastAsia" w:ascii="Times New Roman" w:hAnsi="Times New Roman" w:eastAsia="宋体"/>
          <w:b/>
          <w:kern w:val="0"/>
          <w:sz w:val="21"/>
          <w:lang/>
        </w:rPr>
        <w:t>管理人对报告期内基金的投资策略和业绩表现的说明</w:t>
      </w:r>
      <w:r>
        <w:rPr>
          <w:rFonts w:hint="default" w:eastAsia="Times New Roman"/>
          <w:sz w:val="21"/>
          <w:lang/>
        </w:rPr>
        <w:tab/>
      </w:r>
      <w:r>
        <w:rPr>
          <w:rFonts w:hint="default"/>
          <w:sz w:val="21"/>
          <w:lang/>
        </w:rPr>
        <w:fldChar w:fldCharType="begin"/>
      </w:r>
      <w:r>
        <w:rPr>
          <w:rFonts w:hint="default"/>
          <w:sz w:val="21"/>
          <w:lang/>
        </w:rPr>
        <w:instrText xml:space="preserve"> PAGEREF _Toc477899863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4.5 </w:t>
      </w:r>
      <w:r>
        <w:rPr>
          <w:rStyle w:val="10"/>
          <w:rFonts w:hint="eastAsia" w:ascii="Times New Roman" w:hAnsi="Times New Roman" w:eastAsia="宋体"/>
          <w:b/>
          <w:kern w:val="0"/>
          <w:sz w:val="21"/>
          <w:lang/>
        </w:rPr>
        <w:t>管理人对宏观经济、证券市场及行业走势的简要展望</w:t>
      </w:r>
      <w:r>
        <w:rPr>
          <w:rFonts w:hint="default" w:eastAsia="Times New Roman"/>
          <w:sz w:val="21"/>
          <w:lang/>
        </w:rPr>
        <w:tab/>
      </w:r>
      <w:r>
        <w:rPr>
          <w:rFonts w:hint="default"/>
          <w:sz w:val="21"/>
          <w:lang/>
        </w:rPr>
        <w:fldChar w:fldCharType="begin"/>
      </w:r>
      <w:r>
        <w:rPr>
          <w:rFonts w:hint="default"/>
          <w:sz w:val="21"/>
          <w:lang/>
        </w:rPr>
        <w:instrText xml:space="preserve"> PAGEREF _Toc477899864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4.6 </w:t>
      </w:r>
      <w:r>
        <w:rPr>
          <w:rStyle w:val="10"/>
          <w:rFonts w:hint="eastAsia" w:ascii="Times New Roman" w:hAnsi="Times New Roman" w:eastAsia="宋体"/>
          <w:b/>
          <w:kern w:val="0"/>
          <w:sz w:val="21"/>
          <w:lang/>
        </w:rPr>
        <w:t>管理人内部有关本基金的监察稽核工作情况</w:t>
      </w:r>
      <w:r>
        <w:rPr>
          <w:rFonts w:hint="default" w:eastAsia="Times New Roman"/>
          <w:sz w:val="21"/>
          <w:lang/>
        </w:rPr>
        <w:tab/>
      </w:r>
      <w:r>
        <w:rPr>
          <w:rFonts w:hint="default"/>
          <w:sz w:val="21"/>
          <w:lang/>
        </w:rPr>
        <w:fldChar w:fldCharType="begin"/>
      </w:r>
      <w:r>
        <w:rPr>
          <w:rFonts w:hint="default"/>
          <w:sz w:val="21"/>
          <w:lang/>
        </w:rPr>
        <w:instrText xml:space="preserve"> PAGEREF _Toc477899865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4.7 </w:t>
      </w:r>
      <w:r>
        <w:rPr>
          <w:rStyle w:val="10"/>
          <w:rFonts w:hint="eastAsia" w:ascii="Times New Roman" w:hAnsi="Times New Roman" w:eastAsia="宋体"/>
          <w:b/>
          <w:kern w:val="0"/>
          <w:sz w:val="21"/>
          <w:lang/>
        </w:rPr>
        <w:t>管理人对报告期内基金估值程序等事项的说明</w:t>
      </w:r>
      <w:r>
        <w:rPr>
          <w:rFonts w:hint="default" w:eastAsia="Times New Roman"/>
          <w:sz w:val="21"/>
          <w:lang/>
        </w:rPr>
        <w:tab/>
      </w:r>
      <w:r>
        <w:rPr>
          <w:rFonts w:hint="default"/>
          <w:sz w:val="21"/>
          <w:lang/>
        </w:rPr>
        <w:fldChar w:fldCharType="begin"/>
      </w:r>
      <w:r>
        <w:rPr>
          <w:rFonts w:hint="default"/>
          <w:sz w:val="21"/>
          <w:lang/>
        </w:rPr>
        <w:instrText xml:space="preserve"> PAGEREF _Toc477899866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4.8 </w:t>
      </w:r>
      <w:r>
        <w:rPr>
          <w:rStyle w:val="10"/>
          <w:rFonts w:hint="eastAsia" w:ascii="Times New Roman" w:hAnsi="Times New Roman" w:eastAsia="宋体"/>
          <w:b/>
          <w:kern w:val="0"/>
          <w:sz w:val="21"/>
          <w:lang/>
        </w:rPr>
        <w:t>管理人对报告期内基金利润分配情况的说明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_Toc477899867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  </w:t>
      </w:r>
      <w:r>
        <w:rPr>
          <w:rStyle w:val="10"/>
          <w:rFonts w:hint="eastAsia" w:ascii="Times New Roman" w:hAnsi="Times New Roman" w:eastAsia="宋体"/>
          <w:b/>
          <w:kern w:val="0"/>
          <w:sz w:val="21"/>
          <w:lang/>
        </w:rPr>
        <w:t>托管人报告</w:t>
      </w:r>
      <w:r>
        <w:rPr>
          <w:rFonts w:hint="default" w:eastAsia="Times New Roman"/>
          <w:sz w:val="21"/>
          <w:lang/>
        </w:rPr>
        <w:tab/>
      </w:r>
      <w:r>
        <w:rPr>
          <w:rFonts w:hint="default"/>
          <w:sz w:val="21"/>
          <w:lang/>
        </w:rPr>
        <w:fldChar w:fldCharType="begin"/>
      </w:r>
      <w:r>
        <w:rPr>
          <w:rFonts w:hint="default"/>
          <w:sz w:val="21"/>
          <w:lang/>
        </w:rPr>
        <w:instrText xml:space="preserve"> PAGEREF _Toc477899868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"_Toc477899869"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5.1 </w:t>
      </w:r>
      <w:r>
        <w:rPr>
          <w:rStyle w:val="10"/>
          <w:rFonts w:hint="eastAsia" w:ascii="Times New Roman" w:hAnsi="Times New Roman" w:eastAsia="宋体"/>
          <w:b/>
          <w:kern w:val="0"/>
          <w:sz w:val="21"/>
          <w:lang/>
        </w:rPr>
        <w:t>报告期内本基金托管人遵规守信情况声明</w:t>
      </w:r>
      <w:r>
        <w:rPr>
          <w:rFonts w:hint="default" w:eastAsia="Times New Roman"/>
          <w:sz w:val="21"/>
          <w:lang/>
        </w:rPr>
        <w:tab/>
      </w:r>
      <w:r>
        <w:rPr>
          <w:rFonts w:hint="default"/>
          <w:sz w:val="21"/>
          <w:lang/>
        </w:rPr>
        <w:fldChar w:fldCharType="begin"/>
      </w:r>
      <w:r>
        <w:rPr>
          <w:rFonts w:hint="default"/>
          <w:sz w:val="21"/>
          <w:lang/>
        </w:rPr>
        <w:instrText xml:space="preserve"> PAGEREF _Toc477899869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5.2 </w:t>
      </w:r>
      <w:r>
        <w:rPr>
          <w:rStyle w:val="10"/>
          <w:rFonts w:hint="eastAsia" w:ascii="Times New Roman" w:hAnsi="Times New Roman" w:eastAsia="宋体"/>
          <w:b/>
          <w:kern w:val="0"/>
          <w:sz w:val="21"/>
          <w:lang/>
        </w:rPr>
        <w:t>托管人对报告期内本基金投资运作遵规守信、净值计算、利润分配等情况的说明</w:t>
      </w:r>
      <w:r>
        <w:rPr>
          <w:rFonts w:hint="default" w:eastAsia="Times New Roman"/>
          <w:sz w:val="21"/>
          <w:lang/>
        </w:rPr>
        <w:tab/>
      </w:r>
      <w:r>
        <w:rPr>
          <w:rFonts w:hint="default"/>
          <w:sz w:val="21"/>
          <w:lang/>
        </w:rPr>
        <w:fldChar w:fldCharType="begin"/>
      </w:r>
      <w:r>
        <w:rPr>
          <w:rFonts w:hint="default"/>
          <w:sz w:val="21"/>
          <w:lang/>
        </w:rPr>
        <w:instrText xml:space="preserve"> PAGEREF _Toc477899870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5.3 </w:t>
      </w:r>
      <w:r>
        <w:rPr>
          <w:rStyle w:val="10"/>
          <w:rFonts w:hint="eastAsia" w:ascii="Times New Roman" w:hAnsi="Times New Roman" w:eastAsia="宋体"/>
          <w:b/>
          <w:kern w:val="0"/>
          <w:sz w:val="21"/>
          <w:lang/>
        </w:rPr>
        <w:t>托管人对本年度报告中财务信息等内容的真实、准确和完整发表意见</w:t>
      </w:r>
      <w:r>
        <w:rPr>
          <w:rFonts w:hint="default" w:eastAsia="Times New Roman"/>
          <w:sz w:val="21"/>
          <w:lang/>
        </w:rPr>
        <w:tab/>
      </w:r>
      <w:r>
        <w:rPr>
          <w:rFonts w:hint="default"/>
          <w:sz w:val="21"/>
          <w:lang/>
        </w:rPr>
        <w:fldChar w:fldCharType="begin"/>
      </w:r>
      <w:r>
        <w:rPr>
          <w:rFonts w:hint="default"/>
          <w:sz w:val="21"/>
          <w:lang/>
        </w:rPr>
        <w:instrText xml:space="preserve"> PAGEREF _Toc477899871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  </w:t>
      </w:r>
      <w:r>
        <w:rPr>
          <w:rStyle w:val="10"/>
          <w:rFonts w:hint="eastAsia" w:ascii="Times New Roman" w:hAnsi="Times New Roman" w:eastAsia="宋体"/>
          <w:b/>
          <w:kern w:val="0"/>
          <w:sz w:val="21"/>
          <w:lang/>
        </w:rPr>
        <w:t>审计报告</w:t>
      </w:r>
      <w:r>
        <w:rPr>
          <w:rFonts w:hint="default" w:eastAsia="Times New Roman"/>
          <w:sz w:val="21"/>
          <w:lang/>
        </w:rPr>
        <w:tab/>
      </w:r>
      <w:r>
        <w:rPr>
          <w:rFonts w:hint="default"/>
          <w:sz w:val="21"/>
          <w:lang/>
        </w:rPr>
        <w:fldChar w:fldCharType="begin"/>
      </w:r>
      <w:r>
        <w:rPr>
          <w:rFonts w:hint="default"/>
          <w:sz w:val="21"/>
          <w:lang/>
        </w:rPr>
        <w:instrText xml:space="preserve"> PAGEREF _Toc477899872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6.1 </w:t>
      </w:r>
      <w:r>
        <w:rPr>
          <w:rStyle w:val="10"/>
          <w:rFonts w:hint="eastAsia" w:ascii="Times New Roman" w:hAnsi="Times New Roman" w:eastAsia="宋体"/>
          <w:b/>
          <w:kern w:val="0"/>
          <w:sz w:val="21"/>
          <w:lang/>
        </w:rPr>
        <w:t>审计报告基本信息</w:t>
      </w:r>
      <w:r>
        <w:rPr>
          <w:rFonts w:hint="default" w:eastAsia="Times New Roman"/>
          <w:sz w:val="21"/>
          <w:lang/>
        </w:rPr>
        <w:tab/>
      </w:r>
      <w:r>
        <w:rPr>
          <w:rFonts w:hint="default"/>
          <w:sz w:val="21"/>
          <w:lang/>
        </w:rPr>
        <w:fldChar w:fldCharType="begin"/>
      </w:r>
      <w:r>
        <w:rPr>
          <w:rFonts w:hint="default"/>
          <w:sz w:val="21"/>
          <w:lang/>
        </w:rPr>
        <w:instrText xml:space="preserve"> PAGEREF _Toc477899873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6.2 </w:t>
      </w:r>
      <w:r>
        <w:rPr>
          <w:rStyle w:val="10"/>
          <w:rFonts w:hint="eastAsia" w:ascii="Times New Roman" w:hAnsi="Times New Roman" w:eastAsia="宋体"/>
          <w:b/>
          <w:kern w:val="0"/>
          <w:sz w:val="21"/>
          <w:lang/>
        </w:rPr>
        <w:t>审计报告的基本内容</w:t>
      </w:r>
      <w:r>
        <w:rPr>
          <w:rFonts w:hint="default" w:eastAsia="Times New Roman"/>
          <w:sz w:val="21"/>
          <w:lang/>
        </w:rPr>
        <w:tab/>
      </w:r>
      <w:r>
        <w:rPr>
          <w:rFonts w:hint="default"/>
          <w:sz w:val="21"/>
          <w:lang/>
        </w:rPr>
        <w:fldChar w:fldCharType="begin"/>
      </w:r>
      <w:r>
        <w:rPr>
          <w:rFonts w:hint="default"/>
          <w:sz w:val="21"/>
          <w:lang/>
        </w:rPr>
        <w:instrText xml:space="preserve"> PAGEREF _Toc477899874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  </w:t>
      </w:r>
      <w:r>
        <w:rPr>
          <w:rStyle w:val="10"/>
          <w:rFonts w:hint="eastAsia" w:ascii="Times New Roman" w:hAnsi="Times New Roman" w:eastAsia="宋体"/>
          <w:b/>
          <w:kern w:val="0"/>
          <w:sz w:val="21"/>
          <w:lang/>
        </w:rPr>
        <w:t>年度财务报表</w:t>
      </w:r>
      <w:r>
        <w:rPr>
          <w:rFonts w:hint="default" w:eastAsia="Times New Roman"/>
          <w:sz w:val="21"/>
          <w:lang/>
        </w:rPr>
        <w:tab/>
      </w:r>
      <w:r>
        <w:rPr>
          <w:rFonts w:hint="default"/>
          <w:sz w:val="21"/>
          <w:lang/>
        </w:rPr>
        <w:fldChar w:fldCharType="begin"/>
      </w:r>
      <w:r>
        <w:rPr>
          <w:rFonts w:hint="default"/>
          <w:sz w:val="21"/>
          <w:lang/>
        </w:rPr>
        <w:instrText xml:space="preserve"> PAGEREF _Toc477899875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7.1 </w:t>
      </w:r>
      <w:r>
        <w:rPr>
          <w:rStyle w:val="10"/>
          <w:rFonts w:hint="eastAsia" w:ascii="Times New Roman" w:hAnsi="Times New Roman" w:eastAsia="宋体"/>
          <w:b/>
          <w:kern w:val="0"/>
          <w:sz w:val="21"/>
          <w:lang/>
        </w:rPr>
        <w:t>资产负债表</w:t>
      </w:r>
      <w:r>
        <w:rPr>
          <w:rFonts w:hint="default" w:eastAsia="Times New Roman"/>
          <w:sz w:val="21"/>
          <w:lang/>
        </w:rPr>
        <w:tab/>
      </w:r>
      <w:r>
        <w:rPr>
          <w:rFonts w:hint="default"/>
          <w:sz w:val="21"/>
          <w:lang/>
        </w:rPr>
        <w:fldChar w:fldCharType="begin"/>
      </w:r>
      <w:r>
        <w:rPr>
          <w:rFonts w:hint="default"/>
          <w:sz w:val="21"/>
          <w:lang/>
        </w:rPr>
        <w:instrText xml:space="preserve"> PAGEREF _Toc477899876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7.2 </w:t>
      </w:r>
      <w:r>
        <w:rPr>
          <w:rStyle w:val="10"/>
          <w:rFonts w:hint="eastAsia" w:ascii="Times New Roman" w:hAnsi="Times New Roman" w:eastAsia="宋体"/>
          <w:b/>
          <w:kern w:val="0"/>
          <w:sz w:val="21"/>
          <w:lang/>
        </w:rPr>
        <w:t>利润表</w:t>
      </w:r>
      <w:r>
        <w:rPr>
          <w:rFonts w:hint="default" w:eastAsia="Times New Roman"/>
          <w:sz w:val="21"/>
          <w:lang/>
        </w:rPr>
        <w:tab/>
      </w:r>
      <w:r>
        <w:rPr>
          <w:rFonts w:hint="default"/>
          <w:sz w:val="21"/>
          <w:lang/>
        </w:rPr>
        <w:fldChar w:fldCharType="begin"/>
      </w:r>
      <w:r>
        <w:rPr>
          <w:rFonts w:hint="default"/>
          <w:sz w:val="21"/>
          <w:lang/>
        </w:rPr>
        <w:instrText xml:space="preserve"> PAGEREF _Toc477899877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7.3 </w:t>
      </w:r>
      <w:r>
        <w:rPr>
          <w:rStyle w:val="10"/>
          <w:rFonts w:hint="eastAsia" w:ascii="Times New Roman" w:hAnsi="Times New Roman" w:eastAsia="宋体"/>
          <w:b/>
          <w:kern w:val="0"/>
          <w:sz w:val="21"/>
          <w:lang/>
        </w:rPr>
        <w:t>所有者权益（基金净值）变动表</w:t>
      </w:r>
      <w:r>
        <w:rPr>
          <w:rFonts w:hint="default" w:eastAsia="Times New Roman"/>
          <w:sz w:val="21"/>
          <w:lang/>
        </w:rPr>
        <w:tab/>
      </w:r>
      <w:r>
        <w:rPr>
          <w:rFonts w:hint="default"/>
          <w:sz w:val="21"/>
          <w:lang/>
        </w:rPr>
        <w:fldChar w:fldCharType="begin"/>
      </w:r>
      <w:r>
        <w:rPr>
          <w:rFonts w:hint="default"/>
          <w:sz w:val="21"/>
          <w:lang/>
        </w:rPr>
        <w:instrText xml:space="preserve"> PAGEREF _Toc477899878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"_Toc477899879"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7.4 </w:t>
      </w:r>
      <w:r>
        <w:rPr>
          <w:rStyle w:val="10"/>
          <w:rFonts w:hint="eastAsia" w:ascii="Times New Roman" w:hAnsi="Times New Roman" w:eastAsia="宋体"/>
          <w:b/>
          <w:kern w:val="0"/>
          <w:sz w:val="21"/>
          <w:lang/>
        </w:rPr>
        <w:t>报表附注</w:t>
      </w:r>
      <w:r>
        <w:rPr>
          <w:rFonts w:hint="default" w:eastAsia="Times New Roman"/>
          <w:sz w:val="21"/>
          <w:lang/>
        </w:rPr>
        <w:tab/>
      </w:r>
      <w:r>
        <w:rPr>
          <w:rFonts w:hint="default"/>
          <w:sz w:val="21"/>
          <w:lang/>
        </w:rPr>
        <w:fldChar w:fldCharType="begin"/>
      </w:r>
      <w:r>
        <w:rPr>
          <w:rFonts w:hint="default"/>
          <w:sz w:val="21"/>
          <w:lang/>
        </w:rPr>
        <w:instrText xml:space="preserve"> PAGEREF _Toc477899879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  </w:t>
      </w:r>
      <w:r>
        <w:rPr>
          <w:rStyle w:val="10"/>
          <w:rFonts w:hint="eastAsia" w:ascii="Times New Roman" w:hAnsi="Times New Roman" w:eastAsia="宋体"/>
          <w:b/>
          <w:kern w:val="0"/>
          <w:sz w:val="21"/>
          <w:lang/>
        </w:rPr>
        <w:t>投资组合报告</w:t>
      </w:r>
      <w:r>
        <w:rPr>
          <w:rFonts w:hint="default" w:eastAsia="Times New Roman"/>
          <w:sz w:val="21"/>
          <w:lang/>
        </w:rPr>
        <w:tab/>
      </w:r>
      <w:r>
        <w:rPr>
          <w:rFonts w:hint="default"/>
          <w:sz w:val="21"/>
          <w:lang/>
        </w:rPr>
        <w:fldChar w:fldCharType="begin"/>
      </w:r>
      <w:r>
        <w:rPr>
          <w:rFonts w:hint="default"/>
          <w:sz w:val="21"/>
          <w:lang/>
        </w:rPr>
        <w:instrText xml:space="preserve"> PAGEREF _Toc477899880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 </w:t>
      </w:r>
      <w:r>
        <w:rPr>
          <w:rStyle w:val="10"/>
          <w:rFonts w:hint="eastAsia" w:ascii="Times New Roman" w:hAnsi="Times New Roman" w:eastAsia="宋体"/>
          <w:b/>
          <w:kern w:val="0"/>
          <w:sz w:val="21"/>
          <w:lang/>
        </w:rPr>
        <w:t>期末基金资产组合情况</w:t>
      </w:r>
      <w:r>
        <w:rPr>
          <w:rFonts w:hint="default" w:eastAsia="Times New Roman"/>
          <w:sz w:val="21"/>
          <w:lang/>
        </w:rPr>
        <w:tab/>
      </w:r>
      <w:r>
        <w:rPr>
          <w:rFonts w:hint="default"/>
          <w:sz w:val="21"/>
          <w:lang/>
        </w:rPr>
        <w:fldChar w:fldCharType="begin"/>
      </w:r>
      <w:r>
        <w:rPr>
          <w:rFonts w:hint="default"/>
          <w:sz w:val="21"/>
          <w:lang/>
        </w:rPr>
        <w:instrText xml:space="preserve"> PAGEREF _Toc477899881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8.2.1 </w:t>
      </w:r>
      <w:r>
        <w:rPr>
          <w:rStyle w:val="10"/>
          <w:rFonts w:hint="eastAsia" w:ascii="Times New Roman" w:hAnsi="Times New Roman" w:eastAsia="宋体"/>
          <w:b/>
          <w:kern w:val="0"/>
          <w:sz w:val="21"/>
          <w:lang/>
        </w:rPr>
        <w:t>报告期末按行业分类的境内股票投资组合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_Toc477899882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8.3 </w:t>
      </w:r>
      <w:r>
        <w:rPr>
          <w:rStyle w:val="10"/>
          <w:rFonts w:hint="eastAsia" w:ascii="Times New Roman" w:hAnsi="Times New Roman" w:eastAsia="宋体"/>
          <w:b/>
          <w:kern w:val="0"/>
          <w:sz w:val="21"/>
          <w:lang/>
        </w:rPr>
        <w:t>期末按公允价值占基金资产净值比例大小排序的所有股票投资明细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_Toc477899883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8.4 </w:t>
      </w:r>
      <w:r>
        <w:rPr>
          <w:rStyle w:val="10"/>
          <w:rFonts w:hint="eastAsia" w:ascii="Times New Roman" w:hAnsi="Times New Roman" w:eastAsia="宋体"/>
          <w:b/>
          <w:kern w:val="0"/>
          <w:sz w:val="21"/>
          <w:lang/>
        </w:rPr>
        <w:t>报告期内股票投资组合的重大变动</w:t>
      </w:r>
      <w:r>
        <w:rPr>
          <w:rFonts w:hint="default" w:eastAsia="Times New Roman"/>
          <w:sz w:val="21"/>
          <w:lang/>
        </w:rPr>
        <w:tab/>
      </w:r>
      <w:r>
        <w:rPr>
          <w:rFonts w:hint="default"/>
          <w:sz w:val="21"/>
          <w:lang/>
        </w:rPr>
        <w:fldChar w:fldCharType="begin"/>
      </w:r>
      <w:r>
        <w:rPr>
          <w:rFonts w:hint="default"/>
          <w:sz w:val="21"/>
          <w:lang/>
        </w:rPr>
        <w:instrText xml:space="preserve"> PAGEREF _Toc477899884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8.5 </w:t>
      </w:r>
      <w:r>
        <w:rPr>
          <w:rStyle w:val="10"/>
          <w:rFonts w:hint="eastAsia" w:ascii="Times New Roman" w:hAnsi="Times New Roman" w:eastAsia="宋体"/>
          <w:b/>
          <w:kern w:val="0"/>
          <w:sz w:val="21"/>
          <w:lang/>
        </w:rPr>
        <w:t>期末按债券品种分类的债券投资组合</w:t>
      </w:r>
      <w:r>
        <w:rPr>
          <w:rFonts w:hint="default" w:eastAsia="Times New Roman"/>
          <w:sz w:val="21"/>
          <w:lang/>
        </w:rPr>
        <w:tab/>
      </w:r>
      <w:r>
        <w:rPr>
          <w:rFonts w:hint="default"/>
          <w:sz w:val="21"/>
          <w:lang/>
        </w:rPr>
        <w:fldChar w:fldCharType="begin"/>
      </w:r>
      <w:r>
        <w:rPr>
          <w:rFonts w:hint="default"/>
          <w:sz w:val="21"/>
          <w:lang/>
        </w:rPr>
        <w:instrText xml:space="preserve"> PAGEREF _Toc477899885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8.6 </w:t>
      </w:r>
      <w:r>
        <w:rPr>
          <w:rStyle w:val="10"/>
          <w:rFonts w:hint="eastAsia" w:ascii="Times New Roman" w:hAnsi="Times New Roman" w:eastAsia="宋体"/>
          <w:b/>
          <w:kern w:val="0"/>
          <w:sz w:val="21"/>
          <w:lang/>
        </w:rPr>
        <w:t>期末按公允价值占基金资产净值比例大小排序的前五名债券投资明细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_Toc477899886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8.7 </w:t>
      </w:r>
      <w:r>
        <w:rPr>
          <w:rStyle w:val="10"/>
          <w:rFonts w:hint="eastAsia" w:ascii="Times New Roman" w:hAnsi="Times New Roman" w:eastAsia="宋体"/>
          <w:b/>
          <w:kern w:val="0"/>
          <w:sz w:val="21"/>
          <w:lang/>
        </w:rPr>
        <w:t>期末按公允价值占基金资产净值比例大小排序的所有资产支持证券投资明细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_Toc477899887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8.8 </w:t>
      </w:r>
      <w:r>
        <w:rPr>
          <w:rStyle w:val="10"/>
          <w:rFonts w:hint="eastAsia" w:ascii="Times New Roman" w:hAnsi="Times New Roman" w:eastAsia="宋体"/>
          <w:b/>
          <w:kern w:val="0"/>
          <w:sz w:val="21"/>
          <w:lang/>
        </w:rPr>
        <w:t>报告期末按公允价值占基金资产净值比例大小排序的前五名贵金属投资明细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_Toc477899888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"_Toc477899889"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8.9 </w:t>
      </w:r>
      <w:r>
        <w:rPr>
          <w:rStyle w:val="10"/>
          <w:rFonts w:hint="eastAsia" w:ascii="Times New Roman" w:hAnsi="Times New Roman" w:eastAsia="宋体"/>
          <w:b/>
          <w:kern w:val="0"/>
          <w:sz w:val="21"/>
          <w:lang/>
        </w:rPr>
        <w:t>期末按公允价值占基金资产净值比例大小排序的前五名权证投资明细</w:t>
      </w:r>
      <w:r>
        <w:rPr>
          <w:rFonts w:hint="default" w:eastAsia="Times New Roman"/>
          <w:sz w:val="21"/>
          <w:lang/>
        </w:rPr>
        <w:tab/>
      </w:r>
      <w:r>
        <w:rPr>
          <w:rFonts w:hint="default"/>
          <w:sz w:val="21"/>
          <w:lang/>
        </w:rPr>
        <w:fldChar w:fldCharType="begin"/>
      </w:r>
      <w:r>
        <w:rPr>
          <w:rFonts w:hint="default"/>
          <w:sz w:val="21"/>
          <w:lang/>
        </w:rPr>
        <w:instrText xml:space="preserve"> PAGEREF _Toc477899889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8.10 </w:t>
      </w:r>
      <w:r>
        <w:rPr>
          <w:rStyle w:val="10"/>
          <w:rFonts w:hint="eastAsia" w:ascii="Times New Roman" w:hAnsi="Times New Roman" w:eastAsia="宋体"/>
          <w:b/>
          <w:kern w:val="0"/>
          <w:sz w:val="21"/>
          <w:lang/>
        </w:rPr>
        <w:t>报告期末本基金投资的股指期货交易情况说明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_Toc477899890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8.11 </w:t>
      </w:r>
      <w:r>
        <w:rPr>
          <w:rStyle w:val="10"/>
          <w:rFonts w:hint="eastAsia" w:ascii="Times New Roman" w:hAnsi="Times New Roman" w:eastAsia="宋体"/>
          <w:b/>
          <w:kern w:val="0"/>
          <w:sz w:val="21"/>
          <w:lang/>
        </w:rPr>
        <w:t>报告期末本基金投资的国债期货交易情况说明</w:t>
      </w:r>
      <w:r>
        <w:rPr>
          <w:rFonts w:hint="default" w:eastAsia="Times New Roman"/>
          <w:sz w:val="21"/>
          <w:lang/>
        </w:rPr>
        <w:tab/>
      </w:r>
      <w:r>
        <w:rPr>
          <w:rFonts w:hint="default"/>
          <w:sz w:val="21"/>
          <w:lang/>
        </w:rPr>
        <w:fldChar w:fldCharType="begin"/>
      </w:r>
      <w:r>
        <w:rPr>
          <w:rFonts w:hint="default"/>
          <w:sz w:val="21"/>
          <w:lang/>
        </w:rPr>
        <w:instrText xml:space="preserve"> PAGEREF _Toc477899891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8.12 </w:t>
      </w:r>
      <w:r>
        <w:rPr>
          <w:rStyle w:val="10"/>
          <w:rFonts w:hint="eastAsia" w:ascii="Times New Roman" w:hAnsi="Times New Roman" w:eastAsia="宋体"/>
          <w:b/>
          <w:kern w:val="0"/>
          <w:sz w:val="21"/>
          <w:lang/>
        </w:rPr>
        <w:t>投资组合报告附注</w:t>
      </w:r>
      <w:r>
        <w:rPr>
          <w:rFonts w:hint="default" w:eastAsia="Times New Roman"/>
          <w:sz w:val="21"/>
          <w:lang/>
        </w:rPr>
        <w:tab/>
      </w:r>
      <w:r>
        <w:rPr>
          <w:rFonts w:hint="default"/>
          <w:sz w:val="21"/>
          <w:lang/>
        </w:rPr>
        <w:fldChar w:fldCharType="begin"/>
      </w:r>
      <w:r>
        <w:rPr>
          <w:rFonts w:hint="default"/>
          <w:sz w:val="21"/>
          <w:lang/>
        </w:rPr>
        <w:instrText xml:space="preserve"> PAGEREF _Toc477899892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  </w:t>
      </w:r>
      <w:r>
        <w:rPr>
          <w:rStyle w:val="10"/>
          <w:rFonts w:hint="eastAsia" w:ascii="Times New Roman" w:hAnsi="Times New Roman" w:eastAsia="宋体"/>
          <w:b/>
          <w:kern w:val="0"/>
          <w:sz w:val="21"/>
          <w:lang/>
        </w:rPr>
        <w:t>基金份额持有人信息</w:t>
      </w:r>
      <w:r>
        <w:rPr>
          <w:rFonts w:hint="default" w:eastAsia="Times New Roman"/>
          <w:sz w:val="21"/>
          <w:lang/>
        </w:rPr>
        <w:tab/>
      </w:r>
      <w:r>
        <w:rPr>
          <w:rFonts w:hint="default"/>
          <w:sz w:val="21"/>
          <w:lang/>
        </w:rPr>
        <w:fldChar w:fldCharType="begin"/>
      </w:r>
      <w:r>
        <w:rPr>
          <w:rFonts w:hint="default"/>
          <w:sz w:val="21"/>
          <w:lang/>
        </w:rPr>
        <w:instrText xml:space="preserve"> PAGEREF _Toc477899893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9.1 </w:t>
      </w:r>
      <w:r>
        <w:rPr>
          <w:rStyle w:val="10"/>
          <w:rFonts w:hint="eastAsia" w:ascii="Times New Roman" w:hAnsi="Times New Roman" w:eastAsia="宋体"/>
          <w:b/>
          <w:kern w:val="0"/>
          <w:sz w:val="21"/>
          <w:lang/>
        </w:rPr>
        <w:t>期末基金份额持有人户数及持有人结构</w:t>
      </w:r>
      <w:r>
        <w:rPr>
          <w:rFonts w:hint="default" w:eastAsia="Times New Roman"/>
          <w:sz w:val="21"/>
          <w:lang/>
        </w:rPr>
        <w:tab/>
      </w:r>
      <w:r>
        <w:rPr>
          <w:rFonts w:hint="default"/>
          <w:sz w:val="21"/>
          <w:lang/>
        </w:rPr>
        <w:fldChar w:fldCharType="begin"/>
      </w:r>
      <w:r>
        <w:rPr>
          <w:rFonts w:hint="default"/>
          <w:sz w:val="21"/>
          <w:lang/>
        </w:rPr>
        <w:instrText xml:space="preserve"> PAGEREF _Toc477899894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9.2 </w:t>
      </w:r>
      <w:r>
        <w:rPr>
          <w:rStyle w:val="10"/>
          <w:rFonts w:hint="eastAsia" w:ascii="Times New Roman" w:hAnsi="Times New Roman" w:eastAsia="宋体"/>
          <w:b/>
          <w:kern w:val="0"/>
          <w:sz w:val="21"/>
          <w:lang/>
        </w:rPr>
        <w:t>期末基金管理人的从业人员持有本基金的情况</w:t>
      </w:r>
      <w:r>
        <w:rPr>
          <w:rFonts w:hint="default" w:eastAsia="Times New Roman"/>
          <w:sz w:val="21"/>
          <w:lang/>
        </w:rPr>
        <w:tab/>
      </w:r>
      <w:r>
        <w:rPr>
          <w:rFonts w:hint="default"/>
          <w:sz w:val="21"/>
          <w:lang/>
        </w:rPr>
        <w:fldChar w:fldCharType="begin"/>
      </w:r>
      <w:r>
        <w:rPr>
          <w:rFonts w:hint="default"/>
          <w:sz w:val="21"/>
          <w:lang/>
        </w:rPr>
        <w:instrText xml:space="preserve"> PAGEREF _Toc477899895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9.3 </w:t>
      </w:r>
      <w:r>
        <w:rPr>
          <w:rStyle w:val="10"/>
          <w:rFonts w:hint="eastAsia" w:ascii="Times New Roman" w:hAnsi="Times New Roman" w:eastAsia="宋体"/>
          <w:b/>
          <w:kern w:val="0"/>
          <w:sz w:val="21"/>
          <w:lang/>
        </w:rPr>
        <w:t>期末基金管理人的从业人员持有本开放式基金份额总量区间情况</w:t>
      </w:r>
      <w:r>
        <w:rPr>
          <w:rFonts w:hint="default" w:eastAsia="Times New Roman"/>
          <w:sz w:val="21"/>
          <w:lang/>
        </w:rPr>
        <w:tab/>
      </w:r>
      <w:r>
        <w:rPr>
          <w:rFonts w:hint="default"/>
          <w:sz w:val="21"/>
          <w:lang/>
        </w:rPr>
        <w:fldChar w:fldCharType="begin"/>
      </w:r>
      <w:r>
        <w:rPr>
          <w:rFonts w:hint="default"/>
          <w:sz w:val="21"/>
          <w:lang/>
        </w:rPr>
        <w:instrText xml:space="preserve"> PAGEREF _Toc477899896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§10 </w:t>
      </w:r>
      <w:r>
        <w:rPr>
          <w:rStyle w:val="10"/>
          <w:rFonts w:hint="eastAsia" w:ascii="Times New Roman" w:hAnsi="Times New Roman" w:eastAsia="宋体"/>
          <w:b/>
          <w:kern w:val="0"/>
          <w:sz w:val="21"/>
          <w:lang/>
        </w:rPr>
        <w:t>开放式基金份额变动</w:t>
      </w:r>
      <w:r>
        <w:rPr>
          <w:rFonts w:hint="default" w:eastAsia="Times New Roman"/>
          <w:sz w:val="21"/>
          <w:lang/>
        </w:rPr>
        <w:tab/>
      </w:r>
      <w:r>
        <w:rPr>
          <w:rFonts w:hint="default"/>
          <w:sz w:val="21"/>
          <w:lang/>
        </w:rPr>
        <w:fldChar w:fldCharType="begin"/>
      </w:r>
      <w:r>
        <w:rPr>
          <w:rFonts w:hint="default"/>
          <w:sz w:val="21"/>
          <w:lang/>
        </w:rPr>
        <w:instrText xml:space="preserve"> PAGEREF _Toc477899897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 </w:t>
      </w:r>
      <w:r>
        <w:rPr>
          <w:rStyle w:val="10"/>
          <w:rFonts w:hint="eastAsia" w:ascii="Times New Roman" w:hAnsi="Times New Roman" w:eastAsia="宋体"/>
          <w:b/>
          <w:kern w:val="0"/>
          <w:sz w:val="21"/>
          <w:lang/>
        </w:rPr>
        <w:t>重大事件揭示</w:t>
      </w:r>
      <w:r>
        <w:rPr>
          <w:rFonts w:hint="default" w:eastAsia="Times New Roman"/>
          <w:sz w:val="21"/>
          <w:lang/>
        </w:rPr>
        <w:tab/>
      </w:r>
      <w:r>
        <w:rPr>
          <w:rFonts w:hint="default"/>
          <w:sz w:val="21"/>
          <w:lang/>
        </w:rPr>
        <w:fldChar w:fldCharType="begin"/>
      </w:r>
      <w:r>
        <w:rPr>
          <w:rFonts w:hint="default"/>
          <w:sz w:val="21"/>
          <w:lang/>
        </w:rPr>
        <w:instrText xml:space="preserve"> PAGEREF _Toc477899898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"_Toc477899899"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11.1 </w:t>
      </w:r>
      <w:r>
        <w:rPr>
          <w:rStyle w:val="10"/>
          <w:rFonts w:hint="eastAsia" w:ascii="Times New Roman" w:hAnsi="Times New Roman" w:eastAsia="宋体"/>
          <w:b/>
          <w:kern w:val="0"/>
          <w:sz w:val="21"/>
          <w:lang/>
        </w:rPr>
        <w:t>基金份额持有人大会决议</w:t>
      </w:r>
      <w:r>
        <w:rPr>
          <w:rFonts w:hint="default" w:eastAsia="Times New Roman"/>
          <w:sz w:val="21"/>
          <w:lang/>
        </w:rPr>
        <w:tab/>
      </w:r>
      <w:r>
        <w:rPr>
          <w:rFonts w:hint="default"/>
          <w:sz w:val="21"/>
          <w:lang/>
        </w:rPr>
        <w:fldChar w:fldCharType="begin"/>
      </w:r>
      <w:r>
        <w:rPr>
          <w:rFonts w:hint="default"/>
          <w:sz w:val="21"/>
          <w:lang/>
        </w:rPr>
        <w:instrText xml:space="preserve"> PAGEREF _Toc477899899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11.2 </w:t>
      </w:r>
      <w:r>
        <w:rPr>
          <w:rStyle w:val="10"/>
          <w:rFonts w:hint="eastAsia" w:ascii="Times New Roman" w:hAnsi="Times New Roman" w:eastAsia="宋体"/>
          <w:b/>
          <w:kern w:val="0"/>
          <w:sz w:val="21"/>
          <w:lang/>
        </w:rPr>
        <w:t>基金管理人、基金托管人的专门基金托管部门的重大人事变动</w:t>
      </w:r>
      <w:r>
        <w:rPr>
          <w:rFonts w:hint="default" w:eastAsia="Times New Roman"/>
          <w:sz w:val="21"/>
          <w:lang/>
        </w:rPr>
        <w:tab/>
      </w:r>
      <w:r>
        <w:rPr>
          <w:rFonts w:hint="default"/>
          <w:sz w:val="21"/>
          <w:lang/>
        </w:rPr>
        <w:fldChar w:fldCharType="begin"/>
      </w:r>
      <w:r>
        <w:rPr>
          <w:rFonts w:hint="default"/>
          <w:sz w:val="21"/>
          <w:lang/>
        </w:rPr>
        <w:instrText xml:space="preserve"> PAGEREF _Toc477899900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11.3 </w:t>
      </w:r>
      <w:r>
        <w:rPr>
          <w:rStyle w:val="10"/>
          <w:rFonts w:hint="eastAsia" w:ascii="Times New Roman" w:hAnsi="Times New Roman" w:eastAsia="宋体"/>
          <w:b/>
          <w:kern w:val="0"/>
          <w:sz w:val="21"/>
          <w:lang/>
        </w:rPr>
        <w:t>涉及基金管理人、基金财产、基金托管业务的诉讼</w:t>
      </w:r>
      <w:r>
        <w:rPr>
          <w:rFonts w:hint="default" w:eastAsia="Times New Roman"/>
          <w:sz w:val="21"/>
          <w:lang/>
        </w:rPr>
        <w:tab/>
      </w:r>
      <w:r>
        <w:rPr>
          <w:rFonts w:hint="default"/>
          <w:sz w:val="21"/>
          <w:lang/>
        </w:rPr>
        <w:fldChar w:fldCharType="begin"/>
      </w:r>
      <w:r>
        <w:rPr>
          <w:rFonts w:hint="default"/>
          <w:sz w:val="21"/>
          <w:lang/>
        </w:rPr>
        <w:instrText xml:space="preserve"> PAGEREF _Toc477899901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"_Toc477899902"</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11.4 </w:t>
      </w:r>
      <w:r>
        <w:rPr>
          <w:rStyle w:val="10"/>
          <w:rFonts w:hint="eastAsia" w:ascii="Times New Roman" w:hAnsi="Times New Roman" w:eastAsia="宋体"/>
          <w:b/>
          <w:kern w:val="0"/>
          <w:sz w:val="21"/>
          <w:lang/>
        </w:rPr>
        <w:t>基金投资策略的改变</w:t>
      </w:r>
      <w:r>
        <w:rPr>
          <w:rFonts w:hint="default" w:eastAsia="Times New Roman"/>
          <w:sz w:val="21"/>
          <w:lang/>
        </w:rPr>
        <w:tab/>
      </w:r>
      <w:r>
        <w:rPr>
          <w:rFonts w:hint="default"/>
          <w:sz w:val="21"/>
          <w:lang/>
        </w:rPr>
        <w:fldChar w:fldCharType="begin"/>
      </w:r>
      <w:r>
        <w:rPr>
          <w:rFonts w:hint="default"/>
          <w:sz w:val="21"/>
          <w:lang/>
        </w:rPr>
        <w:instrText xml:space="preserve"> PAGEREF _Toc477899902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"_Toc477899903"</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11.5 </w:t>
      </w:r>
      <w:r>
        <w:rPr>
          <w:rStyle w:val="10"/>
          <w:rFonts w:hint="eastAsia" w:ascii="Times New Roman" w:hAnsi="Times New Roman" w:eastAsia="宋体"/>
          <w:b/>
          <w:kern w:val="0"/>
          <w:sz w:val="21"/>
          <w:lang/>
        </w:rPr>
        <w:t>为基金进行审计的会计师事务所情况</w:t>
      </w:r>
      <w:r>
        <w:rPr>
          <w:rFonts w:hint="default" w:eastAsia="Times New Roman"/>
          <w:sz w:val="21"/>
          <w:lang/>
        </w:rPr>
        <w:tab/>
      </w:r>
      <w:r>
        <w:rPr>
          <w:rFonts w:hint="default"/>
          <w:sz w:val="21"/>
          <w:lang/>
        </w:rPr>
        <w:fldChar w:fldCharType="begin"/>
      </w:r>
      <w:r>
        <w:rPr>
          <w:rFonts w:hint="default"/>
          <w:sz w:val="21"/>
          <w:lang/>
        </w:rPr>
        <w:instrText xml:space="preserve"> PAGEREF _Toc477899903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"_Toc477899904"</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11.6 </w:t>
      </w:r>
      <w:r>
        <w:rPr>
          <w:rStyle w:val="10"/>
          <w:rFonts w:hint="eastAsia" w:ascii="Times New Roman" w:hAnsi="Times New Roman" w:eastAsia="宋体"/>
          <w:b/>
          <w:kern w:val="0"/>
          <w:sz w:val="21"/>
          <w:lang/>
        </w:rPr>
        <w:t>管理人、托管人及其高级管理人员受稽查或处罚等情况</w:t>
      </w:r>
      <w:r>
        <w:rPr>
          <w:rFonts w:hint="default" w:eastAsia="Times New Roman"/>
          <w:sz w:val="21"/>
          <w:lang/>
        </w:rPr>
        <w:tab/>
      </w:r>
      <w:r>
        <w:rPr>
          <w:rFonts w:hint="default"/>
          <w:sz w:val="21"/>
          <w:lang/>
        </w:rPr>
        <w:fldChar w:fldCharType="begin"/>
      </w:r>
      <w:r>
        <w:rPr>
          <w:rFonts w:hint="default"/>
          <w:sz w:val="21"/>
          <w:lang/>
        </w:rPr>
        <w:instrText xml:space="preserve"> PAGEREF _Toc477899904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"_Toc477899905"</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11.7 </w:t>
      </w:r>
      <w:r>
        <w:rPr>
          <w:rStyle w:val="10"/>
          <w:rFonts w:hint="eastAsia" w:ascii="Times New Roman" w:hAnsi="Times New Roman" w:eastAsia="宋体"/>
          <w:b/>
          <w:kern w:val="0"/>
          <w:sz w:val="21"/>
          <w:lang/>
        </w:rPr>
        <w:t>基金租用证券公司交易单元的有关情况</w:t>
      </w:r>
      <w:r>
        <w:rPr>
          <w:rFonts w:hint="default" w:eastAsia="Times New Roman"/>
          <w:sz w:val="21"/>
          <w:lang/>
        </w:rPr>
        <w:tab/>
      </w:r>
      <w:r>
        <w:rPr>
          <w:rFonts w:hint="default"/>
          <w:sz w:val="21"/>
          <w:lang/>
        </w:rPr>
        <w:fldChar w:fldCharType="begin"/>
      </w:r>
      <w:r>
        <w:rPr>
          <w:rFonts w:hint="default"/>
          <w:sz w:val="21"/>
          <w:lang/>
        </w:rPr>
        <w:instrText xml:space="preserve"> PAGEREF _Toc477899905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"_Toc477899906"</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11.8 </w:t>
      </w:r>
      <w:r>
        <w:rPr>
          <w:rStyle w:val="10"/>
          <w:rFonts w:hint="eastAsia" w:ascii="Times New Roman" w:hAnsi="Times New Roman" w:eastAsia="宋体"/>
          <w:b/>
          <w:kern w:val="0"/>
          <w:sz w:val="21"/>
          <w:lang/>
        </w:rPr>
        <w:t>其他重大事件</w:t>
      </w:r>
      <w:r>
        <w:rPr>
          <w:rFonts w:hint="default" w:eastAsia="Times New Roman"/>
          <w:sz w:val="21"/>
          <w:lang/>
        </w:rPr>
        <w:tab/>
      </w:r>
      <w:r>
        <w:rPr>
          <w:rFonts w:hint="default"/>
          <w:sz w:val="21"/>
          <w:lang/>
        </w:rPr>
        <w:fldChar w:fldCharType="begin"/>
      </w:r>
      <w:r>
        <w:rPr>
          <w:rFonts w:hint="default"/>
          <w:sz w:val="21"/>
          <w:lang/>
        </w:rPr>
        <w:instrText xml:space="preserve"> PAGEREF _Toc477899906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"_Toc477899907"</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§12  </w:t>
      </w:r>
      <w:r>
        <w:rPr>
          <w:rStyle w:val="10"/>
          <w:rFonts w:hint="eastAsia" w:ascii="Times New Roman" w:hAnsi="Times New Roman" w:eastAsia="宋体"/>
          <w:b/>
          <w:kern w:val="0"/>
          <w:sz w:val="21"/>
          <w:lang/>
        </w:rPr>
        <w:t>影响投资者决策的其他重要信息</w:t>
      </w:r>
      <w:r>
        <w:rPr>
          <w:rFonts w:hint="default" w:eastAsia="Times New Roman"/>
          <w:sz w:val="21"/>
          <w:lang/>
        </w:rPr>
        <w:tab/>
      </w:r>
      <w:r>
        <w:rPr>
          <w:rFonts w:hint="default"/>
          <w:sz w:val="21"/>
          <w:lang/>
        </w:rPr>
        <w:fldChar w:fldCharType="begin"/>
      </w:r>
      <w:r>
        <w:rPr>
          <w:rFonts w:hint="default"/>
          <w:sz w:val="21"/>
          <w:lang/>
        </w:rPr>
        <w:instrText xml:space="preserve"> PAGEREF _Toc477899907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"_Toc477899908"</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_Toc477899908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"_Toc477899909"</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13.1 </w:t>
      </w:r>
      <w:r>
        <w:rPr>
          <w:rStyle w:val="10"/>
          <w:rFonts w:hint="eastAsia" w:ascii="Times New Roman" w:hAnsi="Times New Roman" w:eastAsia="宋体"/>
          <w:b/>
          <w:kern w:val="0"/>
          <w:sz w:val="21"/>
          <w:lang/>
        </w:rPr>
        <w:t>备查文件目录</w:t>
      </w:r>
      <w:r>
        <w:rPr>
          <w:rFonts w:hint="default" w:eastAsia="Times New Roman"/>
          <w:sz w:val="21"/>
          <w:lang/>
        </w:rPr>
        <w:tab/>
      </w:r>
      <w:r>
        <w:rPr>
          <w:rFonts w:hint="default"/>
          <w:sz w:val="21"/>
          <w:lang/>
        </w:rPr>
        <w:fldChar w:fldCharType="begin"/>
      </w:r>
      <w:r>
        <w:rPr>
          <w:rFonts w:hint="default"/>
          <w:sz w:val="21"/>
          <w:lang/>
        </w:rPr>
        <w:instrText xml:space="preserve"> PAGEREF _Toc477899909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"_Toc477899910"</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13.2 </w:t>
      </w:r>
      <w:r>
        <w:rPr>
          <w:rStyle w:val="10"/>
          <w:rFonts w:hint="eastAsia" w:ascii="Times New Roman" w:hAnsi="Times New Roman" w:eastAsia="宋体"/>
          <w:b/>
          <w:kern w:val="0"/>
          <w:sz w:val="21"/>
          <w:lang/>
        </w:rPr>
        <w:t>存放地点</w:t>
      </w:r>
      <w:r>
        <w:rPr>
          <w:rFonts w:hint="default" w:eastAsia="Times New Roman"/>
          <w:sz w:val="21"/>
          <w:lang/>
        </w:rPr>
        <w:tab/>
      </w:r>
      <w:r>
        <w:rPr>
          <w:rFonts w:hint="default"/>
          <w:sz w:val="21"/>
          <w:lang/>
        </w:rPr>
        <w:fldChar w:fldCharType="begin"/>
      </w:r>
      <w:r>
        <w:rPr>
          <w:rFonts w:hint="default"/>
          <w:sz w:val="21"/>
          <w:lang/>
        </w:rPr>
        <w:instrText xml:space="preserve"> PAGEREF _Toc477899910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7"/>
        <w:tabs>
          <w:tab w:val="right" w:leader="dot" w:pos="9080"/>
        </w:tabs>
        <w:spacing w:beforeLines="0" w:afterLines="0"/>
        <w:rPr>
          <w:rFonts w:hint="default" w:eastAsia="Times New Roman"/>
          <w:sz w:val="21"/>
          <w:lang/>
        </w:rPr>
      </w:pPr>
      <w:r>
        <w:rPr>
          <w:rStyle w:val="10"/>
          <w:rFonts w:hint="default" w:ascii="Times New Roman" w:hAnsi="Times New Roman" w:eastAsia="宋体"/>
          <w:sz w:val="21"/>
          <w:lang/>
        </w:rPr>
        <w:fldChar w:fldCharType="begin"/>
      </w:r>
      <w:r>
        <w:rPr>
          <w:rStyle w:val="10"/>
          <w:rFonts w:hint="default" w:ascii="Times New Roman" w:hAnsi="Times New Roman" w:eastAsia="宋体"/>
          <w:sz w:val="21"/>
          <w:lang/>
        </w:rPr>
        <w:instrText xml:space="preserve"> </w:instrText>
      </w:r>
      <w:r>
        <w:rPr>
          <w:rFonts w:hint="default"/>
          <w:sz w:val="21"/>
          <w:lang/>
        </w:rPr>
        <w:instrText xml:space="preserve">HYPERLINK \l "_Toc477899911"</w:instrText>
      </w:r>
      <w:r>
        <w:rPr>
          <w:rStyle w:val="10"/>
          <w:rFonts w:hint="default" w:ascii="Times New Roman" w:hAnsi="Times New Roman" w:eastAsia="宋体"/>
          <w:sz w:val="21"/>
          <w:lang/>
        </w:rPr>
        <w:instrText xml:space="preserve"> </w:instrText>
      </w:r>
      <w:r>
        <w:rPr>
          <w:rStyle w:val="10"/>
          <w:rFonts w:hint="default" w:ascii="Times New Roman" w:hAnsi="Times New Roman" w:eastAsia="宋体"/>
          <w:sz w:val="21"/>
          <w:lang/>
        </w:rPr>
        <w:fldChar w:fldCharType="separate"/>
      </w:r>
      <w:r>
        <w:rPr>
          <w:rStyle w:val="10"/>
          <w:rFonts w:hint="default" w:ascii="Times New Roman" w:hAnsi="Times New Roman" w:eastAsia="宋体"/>
          <w:b/>
          <w:kern w:val="0"/>
          <w:sz w:val="21"/>
          <w:lang/>
        </w:rPr>
        <w:t xml:space="preserve">13.3 </w:t>
      </w:r>
      <w:r>
        <w:rPr>
          <w:rStyle w:val="10"/>
          <w:rFonts w:hint="eastAsia" w:ascii="Times New Roman" w:hAnsi="Times New Roman" w:eastAsia="宋体"/>
          <w:b/>
          <w:kern w:val="0"/>
          <w:sz w:val="21"/>
          <w:lang/>
        </w:rPr>
        <w:t>查阅方式</w:t>
      </w:r>
      <w:r>
        <w:rPr>
          <w:rFonts w:hint="default" w:eastAsia="Times New Roman"/>
          <w:sz w:val="21"/>
          <w:lang/>
        </w:rPr>
        <w:tab/>
      </w:r>
      <w:r>
        <w:rPr>
          <w:rFonts w:hint="default"/>
          <w:sz w:val="21"/>
          <w:lang/>
        </w:rPr>
        <w:fldChar w:fldCharType="begin"/>
      </w:r>
      <w:r>
        <w:rPr>
          <w:rFonts w:hint="default"/>
          <w:sz w:val="21"/>
          <w:lang/>
        </w:rPr>
        <w:instrText xml:space="preserve"> PAGEREF _Toc477899911 \h </w:instrText>
      </w:r>
      <w:r>
        <w:rPr>
          <w:rFonts w:hint="default"/>
          <w:sz w:val="21"/>
          <w:lang/>
        </w:rPr>
        <w:fldChar w:fldCharType="separate"/>
      </w:r>
      <w:r>
        <w:rPr>
          <w:rFonts w:hint="default"/>
          <w:sz w:val="21"/>
          <w:lang/>
        </w:rPr>
        <w:t>3</w:t>
      </w:r>
      <w:r>
        <w:rPr>
          <w:rFonts w:hint="default"/>
          <w:sz w:val="21"/>
          <w:lang/>
        </w:rPr>
        <w:fldChar w:fldCharType="end"/>
      </w:r>
      <w:r>
        <w:rPr>
          <w:rFonts w:hint="default"/>
          <w:sz w:val="21"/>
          <w:lang/>
        </w:rPr>
        <w:fldChar w:fldCharType="end"/>
      </w:r>
    </w:p>
    <w:p>
      <w:pPr>
        <w:pStyle w:val="6"/>
        <w:tabs>
          <w:tab w:val="right" w:leader="dot" w:pos="9080"/>
        </w:tabs>
        <w:spacing w:beforeLines="0" w:afterLines="0"/>
        <w:rPr>
          <w:rFonts w:hint="default" w:ascii="Times New Roman" w:eastAsia="Times New Roman"/>
          <w:b/>
          <w:color w:val="000000"/>
          <w:kern w:val="0"/>
          <w:sz w:val="24"/>
        </w:rPr>
      </w:pPr>
      <w:r>
        <w:rPr>
          <w:rFonts w:hint="default" w:eastAsia="Times New Roman"/>
          <w:sz w:val="21"/>
          <w:lang/>
        </w:rPr>
        <w:fldChar w:fldCharType="end"/>
      </w:r>
    </w:p>
    <w:p>
      <w:pPr>
        <w:autoSpaceDE w:val="0"/>
        <w:autoSpaceDN w:val="0"/>
        <w:adjustRightInd w:val="0"/>
        <w:spacing w:beforeLines="0" w:afterLines="0" w:line="288" w:lineRule="auto"/>
        <w:jc w:val="left"/>
        <w:rPr>
          <w:rFonts w:hint="default" w:ascii="Times New Roman" w:eastAsia="Times New Roman"/>
          <w:kern w:val="0"/>
          <w:sz w:val="24"/>
        </w:rPr>
        <w:sectPr>
          <w:pgSz w:w="11926" w:h="16867"/>
          <w:pgMar w:top="1418" w:right="1418" w:bottom="853" w:left="1418" w:header="851" w:footer="992" w:gutter="0"/>
          <w:cols w:space="720" w:num="1"/>
        </w:sect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 w:name="_Toc477899849"/>
      <w:r>
        <w:rPr>
          <w:rFonts w:hint="eastAsia" w:ascii="Times New Roman" w:hAnsi="Times New Roman"/>
          <w:b/>
          <w:color w:val="000000"/>
          <w:kern w:val="0"/>
          <w:sz w:val="24"/>
        </w:rPr>
        <w:t>§</w:t>
      </w:r>
      <w:r>
        <w:rPr>
          <w:rFonts w:hint="default" w:ascii="Times New Roman" w:hAnsi="Times New Roman"/>
          <w:b/>
          <w:color w:val="000000"/>
          <w:kern w:val="0"/>
          <w:sz w:val="24"/>
        </w:rPr>
        <w:t xml:space="preserve">2  </w:t>
      </w:r>
      <w:r>
        <w:rPr>
          <w:rFonts w:hint="eastAsia" w:ascii="Times New Roman" w:hAnsi="Times New Roman"/>
          <w:b/>
          <w:color w:val="000000"/>
          <w:kern w:val="0"/>
          <w:sz w:val="24"/>
        </w:rPr>
        <w:t>基金简介</w:t>
      </w:r>
      <w:bookmarkEnd w:id="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 w:name="_Toc477899850"/>
      <w:r>
        <w:rPr>
          <w:rFonts w:hint="default" w:ascii="Times New Roman" w:hAnsi="Times New Roman"/>
          <w:b/>
          <w:color w:val="000000"/>
          <w:kern w:val="0"/>
          <w:sz w:val="24"/>
        </w:rPr>
        <w:t xml:space="preserve">2.1 </w:t>
      </w:r>
      <w:r>
        <w:rPr>
          <w:rFonts w:hint="eastAsia" w:ascii="Times New Roman" w:hAnsi="Times New Roman"/>
          <w:b/>
          <w:color w:val="000000"/>
          <w:kern w:val="0"/>
          <w:sz w:val="24"/>
        </w:rPr>
        <w:t>基金基本情况</w:t>
      </w:r>
      <w:bookmarkEnd w:id="4"/>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基金名称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基金简称</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创金沪港深精选混合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基金主代码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001662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基金运作方式</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契约型开放式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报告期末基金份额总额</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233,089,922.59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基金合同存续期</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不定期</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 w:name="_Toc477899851"/>
      <w:r>
        <w:rPr>
          <w:rFonts w:hint="default" w:ascii="Times New Roman" w:hAnsi="Times New Roman"/>
          <w:b/>
          <w:color w:val="000000"/>
          <w:kern w:val="0"/>
          <w:sz w:val="24"/>
        </w:rPr>
        <w:t xml:space="preserve">2.2 </w:t>
      </w:r>
      <w:r>
        <w:rPr>
          <w:rFonts w:hint="eastAsia" w:ascii="Times New Roman" w:hAnsi="Times New Roman"/>
          <w:b/>
          <w:color w:val="000000"/>
          <w:kern w:val="0"/>
          <w:sz w:val="24"/>
        </w:rPr>
        <w:t>基金产品说明</w:t>
      </w:r>
      <w:bookmarkEnd w:id="5"/>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57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投资目标</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积极进行资产配置，深入挖掘受益于国家经济增长和转型过程中涌现出来的持续成长性良好的和业绩稳定增长的优秀企业进行积极投资，充分分享中国经济增长和优化资产配置的成果，在有效控制风险的前提下，力争为基金份额持有人提供长期稳定的投资回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投资策略</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本基金以</w:t>
            </w:r>
            <w:r>
              <w:rPr>
                <w:rFonts w:hint="default" w:ascii="Times New Roman" w:hAnsi="Times New Roman"/>
                <w:color w:val="000000"/>
                <w:kern w:val="0"/>
                <w:sz w:val="24"/>
              </w:rPr>
              <w:t>"</w:t>
            </w:r>
            <w:r>
              <w:rPr>
                <w:rFonts w:hint="eastAsia" w:ascii="Times New Roman" w:hAnsi="Times New Roman"/>
                <w:color w:val="000000"/>
                <w:kern w:val="0"/>
                <w:sz w:val="24"/>
              </w:rPr>
              <w:t>底线思维</w:t>
            </w:r>
            <w:r>
              <w:rPr>
                <w:rFonts w:hint="default" w:ascii="Times New Roman" w:hAnsi="Times New Roman"/>
                <w:color w:val="000000"/>
                <w:kern w:val="0"/>
                <w:sz w:val="24"/>
              </w:rPr>
              <w:t>"</w:t>
            </w:r>
            <w:r>
              <w:rPr>
                <w:rFonts w:hint="eastAsia" w:ascii="Times New Roman" w:hAnsi="Times New Roman"/>
                <w:color w:val="000000"/>
                <w:kern w:val="0"/>
                <w:sz w:val="24"/>
              </w:rPr>
              <w:t>为原则，将组合最大回撤风险控制在能够承受的范围之内；抛弃乐观幻想，明确区分主观期望与市场现实。其次要严格考察风险收益比，承担仓位风险要有回报。操作策略方面重点关注四种类型：其一是深</w:t>
            </w:r>
            <w:r>
              <w:rPr>
                <w:rFonts w:hint="default" w:ascii="Times New Roman" w:hAnsi="Times New Roman"/>
                <w:color w:val="000000"/>
                <w:kern w:val="0"/>
                <w:sz w:val="24"/>
              </w:rPr>
              <w:t>V</w:t>
            </w:r>
            <w:r>
              <w:rPr>
                <w:rFonts w:hint="eastAsia" w:ascii="Times New Roman" w:hAnsi="Times New Roman"/>
                <w:color w:val="000000"/>
                <w:kern w:val="0"/>
                <w:sz w:val="24"/>
              </w:rPr>
              <w:t>型超跌反弹的机会；其二是主题轮动行情中的分散潜伏</w:t>
            </w:r>
            <w:r>
              <w:rPr>
                <w:rFonts w:hint="default" w:ascii="Times New Roman" w:hAnsi="Times New Roman"/>
                <w:color w:val="000000"/>
                <w:kern w:val="0"/>
                <w:sz w:val="24"/>
              </w:rPr>
              <w:t>/</w:t>
            </w:r>
            <w:r>
              <w:rPr>
                <w:rFonts w:hint="eastAsia" w:ascii="Times New Roman" w:hAnsi="Times New Roman"/>
                <w:color w:val="000000"/>
                <w:kern w:val="0"/>
                <w:sz w:val="24"/>
              </w:rPr>
              <w:t>收割兑现策略；其三是密切关注大小市值风格轮动机会，捕捉短暂的大市值风格补涨机会；第四是中小市值个股的个性化超额收益策略。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业绩比较基准</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沪深</w:t>
            </w:r>
            <w:r>
              <w:rPr>
                <w:rFonts w:hint="default" w:ascii="Times New Roman" w:hAnsi="Times New Roman"/>
                <w:color w:val="000000"/>
                <w:kern w:val="0"/>
                <w:sz w:val="24"/>
              </w:rPr>
              <w:t>300</w:t>
            </w:r>
            <w:r>
              <w:rPr>
                <w:rFonts w:hint="eastAsia" w:ascii="Times New Roman" w:hAnsi="Times New Roman"/>
                <w:color w:val="000000"/>
                <w:kern w:val="0"/>
                <w:sz w:val="24"/>
              </w:rPr>
              <w:t>指数收益率×</w:t>
            </w:r>
            <w:r>
              <w:rPr>
                <w:rFonts w:hint="default" w:ascii="Times New Roman" w:hAnsi="Times New Roman"/>
                <w:color w:val="000000"/>
                <w:kern w:val="0"/>
                <w:sz w:val="24"/>
              </w:rPr>
              <w:t>40</w:t>
            </w:r>
            <w:r>
              <w:rPr>
                <w:rFonts w:hint="eastAsia" w:ascii="Times New Roman" w:hAnsi="Times New Roman"/>
                <w:color w:val="000000"/>
                <w:kern w:val="0"/>
                <w:sz w:val="24"/>
              </w:rPr>
              <w:t>％＋恒生指数收益率×</w:t>
            </w:r>
            <w:r>
              <w:rPr>
                <w:rFonts w:hint="default" w:ascii="Times New Roman" w:hAnsi="Times New Roman"/>
                <w:color w:val="000000"/>
                <w:kern w:val="0"/>
                <w:sz w:val="24"/>
              </w:rPr>
              <w:t>20</w:t>
            </w:r>
            <w:r>
              <w:rPr>
                <w:rFonts w:hint="eastAsia" w:ascii="Times New Roman" w:hAnsi="Times New Roman"/>
                <w:color w:val="000000"/>
                <w:kern w:val="0"/>
                <w:sz w:val="24"/>
              </w:rPr>
              <w:t>％＋中债总指数（全价）收益率×</w:t>
            </w:r>
            <w:r>
              <w:rPr>
                <w:rFonts w:hint="default" w:ascii="Times New Roman" w:hAnsi="Times New Roman"/>
                <w:color w:val="000000"/>
                <w:kern w:val="0"/>
                <w:sz w:val="24"/>
              </w:rPr>
              <w:t>40</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风险收益特征</w:t>
            </w:r>
          </w:p>
        </w:tc>
        <w:tc>
          <w:tcPr>
            <w:tcW w:w="577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本基金是混合型证券投资基金，属于证券投资基金中的中等风险品种，本基金的预期收益和预期风险高于货币市场基金、债券型基金，低于股票型基金。</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 w:name="_Toc477899852"/>
      <w:r>
        <w:rPr>
          <w:rFonts w:hint="default" w:ascii="Times New Roman" w:hAnsi="Times New Roman"/>
          <w:b/>
          <w:color w:val="000000"/>
          <w:kern w:val="0"/>
          <w:sz w:val="24"/>
        </w:rPr>
        <w:t xml:space="preserve">2.3 </w:t>
      </w:r>
      <w:r>
        <w:rPr>
          <w:rFonts w:hint="eastAsia" w:ascii="Times New Roman" w:hAnsi="Times New Roman"/>
          <w:b/>
          <w:color w:val="000000"/>
          <w:kern w:val="0"/>
          <w:sz w:val="24"/>
        </w:rPr>
        <w:t>基金管理人和基金托管人</w:t>
      </w:r>
      <w:bookmarkEnd w:id="6"/>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444"/>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基金托管人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中国工商银行股份有限公司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信息披露负责人</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梁绍锋</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郭明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联系电话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0755-23838908</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电子邮箱</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liangshaofeng@cjhxfund.com</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custody@icbc.com.cn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客户服务电话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400-868-0666</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95588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传真</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0755-25832571</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010-66105798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深圳市前海深港合作区前湾一路</w:t>
            </w:r>
            <w:r>
              <w:rPr>
                <w:rFonts w:hint="default" w:ascii="Times New Roman" w:hAnsi="Times New Roman"/>
                <w:color w:val="000000"/>
                <w:kern w:val="0"/>
                <w:sz w:val="24"/>
              </w:rPr>
              <w:t xml:space="preserve"> 1</w:t>
            </w:r>
            <w:r>
              <w:rPr>
                <w:rFonts w:hint="eastAsia" w:ascii="Times New Roman" w:hAnsi="Times New Roman"/>
                <w:color w:val="000000"/>
                <w:kern w:val="0"/>
                <w:sz w:val="24"/>
              </w:rPr>
              <w:t>号</w:t>
            </w:r>
            <w:r>
              <w:rPr>
                <w:rFonts w:hint="default" w:ascii="Times New Roman" w:hAnsi="Times New Roman"/>
                <w:color w:val="000000"/>
                <w:kern w:val="0"/>
                <w:sz w:val="24"/>
              </w:rPr>
              <w:t>A</w:t>
            </w:r>
            <w:r>
              <w:rPr>
                <w:rFonts w:hint="eastAsia" w:ascii="Times New Roman" w:hAnsi="Times New Roman"/>
                <w:color w:val="000000"/>
                <w:kern w:val="0"/>
                <w:sz w:val="24"/>
              </w:rPr>
              <w:t>栋</w:t>
            </w:r>
            <w:r>
              <w:rPr>
                <w:rFonts w:hint="default" w:ascii="Times New Roman" w:hAnsi="Times New Roman"/>
                <w:color w:val="000000"/>
                <w:kern w:val="0"/>
                <w:sz w:val="24"/>
              </w:rPr>
              <w:t xml:space="preserve">201 </w:t>
            </w:r>
            <w:r>
              <w:rPr>
                <w:rFonts w:hint="eastAsia" w:ascii="Times New Roman" w:hAnsi="Times New Roman"/>
                <w:color w:val="000000"/>
                <w:kern w:val="0"/>
                <w:sz w:val="24"/>
              </w:rPr>
              <w:t>室</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办公地址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北京市西城区复兴门内大街</w:t>
            </w:r>
            <w:r>
              <w:rPr>
                <w:rFonts w:hint="default" w:ascii="Times New Roman" w:hAnsi="Times New Roman"/>
                <w:color w:val="000000"/>
                <w:kern w:val="0"/>
                <w:sz w:val="24"/>
              </w:rPr>
              <w:t>55</w:t>
            </w:r>
            <w:r>
              <w:rPr>
                <w:rFonts w:hint="eastAsia" w:ascii="Times New Roman" w:hAnsi="Times New Roman"/>
                <w:color w:val="000000"/>
                <w:kern w:val="0"/>
                <w:sz w:val="24"/>
              </w:rPr>
              <w:t>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邮政编码</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518000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100140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法定代表人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刘学民</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易会满</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7" w:name="_Toc477899853"/>
      <w:r>
        <w:rPr>
          <w:rFonts w:hint="default" w:ascii="Times New Roman" w:hAnsi="Times New Roman"/>
          <w:b/>
          <w:color w:val="000000"/>
          <w:kern w:val="0"/>
          <w:sz w:val="24"/>
        </w:rPr>
        <w:t xml:space="preserve">2.4 </w:t>
      </w:r>
      <w:r>
        <w:rPr>
          <w:rFonts w:hint="eastAsia" w:ascii="Times New Roman" w:hAnsi="Times New Roman"/>
          <w:b/>
          <w:color w:val="000000"/>
          <w:kern w:val="0"/>
          <w:sz w:val="24"/>
        </w:rPr>
        <w:t>信息披露方式</w:t>
      </w:r>
      <w:bookmarkEnd w:id="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65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中国证券报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基金年度报告备置地点</w:t>
            </w:r>
          </w:p>
        </w:tc>
        <w:tc>
          <w:tcPr>
            <w:tcW w:w="650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层</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8" w:name="_Toc477899854"/>
      <w:r>
        <w:rPr>
          <w:rFonts w:hint="default" w:ascii="Times New Roman" w:hAnsi="Times New Roman"/>
          <w:b/>
          <w:color w:val="000000"/>
          <w:kern w:val="0"/>
          <w:sz w:val="24"/>
        </w:rPr>
        <w:t xml:space="preserve">2.5 </w:t>
      </w:r>
      <w:r>
        <w:rPr>
          <w:rFonts w:hint="eastAsia" w:ascii="Times New Roman" w:hAnsi="Times New Roman"/>
          <w:b/>
          <w:color w:val="000000"/>
          <w:kern w:val="0"/>
          <w:sz w:val="24"/>
        </w:rPr>
        <w:t>其他相关资料</w:t>
      </w:r>
      <w:bookmarkEnd w:id="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65"/>
        <w:gridCol w:w="3251"/>
        <w:gridCol w:w="3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办公地址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16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注册登记机构</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深圳市福田区福华一路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9" w:name="_Toc477899855"/>
      <w:r>
        <w:rPr>
          <w:rFonts w:hint="eastAsia" w:ascii="Times New Roman" w:hAnsi="Times New Roman"/>
          <w:b/>
          <w:color w:val="000000"/>
          <w:kern w:val="0"/>
          <w:sz w:val="24"/>
        </w:rPr>
        <w:t>§</w:t>
      </w:r>
      <w:r>
        <w:rPr>
          <w:rFonts w:hint="default" w:ascii="Times New Roman" w:hAnsi="Times New Roman"/>
          <w:b/>
          <w:color w:val="000000"/>
          <w:kern w:val="0"/>
          <w:sz w:val="24"/>
        </w:rPr>
        <w:t xml:space="preserve">3  </w:t>
      </w:r>
      <w:r>
        <w:rPr>
          <w:rFonts w:hint="eastAsia" w:ascii="Times New Roman" w:hAnsi="Times New Roman"/>
          <w:b/>
          <w:color w:val="000000"/>
          <w:kern w:val="0"/>
          <w:sz w:val="24"/>
        </w:rPr>
        <w:t>主要财务指标、基金净值表现及利润分配情况</w:t>
      </w:r>
      <w:bookmarkEnd w:id="9"/>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0" w:name="_Toc477899856"/>
      <w:r>
        <w:rPr>
          <w:rFonts w:hint="default" w:ascii="Times New Roman" w:hAnsi="Times New Roman"/>
          <w:b/>
          <w:color w:val="000000"/>
          <w:kern w:val="0"/>
          <w:sz w:val="24"/>
        </w:rPr>
        <w:t xml:space="preserve">3.1 </w:t>
      </w:r>
      <w:r>
        <w:rPr>
          <w:rFonts w:hint="eastAsia" w:ascii="Times New Roman" w:hAnsi="Times New Roman"/>
          <w:b/>
          <w:color w:val="000000"/>
          <w:kern w:val="0"/>
          <w:sz w:val="24"/>
        </w:rPr>
        <w:t>主要会计数据和财务指标</w:t>
      </w:r>
      <w:bookmarkEnd w:id="10"/>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3.1.1 </w:t>
            </w:r>
            <w:r>
              <w:rPr>
                <w:rFonts w:hint="eastAsia" w:ascii="Times New Roman" w:hAnsi="Times New Roman"/>
                <w:b/>
                <w:color w:val="000000"/>
                <w:kern w:val="0"/>
                <w:sz w:val="24"/>
              </w:rPr>
              <w:t>期间数据和指标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本期已实现收益</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1,668,038.33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330,503.29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-1,109,530.26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加权平均基金份额本期利润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0.0512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本期加权平均净值利润率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本期基金份额净值增长率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3.1.2 </w:t>
            </w:r>
            <w:r>
              <w:rPr>
                <w:rFonts w:hint="eastAsia" w:ascii="Times New Roman" w:hAnsi="Times New Roman"/>
                <w:b/>
                <w:color w:val="000000"/>
                <w:kern w:val="0"/>
                <w:sz w:val="24"/>
              </w:rPr>
              <w:t>期末数据和指标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7,804,960.39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-1,302,557.89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期末可供分配基金份额利润</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0.0335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期末基金资产净值</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249,425,352.25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246,970,419.16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期末基金份额净值</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3.1.3 </w:t>
            </w:r>
            <w:r>
              <w:rPr>
                <w:rFonts w:hint="eastAsia" w:ascii="Times New Roman" w:hAnsi="Times New Roman"/>
                <w:b/>
                <w:color w:val="000000"/>
                <w:kern w:val="0"/>
                <w:sz w:val="24"/>
              </w:rPr>
              <w:t>累计期末指标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基金份额累计净值增长率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-0.50%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、上述基金业绩指标不包括持有人交易基金的各项费用</w:t>
      </w:r>
      <w:r>
        <w:rPr>
          <w:rFonts w:hint="default" w:ascii="Times New Roman" w:eastAsia="Times New Roman"/>
          <w:color w:val="000000"/>
          <w:kern w:val="0"/>
          <w:sz w:val="21"/>
        </w:rPr>
        <w:t>,</w:t>
      </w:r>
      <w:r>
        <w:rPr>
          <w:rFonts w:hint="eastAsia" w:ascii="Times New Roman" w:hAnsi="Times New Roman"/>
          <w:color w:val="000000"/>
          <w:kern w:val="0"/>
          <w:sz w:val="21"/>
        </w:rPr>
        <w:t>计入费用后实际收益水平要低于所列数字。</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、本期已实现收益指基金本期利息收入、投资收益、其他收入</w:t>
      </w:r>
      <w:r>
        <w:rPr>
          <w:rFonts w:hint="default" w:ascii="Times New Roman" w:hAnsi="Times New Roman"/>
          <w:color w:val="000000"/>
          <w:kern w:val="0"/>
          <w:sz w:val="21"/>
        </w:rPr>
        <w:t>(</w:t>
      </w:r>
      <w:r>
        <w:rPr>
          <w:rFonts w:hint="eastAsia" w:ascii="Times New Roman" w:hAnsi="Times New Roman"/>
          <w:color w:val="000000"/>
          <w:kern w:val="0"/>
          <w:sz w:val="21"/>
        </w:rPr>
        <w:t>不含公允价值变动收益</w:t>
      </w:r>
      <w:r>
        <w:rPr>
          <w:rFonts w:hint="default" w:ascii="Times New Roman" w:hAnsi="Times New Roman"/>
          <w:color w:val="000000"/>
          <w:kern w:val="0"/>
          <w:sz w:val="21"/>
        </w:rPr>
        <w:t>)</w:t>
      </w:r>
      <w:r>
        <w:rPr>
          <w:rFonts w:hint="eastAsia" w:ascii="Times New Roman" w:hAnsi="Times New Roman"/>
          <w:color w:val="000000"/>
          <w:kern w:val="0"/>
          <w:sz w:val="21"/>
        </w:rPr>
        <w:t>扣除相关费用后的余额</w:t>
      </w:r>
      <w:r>
        <w:rPr>
          <w:rFonts w:hint="default" w:ascii="Times New Roman" w:eastAsia="Times New Roman"/>
          <w:color w:val="000000"/>
          <w:kern w:val="0"/>
          <w:sz w:val="21"/>
        </w:rPr>
        <w:t>,</w:t>
      </w:r>
      <w:r>
        <w:rPr>
          <w:rFonts w:hint="eastAsia" w:ascii="Times New Roman" w:hAnsi="Times New Roman"/>
          <w:color w:val="000000"/>
          <w:kern w:val="0"/>
          <w:sz w:val="21"/>
        </w:rPr>
        <w:t>本期利润为本期已实现收益加上本期公允价值变动收益。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3</w:t>
      </w:r>
      <w:r>
        <w:rPr>
          <w:rFonts w:hint="eastAsia" w:ascii="Times New Roman" w:hAnsi="Times New Roman"/>
          <w:color w:val="000000"/>
          <w:kern w:val="0"/>
          <w:sz w:val="21"/>
        </w:rPr>
        <w:t>、期末可供分配利润是采用资产负债表中未分配利润与未分配利润中已实现部分的孰低数。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1" w:name="_Toc477899857"/>
      <w:r>
        <w:rPr>
          <w:rFonts w:hint="default" w:ascii="Times New Roman" w:hAnsi="Times New Roman"/>
          <w:b/>
          <w:color w:val="000000"/>
          <w:kern w:val="0"/>
          <w:sz w:val="24"/>
        </w:rPr>
        <w:t xml:space="preserve">3.2 </w:t>
      </w:r>
      <w:r>
        <w:rPr>
          <w:rFonts w:hint="eastAsia" w:ascii="Times New Roman" w:hAnsi="Times New Roman"/>
          <w:b/>
          <w:color w:val="000000"/>
          <w:kern w:val="0"/>
          <w:sz w:val="24"/>
        </w:rPr>
        <w:t>基金净值表现</w:t>
      </w:r>
      <w:bookmarkEnd w:id="11"/>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3.2.1 </w:t>
      </w:r>
      <w:r>
        <w:rPr>
          <w:rFonts w:hint="eastAsia" w:ascii="Times New Roman" w:hAnsi="Times New Roman"/>
          <w:b/>
          <w:color w:val="000000"/>
          <w:kern w:val="0"/>
          <w:sz w:val="24"/>
        </w:rPr>
        <w:t>基金份额净值增长率及其与同期业绩比较基准收益率的比较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1084"/>
        <w:gridCol w:w="1084"/>
        <w:gridCol w:w="1083"/>
        <w:gridCol w:w="1084"/>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阶段</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份额净值增长率①</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份额净值增长率标准差②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业绩比较基准收益率标准差④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①</w:t>
            </w:r>
            <w:r>
              <w:rPr>
                <w:rFonts w:hint="default" w:ascii="Times New Roman" w:eastAsia="Times New Roman"/>
                <w:color w:val="000000"/>
                <w:kern w:val="0"/>
                <w:sz w:val="24"/>
              </w:rPr>
              <w:t>-</w:t>
            </w:r>
            <w:r>
              <w:rPr>
                <w:rFonts w:hint="eastAsia" w:ascii="Times New Roman" w:hAnsi="Times New Roman"/>
                <w:color w:val="000000"/>
                <w:kern w:val="0"/>
                <w:sz w:val="24"/>
              </w:rPr>
              <w:t>③</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②</w:t>
            </w:r>
            <w:r>
              <w:rPr>
                <w:rFonts w:hint="default" w:ascii="Times New Roman" w:eastAsia="Times New Roman"/>
                <w:color w:val="000000"/>
                <w:kern w:val="0"/>
                <w:sz w:val="24"/>
              </w:rPr>
              <w:t>-</w:t>
            </w:r>
            <w:r>
              <w:rPr>
                <w:rFonts w:hint="eastAsia" w:ascii="Times New Roman" w:hAnsi="Times New Roman"/>
                <w:color w:val="000000"/>
                <w:kern w:val="0"/>
                <w:sz w:val="24"/>
              </w:rPr>
              <w:t>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过去三个月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过去六个月</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19.42%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过去一年</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7.54%</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-4.65%</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12.19%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自基金合同生效日起至今（</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08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0.84%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3.2.2 </w:t>
      </w:r>
      <w:r>
        <w:rPr>
          <w:rFonts w:hint="eastAsia" w:ascii="Times New Roman" w:hAnsi="Times New Roman"/>
          <w:b/>
          <w:color w:val="000000"/>
          <w:kern w:val="0"/>
          <w:sz w:val="24"/>
        </w:rPr>
        <w:t>自基金合同生效以来基金份额累计净值增长率变动及其与同期业绩比较基准收益率变动的比较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6" o:spt="75" type="#_x0000_t75" style="height:211.1pt;width:441.7pt;" filled="f" stroked="f" coordsize="21600,21600">
            <v:path/>
            <v:fill on="f" focussize="0,0"/>
            <v:stroke on="f"/>
            <v:imagedata r:id="rId6"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3.2.3 </w:t>
      </w:r>
      <w:r>
        <w:rPr>
          <w:rFonts w:hint="eastAsia" w:ascii="Times New Roman" w:hAnsi="Times New Roman"/>
          <w:b/>
          <w:color w:val="000000"/>
          <w:kern w:val="0"/>
          <w:sz w:val="24"/>
        </w:rPr>
        <w:t>自基金合同生效以来基金每年净值增长率及其与同期业绩比较基准收益率的比较</w:t>
      </w:r>
    </w:p>
    <w:p>
      <w:pPr>
        <w:autoSpaceDE w:val="0"/>
        <w:autoSpaceDN w:val="0"/>
        <w:adjustRightInd w:val="0"/>
        <w:spacing w:beforeLines="0" w:afterLines="0" w:line="288" w:lineRule="auto"/>
        <w:jc w:val="left"/>
        <w:rPr>
          <w:rFonts w:hint="default" w:ascii="Times New Roman" w:eastAsia="Times New Roman"/>
          <w:kern w:val="0"/>
          <w:sz w:val="24"/>
        </w:rPr>
      </w:pPr>
      <w:r>
        <w:rPr>
          <w:rFonts w:hint="default" w:ascii="Times New Roman" w:eastAsia="Times New Roman"/>
          <w:kern w:val="0"/>
          <w:sz w:val="24"/>
        </w:rPr>
        <w:pict>
          <v:shape id="_x0000_i1027" o:spt="75" type="#_x0000_t75" style="height:211.1pt;width:439.2pt;" filled="f" stroked="f" coordsize="21600,21600">
            <v:path/>
            <v:fill on="f" focussize="0,0"/>
            <v:stroke on="f"/>
            <v:imagedata r:id="rId7" o:title=""/>
            <o:lock v:ext="edit" aspectratio="t"/>
            <w10:wrap type="none"/>
            <w10:anchorlock/>
          </v:shape>
        </w:pic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2" w:name="_Toc477899858"/>
      <w:r>
        <w:rPr>
          <w:rFonts w:hint="default" w:ascii="Times New Roman" w:hAnsi="Times New Roman"/>
          <w:b/>
          <w:color w:val="000000"/>
          <w:kern w:val="0"/>
          <w:sz w:val="24"/>
        </w:rPr>
        <w:t xml:space="preserve">3.3 </w:t>
      </w:r>
      <w:r>
        <w:rPr>
          <w:rFonts w:hint="eastAsia" w:ascii="Times New Roman" w:hAnsi="Times New Roman"/>
          <w:b/>
          <w:color w:val="000000"/>
          <w:kern w:val="0"/>
          <w:sz w:val="24"/>
        </w:rPr>
        <w:t>过去三年基金的利润分配情况</w:t>
      </w:r>
      <w:bookmarkEnd w:id="1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本基金自基金合同生效日（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日）至本报告期末未发生利润分配。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13" w:name="_Toc477899859"/>
      <w:r>
        <w:rPr>
          <w:rFonts w:hint="eastAsia" w:ascii="Times New Roman" w:hAnsi="Times New Roman"/>
          <w:b/>
          <w:color w:val="000000"/>
          <w:kern w:val="0"/>
          <w:sz w:val="24"/>
        </w:rPr>
        <w:t>§</w:t>
      </w:r>
      <w:r>
        <w:rPr>
          <w:rFonts w:hint="default" w:ascii="Times New Roman" w:hAnsi="Times New Roman"/>
          <w:b/>
          <w:color w:val="000000"/>
          <w:kern w:val="0"/>
          <w:sz w:val="24"/>
        </w:rPr>
        <w:t xml:space="preserve">4  </w:t>
      </w:r>
      <w:r>
        <w:rPr>
          <w:rFonts w:hint="eastAsia" w:ascii="Times New Roman" w:hAnsi="Times New Roman"/>
          <w:b/>
          <w:color w:val="000000"/>
          <w:kern w:val="0"/>
          <w:sz w:val="24"/>
        </w:rPr>
        <w:t>管理人报告</w:t>
      </w:r>
      <w:bookmarkEnd w:id="13"/>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4" w:name="_Toc477899860"/>
      <w:r>
        <w:rPr>
          <w:rFonts w:hint="default" w:ascii="Times New Roman" w:hAnsi="Times New Roman"/>
          <w:b/>
          <w:color w:val="000000"/>
          <w:kern w:val="0"/>
          <w:sz w:val="24"/>
        </w:rPr>
        <w:t xml:space="preserve">4.1 </w:t>
      </w:r>
      <w:r>
        <w:rPr>
          <w:rFonts w:hint="eastAsia" w:ascii="Times New Roman" w:hAnsi="Times New Roman"/>
          <w:b/>
          <w:color w:val="000000"/>
          <w:kern w:val="0"/>
          <w:sz w:val="24"/>
        </w:rPr>
        <w:t>基金管理人及基金经理情况</w:t>
      </w:r>
      <w:bookmarkEnd w:id="14"/>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4.1.1 </w:t>
      </w:r>
      <w:r>
        <w:rPr>
          <w:rFonts w:hint="eastAsia" w:ascii="Times New Roman" w:hAnsi="Times New Roman"/>
          <w:b/>
          <w:color w:val="000000"/>
          <w:kern w:val="0"/>
          <w:sz w:val="24"/>
        </w:rPr>
        <w:t>基金管理人及其管理基金的经验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创金合信基金管理有限公司于</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3</w:t>
      </w:r>
      <w:r>
        <w:rPr>
          <w:rFonts w:hint="eastAsia" w:ascii="Times New Roman" w:hAnsi="Times New Roman"/>
          <w:color w:val="000000"/>
          <w:kern w:val="0"/>
          <w:sz w:val="24"/>
        </w:rPr>
        <w:t>日获得中国证监会批复，</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9</w:t>
      </w:r>
      <w:r>
        <w:rPr>
          <w:rFonts w:hint="eastAsia" w:ascii="Times New Roman" w:hAnsi="Times New Roman"/>
          <w:color w:val="000000"/>
          <w:kern w:val="0"/>
          <w:sz w:val="24"/>
        </w:rPr>
        <w:t>日正式注册设立，注册地为深圳市。公司由第一创业证券股份有限公司、深圳市金合信投资合伙企业（有限合伙）共同出资设立。公司注册资本</w:t>
      </w:r>
      <w:r>
        <w:rPr>
          <w:rFonts w:hint="default" w:ascii="Times New Roman" w:hAnsi="Times New Roman"/>
          <w:color w:val="000000"/>
          <w:kern w:val="0"/>
          <w:sz w:val="24"/>
        </w:rPr>
        <w:t>1.7</w:t>
      </w:r>
      <w:r>
        <w:rPr>
          <w:rFonts w:hint="eastAsia" w:ascii="Times New Roman" w:hAnsi="Times New Roman"/>
          <w:color w:val="000000"/>
          <w:kern w:val="0"/>
          <w:sz w:val="24"/>
        </w:rPr>
        <w:t>亿元人民币，股东出资情况为：第一创业证券股份有限公司出资</w:t>
      </w:r>
      <w:r>
        <w:rPr>
          <w:rFonts w:hint="default" w:ascii="Times New Roman" w:hAnsi="Times New Roman"/>
          <w:color w:val="000000"/>
          <w:kern w:val="0"/>
          <w:sz w:val="24"/>
        </w:rPr>
        <w:t>11,900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70%</w:t>
      </w:r>
      <w:r>
        <w:rPr>
          <w:rFonts w:hint="eastAsia" w:ascii="Times New Roman" w:hAnsi="Times New Roman"/>
          <w:color w:val="000000"/>
          <w:kern w:val="0"/>
          <w:sz w:val="24"/>
        </w:rPr>
        <w:t>；深圳市金合信投资合伙企业（有限合伙）出资</w:t>
      </w:r>
      <w:r>
        <w:rPr>
          <w:rFonts w:hint="default" w:ascii="Times New Roman" w:hAnsi="Times New Roman"/>
          <w:color w:val="000000"/>
          <w:kern w:val="0"/>
          <w:sz w:val="24"/>
        </w:rPr>
        <w:t>5,100</w:t>
      </w:r>
      <w:r>
        <w:rPr>
          <w:rFonts w:hint="eastAsia" w:ascii="Times New Roman" w:hAnsi="Times New Roman"/>
          <w:color w:val="000000"/>
          <w:kern w:val="0"/>
          <w:sz w:val="24"/>
        </w:rPr>
        <w:t>万元，占公司注册资本的</w:t>
      </w:r>
      <w:r>
        <w:rPr>
          <w:rFonts w:hint="default" w:ascii="Times New Roman" w:hAnsi="Times New Roman"/>
          <w:color w:val="000000"/>
          <w:kern w:val="0"/>
          <w:sz w:val="24"/>
        </w:rPr>
        <w:t>30%</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公司始终坚持</w:t>
      </w:r>
      <w:r>
        <w:rPr>
          <w:rFonts w:hint="default" w:ascii="Times New Roman" w:hAnsi="Times New Roman"/>
          <w:color w:val="000000"/>
          <w:kern w:val="0"/>
          <w:sz w:val="24"/>
        </w:rPr>
        <w:t>"</w:t>
      </w:r>
      <w:r>
        <w:rPr>
          <w:rFonts w:hint="eastAsia" w:ascii="Times New Roman" w:hAnsi="Times New Roman"/>
          <w:color w:val="000000"/>
          <w:kern w:val="0"/>
          <w:sz w:val="24"/>
        </w:rPr>
        <w:t>客户利益至上</w:t>
      </w:r>
      <w:r>
        <w:rPr>
          <w:rFonts w:hint="default" w:ascii="Times New Roman" w:hAnsi="Times New Roman"/>
          <w:color w:val="000000"/>
          <w:kern w:val="0"/>
          <w:sz w:val="24"/>
        </w:rPr>
        <w:t>"</w:t>
      </w:r>
      <w:r>
        <w:rPr>
          <w:rFonts w:hint="eastAsia" w:ascii="Times New Roman" w:hAnsi="Times New Roman"/>
          <w:color w:val="000000"/>
          <w:kern w:val="0"/>
          <w:sz w:val="24"/>
        </w:rPr>
        <w:t>，致力于为客户实现长期稳定的投资回报，做客户投资理财的亲密伙伴。</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报告期内，本公司共发行</w:t>
      </w:r>
      <w:r>
        <w:rPr>
          <w:rFonts w:hint="default" w:ascii="Times New Roman" w:hAnsi="Times New Roman"/>
          <w:color w:val="000000"/>
          <w:kern w:val="0"/>
          <w:sz w:val="24"/>
        </w:rPr>
        <w:t>17</w:t>
      </w:r>
      <w:r>
        <w:rPr>
          <w:rFonts w:hint="eastAsia" w:ascii="Times New Roman" w:hAnsi="Times New Roman"/>
          <w:color w:val="000000"/>
          <w:kern w:val="0"/>
          <w:sz w:val="24"/>
        </w:rPr>
        <w:t>只公募基金。截至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日，本公司共管理</w:t>
      </w:r>
      <w:r>
        <w:rPr>
          <w:rFonts w:hint="default" w:ascii="Times New Roman" w:hAnsi="Times New Roman"/>
          <w:color w:val="000000"/>
          <w:kern w:val="0"/>
          <w:sz w:val="24"/>
        </w:rPr>
        <w:t>24</w:t>
      </w:r>
      <w:r>
        <w:rPr>
          <w:rFonts w:hint="eastAsia" w:ascii="Times New Roman" w:hAnsi="Times New Roman"/>
          <w:color w:val="000000"/>
          <w:kern w:val="0"/>
          <w:sz w:val="24"/>
        </w:rPr>
        <w:t>只公募基金，其中混合型产品</w:t>
      </w:r>
      <w:r>
        <w:rPr>
          <w:rFonts w:hint="default" w:ascii="Times New Roman" w:hAnsi="Times New Roman"/>
          <w:color w:val="000000"/>
          <w:kern w:val="0"/>
          <w:sz w:val="24"/>
        </w:rPr>
        <w:t>9</w:t>
      </w:r>
      <w:r>
        <w:rPr>
          <w:rFonts w:hint="eastAsia" w:ascii="Times New Roman" w:hAnsi="Times New Roman"/>
          <w:color w:val="000000"/>
          <w:kern w:val="0"/>
          <w:sz w:val="24"/>
        </w:rPr>
        <w:t>只、指数型产品</w:t>
      </w:r>
      <w:r>
        <w:rPr>
          <w:rFonts w:hint="default" w:ascii="Times New Roman" w:hAnsi="Times New Roman"/>
          <w:color w:val="000000"/>
          <w:kern w:val="0"/>
          <w:sz w:val="24"/>
        </w:rPr>
        <w:t>3</w:t>
      </w:r>
      <w:r>
        <w:rPr>
          <w:rFonts w:hint="eastAsia" w:ascii="Times New Roman" w:hAnsi="Times New Roman"/>
          <w:color w:val="000000"/>
          <w:kern w:val="0"/>
          <w:sz w:val="24"/>
        </w:rPr>
        <w:t>只、债券型产品</w:t>
      </w:r>
      <w:r>
        <w:rPr>
          <w:rFonts w:hint="default" w:ascii="Times New Roman" w:hAnsi="Times New Roman"/>
          <w:color w:val="000000"/>
          <w:kern w:val="0"/>
          <w:sz w:val="24"/>
        </w:rPr>
        <w:t>8</w:t>
      </w:r>
      <w:r>
        <w:rPr>
          <w:rFonts w:hint="eastAsia" w:ascii="Times New Roman" w:hAnsi="Times New Roman"/>
          <w:color w:val="000000"/>
          <w:kern w:val="0"/>
          <w:sz w:val="24"/>
        </w:rPr>
        <w:t>只、股票型产品</w:t>
      </w:r>
      <w:r>
        <w:rPr>
          <w:rFonts w:hint="default" w:ascii="Times New Roman" w:hAnsi="Times New Roman"/>
          <w:color w:val="000000"/>
          <w:kern w:val="0"/>
          <w:sz w:val="24"/>
        </w:rPr>
        <w:t>3</w:t>
      </w:r>
      <w:r>
        <w:rPr>
          <w:rFonts w:hint="eastAsia" w:ascii="Times New Roman" w:hAnsi="Times New Roman"/>
          <w:color w:val="000000"/>
          <w:kern w:val="0"/>
          <w:sz w:val="24"/>
        </w:rPr>
        <w:t>只、货币型产品</w:t>
      </w:r>
      <w:r>
        <w:rPr>
          <w:rFonts w:hint="default" w:ascii="Times New Roman" w:hAnsi="Times New Roman"/>
          <w:color w:val="000000"/>
          <w:kern w:val="0"/>
          <w:sz w:val="24"/>
        </w:rPr>
        <w:t>1</w:t>
      </w:r>
      <w:r>
        <w:rPr>
          <w:rFonts w:hint="eastAsia" w:ascii="Times New Roman" w:hAnsi="Times New Roman"/>
          <w:color w:val="000000"/>
          <w:kern w:val="0"/>
          <w:sz w:val="24"/>
        </w:rPr>
        <w:t>只；管理的公募基金规模约</w:t>
      </w:r>
      <w:r>
        <w:rPr>
          <w:rFonts w:hint="default" w:ascii="Times New Roman" w:hAnsi="Times New Roman"/>
          <w:color w:val="000000"/>
          <w:kern w:val="0"/>
          <w:sz w:val="24"/>
        </w:rPr>
        <w:t>142.74</w:t>
      </w:r>
      <w:r>
        <w:rPr>
          <w:rFonts w:hint="eastAsia" w:ascii="Times New Roman" w:hAnsi="Times New Roman"/>
          <w:color w:val="000000"/>
          <w:kern w:val="0"/>
          <w:sz w:val="24"/>
        </w:rPr>
        <w:t>亿元。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4.1.2 </w:t>
      </w:r>
      <w:r>
        <w:rPr>
          <w:rFonts w:hint="eastAsia" w:ascii="Times New Roman" w:hAnsi="Times New Roman"/>
          <w:b/>
          <w:color w:val="000000"/>
          <w:kern w:val="0"/>
          <w:sz w:val="24"/>
        </w:rPr>
        <w:t>基金经理（或基金经理小组）及基金经理助理简介</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1083"/>
        <w:gridCol w:w="1445"/>
        <w:gridCol w:w="1445"/>
        <w:gridCol w:w="1083"/>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姓名</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职务</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任本基金的基金经理（助理）期限</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证券从业年限</w:t>
            </w:r>
          </w:p>
        </w:tc>
        <w:tc>
          <w:tcPr>
            <w:tcW w:w="289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任职日期</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离任日期</w:t>
            </w: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c>
          <w:tcPr>
            <w:tcW w:w="289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张荣</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张荣先生，中国国籍，北京大学金融学硕士，权益投资基金经理。投资中注重宏观研究，自上而下，把握行业趋势；</w:t>
            </w:r>
            <w:r>
              <w:rPr>
                <w:rFonts w:hint="default" w:ascii="Times New Roman" w:hAnsi="Times New Roman"/>
                <w:color w:val="000000"/>
                <w:kern w:val="0"/>
                <w:sz w:val="24"/>
              </w:rPr>
              <w:t>2004</w:t>
            </w:r>
            <w:r>
              <w:rPr>
                <w:rFonts w:hint="eastAsia" w:ascii="Times New Roman" w:hAnsi="Times New Roman"/>
                <w:color w:val="000000"/>
                <w:kern w:val="0"/>
                <w:sz w:val="24"/>
              </w:rPr>
              <w:t>年就职于深圳银监局从事银行监管工作，历任多家银行监管员。</w:t>
            </w:r>
            <w:r>
              <w:rPr>
                <w:rFonts w:hint="default" w:ascii="Times New Roman" w:hAnsi="Times New Roman"/>
                <w:color w:val="000000"/>
                <w:kern w:val="0"/>
                <w:sz w:val="24"/>
              </w:rPr>
              <w:t>2010</w:t>
            </w:r>
            <w:r>
              <w:rPr>
                <w:rFonts w:hint="eastAsia" w:ascii="Times New Roman" w:hAnsi="Times New Roman"/>
                <w:color w:val="000000"/>
                <w:kern w:val="0"/>
                <w:sz w:val="24"/>
              </w:rPr>
              <w:t>年加入第一创业证券资产管理部，历任金融行业研究主管、投资主办等职务。</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月加入创金合信基金管理有限公司担任高级研究员</w:t>
            </w:r>
            <w:r>
              <w:rPr>
                <w:rFonts w:hint="default" w:ascii="Times New Roman" w:eastAsia="Times New Roman"/>
                <w:color w:val="000000"/>
                <w:kern w:val="0"/>
                <w:sz w:val="24"/>
              </w:rPr>
              <w:t>,</w:t>
            </w:r>
            <w:r>
              <w:rPr>
                <w:rFonts w:hint="eastAsia" w:ascii="Times New Roman" w:hAnsi="Times New Roman"/>
                <w:color w:val="000000"/>
                <w:kern w:val="0"/>
                <w:sz w:val="24"/>
              </w:rPr>
              <w:t>现任基金经理。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李晗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李晗先生，中国国籍，中南财经政法大学硕士，金融风险管理师（</w:t>
            </w:r>
            <w:r>
              <w:rPr>
                <w:rFonts w:hint="default" w:ascii="Times New Roman" w:hAnsi="Times New Roman"/>
                <w:color w:val="000000"/>
                <w:kern w:val="0"/>
                <w:sz w:val="24"/>
              </w:rPr>
              <w:t>FRM</w:t>
            </w:r>
            <w:r>
              <w:rPr>
                <w:rFonts w:hint="eastAsia" w:ascii="Times New Roman" w:hAnsi="Times New Roman"/>
                <w:color w:val="000000"/>
                <w:kern w:val="0"/>
                <w:sz w:val="24"/>
              </w:rPr>
              <w:t>），权益投资基金经理。</w:t>
            </w:r>
            <w:r>
              <w:rPr>
                <w:rFonts w:hint="default" w:ascii="Times New Roman" w:hAnsi="Times New Roman"/>
                <w:color w:val="000000"/>
                <w:kern w:val="0"/>
                <w:sz w:val="24"/>
              </w:rPr>
              <w:t xml:space="preserve"> </w:t>
            </w:r>
            <w:r>
              <w:rPr>
                <w:rFonts w:hint="eastAsia" w:ascii="Times New Roman" w:hAnsi="Times New Roman"/>
                <w:color w:val="000000"/>
                <w:kern w:val="0"/>
                <w:sz w:val="24"/>
              </w:rPr>
              <w:t>投资中注重基本面研究，寻找行业和企业发展的拐点，擅长挖掘估值合理的持续成长股，与优质企业共同成长中获取丰厚回报。</w:t>
            </w:r>
            <w:r>
              <w:rPr>
                <w:rFonts w:hint="default" w:ascii="Times New Roman" w:hAnsi="Times New Roman"/>
                <w:color w:val="000000"/>
                <w:kern w:val="0"/>
                <w:sz w:val="24"/>
              </w:rPr>
              <w:t xml:space="preserve"> </w:t>
            </w:r>
            <w:r>
              <w:rPr>
                <w:rFonts w:hint="eastAsia" w:ascii="Times New Roman" w:hAnsi="Times New Roman"/>
                <w:color w:val="000000"/>
                <w:kern w:val="0"/>
                <w:sz w:val="24"/>
              </w:rPr>
              <w:t>曾任职于海航集团从事并购整合业务。此后任职于鹏华基金，从事专户业务、企业年金业务的研究工作。</w:t>
            </w:r>
            <w:r>
              <w:rPr>
                <w:rFonts w:hint="default" w:ascii="Times New Roman" w:hAnsi="Times New Roman"/>
                <w:color w:val="000000"/>
                <w:kern w:val="0"/>
                <w:sz w:val="24"/>
              </w:rPr>
              <w:t xml:space="preserve"> 2009</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月加盟第一创业证券资产管理部，曾担任多个集合理财产品投资主办，投资经验丰富。</w:t>
            </w:r>
            <w:r>
              <w:rPr>
                <w:rFonts w:hint="default" w:ascii="Times New Roman" w:hAnsi="Times New Roman"/>
                <w:color w:val="000000"/>
                <w:kern w:val="0"/>
                <w:sz w:val="24"/>
              </w:rPr>
              <w:t>2014</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月加入创金合信基金管理有限公司，现任基金经理。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陈玉辉</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基金经理、投资一部总监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陈玉辉先生，中国国籍，经济学硕士，</w:t>
            </w:r>
            <w:r>
              <w:rPr>
                <w:rFonts w:hint="default" w:ascii="Times New Roman" w:hAnsi="Times New Roman"/>
                <w:color w:val="000000"/>
                <w:kern w:val="0"/>
                <w:sz w:val="24"/>
              </w:rPr>
              <w:t>2003</w:t>
            </w:r>
            <w:r>
              <w:rPr>
                <w:rFonts w:hint="eastAsia" w:ascii="Times New Roman" w:hAnsi="Times New Roman"/>
                <w:color w:val="000000"/>
                <w:kern w:val="0"/>
                <w:sz w:val="24"/>
              </w:rPr>
              <w:t>年</w:t>
            </w:r>
            <w:r>
              <w:rPr>
                <w:rFonts w:hint="default" w:ascii="Times New Roman" w:hAnsi="Times New Roman"/>
                <w:color w:val="000000"/>
                <w:kern w:val="0"/>
                <w:sz w:val="24"/>
              </w:rPr>
              <w:t>6</w:t>
            </w:r>
            <w:r>
              <w:rPr>
                <w:rFonts w:hint="eastAsia" w:ascii="Times New Roman" w:hAnsi="Times New Roman"/>
                <w:color w:val="000000"/>
                <w:kern w:val="0"/>
                <w:sz w:val="24"/>
              </w:rPr>
              <w:t>月加入新疆证券有限责任公司，从事石化行业研究；</w:t>
            </w:r>
            <w:r>
              <w:rPr>
                <w:rFonts w:hint="default" w:ascii="Times New Roman" w:hAnsi="Times New Roman"/>
                <w:color w:val="000000"/>
                <w:kern w:val="0"/>
                <w:sz w:val="24"/>
              </w:rPr>
              <w:t>2005</w:t>
            </w:r>
            <w:r>
              <w:rPr>
                <w:rFonts w:hint="eastAsia" w:ascii="Times New Roman" w:hAnsi="Times New Roman"/>
                <w:color w:val="000000"/>
                <w:kern w:val="0"/>
                <w:sz w:val="24"/>
              </w:rPr>
              <w:t>年度获中央电视台、中国证券报联合评选的首届</w:t>
            </w:r>
            <w:r>
              <w:rPr>
                <w:rFonts w:hint="default" w:ascii="Times New Roman" w:hAnsi="Times New Roman"/>
                <w:color w:val="000000"/>
                <w:kern w:val="0"/>
                <w:sz w:val="24"/>
              </w:rPr>
              <w:t>"</w:t>
            </w:r>
            <w:r>
              <w:rPr>
                <w:rFonts w:hint="eastAsia" w:ascii="Times New Roman" w:hAnsi="Times New Roman"/>
                <w:color w:val="000000"/>
                <w:kern w:val="0"/>
                <w:sz w:val="24"/>
              </w:rPr>
              <w:t>全国十佳证券分析师</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月加入东方证券股份有限公司研究所，任化工行业研究员。</w:t>
            </w:r>
            <w:r>
              <w:rPr>
                <w:rFonts w:hint="default" w:ascii="Times New Roman" w:hAnsi="Times New Roman"/>
                <w:color w:val="000000"/>
                <w:kern w:val="0"/>
                <w:sz w:val="24"/>
              </w:rPr>
              <w:t>2008</w:t>
            </w:r>
            <w:r>
              <w:rPr>
                <w:rFonts w:hint="eastAsia" w:ascii="Times New Roman" w:hAnsi="Times New Roman"/>
                <w:color w:val="000000"/>
                <w:kern w:val="0"/>
                <w:sz w:val="24"/>
              </w:rPr>
              <w:t>年</w:t>
            </w:r>
            <w:r>
              <w:rPr>
                <w:rFonts w:hint="default" w:ascii="Times New Roman" w:hAnsi="Times New Roman"/>
                <w:color w:val="000000"/>
                <w:kern w:val="0"/>
                <w:sz w:val="24"/>
              </w:rPr>
              <w:t>3</w:t>
            </w:r>
            <w:r>
              <w:rPr>
                <w:rFonts w:hint="eastAsia" w:ascii="Times New Roman" w:hAnsi="Times New Roman"/>
                <w:color w:val="000000"/>
                <w:kern w:val="0"/>
                <w:sz w:val="24"/>
              </w:rPr>
              <w:t>月加入招商基金管理有限公司，历任研究部副总监、总监，并于</w:t>
            </w:r>
            <w:r>
              <w:rPr>
                <w:rFonts w:hint="default" w:ascii="Times New Roman" w:hAnsi="Times New Roman"/>
                <w:color w:val="000000"/>
                <w:kern w:val="0"/>
                <w:sz w:val="24"/>
              </w:rPr>
              <w:t>2012</w:t>
            </w:r>
            <w:r>
              <w:rPr>
                <w:rFonts w:hint="eastAsia" w:ascii="Times New Roman" w:hAnsi="Times New Roman"/>
                <w:color w:val="000000"/>
                <w:kern w:val="0"/>
                <w:sz w:val="24"/>
              </w:rPr>
              <w:t>年</w:t>
            </w:r>
            <w:r>
              <w:rPr>
                <w:rFonts w:hint="default" w:ascii="Times New Roman" w:hAnsi="Times New Roman"/>
                <w:color w:val="000000"/>
                <w:kern w:val="0"/>
                <w:sz w:val="24"/>
              </w:rPr>
              <w:t>11</w:t>
            </w:r>
            <w:r>
              <w:rPr>
                <w:rFonts w:hint="eastAsia" w:ascii="Times New Roman" w:hAnsi="Times New Roman"/>
                <w:color w:val="000000"/>
                <w:kern w:val="0"/>
                <w:sz w:val="24"/>
              </w:rPr>
              <w:t>月</w:t>
            </w:r>
            <w:r>
              <w:rPr>
                <w:rFonts w:hint="default" w:ascii="Times New Roman" w:hAnsi="Times New Roman"/>
                <w:color w:val="000000"/>
                <w:kern w:val="0"/>
                <w:sz w:val="24"/>
              </w:rPr>
              <w:t>14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4</w:t>
            </w:r>
            <w:r>
              <w:rPr>
                <w:rFonts w:hint="eastAsia" w:ascii="Times New Roman" w:hAnsi="Times New Roman"/>
                <w:color w:val="000000"/>
                <w:kern w:val="0"/>
                <w:sz w:val="24"/>
              </w:rPr>
              <w:t>月</w:t>
            </w:r>
            <w:r>
              <w:rPr>
                <w:rFonts w:hint="default" w:ascii="Times New Roman" w:hAnsi="Times New Roman"/>
                <w:color w:val="000000"/>
                <w:kern w:val="0"/>
                <w:sz w:val="24"/>
              </w:rPr>
              <w:t>10</w:t>
            </w:r>
            <w:r>
              <w:rPr>
                <w:rFonts w:hint="eastAsia" w:ascii="Times New Roman" w:hAnsi="Times New Roman"/>
                <w:color w:val="000000"/>
                <w:kern w:val="0"/>
                <w:sz w:val="24"/>
              </w:rPr>
              <w:t>日担任招商大盘蓝筹股票型证券投资基金的基金经理。</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月任创金合信基金管理有限公司投资一部总监、基金经理。</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、本基金首任基金经理的任职日期为本基金合同生效日，离任日期、后任基金经理的任职日期指公司作出决定的公告（生效）日期；</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、证券从业年限计算的起止时间按照从事证券行业开始时间计算。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5" w:name="_Toc477899861"/>
      <w:r>
        <w:rPr>
          <w:rFonts w:hint="default" w:ascii="Times New Roman" w:hAnsi="Times New Roman"/>
          <w:b/>
          <w:color w:val="000000"/>
          <w:kern w:val="0"/>
          <w:sz w:val="24"/>
        </w:rPr>
        <w:t xml:space="preserve">4.2 </w:t>
      </w:r>
      <w:r>
        <w:rPr>
          <w:rFonts w:hint="eastAsia" w:ascii="Times New Roman" w:hAnsi="Times New Roman"/>
          <w:b/>
          <w:color w:val="000000"/>
          <w:kern w:val="0"/>
          <w:sz w:val="24"/>
        </w:rPr>
        <w:t>管理人对报告期内本基金运作遵规守信情况的说明</w:t>
      </w:r>
      <w:bookmarkEnd w:id="1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中华人民共和国证券投资基金法》、《公开募集证券投资基金运作管理办法》、《证券投资基金销售管理办法》和《证券投资基金信息披露管理办法》等有关法律法规及各项实施准则、《创金合信沪港深研究精选灵活配置混合型证券投资基金基金合同》和其他有关法律法规的规定，本着诚实信用、勤勉尽责的原则管理和运用基金资产，在严格控制风险的基础上，为基金持有人谋求最大利益。本报告期内，基金运作整体合法合规，未发现损害基金持有人利益的行为。基金的投资范围、投资比例及投资组合符合有关法律法规及基金合同的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6" w:name="_Toc477899862"/>
      <w:r>
        <w:rPr>
          <w:rFonts w:hint="default" w:ascii="Times New Roman" w:hAnsi="Times New Roman"/>
          <w:b/>
          <w:color w:val="000000"/>
          <w:kern w:val="0"/>
          <w:sz w:val="24"/>
        </w:rPr>
        <w:t xml:space="preserve">4.3 </w:t>
      </w:r>
      <w:r>
        <w:rPr>
          <w:rFonts w:hint="eastAsia" w:ascii="Times New Roman" w:hAnsi="Times New Roman"/>
          <w:b/>
          <w:color w:val="000000"/>
          <w:kern w:val="0"/>
          <w:sz w:val="24"/>
        </w:rPr>
        <w:t>管理人对报告期内公平交易情况的专项说明</w:t>
      </w:r>
      <w:bookmarkEnd w:id="16"/>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4.3.1 </w:t>
      </w:r>
      <w:r>
        <w:rPr>
          <w:rFonts w:hint="eastAsia" w:ascii="Times New Roman" w:hAnsi="Times New Roman"/>
          <w:b/>
          <w:color w:val="000000"/>
          <w:kern w:val="0"/>
          <w:sz w:val="24"/>
        </w:rPr>
        <w:t>公平交易制度和控制方法</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为了进一步规范和完善本基金管理人（以下简称</w:t>
      </w:r>
      <w:r>
        <w:rPr>
          <w:rFonts w:hint="default" w:ascii="Times New Roman" w:hAnsi="Times New Roman"/>
          <w:color w:val="000000"/>
          <w:kern w:val="0"/>
          <w:sz w:val="24"/>
        </w:rPr>
        <w:t>"</w:t>
      </w:r>
      <w:r>
        <w:rPr>
          <w:rFonts w:hint="eastAsia" w:ascii="Times New Roman" w:hAnsi="Times New Roman"/>
          <w:color w:val="000000"/>
          <w:kern w:val="0"/>
          <w:sz w:val="24"/>
        </w:rPr>
        <w:t>本公司</w:t>
      </w:r>
      <w:r>
        <w:rPr>
          <w:rFonts w:hint="default" w:ascii="Times New Roman" w:hAnsi="Times New Roman"/>
          <w:color w:val="000000"/>
          <w:kern w:val="0"/>
          <w:sz w:val="24"/>
        </w:rPr>
        <w:t>"</w:t>
      </w:r>
      <w:r>
        <w:rPr>
          <w:rFonts w:hint="eastAsia" w:ascii="Times New Roman" w:hAnsi="Times New Roman"/>
          <w:color w:val="000000"/>
          <w:kern w:val="0"/>
          <w:sz w:val="24"/>
        </w:rPr>
        <w:t>）投资和交易管理，严格遵守法律法规关于公平交易的相关规定，根据《中华人民共和国证券投资基金法》、《证券投资基金管理公司管理办法》、《证券投资基金管理公司公平交易制度指导意见（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、授权、研究分析与投资决策的内部控制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、交易执行的内部控制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、交易指令分配的控制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所有投资对象的投资指令必须经由交易室总监或其授权人审核后分配至交易员执行。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、公平交易监控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w:t>
      </w:r>
      <w:r>
        <w:rPr>
          <w:rFonts w:hint="default" w:ascii="Times New Roman" w:hAnsi="Times New Roman"/>
          <w:color w:val="000000"/>
          <w:kern w:val="0"/>
          <w:sz w:val="24"/>
        </w:rPr>
        <w:t>1</w:t>
      </w:r>
      <w:r>
        <w:rPr>
          <w:rFonts w:hint="eastAsia" w:ascii="Times New Roman" w:hAnsi="Times New Roman"/>
          <w:color w:val="000000"/>
          <w:kern w:val="0"/>
          <w:sz w:val="24"/>
        </w:rPr>
        <w:t>日内、</w:t>
      </w:r>
      <w:r>
        <w:rPr>
          <w:rFonts w:hint="default" w:ascii="Times New Roman" w:hAnsi="Times New Roman"/>
          <w:color w:val="000000"/>
          <w:kern w:val="0"/>
          <w:sz w:val="24"/>
        </w:rPr>
        <w:t>3</w:t>
      </w:r>
      <w:r>
        <w:rPr>
          <w:rFonts w:hint="eastAsia" w:ascii="Times New Roman" w:hAnsi="Times New Roman"/>
          <w:color w:val="000000"/>
          <w:kern w:val="0"/>
          <w:sz w:val="24"/>
        </w:rPr>
        <w:t>日、</w:t>
      </w:r>
      <w:r>
        <w:rPr>
          <w:rFonts w:hint="default" w:ascii="Times New Roman" w:hAnsi="Times New Roman"/>
          <w:color w:val="000000"/>
          <w:kern w:val="0"/>
          <w:sz w:val="24"/>
        </w:rPr>
        <w:t>5</w:t>
      </w:r>
      <w:r>
        <w:rPr>
          <w:rFonts w:hint="eastAsia" w:ascii="Times New Roman" w:hAnsi="Times New Roman"/>
          <w:color w:val="000000"/>
          <w:kern w:val="0"/>
          <w:sz w:val="24"/>
        </w:rPr>
        <w:t>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4.3.2 </w:t>
      </w:r>
      <w:r>
        <w:rPr>
          <w:rFonts w:hint="eastAsia" w:ascii="Times New Roman" w:hAnsi="Times New Roman"/>
          <w:b/>
          <w:color w:val="000000"/>
          <w:kern w:val="0"/>
          <w:sz w:val="24"/>
        </w:rPr>
        <w:t>公平交易制度的执行情况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本基金管理人严格执行《证券投资基金管理公司公平交易制度指导意见（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通过建立有纪律、规范化的投资研究和决策流程、交易流程、强化事后监控及分析手段等各种方式在各业务环节严格控制交易公平执行，公平对待旗下管理的所有投资组合，切实防范利益输送。本报告期内本基金管理人根据《证券投资基金管理公司公平交易制度指导意见（</w:t>
      </w:r>
      <w:r>
        <w:rPr>
          <w:rFonts w:hint="default" w:ascii="Times New Roman" w:hAnsi="Times New Roman"/>
          <w:color w:val="000000"/>
          <w:kern w:val="0"/>
          <w:sz w:val="24"/>
        </w:rPr>
        <w:t>2011</w:t>
      </w:r>
      <w:r>
        <w:rPr>
          <w:rFonts w:hint="eastAsia" w:ascii="Times New Roman" w:hAnsi="Times New Roman"/>
          <w:color w:val="000000"/>
          <w:kern w:val="0"/>
          <w:sz w:val="24"/>
        </w:rPr>
        <w:t>年修订）》及《创金合信基金管理有限公司公平交易制度》对本年度同向交易价差、反向交易进行了专项分析，未发现异常交易情况。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4.3.3 </w:t>
      </w:r>
      <w:r>
        <w:rPr>
          <w:rFonts w:hint="eastAsia" w:ascii="Times New Roman" w:hAnsi="Times New Roman"/>
          <w:b/>
          <w:color w:val="000000"/>
          <w:kern w:val="0"/>
          <w:sz w:val="24"/>
        </w:rPr>
        <w:t>异常交易行为的专项说明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本报告期内，未发现本基金有可能导致不公平交易和利益输送的异常交易。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7" w:name="_Toc477899863"/>
      <w:r>
        <w:rPr>
          <w:rFonts w:hint="default" w:ascii="Times New Roman" w:hAnsi="Times New Roman"/>
          <w:b/>
          <w:color w:val="000000"/>
          <w:kern w:val="0"/>
          <w:sz w:val="24"/>
        </w:rPr>
        <w:t xml:space="preserve">4.4 </w:t>
      </w:r>
      <w:r>
        <w:rPr>
          <w:rFonts w:hint="eastAsia" w:ascii="Times New Roman" w:hAnsi="Times New Roman"/>
          <w:b/>
          <w:color w:val="000000"/>
          <w:kern w:val="0"/>
          <w:sz w:val="24"/>
        </w:rPr>
        <w:t>管理人对报告期内基金的投资策略和业绩表现的说明</w:t>
      </w:r>
      <w:bookmarkEnd w:id="17"/>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4.4.1 </w:t>
      </w:r>
      <w:r>
        <w:rPr>
          <w:rFonts w:hint="eastAsia" w:ascii="Times New Roman" w:hAnsi="Times New Roman"/>
          <w:b/>
          <w:color w:val="000000"/>
          <w:kern w:val="0"/>
          <w:sz w:val="24"/>
        </w:rPr>
        <w:t>报告期内基金投资策略和运作分析</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沪港深研究精选基金成立于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日，在成立初期暂时采取类</w:t>
      </w:r>
      <w:r>
        <w:rPr>
          <w:rFonts w:hint="default" w:ascii="Times New Roman" w:hAnsi="Times New Roman"/>
          <w:color w:val="000000"/>
          <w:kern w:val="0"/>
          <w:sz w:val="24"/>
        </w:rPr>
        <w:t>CPPI</w:t>
      </w:r>
      <w:r>
        <w:rPr>
          <w:rFonts w:hint="eastAsia" w:ascii="Times New Roman" w:hAnsi="Times New Roman"/>
          <w:color w:val="000000"/>
          <w:kern w:val="0"/>
          <w:sz w:val="24"/>
        </w:rPr>
        <w:t>动态保本策略进行操作，</w:t>
      </w:r>
      <w:r>
        <w:rPr>
          <w:rFonts w:hint="default" w:ascii="Times New Roman" w:hAnsi="Times New Roman"/>
          <w:color w:val="000000"/>
          <w:kern w:val="0"/>
          <w:sz w:val="24"/>
        </w:rPr>
        <w:t>2016</w:t>
      </w:r>
      <w:r>
        <w:rPr>
          <w:rFonts w:hint="eastAsia" w:ascii="Times New Roman" w:hAnsi="Times New Roman"/>
          <w:color w:val="000000"/>
          <w:kern w:val="0"/>
          <w:sz w:val="24"/>
        </w:rPr>
        <w:t>年开始参照业绩基准相对收益操作。年初基金重点配置低估值、的银行、钢铁、煤炭等板块，</w:t>
      </w:r>
      <w:r>
        <w:rPr>
          <w:rFonts w:hint="default" w:ascii="Times New Roman" w:hAnsi="Times New Roman"/>
          <w:color w:val="000000"/>
          <w:kern w:val="0"/>
          <w:sz w:val="24"/>
        </w:rPr>
        <w:t>1</w:t>
      </w:r>
      <w:r>
        <w:rPr>
          <w:rFonts w:hint="eastAsia" w:ascii="Times New Roman" w:hAnsi="Times New Roman"/>
          <w:color w:val="000000"/>
          <w:kern w:val="0"/>
          <w:sz w:val="24"/>
        </w:rPr>
        <w:t>月经历市场大幅调整后，逐步提高了组合中高贝塔、低市值的化工、建材、有色等周期类行业配置比例。沪港深研究精选基金</w:t>
      </w:r>
      <w:r>
        <w:rPr>
          <w:rFonts w:hint="default" w:ascii="Times New Roman" w:hAnsi="Times New Roman"/>
          <w:color w:val="000000"/>
          <w:kern w:val="0"/>
          <w:sz w:val="24"/>
        </w:rPr>
        <w:t>2016</w:t>
      </w:r>
      <w:r>
        <w:rPr>
          <w:rFonts w:hint="eastAsia" w:ascii="Times New Roman" w:hAnsi="Times New Roman"/>
          <w:color w:val="000000"/>
          <w:kern w:val="0"/>
          <w:sz w:val="24"/>
        </w:rPr>
        <w:t>全年坚持</w:t>
      </w:r>
      <w:r>
        <w:rPr>
          <w:rFonts w:hint="default" w:ascii="Times New Roman" w:hAnsi="Times New Roman"/>
          <w:color w:val="000000"/>
          <w:kern w:val="0"/>
          <w:sz w:val="24"/>
        </w:rPr>
        <w:t>"</w:t>
      </w:r>
      <w:r>
        <w:rPr>
          <w:rFonts w:hint="eastAsia" w:ascii="Times New Roman" w:hAnsi="Times New Roman"/>
          <w:color w:val="000000"/>
          <w:kern w:val="0"/>
          <w:sz w:val="24"/>
        </w:rPr>
        <w:t>三低</w:t>
      </w:r>
      <w:r>
        <w:rPr>
          <w:rFonts w:hint="default" w:ascii="Times New Roman" w:hAnsi="Times New Roman"/>
          <w:color w:val="000000"/>
          <w:kern w:val="0"/>
          <w:sz w:val="24"/>
        </w:rPr>
        <w:t>"</w:t>
      </w:r>
      <w:r>
        <w:rPr>
          <w:rFonts w:hint="eastAsia" w:ascii="Times New Roman" w:hAnsi="Times New Roman"/>
          <w:color w:val="000000"/>
          <w:kern w:val="0"/>
          <w:sz w:val="24"/>
        </w:rPr>
        <w:t>操作策略，主要选择低估值、低涨幅品种进行逢低配置，并逐步用三低品种替换组合配置中涨幅较大的品种。基金整体采取了大、小市值和高、低波动率结合的哑铃型资产配置策略，行业方面重点配置了化工新材料、钢铁、水泥等周期类行业和石化、铁路等国企改革相关个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4.4.2 </w:t>
      </w:r>
      <w:r>
        <w:rPr>
          <w:rFonts w:hint="eastAsia" w:ascii="Times New Roman" w:hAnsi="Times New Roman"/>
          <w:b/>
          <w:color w:val="000000"/>
          <w:kern w:val="0"/>
          <w:sz w:val="24"/>
        </w:rPr>
        <w:t>报告期内基金的业绩表现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年末基金单位净值为</w:t>
      </w:r>
      <w:r>
        <w:rPr>
          <w:rFonts w:hint="default" w:ascii="Times New Roman" w:hAnsi="Times New Roman"/>
          <w:color w:val="000000"/>
          <w:kern w:val="0"/>
          <w:sz w:val="24"/>
        </w:rPr>
        <w:t>1.07</w:t>
      </w:r>
      <w:r>
        <w:rPr>
          <w:rFonts w:hint="eastAsia" w:ascii="Times New Roman" w:hAnsi="Times New Roman"/>
          <w:color w:val="000000"/>
          <w:kern w:val="0"/>
          <w:sz w:val="24"/>
        </w:rPr>
        <w:t>元，年度涨幅</w:t>
      </w:r>
      <w:r>
        <w:rPr>
          <w:rFonts w:hint="default" w:ascii="Times New Roman" w:hAnsi="Times New Roman"/>
          <w:color w:val="000000"/>
          <w:kern w:val="0"/>
          <w:sz w:val="24"/>
        </w:rPr>
        <w:t>7.54%</w:t>
      </w:r>
      <w:r>
        <w:rPr>
          <w:rFonts w:hint="eastAsia" w:ascii="Times New Roman" w:hAnsi="Times New Roman"/>
          <w:color w:val="000000"/>
          <w:kern w:val="0"/>
          <w:sz w:val="24"/>
        </w:rPr>
        <w:t>。</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HS300</w:t>
      </w:r>
      <w:r>
        <w:rPr>
          <w:rFonts w:hint="eastAsia" w:ascii="Times New Roman" w:hAnsi="Times New Roman"/>
          <w:color w:val="000000"/>
          <w:kern w:val="0"/>
          <w:sz w:val="24"/>
        </w:rPr>
        <w:t>指数下跌</w:t>
      </w:r>
      <w:r>
        <w:rPr>
          <w:rFonts w:hint="default" w:ascii="Times New Roman" w:hAnsi="Times New Roman"/>
          <w:color w:val="000000"/>
          <w:kern w:val="0"/>
          <w:sz w:val="24"/>
        </w:rPr>
        <w:t>11.28%</w:t>
      </w:r>
      <w:r>
        <w:rPr>
          <w:rFonts w:hint="eastAsia" w:ascii="Times New Roman" w:hAnsi="Times New Roman"/>
          <w:color w:val="000000"/>
          <w:kern w:val="0"/>
          <w:sz w:val="24"/>
        </w:rPr>
        <w:t>，香港恒生指数微涨</w:t>
      </w:r>
      <w:r>
        <w:rPr>
          <w:rFonts w:hint="default" w:ascii="Times New Roman" w:hAnsi="Times New Roman"/>
          <w:color w:val="000000"/>
          <w:kern w:val="0"/>
          <w:sz w:val="24"/>
        </w:rPr>
        <w:t>0.4%</w:t>
      </w:r>
      <w:r>
        <w:rPr>
          <w:rFonts w:hint="eastAsia" w:ascii="Times New Roman" w:hAnsi="Times New Roman"/>
          <w:color w:val="000000"/>
          <w:kern w:val="0"/>
          <w:sz w:val="24"/>
        </w:rPr>
        <w:t>，业绩基准</w:t>
      </w:r>
      <w:r>
        <w:rPr>
          <w:rFonts w:hint="default" w:ascii="Times New Roman" w:hAnsi="Times New Roman"/>
          <w:color w:val="000000"/>
          <w:kern w:val="0"/>
          <w:sz w:val="24"/>
        </w:rPr>
        <w:t>-4.65%</w:t>
      </w:r>
      <w:r>
        <w:rPr>
          <w:rFonts w:hint="eastAsia" w:ascii="Times New Roman" w:hAnsi="Times New Roman"/>
          <w:color w:val="000000"/>
          <w:kern w:val="0"/>
          <w:sz w:val="24"/>
        </w:rPr>
        <w:t>，基金涨幅领先业绩基准</w:t>
      </w:r>
      <w:r>
        <w:rPr>
          <w:rFonts w:hint="default" w:ascii="Times New Roman" w:hAnsi="Times New Roman"/>
          <w:color w:val="000000"/>
          <w:kern w:val="0"/>
          <w:sz w:val="24"/>
        </w:rPr>
        <w:t>12.1%</w:t>
      </w:r>
      <w:r>
        <w:rPr>
          <w:rFonts w:hint="eastAsia" w:ascii="Times New Roman" w:hAnsi="Times New Roman"/>
          <w:color w:val="000000"/>
          <w:kern w:val="0"/>
          <w:sz w:val="24"/>
        </w:rPr>
        <w:t>。基金净值超越业绩基准的原因主要由于在个股选择和行业配置方面带来一定超额收益。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8" w:name="_Toc477899864"/>
      <w:r>
        <w:rPr>
          <w:rFonts w:hint="default" w:ascii="Times New Roman" w:hAnsi="Times New Roman"/>
          <w:b/>
          <w:color w:val="000000"/>
          <w:kern w:val="0"/>
          <w:sz w:val="24"/>
        </w:rPr>
        <w:t xml:space="preserve">4.5 </w:t>
      </w:r>
      <w:r>
        <w:rPr>
          <w:rFonts w:hint="eastAsia" w:ascii="Times New Roman" w:hAnsi="Times New Roman"/>
          <w:b/>
          <w:color w:val="000000"/>
          <w:kern w:val="0"/>
          <w:sz w:val="24"/>
        </w:rPr>
        <w:t>管理人对宏观经济、证券市场及行业走势的简要展望</w:t>
      </w:r>
      <w:bookmarkEnd w:id="1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宏观经济未来较长时期将处于去杠杆过程中，经历长期信用扩张期后，信用杠杆派生的资产泡沫迟早要消化。总资产回报率趋势性下降，导致社会资产负债表自发性的信用收缩，需要货币政策适度对冲。经济</w:t>
      </w:r>
      <w:r>
        <w:rPr>
          <w:rFonts w:hint="default" w:ascii="Times New Roman" w:hAnsi="Times New Roman"/>
          <w:color w:val="000000"/>
          <w:kern w:val="0"/>
          <w:sz w:val="24"/>
        </w:rPr>
        <w:t>L</w:t>
      </w:r>
      <w:r>
        <w:rPr>
          <w:rFonts w:hint="eastAsia" w:ascii="Times New Roman" w:hAnsi="Times New Roman"/>
          <w:color w:val="000000"/>
          <w:kern w:val="0"/>
          <w:sz w:val="24"/>
        </w:rPr>
        <w:t>形是由人口、资本等生产要素投入增速趋势性下降决定，但财政政策空间可以阶段性对冲维稳。</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股市场虽然经历了</w:t>
      </w:r>
      <w:r>
        <w:rPr>
          <w:rFonts w:hint="default" w:ascii="Times New Roman" w:hAnsi="Times New Roman"/>
          <w:color w:val="000000"/>
          <w:kern w:val="0"/>
          <w:sz w:val="24"/>
        </w:rPr>
        <w:t>2015</w:t>
      </w:r>
      <w:r>
        <w:rPr>
          <w:rFonts w:hint="eastAsia" w:ascii="Times New Roman" w:hAnsi="Times New Roman"/>
          <w:color w:val="000000"/>
          <w:kern w:val="0"/>
          <w:sz w:val="24"/>
        </w:rPr>
        <w:t>年三季度以来持续一年半的调整，但除金融等大盘蓝筹股票表观估值较低外，中小市值和创业板股票整体市盈率、市净率估值仍然处于历史相对和绝对高位。</w:t>
      </w:r>
      <w:r>
        <w:rPr>
          <w:rFonts w:hint="default" w:ascii="Times New Roman" w:hAnsi="Times New Roman"/>
          <w:color w:val="000000"/>
          <w:kern w:val="0"/>
          <w:sz w:val="24"/>
        </w:rPr>
        <w:t>A</w:t>
      </w:r>
      <w:r>
        <w:rPr>
          <w:rFonts w:hint="eastAsia" w:ascii="Times New Roman" w:hAnsi="Times New Roman"/>
          <w:color w:val="000000"/>
          <w:kern w:val="0"/>
          <w:sz w:val="24"/>
        </w:rPr>
        <w:t>股市场未来整体仍将对之前三年牛市累计历史涨幅进行修正，中小市值股票继续振荡回吐相对于大中市值股票的超额收益和相对高估值。参与资金绝对收益止损操作策略趋同，导致之前缓涨急跌的市场特征仍可能阶段性出现。市场缺少全局性机会，仍将是大市值指标股整体阶段性轮动振荡维稳，少量中小市值主题、行业局部热点轮动暖场的格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行业和主题方面，倾向于供给侧改革、国企改革和一路一带三条主线。</w:t>
      </w:r>
      <w:r>
        <w:rPr>
          <w:rFonts w:hint="default" w:ascii="Times New Roman" w:hAnsi="Times New Roman"/>
          <w:color w:val="000000"/>
          <w:kern w:val="0"/>
          <w:sz w:val="24"/>
        </w:rPr>
        <w:t>2014</w:t>
      </w:r>
      <w:r>
        <w:rPr>
          <w:rFonts w:hint="eastAsia" w:ascii="Times New Roman" w:hAnsi="Times New Roman"/>
          <w:color w:val="000000"/>
          <w:kern w:val="0"/>
          <w:sz w:val="24"/>
        </w:rPr>
        <w:t>年以来，国企改革一直是市场顶层运行主线。</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4</w:t>
      </w:r>
      <w:r>
        <w:rPr>
          <w:rFonts w:hint="eastAsia" w:ascii="Times New Roman" w:hAnsi="Times New Roman"/>
          <w:color w:val="000000"/>
          <w:kern w:val="0"/>
          <w:sz w:val="24"/>
        </w:rPr>
        <w:t>日全国国有企业改革座谈会上，习近平总书记对国有企业改革作出重要指示，强调理直气壮做强做优做大国有企业。在这一定位明确后，</w:t>
      </w:r>
      <w:r>
        <w:rPr>
          <w:rFonts w:hint="default" w:ascii="Times New Roman" w:hAnsi="Times New Roman"/>
          <w:color w:val="000000"/>
          <w:kern w:val="0"/>
          <w:sz w:val="24"/>
        </w:rPr>
        <w:t>A</w:t>
      </w:r>
      <w:r>
        <w:rPr>
          <w:rFonts w:hint="eastAsia" w:ascii="Times New Roman" w:hAnsi="Times New Roman"/>
          <w:color w:val="000000"/>
          <w:kern w:val="0"/>
          <w:sz w:val="24"/>
        </w:rPr>
        <w:t>股市场的主要任务就确定为服务于国企改革、重组、再融资。未来投资标的也将优先在中央和地方国有企业中，选择低估值、低市值、低涨幅的三低品种，逢低配置。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19" w:name="_Toc477899865"/>
      <w:r>
        <w:rPr>
          <w:rFonts w:hint="default" w:ascii="Times New Roman" w:hAnsi="Times New Roman"/>
          <w:b/>
          <w:color w:val="000000"/>
          <w:kern w:val="0"/>
          <w:sz w:val="24"/>
        </w:rPr>
        <w:t xml:space="preserve">4.6 </w:t>
      </w:r>
      <w:r>
        <w:rPr>
          <w:rFonts w:hint="eastAsia" w:ascii="Times New Roman" w:hAnsi="Times New Roman"/>
          <w:b/>
          <w:color w:val="000000"/>
          <w:kern w:val="0"/>
          <w:sz w:val="24"/>
        </w:rPr>
        <w:t>管理人内部有关本基金的监察稽核工作情况</w:t>
      </w:r>
      <w:bookmarkEnd w:id="1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本报告期内，本基金管理人的主要内部监察稽核工作如下：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1</w:t>
      </w:r>
      <w:r>
        <w:rPr>
          <w:rFonts w:hint="eastAsia" w:ascii="Times New Roman" w:hAnsi="Times New Roman"/>
          <w:color w:val="000000"/>
          <w:kern w:val="0"/>
          <w:sz w:val="24"/>
        </w:rPr>
        <w:t>）开展全面自查工作，排查各项业务活动中存在的问题或潜在的风险隐患，制定整改计划，并督促按计划完成整改；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2</w:t>
      </w:r>
      <w:r>
        <w:rPr>
          <w:rFonts w:hint="eastAsia" w:ascii="Times New Roman" w:hAnsi="Times New Roman"/>
          <w:color w:val="000000"/>
          <w:kern w:val="0"/>
          <w:sz w:val="24"/>
        </w:rPr>
        <w:t>）开展公司专项稽核工作，了解合规风险现状、发现薄弱环节，并持续督导改进；</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3</w:t>
      </w:r>
      <w:r>
        <w:rPr>
          <w:rFonts w:hint="eastAsia" w:ascii="Times New Roman" w:hAnsi="Times New Roman"/>
          <w:color w:val="000000"/>
          <w:kern w:val="0"/>
          <w:sz w:val="24"/>
        </w:rPr>
        <w:t>）强化合规法务工作。严格审核公司业务、产品及其合同等法律文件，解读最新的法律法规，发布合规提示或警示，举办合规培训；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4</w:t>
      </w:r>
      <w:r>
        <w:rPr>
          <w:rFonts w:hint="eastAsia" w:ascii="Times New Roman" w:hAnsi="Times New Roman"/>
          <w:color w:val="000000"/>
          <w:kern w:val="0"/>
          <w:sz w:val="24"/>
        </w:rPr>
        <w:t>）建立健全全面风险管理体系。全面梳理各业务部门的职责与权限，理顺工作流程；同时加强权限管理，健全事前、事中和事后的风险管理体系；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5</w:t>
      </w:r>
      <w:r>
        <w:rPr>
          <w:rFonts w:hint="eastAsia" w:ascii="Times New Roman" w:hAnsi="Times New Roman"/>
          <w:color w:val="000000"/>
          <w:kern w:val="0"/>
          <w:sz w:val="24"/>
        </w:rPr>
        <w:t>）完善信息披露工作。修订完善《信息披露制度》等制度，建立统一规范信息披露流程，明确各部门信息披露的职责分工，及时履行信息披露工作；</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6</w:t>
      </w:r>
      <w:r>
        <w:rPr>
          <w:rFonts w:hint="eastAsia" w:ascii="Times New Roman" w:hAnsi="Times New Roman"/>
          <w:color w:val="000000"/>
          <w:kern w:val="0"/>
          <w:sz w:val="24"/>
        </w:rPr>
        <w:t>）加强关联交易管理。修订《关联交易管理制度》，履行关联交易决策审批程序；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7</w:t>
      </w:r>
      <w:r>
        <w:rPr>
          <w:rFonts w:hint="eastAsia" w:ascii="Times New Roman" w:hAnsi="Times New Roman"/>
          <w:color w:val="000000"/>
          <w:kern w:val="0"/>
          <w:sz w:val="24"/>
        </w:rPr>
        <w:t>）建立内幕交易防控机制。公司建立了《内幕交易防控管理办法》，定期开展关于防止内幕交易的合规培训，严防内幕信息传递和内幕交易发生；</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8</w:t>
      </w:r>
      <w:r>
        <w:rPr>
          <w:rFonts w:hint="eastAsia" w:ascii="Times New Roman" w:hAnsi="Times New Roman"/>
          <w:color w:val="000000"/>
          <w:kern w:val="0"/>
          <w:sz w:val="24"/>
        </w:rPr>
        <w:t>）建立健全公平交易与异常交易管理机制。严格按照法律法规以及公司《公平交易制度》、《异常交易监控与报告制度》的要求，对所管理的不同投资组合之间发生的同向交易和反向交易进行监控，严格禁止同一投资组合在同一交易日内进行反向交易及其他可能导致不公平交易和利益输送的交易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9</w:t>
      </w:r>
      <w:r>
        <w:rPr>
          <w:rFonts w:hint="eastAsia" w:ascii="Times New Roman" w:hAnsi="Times New Roman"/>
          <w:color w:val="000000"/>
          <w:kern w:val="0"/>
          <w:sz w:val="24"/>
        </w:rPr>
        <w:t>）建立员工投资行为管理机制，规范员工的证券投资行为。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本基金管理人将坚持诚实信用、勤勉尽责的原则管理和运用基金资产，积极健全内部管理制度，不断提高内部监察稽核工作的科学性和有效性，努力防范各种风险，切实保护基金资产的安全与利益。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0" w:name="_Toc477899866"/>
      <w:r>
        <w:rPr>
          <w:rFonts w:hint="default" w:ascii="Times New Roman" w:hAnsi="Times New Roman"/>
          <w:b/>
          <w:color w:val="000000"/>
          <w:kern w:val="0"/>
          <w:sz w:val="24"/>
        </w:rPr>
        <w:t xml:space="preserve">4.7 </w:t>
      </w:r>
      <w:r>
        <w:rPr>
          <w:rFonts w:hint="eastAsia" w:ascii="Times New Roman" w:hAnsi="Times New Roman"/>
          <w:b/>
          <w:color w:val="000000"/>
          <w:kern w:val="0"/>
          <w:sz w:val="24"/>
        </w:rPr>
        <w:t>管理人对报告期内基金估值程序等事项的说明</w:t>
      </w:r>
      <w:bookmarkEnd w:id="2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本基金管理人严格按照企业会计准则、中国证监会相关规定和基金合同关于估值的约定，对基金所持有的投资品种进行估值。本基金托管人根据法律法规要求履行估值及净值计算的复核责任。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管理人在风险控制办公会下设估值小组，组长由公司总经理担任，成员由基金运营部、研究部、监察稽核部、综合部人员组成，实行一人一票制，可邀请专业人士列席，但不具表决权，基金运营部是估值小组的日常办事机构。估值小组成员具有多年的证券、基金从业经验，熟悉相关法律法规，具备行业研究、风险管理、法律合规或基金估值运作等方面的专业胜任能力。本报告期内，参与估值流程各方之间不存在任何重大利益冲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定价服务机构按照商业合同约定提供定价服务。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1" w:name="_Toc477899867"/>
      <w:r>
        <w:rPr>
          <w:rFonts w:hint="default" w:ascii="Times New Roman" w:hAnsi="Times New Roman"/>
          <w:b/>
          <w:color w:val="000000"/>
          <w:kern w:val="0"/>
          <w:sz w:val="24"/>
        </w:rPr>
        <w:t xml:space="preserve">4.8 </w:t>
      </w:r>
      <w:r>
        <w:rPr>
          <w:rFonts w:hint="eastAsia" w:ascii="Times New Roman" w:hAnsi="Times New Roman"/>
          <w:b/>
          <w:color w:val="000000"/>
          <w:kern w:val="0"/>
          <w:sz w:val="24"/>
        </w:rPr>
        <w:t>管理人对报告期内基金利润分配情况的说明</w:t>
      </w:r>
      <w:bookmarkEnd w:id="2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本报告期内，本基金未进行利润分配，符合合同约定。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4.9 </w:t>
      </w:r>
      <w:r>
        <w:rPr>
          <w:rFonts w:hint="eastAsia" w:ascii="Times New Roman" w:hAnsi="Times New Roman"/>
          <w:b/>
          <w:color w:val="000000"/>
          <w:kern w:val="0"/>
          <w:sz w:val="24"/>
        </w:rPr>
        <w:t>报告期内管理人对本基金持有人数或基金资产净值预警情形的说明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本基金本报告期未出现连续二十个工作日基金份额持有人数量不满二百人或者基金资产净值低于五千万元的情形。</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2" w:name="_Toc477899868"/>
      <w:r>
        <w:rPr>
          <w:rFonts w:hint="eastAsia" w:ascii="Times New Roman" w:hAnsi="Times New Roman"/>
          <w:b/>
          <w:color w:val="000000"/>
          <w:kern w:val="0"/>
          <w:sz w:val="24"/>
        </w:rPr>
        <w:t>§</w:t>
      </w:r>
      <w:r>
        <w:rPr>
          <w:rFonts w:hint="default" w:ascii="Times New Roman" w:hAnsi="Times New Roman"/>
          <w:b/>
          <w:color w:val="000000"/>
          <w:kern w:val="0"/>
          <w:sz w:val="24"/>
        </w:rPr>
        <w:t xml:space="preserve">5  </w:t>
      </w:r>
      <w:r>
        <w:rPr>
          <w:rFonts w:hint="eastAsia" w:ascii="Times New Roman" w:hAnsi="Times New Roman"/>
          <w:b/>
          <w:color w:val="000000"/>
          <w:kern w:val="0"/>
          <w:sz w:val="24"/>
        </w:rPr>
        <w:t>托管人报告</w:t>
      </w:r>
      <w:bookmarkEnd w:id="22"/>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3" w:name="_Toc477899869"/>
      <w:r>
        <w:rPr>
          <w:rFonts w:hint="default" w:ascii="Times New Roman" w:hAnsi="Times New Roman"/>
          <w:b/>
          <w:color w:val="000000"/>
          <w:kern w:val="0"/>
          <w:sz w:val="24"/>
        </w:rPr>
        <w:t xml:space="preserve">5.1 </w:t>
      </w:r>
      <w:r>
        <w:rPr>
          <w:rFonts w:hint="eastAsia" w:ascii="Times New Roman" w:hAnsi="Times New Roman"/>
          <w:b/>
          <w:color w:val="000000"/>
          <w:kern w:val="0"/>
          <w:sz w:val="24"/>
        </w:rPr>
        <w:t>报告期内本基金托管人遵规守信情况声明</w:t>
      </w:r>
      <w:bookmarkEnd w:id="2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托管人在对创金合信沪港深研究精选灵活配置混合型证券投资基金的托管过程中，严格遵守《证券投资基金法》及其他法律法规和基金合同的有关规定，不存在任何损害基金份额持有人利益的行为，完全尽职尽责地履行了基金托管人应尽的义务。</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4" w:name="_Toc477899870"/>
      <w:r>
        <w:rPr>
          <w:rFonts w:hint="default" w:ascii="Times New Roman" w:hAnsi="Times New Roman"/>
          <w:b/>
          <w:color w:val="000000"/>
          <w:kern w:val="0"/>
          <w:sz w:val="24"/>
        </w:rPr>
        <w:t xml:space="preserve">5.2 </w:t>
      </w:r>
      <w:r>
        <w:rPr>
          <w:rFonts w:hint="eastAsia" w:ascii="Times New Roman" w:hAnsi="Times New Roman"/>
          <w:b/>
          <w:color w:val="000000"/>
          <w:kern w:val="0"/>
          <w:sz w:val="24"/>
        </w:rPr>
        <w:t>托管人对报告期内本基金投资运作遵规守信、净值计算、利润分配等情况的说明</w:t>
      </w:r>
      <w:bookmarkEnd w:id="2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本报告期内，创金合信沪港深研究精选灵活配置混合型证券投资基金的管理人</w:t>
      </w:r>
      <w:r>
        <w:rPr>
          <w:rFonts w:hint="default" w:ascii="Times New Roman" w:eastAsia="Times New Roman"/>
          <w:color w:val="000000"/>
          <w:kern w:val="0"/>
          <w:sz w:val="24"/>
        </w:rPr>
        <w:t>--</w:t>
      </w:r>
      <w:r>
        <w:rPr>
          <w:rFonts w:hint="eastAsia" w:ascii="Times New Roman" w:hAnsi="Times New Roman"/>
          <w:color w:val="000000"/>
          <w:kern w:val="0"/>
          <w:sz w:val="24"/>
        </w:rPr>
        <w:t>创金合信基金管理有限公司在创金合信沪港深研究精选灵活配置混合型证券投资基金的投资运作、基金资产净值计算、基金份额申购赎回价格计算、基金费用开支等问题上，不存在任何损害基金份额持有人利益的行为，在各重要方面的运作严格按照基金合同的规定进行。本报告期内，创金合信沪港深研究精选灵活配置混合型证券投资基金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5" w:name="_Toc477899871"/>
      <w:r>
        <w:rPr>
          <w:rFonts w:hint="default" w:ascii="Times New Roman" w:hAnsi="Times New Roman"/>
          <w:b/>
          <w:color w:val="000000"/>
          <w:kern w:val="0"/>
          <w:sz w:val="24"/>
        </w:rPr>
        <w:t xml:space="preserve">5.3 </w:t>
      </w:r>
      <w:r>
        <w:rPr>
          <w:rFonts w:hint="eastAsia" w:ascii="Times New Roman" w:hAnsi="Times New Roman"/>
          <w:b/>
          <w:color w:val="000000"/>
          <w:kern w:val="0"/>
          <w:sz w:val="24"/>
        </w:rPr>
        <w:t>托管人对本年度报告中财务信息等内容的真实、准确和完整发表意见</w:t>
      </w:r>
      <w:bookmarkEnd w:id="2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本托管人依法对创金合信基金管理有限公司编制和披露的创金合信沪港深研究精选灵活配置混合型证券投资基金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年年度报告中财务指标、净值表现、利润分配情况、财务会计报告、投资组合报告等内容进行了核查，以上内容真实、准确和完整。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6" w:name="_Toc477899872"/>
      <w:r>
        <w:rPr>
          <w:rFonts w:hint="eastAsia" w:ascii="Times New Roman" w:hAnsi="Times New Roman"/>
          <w:b/>
          <w:color w:val="000000"/>
          <w:kern w:val="0"/>
          <w:sz w:val="24"/>
        </w:rPr>
        <w:t>§</w:t>
      </w:r>
      <w:r>
        <w:rPr>
          <w:rFonts w:hint="default" w:ascii="Times New Roman" w:hAnsi="Times New Roman"/>
          <w:b/>
          <w:color w:val="000000"/>
          <w:kern w:val="0"/>
          <w:sz w:val="24"/>
        </w:rPr>
        <w:t xml:space="preserve">6  </w:t>
      </w:r>
      <w:r>
        <w:rPr>
          <w:rFonts w:hint="eastAsia" w:ascii="Times New Roman" w:hAnsi="Times New Roman"/>
          <w:b/>
          <w:color w:val="000000"/>
          <w:kern w:val="0"/>
          <w:sz w:val="24"/>
        </w:rPr>
        <w:t>审计报告</w:t>
      </w:r>
      <w:bookmarkEnd w:id="26"/>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7" w:name="_Toc477899873"/>
      <w:r>
        <w:rPr>
          <w:rFonts w:hint="default" w:ascii="Times New Roman" w:hAnsi="Times New Roman"/>
          <w:b/>
          <w:color w:val="000000"/>
          <w:kern w:val="0"/>
          <w:sz w:val="24"/>
        </w:rPr>
        <w:t xml:space="preserve">6.1 </w:t>
      </w:r>
      <w:r>
        <w:rPr>
          <w:rFonts w:hint="eastAsia" w:ascii="Times New Roman" w:hAnsi="Times New Roman"/>
          <w:b/>
          <w:color w:val="000000"/>
          <w:kern w:val="0"/>
          <w:sz w:val="24"/>
        </w:rPr>
        <w:t>审计报告基本信息</w:t>
      </w:r>
      <w:bookmarkEnd w:id="27"/>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财务报表是否经过审计</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审计意见类型</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标准无保留意见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审计报告编号</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普华永道中天审字</w:t>
            </w:r>
            <w:r>
              <w:rPr>
                <w:rFonts w:hint="default" w:ascii="Times New Roman" w:hAnsi="Times New Roman"/>
                <w:color w:val="000000"/>
                <w:kern w:val="0"/>
                <w:sz w:val="24"/>
              </w:rPr>
              <w:t>(2017)</w:t>
            </w:r>
            <w:r>
              <w:rPr>
                <w:rFonts w:hint="eastAsia" w:ascii="Times New Roman" w:hAnsi="Times New Roman"/>
                <w:color w:val="000000"/>
                <w:kern w:val="0"/>
                <w:sz w:val="24"/>
              </w:rPr>
              <w:t>第</w:t>
            </w:r>
            <w:r>
              <w:rPr>
                <w:rFonts w:hint="default" w:ascii="Times New Roman" w:hAnsi="Times New Roman"/>
                <w:color w:val="000000"/>
                <w:kern w:val="0"/>
                <w:sz w:val="24"/>
              </w:rPr>
              <w:t>22101</w:t>
            </w:r>
            <w:r>
              <w:rPr>
                <w:rFonts w:hint="eastAsia" w:ascii="Times New Roman" w:hAnsi="Times New Roman"/>
                <w:color w:val="000000"/>
                <w:kern w:val="0"/>
                <w:sz w:val="24"/>
              </w:rPr>
              <w:t>号</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28" w:name="_Toc477899874"/>
      <w:r>
        <w:rPr>
          <w:rFonts w:hint="default" w:ascii="Times New Roman" w:hAnsi="Times New Roman"/>
          <w:b/>
          <w:color w:val="000000"/>
          <w:kern w:val="0"/>
          <w:sz w:val="24"/>
        </w:rPr>
        <w:t xml:space="preserve">6.2 </w:t>
      </w:r>
      <w:r>
        <w:rPr>
          <w:rFonts w:hint="eastAsia" w:ascii="Times New Roman" w:hAnsi="Times New Roman"/>
          <w:b/>
          <w:color w:val="000000"/>
          <w:kern w:val="0"/>
          <w:sz w:val="24"/>
        </w:rPr>
        <w:t>审计报告的基本内容</w:t>
      </w:r>
      <w:bookmarkEnd w:id="28"/>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0"/>
        <w:gridCol w:w="5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审计报告标题</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审计报告收件人</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全体基金份额持有人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引言段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我们审计了后附的创金合信沪港深研究精选灵活配置混合型证券投资基金</w:t>
            </w:r>
            <w:r>
              <w:rPr>
                <w:rFonts w:hint="default" w:ascii="Times New Roman" w:hAnsi="Times New Roman"/>
                <w:color w:val="000000"/>
                <w:kern w:val="0"/>
                <w:sz w:val="24"/>
              </w:rPr>
              <w:t xml:space="preserve">  (</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创金合信沪港深精选混合基金</w:t>
            </w:r>
            <w:r>
              <w:rPr>
                <w:rFonts w:hint="default" w:ascii="Times New Roman" w:hAnsi="Times New Roman"/>
                <w:color w:val="000000"/>
                <w:kern w:val="0"/>
                <w:sz w:val="24"/>
              </w:rPr>
              <w:t>")</w:t>
            </w:r>
            <w:r>
              <w:rPr>
                <w:rFonts w:hint="eastAsia" w:ascii="Times New Roman" w:hAnsi="Times New Roman"/>
                <w:color w:val="000000"/>
                <w:kern w:val="0"/>
                <w:sz w:val="24"/>
              </w:rPr>
              <w:t>的财务报表，包括</w:t>
            </w:r>
            <w:r>
              <w:rPr>
                <w:rFonts w:hint="default" w:ascii="Times New Roman" w:hAnsi="Times New Roman"/>
                <w:color w:val="000000"/>
                <w:kern w:val="0"/>
                <w:sz w:val="24"/>
              </w:rPr>
              <w:t xml:space="preserve"> 2016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日的资产负债表、</w:t>
            </w:r>
            <w:r>
              <w:rPr>
                <w:rFonts w:hint="default" w:ascii="Times New Roman" w:hAnsi="Times New Roman"/>
                <w:color w:val="000000"/>
                <w:kern w:val="0"/>
                <w:sz w:val="24"/>
              </w:rPr>
              <w:t>2016</w:t>
            </w:r>
            <w:r>
              <w:rPr>
                <w:rFonts w:hint="eastAsia" w:ascii="Times New Roman" w:hAnsi="Times New Roman"/>
                <w:color w:val="000000"/>
                <w:kern w:val="0"/>
                <w:sz w:val="24"/>
              </w:rPr>
              <w:t>年度的利润表和所有者权益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r>
              <w:rPr>
                <w:rFonts w:hint="eastAsia" w:ascii="Times New Roman" w:hAnsi="Times New Roman"/>
                <w:color w:val="000000"/>
                <w:kern w:val="0"/>
                <w:sz w:val="24"/>
              </w:rPr>
              <w:t>变动表以及财务报表附注。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管理层对财务报表的责任段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编制和公允列报财务报表是创金合信沪港深精选混合基金的基金管理人创金合信基金管理有限公司管理层的责任。这种责任包括：</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按照企业会计准则和中国证券监督管理委员会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发布的有关规定及允许的基金行业实务操作编制财务报表，并使其实现公允反映；</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设计、执行和维护必要的内部控制，以使财务报表不存在由于舞弊或错误导致的重大错报。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注册会计师的责任段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的责任是在执行审计工作的基础上对财务报表发表审计意见。我们按照中国注册会计师审计准则的规定执行了审计工作。中国注册会计师审计准则要求我们遵守中国注册会计师职业道德守则，计划和执行审计工作以对财务报表是否不存在重大错报获取合理保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工作涉及实施审计程序，以获取有关财务报表金额和披露的审计证据。选择的审计程序取决于注册会计师的判断，包括对由于舞弊或错误导致的财务报表重大错报风险的评估。在进行风险评估时，注册会计师考虑与财务报表编制和公允列报相关的内部控制，以设计恰当的审计程序，但目的并非对内部控制的有效性发表意见。审计工作还包括评价管理层选用会计政策的恰当性和作出会计估计的合理性，以及评价财务报表的总体列报。我们相信，我们获取的审计证据是充分、适当的，为发表审计意见提供了基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审计意见段</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我们认为，上述创金合信沪港深精选混合基金的财务报表在所有重大方面按照企业会计准则和在财务报表附注中所列示的中国证监会、中国基金业协会发布的有关规定及允许的基金行业实务操作编制，公允反映了创金合信沪港深精选混合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年度</w:t>
            </w:r>
            <w:r>
              <w:rPr>
                <w:rFonts w:hint="default" w:ascii="Times New Roman" w:hAnsi="Times New Roman"/>
                <w:color w:val="000000"/>
                <w:kern w:val="0"/>
                <w:sz w:val="24"/>
              </w:rPr>
              <w:t xml:space="preserve">  </w:t>
            </w:r>
            <w:r>
              <w:rPr>
                <w:rFonts w:hint="eastAsia" w:ascii="Times New Roman" w:hAnsi="Times New Roman"/>
                <w:color w:val="000000"/>
                <w:kern w:val="0"/>
                <w:sz w:val="24"/>
              </w:rPr>
              <w:t>的经营成果和基金净值变动情况。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注册会计师的姓名</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曹翠丽、边晓红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会计师事务所的名称</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普华永道中天会计师事务所（特殊普通合伙）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会计师事务所的地址</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上海市黄浦区湖滨路</w:t>
            </w:r>
            <w:r>
              <w:rPr>
                <w:rFonts w:hint="default" w:ascii="Times New Roman" w:hAnsi="Times New Roman"/>
                <w:color w:val="000000"/>
                <w:kern w:val="0"/>
                <w:sz w:val="24"/>
              </w:rPr>
              <w:t>202</w:t>
            </w:r>
            <w:r>
              <w:rPr>
                <w:rFonts w:hint="eastAsia" w:ascii="Times New Roman" w:hAnsi="Times New Roman"/>
                <w:color w:val="000000"/>
                <w:kern w:val="0"/>
                <w:sz w:val="24"/>
              </w:rPr>
              <w:t>号普华永道中心</w:t>
            </w:r>
            <w:r>
              <w:rPr>
                <w:rFonts w:hint="default" w:ascii="Times New Roman" w:hAnsi="Times New Roman"/>
                <w:color w:val="000000"/>
                <w:kern w:val="0"/>
                <w:sz w:val="24"/>
              </w:rPr>
              <w:t>11</w:t>
            </w:r>
            <w:r>
              <w:rPr>
                <w:rFonts w:hint="eastAsia" w:ascii="Times New Roman" w:hAnsi="Times New Roman"/>
                <w:color w:val="000000"/>
                <w:kern w:val="0"/>
                <w:sz w:val="24"/>
              </w:rPr>
              <w:t>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61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审计报告日期</w:t>
            </w:r>
          </w:p>
        </w:tc>
        <w:tc>
          <w:tcPr>
            <w:tcW w:w="541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2017-03-23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29" w:name="_Toc477899875"/>
      <w:r>
        <w:rPr>
          <w:rFonts w:hint="eastAsia" w:ascii="Times New Roman" w:hAnsi="Times New Roman"/>
          <w:b/>
          <w:color w:val="000000"/>
          <w:kern w:val="0"/>
          <w:sz w:val="24"/>
        </w:rPr>
        <w:t>§</w:t>
      </w:r>
      <w:r>
        <w:rPr>
          <w:rFonts w:hint="default" w:ascii="Times New Roman" w:hAnsi="Times New Roman"/>
          <w:b/>
          <w:color w:val="000000"/>
          <w:kern w:val="0"/>
          <w:sz w:val="24"/>
        </w:rPr>
        <w:t xml:space="preserve">7  </w:t>
      </w:r>
      <w:r>
        <w:rPr>
          <w:rFonts w:hint="eastAsia" w:ascii="Times New Roman" w:hAnsi="Times New Roman"/>
          <w:b/>
          <w:color w:val="000000"/>
          <w:kern w:val="0"/>
          <w:sz w:val="24"/>
        </w:rPr>
        <w:t>年度财务报表</w:t>
      </w:r>
      <w:bookmarkEnd w:id="29"/>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0" w:name="_Toc477899876"/>
      <w:r>
        <w:rPr>
          <w:rFonts w:hint="default" w:ascii="Times New Roman" w:hAnsi="Times New Roman"/>
          <w:b/>
          <w:color w:val="000000"/>
          <w:kern w:val="0"/>
          <w:sz w:val="24"/>
        </w:rPr>
        <w:t xml:space="preserve">7.1 </w:t>
      </w:r>
      <w:r>
        <w:rPr>
          <w:rFonts w:hint="eastAsia" w:ascii="Times New Roman" w:hAnsi="Times New Roman"/>
          <w:b/>
          <w:color w:val="000000"/>
          <w:kern w:val="0"/>
          <w:sz w:val="24"/>
        </w:rPr>
        <w:t>资产负债表</w:t>
      </w:r>
      <w:bookmarkEnd w:id="30"/>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会计主体：创金合信沪港深研究精选灵活配置混合型证券投资基金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报告截止日：</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1083"/>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资</w:t>
            </w:r>
            <w:r>
              <w:rPr>
                <w:rFonts w:hint="default" w:ascii="Times New Roman" w:hAnsi="Times New Roman"/>
                <w:b/>
                <w:color w:val="000000"/>
                <w:kern w:val="0"/>
                <w:sz w:val="24"/>
              </w:rPr>
              <w:t xml:space="preserve"> </w:t>
            </w:r>
            <w:r>
              <w:rPr>
                <w:rFonts w:hint="eastAsia" w:ascii="Times New Roman" w:hAnsi="Times New Roman"/>
                <w:b/>
                <w:color w:val="000000"/>
                <w:kern w:val="0"/>
                <w:sz w:val="24"/>
              </w:rPr>
              <w:t>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358,101.11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21,826,917.00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82,600.56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13,128.52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7.4.7.2</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7.4.7.4</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7.4.7.5</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6,923.51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21,557,993.62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其他资产</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7.4.7.6</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264,601,821.48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247,868,230.16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负债和所有者权益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负</w:t>
            </w:r>
            <w:r>
              <w:rPr>
                <w:rFonts w:hint="default" w:ascii="Times New Roman" w:hAnsi="Times New Roman"/>
                <w:b/>
                <w:color w:val="000000"/>
                <w:kern w:val="0"/>
                <w:sz w:val="24"/>
              </w:rPr>
              <w:t xml:space="preserve"> </w:t>
            </w:r>
            <w:r>
              <w:rPr>
                <w:rFonts w:hint="eastAsia" w:ascii="Times New Roman" w:hAnsi="Times New Roman"/>
                <w:b/>
                <w:color w:val="000000"/>
                <w:kern w:val="0"/>
                <w:sz w:val="24"/>
              </w:rPr>
              <w:t>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短期借款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交易性金融负债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衍生金融负债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7.4.7.3</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卖出回购金融资产款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13,748,271.71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213,294.52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946,340.85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226,640.62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325,320.18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37,773.44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7.4.7.7</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150,837.46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221,976.23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应交税费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递延所得税负债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7.4.7.8</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66,605.15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15,176,469.23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897,811.00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所有者权益：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7.4.7.9</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233,089,922.59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7.4.7.10</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16,335,429.66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-1,302,557.89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249,425,352.25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246,970,419.16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负债和所有者权益总计</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264,601,821.48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247,868,230.16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1.</w:t>
      </w:r>
      <w:r>
        <w:rPr>
          <w:rFonts w:hint="eastAsia" w:ascii="Times New Roman" w:hAnsi="Times New Roman"/>
          <w:color w:val="000000"/>
          <w:kern w:val="0"/>
          <w:sz w:val="21"/>
        </w:rPr>
        <w:t>报告截止日</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日，基金份额净值</w:t>
      </w:r>
      <w:r>
        <w:rPr>
          <w:rFonts w:hint="default" w:ascii="Times New Roman" w:hAnsi="Times New Roman"/>
          <w:color w:val="000000"/>
          <w:kern w:val="0"/>
          <w:sz w:val="21"/>
        </w:rPr>
        <w:t>1.070</w:t>
      </w:r>
      <w:r>
        <w:rPr>
          <w:rFonts w:hint="eastAsia" w:ascii="Times New Roman" w:hAnsi="Times New Roman"/>
          <w:color w:val="000000"/>
          <w:kern w:val="0"/>
          <w:sz w:val="21"/>
        </w:rPr>
        <w:t>元，基金份额总额</w:t>
      </w:r>
      <w:r>
        <w:rPr>
          <w:rFonts w:hint="default" w:ascii="Times New Roman" w:hAnsi="Times New Roman"/>
          <w:color w:val="000000"/>
          <w:kern w:val="0"/>
          <w:sz w:val="21"/>
        </w:rPr>
        <w:t>233,089,922.59</w:t>
      </w:r>
      <w:r>
        <w:rPr>
          <w:rFonts w:hint="eastAsia" w:ascii="Times New Roman" w:hAnsi="Times New Roman"/>
          <w:color w:val="000000"/>
          <w:kern w:val="0"/>
          <w:sz w:val="21"/>
        </w:rPr>
        <w:t>份。</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2.</w:t>
      </w:r>
      <w:r>
        <w:rPr>
          <w:rFonts w:hint="eastAsia" w:ascii="Times New Roman" w:hAnsi="Times New Roman"/>
          <w:color w:val="000000"/>
          <w:kern w:val="0"/>
          <w:sz w:val="21"/>
        </w:rPr>
        <w:t>本财务报表的报告期间为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1</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日止期间。本基金合同生效日为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1" w:name="_Toc477899877"/>
      <w:r>
        <w:rPr>
          <w:rFonts w:hint="default" w:ascii="Times New Roman" w:hAnsi="Times New Roman"/>
          <w:b/>
          <w:color w:val="000000"/>
          <w:kern w:val="0"/>
          <w:sz w:val="24"/>
        </w:rPr>
        <w:t xml:space="preserve">7.2 </w:t>
      </w:r>
      <w:r>
        <w:rPr>
          <w:rFonts w:hint="eastAsia" w:ascii="Times New Roman" w:hAnsi="Times New Roman"/>
          <w:b/>
          <w:color w:val="000000"/>
          <w:kern w:val="0"/>
          <w:sz w:val="24"/>
        </w:rPr>
        <w:t>利润表</w:t>
      </w:r>
      <w:bookmarkEnd w:id="31"/>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会计主体：创金合信沪港深研究精选灵活配置混合型证券投资基金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083"/>
        <w:gridCol w:w="2168"/>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附注号</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一、收入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16,422,962.50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1,024,117.22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274,543.99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1,933,738.92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7.4.7.11</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238,070.24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859,031.65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买入返售金融资产收入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36,473.75</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1,074,707.27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其他利息收入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投资收益（损失以“</w:t>
            </w:r>
            <w:r>
              <w:rPr>
                <w:rFonts w:hint="default" w:ascii="Times New Roman" w:eastAsia="Times New Roman"/>
                <w:color w:val="000000"/>
                <w:kern w:val="0"/>
                <w:sz w:val="24"/>
              </w:rPr>
              <w:t>-</w:t>
            </w:r>
            <w:r>
              <w:rPr>
                <w:rFonts w:hint="eastAsia" w:ascii="Times New Roman" w:hAnsi="Times New Roman"/>
                <w:color w:val="000000"/>
                <w:kern w:val="0"/>
                <w:sz w:val="24"/>
              </w:rPr>
              <w:t>”填列）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6,312,184.29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348,664.25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7.4.7.12</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4,718,701.48</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348,664.25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债券投资收益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7.4.7.13</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贵金属投资收益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衍生工具收益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7.4.7.14</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股利收益</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7.4.7.15</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1,593,482.81</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公允价值变动收益（损失以“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7.4.7.16</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9,500,861.13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汇兑收益（损失以“－”号填列）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其他收入（损失以“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7.4.7.17</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335,373.09</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181,747.60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减：二、费用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5,254,063.04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2,133,647.48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．管理人报酬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3,033,909.84</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1,511,717.71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．托管费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505,651.63</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251,953.03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．销售服务费</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．交易费用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7.4.7.18</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1,542,247.77</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285,936.74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．利息支出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其中：卖出回购金融资产支出</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6</w:t>
            </w:r>
            <w:r>
              <w:rPr>
                <w:rFonts w:hint="eastAsia" w:ascii="Times New Roman" w:hAnsi="Times New Roman"/>
                <w:color w:val="000000"/>
                <w:kern w:val="0"/>
                <w:sz w:val="24"/>
              </w:rPr>
              <w:t>．其他费用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7.4.7.19</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172,253.80</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三、利润总额（亏损总额以“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-1,109,530.26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减：所得税费用</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eastAsia" w:ascii="Times New Roman" w:hAnsi="Times New Roman"/>
                <w:b/>
                <w:color w:val="000000"/>
                <w:kern w:val="0"/>
                <w:sz w:val="24"/>
              </w:rPr>
              <w:t>四、净利润（净亏损以“</w:t>
            </w:r>
            <w:r>
              <w:rPr>
                <w:rFonts w:hint="default" w:ascii="Times New Roman" w:eastAsia="Times New Roman"/>
                <w:b/>
                <w:color w:val="000000"/>
                <w:kern w:val="0"/>
                <w:sz w:val="24"/>
              </w:rPr>
              <w:t>-</w:t>
            </w:r>
            <w:r>
              <w:rPr>
                <w:rFonts w:hint="eastAsia" w:ascii="Times New Roman" w:hAnsi="Times New Roman"/>
                <w:b/>
                <w:color w:val="000000"/>
                <w:kern w:val="0"/>
                <w:sz w:val="24"/>
              </w:rPr>
              <w:t>”号填列）</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-1,109,530.26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1</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日止期间。本基金合同生效日为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2" w:name="_Toc477899878"/>
      <w:r>
        <w:rPr>
          <w:rFonts w:hint="default" w:ascii="Times New Roman" w:hAnsi="Times New Roman"/>
          <w:b/>
          <w:color w:val="000000"/>
          <w:kern w:val="0"/>
          <w:sz w:val="24"/>
        </w:rPr>
        <w:t xml:space="preserve">7.3 </w:t>
      </w:r>
      <w:r>
        <w:rPr>
          <w:rFonts w:hint="eastAsia" w:ascii="Times New Roman" w:hAnsi="Times New Roman"/>
          <w:b/>
          <w:color w:val="000000"/>
          <w:kern w:val="0"/>
          <w:sz w:val="24"/>
        </w:rPr>
        <w:t>所有者权益（基金净值）变动表</w:t>
      </w:r>
      <w:bookmarkEnd w:id="32"/>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会计主体：创金合信沪港深研究精选灵活配置混合型证券投资基金</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806"/>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-1,302,557.89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246,970,419.16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-15,183,054.46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6,469,088.09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-8,713,966.37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143,714,005.53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9,625,656.03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153,339,661.56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-158,897,059.99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-3,156,567.94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-162,053,627.93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233,089,922.59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16,335,429.66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249,425,352.25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b/>
                <w:color w:val="000000"/>
                <w:kern w:val="0"/>
                <w:sz w:val="24"/>
              </w:rPr>
            </w:pPr>
            <w:r>
              <w:rPr>
                <w:rFonts w:hint="eastAsia" w:ascii="Times New Roman" w:hAnsi="Times New Roman"/>
                <w:b/>
                <w:color w:val="000000"/>
                <w:kern w:val="0"/>
                <w:sz w:val="24"/>
              </w:rPr>
              <w:t>项</w:t>
            </w:r>
            <w:r>
              <w:rPr>
                <w:rFonts w:hint="default" w:ascii="Times New Roman" w:hAnsi="Times New Roman"/>
                <w:b/>
                <w:color w:val="000000"/>
                <w:kern w:val="0"/>
                <w:sz w:val="24"/>
              </w:rPr>
              <w:t xml:space="preserve"> </w:t>
            </w:r>
            <w:r>
              <w:rPr>
                <w:rFonts w:hint="eastAsia" w:ascii="Times New Roman" w:hAnsi="Times New Roman"/>
                <w:b/>
                <w:color w:val="000000"/>
                <w:kern w:val="0"/>
                <w:sz w:val="24"/>
              </w:rPr>
              <w:t>目</w:t>
            </w:r>
          </w:p>
        </w:tc>
        <w:tc>
          <w:tcPr>
            <w:tcW w:w="5779"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实收基金</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所有者权益合计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一、期初所有者权益</w:t>
            </w:r>
            <w:r>
              <w:rPr>
                <w:rFonts w:hint="default" w:ascii="Times New Roman" w:hAnsi="Times New Roman"/>
                <w:color w:val="000000"/>
                <w:kern w:val="0"/>
                <w:sz w:val="24"/>
              </w:rPr>
              <w:t>(</w:t>
            </w:r>
            <w:r>
              <w:rPr>
                <w:rFonts w:hint="eastAsia" w:ascii="Times New Roman" w:hAnsi="Times New Roman"/>
                <w:color w:val="000000"/>
                <w:kern w:val="0"/>
                <w:sz w:val="24"/>
              </w:rPr>
              <w:t>基金净值</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303,868,723.06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303,868,723.06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二、本期经营活动产生的基金净值变动数</w:t>
            </w:r>
            <w:r>
              <w:rPr>
                <w:rFonts w:hint="default" w:ascii="Times New Roman" w:hAnsi="Times New Roman"/>
                <w:color w:val="000000"/>
                <w:kern w:val="0"/>
                <w:sz w:val="24"/>
              </w:rPr>
              <w:t>(</w:t>
            </w:r>
            <w:r>
              <w:rPr>
                <w:rFonts w:hint="eastAsia" w:ascii="Times New Roman" w:hAnsi="Times New Roman"/>
                <w:color w:val="000000"/>
                <w:kern w:val="0"/>
                <w:sz w:val="24"/>
              </w:rPr>
              <w:t>本期利润</w:t>
            </w:r>
            <w:r>
              <w:rPr>
                <w:rFonts w:hint="default"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-1,109,530.26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-1,109,530.26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三、本期基金份额交易产生的基金净值变动数（净值减少以“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-55,595,746.01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-193,027.63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-55,788,773.64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w:t>
            </w:r>
            <w:r>
              <w:rPr>
                <w:rFonts w:hint="default" w:ascii="Times New Roman" w:hAnsi="Times New Roman"/>
                <w:color w:val="000000"/>
                <w:kern w:val="0"/>
                <w:sz w:val="24"/>
              </w:rPr>
              <w:t>1.</w:t>
            </w:r>
            <w:r>
              <w:rPr>
                <w:rFonts w:hint="eastAsia" w:ascii="Times New Roman" w:hAnsi="Times New Roman"/>
                <w:color w:val="000000"/>
                <w:kern w:val="0"/>
                <w:sz w:val="24"/>
              </w:rPr>
              <w:t>基金申购款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627,470.04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2,049.90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629,519.94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w:t>
            </w:r>
            <w:r>
              <w:rPr>
                <w:rFonts w:hint="eastAsia" w:ascii="Times New Roman" w:hAnsi="Times New Roman"/>
                <w:color w:val="000000"/>
                <w:kern w:val="0"/>
                <w:sz w:val="24"/>
              </w:rPr>
              <w:t>基金赎回款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-56,223,216.05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-195,077.53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-56,418,293.58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四、本期向基金份额持有人分配利润产生的基金净值变动（净值减少以“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五、期末所有者权益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（基金净值）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-1,302,557.89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246,970,419.16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注：本财务报表的报告期间为</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w:t>
      </w:r>
      <w:r>
        <w:rPr>
          <w:rFonts w:hint="eastAsia" w:ascii="Times New Roman" w:hAnsi="Times New Roman"/>
          <w:color w:val="000000"/>
          <w:kern w:val="0"/>
          <w:sz w:val="21"/>
        </w:rPr>
        <w:t>月</w:t>
      </w:r>
      <w:r>
        <w:rPr>
          <w:rFonts w:hint="default" w:ascii="Times New Roman" w:hAnsi="Times New Roman"/>
          <w:color w:val="000000"/>
          <w:kern w:val="0"/>
          <w:sz w:val="21"/>
        </w:rPr>
        <w:t>1</w:t>
      </w:r>
      <w:r>
        <w:rPr>
          <w:rFonts w:hint="eastAsia" w:ascii="Times New Roman" w:hAnsi="Times New Roman"/>
          <w:color w:val="000000"/>
          <w:kern w:val="0"/>
          <w:sz w:val="21"/>
        </w:rPr>
        <w:t>日至</w:t>
      </w:r>
      <w:r>
        <w:rPr>
          <w:rFonts w:hint="default" w:ascii="Times New Roman" w:hAnsi="Times New Roman"/>
          <w:color w:val="000000"/>
          <w:kern w:val="0"/>
          <w:sz w:val="21"/>
        </w:rPr>
        <w:t>2016</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日止期间。本基金合同生效日为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日，上年度可比期间为</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8</w:t>
      </w:r>
      <w:r>
        <w:rPr>
          <w:rFonts w:hint="eastAsia" w:ascii="Times New Roman" w:hAnsi="Times New Roman"/>
          <w:color w:val="000000"/>
          <w:kern w:val="0"/>
          <w:sz w:val="21"/>
        </w:rPr>
        <w:t>月</w:t>
      </w:r>
      <w:r>
        <w:rPr>
          <w:rFonts w:hint="default" w:ascii="Times New Roman" w:hAnsi="Times New Roman"/>
          <w:color w:val="000000"/>
          <w:kern w:val="0"/>
          <w:sz w:val="21"/>
        </w:rPr>
        <w:t>24</w:t>
      </w:r>
      <w:r>
        <w:rPr>
          <w:rFonts w:hint="eastAsia" w:ascii="Times New Roman" w:hAnsi="Times New Roman"/>
          <w:color w:val="000000"/>
          <w:kern w:val="0"/>
          <w:sz w:val="21"/>
        </w:rPr>
        <w:t>日至</w:t>
      </w:r>
      <w:r>
        <w:rPr>
          <w:rFonts w:hint="default" w:ascii="Times New Roman" w:hAnsi="Times New Roman"/>
          <w:color w:val="000000"/>
          <w:kern w:val="0"/>
          <w:sz w:val="21"/>
        </w:rPr>
        <w:t>2015</w:t>
      </w:r>
      <w:r>
        <w:rPr>
          <w:rFonts w:hint="eastAsia" w:ascii="Times New Roman" w:hAnsi="Times New Roman"/>
          <w:color w:val="000000"/>
          <w:kern w:val="0"/>
          <w:sz w:val="21"/>
        </w:rPr>
        <w:t>年</w:t>
      </w:r>
      <w:r>
        <w:rPr>
          <w:rFonts w:hint="default" w:ascii="Times New Roman" w:hAnsi="Times New Roman"/>
          <w:color w:val="000000"/>
          <w:kern w:val="0"/>
          <w:sz w:val="21"/>
        </w:rPr>
        <w:t>12</w:t>
      </w:r>
      <w:r>
        <w:rPr>
          <w:rFonts w:hint="eastAsia" w:ascii="Times New Roman" w:hAnsi="Times New Roman"/>
          <w:color w:val="000000"/>
          <w:kern w:val="0"/>
          <w:sz w:val="21"/>
        </w:rPr>
        <w:t>月</w:t>
      </w:r>
      <w:r>
        <w:rPr>
          <w:rFonts w:hint="default" w:ascii="Times New Roman" w:hAnsi="Times New Roman"/>
          <w:color w:val="000000"/>
          <w:kern w:val="0"/>
          <w:sz w:val="21"/>
        </w:rPr>
        <w:t>31</w:t>
      </w:r>
      <w:r>
        <w:rPr>
          <w:rFonts w:hint="eastAsia" w:ascii="Times New Roman" w:hAnsi="Times New Roman"/>
          <w:color w:val="000000"/>
          <w:kern w:val="0"/>
          <w:sz w:val="21"/>
        </w:rPr>
        <w:t>日。</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报表附注为财务报表的组成部分。</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本报告</w:t>
      </w:r>
      <w:r>
        <w:rPr>
          <w:rFonts w:hint="default" w:ascii="Times New Roman" w:hAnsi="Times New Roman"/>
          <w:color w:val="000000"/>
          <w:kern w:val="0"/>
          <w:sz w:val="24"/>
        </w:rPr>
        <w:t>7.1</w:t>
      </w:r>
      <w:r>
        <w:rPr>
          <w:rFonts w:hint="eastAsia" w:ascii="Times New Roman" w:hAnsi="Times New Roman"/>
          <w:color w:val="000000"/>
          <w:kern w:val="0"/>
          <w:sz w:val="24"/>
        </w:rPr>
        <w:t>至</w:t>
      </w:r>
      <w:r>
        <w:rPr>
          <w:rFonts w:hint="default" w:ascii="Times New Roman" w:hAnsi="Times New Roman"/>
          <w:color w:val="000000"/>
          <w:kern w:val="0"/>
          <w:sz w:val="24"/>
        </w:rPr>
        <w:t>7.4</w:t>
      </w:r>
      <w:r>
        <w:rPr>
          <w:rFonts w:hint="eastAsia" w:ascii="Times New Roman" w:hAnsi="Times New Roman"/>
          <w:color w:val="000000"/>
          <w:kern w:val="0"/>
          <w:sz w:val="24"/>
        </w:rPr>
        <w:t>财务报表由下列负责人签署</w:t>
      </w:r>
      <w:r>
        <w:rPr>
          <w:rFonts w:hint="default" w:ascii="Times New Roman" w:hAnsi="Times New Roman"/>
          <w:color w:val="000000"/>
          <w:kern w:val="0"/>
          <w:sz w:val="24"/>
        </w:rPr>
        <w:t>:</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苏彦祝</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基金管理人负责人</w:t>
            </w:r>
          </w:p>
        </w:tc>
        <w:tc>
          <w:tcPr>
            <w:tcW w:w="2889"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黄越岷</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主管会计工作负责人</w:t>
            </w:r>
          </w:p>
        </w:tc>
        <w:tc>
          <w:tcPr>
            <w:tcW w:w="2890" w:type="dxa"/>
            <w:tcBorders>
              <w:top w:val="nil"/>
              <w:left w:val="nil"/>
              <w:bottom w:val="nil"/>
              <w:right w:val="nil"/>
              <w:tl2br w:val="nil"/>
              <w:tr2bl w:val="nil"/>
            </w:tcBorders>
            <w:noWrap w:val="0"/>
            <w:vAlign w:val="top"/>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安兆国</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会计机构负责人</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3" w:name="_Toc477899879"/>
      <w:r>
        <w:rPr>
          <w:rFonts w:hint="default" w:ascii="Times New Roman" w:hAnsi="Times New Roman"/>
          <w:b/>
          <w:color w:val="000000"/>
          <w:kern w:val="0"/>
          <w:sz w:val="24"/>
        </w:rPr>
        <w:t xml:space="preserve">7.4 </w:t>
      </w:r>
      <w:r>
        <w:rPr>
          <w:rFonts w:hint="eastAsia" w:ascii="Times New Roman" w:hAnsi="Times New Roman"/>
          <w:b/>
          <w:color w:val="000000"/>
          <w:kern w:val="0"/>
          <w:sz w:val="24"/>
        </w:rPr>
        <w:t>报表附注</w:t>
      </w:r>
      <w:bookmarkEnd w:id="33"/>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 </w:t>
      </w:r>
      <w:r>
        <w:rPr>
          <w:rFonts w:hint="eastAsia" w:ascii="Times New Roman" w:hAnsi="Times New Roman"/>
          <w:b/>
          <w:color w:val="000000"/>
          <w:kern w:val="0"/>
          <w:sz w:val="24"/>
        </w:rPr>
        <w:t>基金基本情况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本基金</w:t>
      </w:r>
      <w:r>
        <w:rPr>
          <w:rFonts w:hint="default" w:ascii="Times New Roman" w:hAnsi="Times New Roman"/>
          <w:color w:val="000000"/>
          <w:kern w:val="0"/>
          <w:sz w:val="24"/>
        </w:rPr>
        <w:t>")</w:t>
      </w:r>
      <w:r>
        <w:rPr>
          <w:rFonts w:hint="eastAsia" w:ascii="Times New Roman" w:hAnsi="Times New Roman"/>
          <w:color w:val="000000"/>
          <w:kern w:val="0"/>
          <w:sz w:val="24"/>
        </w:rPr>
        <w:t>经中国证券监督管理委员会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中国证监会</w:t>
      </w:r>
      <w:r>
        <w:rPr>
          <w:rFonts w:hint="default" w:ascii="Times New Roman" w:hAnsi="Times New Roman"/>
          <w:color w:val="000000"/>
          <w:kern w:val="0"/>
          <w:sz w:val="24"/>
        </w:rPr>
        <w:t>")</w:t>
      </w:r>
      <w:r>
        <w:rPr>
          <w:rFonts w:hint="eastAsia" w:ascii="Times New Roman" w:hAnsi="Times New Roman"/>
          <w:color w:val="000000"/>
          <w:kern w:val="0"/>
          <w:sz w:val="24"/>
        </w:rPr>
        <w:t>证监许可</w:t>
      </w:r>
      <w:r>
        <w:rPr>
          <w:rFonts w:hint="default" w:ascii="Times New Roman" w:hAnsi="Times New Roman"/>
          <w:color w:val="000000"/>
          <w:kern w:val="0"/>
          <w:sz w:val="24"/>
        </w:rPr>
        <w:t>[2015]</w:t>
      </w:r>
      <w:r>
        <w:rPr>
          <w:rFonts w:hint="eastAsia" w:ascii="Times New Roman" w:hAnsi="Times New Roman"/>
          <w:color w:val="000000"/>
          <w:kern w:val="0"/>
          <w:sz w:val="24"/>
        </w:rPr>
        <w:t>第</w:t>
      </w:r>
      <w:r>
        <w:rPr>
          <w:rFonts w:hint="default" w:ascii="Times New Roman" w:hAnsi="Times New Roman"/>
          <w:color w:val="000000"/>
          <w:kern w:val="0"/>
          <w:sz w:val="24"/>
        </w:rPr>
        <w:t>1477</w:t>
      </w:r>
      <w:r>
        <w:rPr>
          <w:rFonts w:hint="eastAsia" w:ascii="Times New Roman" w:hAnsi="Times New Roman"/>
          <w:color w:val="000000"/>
          <w:kern w:val="0"/>
          <w:sz w:val="24"/>
        </w:rPr>
        <w:t>号《关于准予创金合信沪港深研究精选灵活配置混合型证券投资基金注册的批复》核准，由创金合信基金管理有限公司依照《中华人民共和国证券投资基金法》和《创金合信沪港深研究精选灵活配置混合型证券投资基金基金合同》负责公开募集。本基金为契约型开放式，存续期限不定，首次设立募集不包括认购资金利息共募集人民币</w:t>
      </w:r>
      <w:r>
        <w:rPr>
          <w:rFonts w:hint="default" w:ascii="Times New Roman" w:hAnsi="Times New Roman"/>
          <w:color w:val="000000"/>
          <w:kern w:val="0"/>
          <w:sz w:val="24"/>
        </w:rPr>
        <w:t>303,724,280.18</w:t>
      </w:r>
      <w:r>
        <w:rPr>
          <w:rFonts w:hint="eastAsia" w:ascii="Times New Roman" w:hAnsi="Times New Roman"/>
          <w:color w:val="000000"/>
          <w:kern w:val="0"/>
          <w:sz w:val="24"/>
        </w:rPr>
        <w:t>元，已经普华永道中天会计师事务所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普华永道中天验字</w:t>
      </w:r>
      <w:r>
        <w:rPr>
          <w:rFonts w:hint="default" w:ascii="Times New Roman" w:hAnsi="Times New Roman"/>
          <w:color w:val="000000"/>
          <w:kern w:val="0"/>
          <w:sz w:val="24"/>
        </w:rPr>
        <w:t>(2015)</w:t>
      </w:r>
      <w:r>
        <w:rPr>
          <w:rFonts w:hint="eastAsia" w:ascii="Times New Roman" w:hAnsi="Times New Roman"/>
          <w:color w:val="000000"/>
          <w:kern w:val="0"/>
          <w:sz w:val="24"/>
        </w:rPr>
        <w:t>第</w:t>
      </w:r>
      <w:r>
        <w:rPr>
          <w:rFonts w:hint="default" w:ascii="Times New Roman" w:hAnsi="Times New Roman"/>
          <w:color w:val="000000"/>
          <w:kern w:val="0"/>
          <w:sz w:val="24"/>
        </w:rPr>
        <w:t>987</w:t>
      </w:r>
      <w:r>
        <w:rPr>
          <w:rFonts w:hint="eastAsia" w:ascii="Times New Roman" w:hAnsi="Times New Roman"/>
          <w:color w:val="000000"/>
          <w:kern w:val="0"/>
          <w:sz w:val="24"/>
        </w:rPr>
        <w:t>号验资报告予以验证。经向中国证监会备案，《创金合信沪港深研究精选灵活配置混合型证券投资基金基金合同》于</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日正式生效，基金合同生效日的基金份额总额为</w:t>
      </w:r>
      <w:r>
        <w:rPr>
          <w:rFonts w:hint="default" w:ascii="Times New Roman" w:hAnsi="Times New Roman"/>
          <w:color w:val="000000"/>
          <w:kern w:val="0"/>
          <w:sz w:val="24"/>
        </w:rPr>
        <w:t>303,868,723.06</w:t>
      </w:r>
      <w:r>
        <w:rPr>
          <w:rFonts w:hint="eastAsia" w:ascii="Times New Roman" w:hAnsi="Times New Roman"/>
          <w:color w:val="000000"/>
          <w:kern w:val="0"/>
          <w:sz w:val="24"/>
        </w:rPr>
        <w:t>份基金份额，其中认购资金利息折合</w:t>
      </w:r>
      <w:r>
        <w:rPr>
          <w:rFonts w:hint="default" w:ascii="Times New Roman" w:hAnsi="Times New Roman"/>
          <w:color w:val="000000"/>
          <w:kern w:val="0"/>
          <w:sz w:val="24"/>
        </w:rPr>
        <w:t>144,442.88</w:t>
      </w:r>
      <w:r>
        <w:rPr>
          <w:rFonts w:hint="eastAsia" w:ascii="Times New Roman" w:hAnsi="Times New Roman"/>
          <w:color w:val="000000"/>
          <w:kern w:val="0"/>
          <w:sz w:val="24"/>
        </w:rPr>
        <w:t>份基金份额。本基金的基金管理人为创金合信基金管理有限公司，基金托管人为中国工商银行股份有限公司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根据《中华人民共和国证券投资基金法》和《创金合信沪港深研究精选灵活配置混合型证券投资基金基金合同》的有关规定，本基金的投资范围为具有良好流动性的金融工具，包括国内依法发行上市的股票</w:t>
      </w:r>
      <w:r>
        <w:rPr>
          <w:rFonts w:hint="default" w:ascii="Times New Roman" w:hAnsi="Times New Roman"/>
          <w:color w:val="000000"/>
          <w:kern w:val="0"/>
          <w:sz w:val="24"/>
        </w:rPr>
        <w:t>(</w:t>
      </w:r>
      <w:r>
        <w:rPr>
          <w:rFonts w:hint="eastAsia" w:ascii="Times New Roman" w:hAnsi="Times New Roman"/>
          <w:color w:val="000000"/>
          <w:kern w:val="0"/>
          <w:sz w:val="24"/>
        </w:rPr>
        <w:t>包括中小板、创业板及其他经中国证监会核准上市的股票</w:t>
      </w:r>
      <w:r>
        <w:rPr>
          <w:rFonts w:hint="default" w:ascii="Times New Roman" w:hAnsi="Times New Roman"/>
          <w:color w:val="000000"/>
          <w:kern w:val="0"/>
          <w:sz w:val="24"/>
        </w:rPr>
        <w:t>)</w:t>
      </w:r>
      <w:r>
        <w:rPr>
          <w:rFonts w:hint="eastAsia" w:ascii="Times New Roman" w:hAnsi="Times New Roman"/>
          <w:color w:val="000000"/>
          <w:kern w:val="0"/>
          <w:sz w:val="24"/>
        </w:rPr>
        <w:t>、沪港通机制下允许投资的香港联合交易所上市的股票</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港股通标的股票</w:t>
      </w:r>
      <w:r>
        <w:rPr>
          <w:rFonts w:hint="default" w:ascii="Times New Roman" w:hAnsi="Times New Roman"/>
          <w:color w:val="000000"/>
          <w:kern w:val="0"/>
          <w:sz w:val="24"/>
        </w:rPr>
        <w:t>")</w:t>
      </w:r>
      <w:r>
        <w:rPr>
          <w:rFonts w:hint="eastAsia" w:ascii="Times New Roman" w:hAnsi="Times New Roman"/>
          <w:color w:val="000000"/>
          <w:kern w:val="0"/>
          <w:sz w:val="24"/>
        </w:rPr>
        <w:t>、权证、股指期货、债券、中期票据、中小企业私募债券、资产支持证券、货币市场工具、债券回购、银行存款以及法律法规或中国证监会允许基金投资的其他金融工具。本基金的业绩比较基准为：沪深</w:t>
      </w:r>
      <w:r>
        <w:rPr>
          <w:rFonts w:hint="default" w:ascii="Times New Roman" w:hAnsi="Times New Roman"/>
          <w:color w:val="000000"/>
          <w:kern w:val="0"/>
          <w:sz w:val="24"/>
        </w:rPr>
        <w:t xml:space="preserve">300 </w:t>
      </w:r>
      <w:r>
        <w:rPr>
          <w:rFonts w:hint="eastAsia" w:ascii="Times New Roman" w:hAnsi="Times New Roman"/>
          <w:color w:val="000000"/>
          <w:kern w:val="0"/>
          <w:sz w:val="24"/>
        </w:rPr>
        <w:t>指数收益率×</w:t>
      </w:r>
      <w:r>
        <w:rPr>
          <w:rFonts w:hint="default" w:ascii="Times New Roman" w:hAnsi="Times New Roman"/>
          <w:color w:val="000000"/>
          <w:kern w:val="0"/>
          <w:sz w:val="24"/>
        </w:rPr>
        <w:t>40%</w:t>
      </w:r>
      <w:r>
        <w:rPr>
          <w:rFonts w:hint="eastAsia" w:ascii="Times New Roman" w:hAnsi="Times New Roman"/>
          <w:color w:val="000000"/>
          <w:kern w:val="0"/>
          <w:sz w:val="24"/>
        </w:rPr>
        <w:t>＋恒生指数收益率×</w:t>
      </w:r>
      <w:r>
        <w:rPr>
          <w:rFonts w:hint="default" w:ascii="Times New Roman" w:hAnsi="Times New Roman"/>
          <w:color w:val="000000"/>
          <w:kern w:val="0"/>
          <w:sz w:val="24"/>
        </w:rPr>
        <w:t>20%</w:t>
      </w:r>
      <w:r>
        <w:rPr>
          <w:rFonts w:hint="eastAsia" w:ascii="Times New Roman" w:hAnsi="Times New Roman"/>
          <w:color w:val="000000"/>
          <w:kern w:val="0"/>
          <w:sz w:val="24"/>
        </w:rPr>
        <w:t>＋中债总指数</w:t>
      </w:r>
      <w:r>
        <w:rPr>
          <w:rFonts w:hint="default" w:ascii="Times New Roman" w:hAnsi="Times New Roman"/>
          <w:color w:val="000000"/>
          <w:kern w:val="0"/>
          <w:sz w:val="24"/>
        </w:rPr>
        <w:t>(</w:t>
      </w:r>
      <w:r>
        <w:rPr>
          <w:rFonts w:hint="eastAsia" w:ascii="Times New Roman" w:hAnsi="Times New Roman"/>
          <w:color w:val="000000"/>
          <w:kern w:val="0"/>
          <w:sz w:val="24"/>
        </w:rPr>
        <w:t>全价</w:t>
      </w:r>
      <w:r>
        <w:rPr>
          <w:rFonts w:hint="default" w:ascii="Times New Roman" w:hAnsi="Times New Roman"/>
          <w:color w:val="000000"/>
          <w:kern w:val="0"/>
          <w:sz w:val="24"/>
        </w:rPr>
        <w:t>)</w:t>
      </w:r>
      <w:r>
        <w:rPr>
          <w:rFonts w:hint="eastAsia" w:ascii="Times New Roman" w:hAnsi="Times New Roman"/>
          <w:color w:val="000000"/>
          <w:kern w:val="0"/>
          <w:sz w:val="24"/>
        </w:rPr>
        <w:t>收益率×</w:t>
      </w:r>
      <w:r>
        <w:rPr>
          <w:rFonts w:hint="default" w:ascii="Times New Roman" w:hAnsi="Times New Roman"/>
          <w:color w:val="000000"/>
          <w:kern w:val="0"/>
          <w:sz w:val="24"/>
        </w:rPr>
        <w:t>40%</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7.4.2 </w:t>
      </w:r>
      <w:r>
        <w:rPr>
          <w:rFonts w:hint="eastAsia" w:ascii="Times New Roman" w:hAnsi="Times New Roman"/>
          <w:b/>
          <w:color w:val="000000"/>
          <w:kern w:val="0"/>
          <w:sz w:val="24"/>
        </w:rPr>
        <w:t>会计报表的编制基础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本基金的财务报表按照财政部于</w:t>
      </w:r>
      <w:r>
        <w:rPr>
          <w:rFonts w:hint="default" w:ascii="Times New Roman" w:hAnsi="Times New Roman"/>
          <w:color w:val="000000"/>
          <w:kern w:val="0"/>
          <w:sz w:val="24"/>
        </w:rPr>
        <w:t>2006</w:t>
      </w:r>
      <w:r>
        <w:rPr>
          <w:rFonts w:hint="eastAsia" w:ascii="Times New Roman" w:hAnsi="Times New Roman"/>
          <w:color w:val="000000"/>
          <w:kern w:val="0"/>
          <w:sz w:val="24"/>
        </w:rPr>
        <w:t>年</w:t>
      </w:r>
      <w:r>
        <w:rPr>
          <w:rFonts w:hint="default" w:ascii="Times New Roman" w:hAnsi="Times New Roman"/>
          <w:color w:val="000000"/>
          <w:kern w:val="0"/>
          <w:sz w:val="24"/>
        </w:rPr>
        <w:t>2</w:t>
      </w:r>
      <w:r>
        <w:rPr>
          <w:rFonts w:hint="eastAsia" w:ascii="Times New Roman" w:hAnsi="Times New Roman"/>
          <w:color w:val="000000"/>
          <w:kern w:val="0"/>
          <w:sz w:val="24"/>
        </w:rPr>
        <w:t>月</w:t>
      </w:r>
      <w:r>
        <w:rPr>
          <w:rFonts w:hint="default" w:ascii="Times New Roman" w:hAnsi="Times New Roman"/>
          <w:color w:val="000000"/>
          <w:kern w:val="0"/>
          <w:sz w:val="24"/>
        </w:rPr>
        <w:t>15</w:t>
      </w:r>
      <w:r>
        <w:rPr>
          <w:rFonts w:hint="eastAsia" w:ascii="Times New Roman" w:hAnsi="Times New Roman"/>
          <w:color w:val="000000"/>
          <w:kern w:val="0"/>
          <w:sz w:val="24"/>
        </w:rPr>
        <w:t>日及以后期间颁布的《企业会计准则－基本准则》、各项具体会计准则及相关规定</w:t>
      </w:r>
      <w:r>
        <w:rPr>
          <w:rFonts w:hint="default" w:ascii="Times New Roman" w:hAnsi="Times New Roman"/>
          <w:color w:val="000000"/>
          <w:kern w:val="0"/>
          <w:sz w:val="24"/>
        </w:rPr>
        <w:t>(</w:t>
      </w:r>
      <w:r>
        <w:rPr>
          <w:rFonts w:hint="eastAsia" w:ascii="Times New Roman" w:hAnsi="Times New Roman"/>
          <w:color w:val="000000"/>
          <w:kern w:val="0"/>
          <w:sz w:val="24"/>
        </w:rPr>
        <w:t>以下合称</w:t>
      </w:r>
      <w:r>
        <w:rPr>
          <w:rFonts w:hint="default" w:ascii="Times New Roman" w:hAnsi="Times New Roman"/>
          <w:color w:val="000000"/>
          <w:kern w:val="0"/>
          <w:sz w:val="24"/>
        </w:rPr>
        <w:t>"</w:t>
      </w:r>
      <w:r>
        <w:rPr>
          <w:rFonts w:hint="eastAsia" w:ascii="Times New Roman" w:hAnsi="Times New Roman"/>
          <w:color w:val="000000"/>
          <w:kern w:val="0"/>
          <w:sz w:val="24"/>
        </w:rPr>
        <w:t>企业会计准则</w:t>
      </w:r>
      <w:r>
        <w:rPr>
          <w:rFonts w:hint="default" w:ascii="Times New Roman" w:hAnsi="Times New Roman"/>
          <w:color w:val="000000"/>
          <w:kern w:val="0"/>
          <w:sz w:val="24"/>
        </w:rPr>
        <w:t>")</w:t>
      </w:r>
      <w:r>
        <w:rPr>
          <w:rFonts w:hint="eastAsia" w:ascii="Times New Roman" w:hAnsi="Times New Roman"/>
          <w:color w:val="000000"/>
          <w:kern w:val="0"/>
          <w:sz w:val="24"/>
        </w:rPr>
        <w:t>、中国证监会颁布的《证券投资基金信息披露</w:t>
      </w:r>
      <w:r>
        <w:rPr>
          <w:rFonts w:hint="default" w:ascii="Times New Roman" w:hAnsi="Times New Roman"/>
          <w:color w:val="000000"/>
          <w:kern w:val="0"/>
          <w:sz w:val="24"/>
        </w:rPr>
        <w:t>XBRL</w:t>
      </w:r>
      <w:r>
        <w:rPr>
          <w:rFonts w:hint="eastAsia" w:ascii="Times New Roman" w:hAnsi="Times New Roman"/>
          <w:color w:val="000000"/>
          <w:kern w:val="0"/>
          <w:sz w:val="24"/>
        </w:rPr>
        <w:t>模板第</w:t>
      </w:r>
      <w:r>
        <w:rPr>
          <w:rFonts w:hint="default" w:ascii="Times New Roman" w:hAnsi="Times New Roman"/>
          <w:color w:val="000000"/>
          <w:kern w:val="0"/>
          <w:sz w:val="24"/>
        </w:rPr>
        <w:t>3</w:t>
      </w:r>
      <w:r>
        <w:rPr>
          <w:rFonts w:hint="eastAsia" w:ascii="Times New Roman" w:hAnsi="Times New Roman"/>
          <w:color w:val="000000"/>
          <w:kern w:val="0"/>
          <w:sz w:val="24"/>
        </w:rPr>
        <w:t>号</w:t>
      </w:r>
      <w:r>
        <w:rPr>
          <w:rFonts w:hint="default" w:ascii="Times New Roman" w:hAnsi="Times New Roman"/>
          <w:color w:val="000000"/>
          <w:kern w:val="0"/>
          <w:sz w:val="24"/>
        </w:rPr>
        <w:t>&lt;</w:t>
      </w:r>
      <w:r>
        <w:rPr>
          <w:rFonts w:hint="eastAsia" w:ascii="Times New Roman" w:hAnsi="Times New Roman"/>
          <w:color w:val="000000"/>
          <w:kern w:val="0"/>
          <w:sz w:val="24"/>
        </w:rPr>
        <w:t>年度报告和半年度报告</w:t>
      </w:r>
      <w:r>
        <w:rPr>
          <w:rFonts w:hint="default" w:ascii="Times New Roman" w:hAnsi="Times New Roman"/>
          <w:color w:val="000000"/>
          <w:kern w:val="0"/>
          <w:sz w:val="24"/>
        </w:rPr>
        <w:t>&gt;</w:t>
      </w:r>
      <w:r>
        <w:rPr>
          <w:rFonts w:hint="eastAsia" w:ascii="Times New Roman" w:hAnsi="Times New Roman"/>
          <w:color w:val="000000"/>
          <w:kern w:val="0"/>
          <w:sz w:val="24"/>
        </w:rPr>
        <w:t>》、中国证券投资基金业协会</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中国基金业协会</w:t>
      </w:r>
      <w:r>
        <w:rPr>
          <w:rFonts w:hint="default" w:ascii="Times New Roman" w:hAnsi="Times New Roman"/>
          <w:color w:val="000000"/>
          <w:kern w:val="0"/>
          <w:sz w:val="24"/>
        </w:rPr>
        <w:t>")</w:t>
      </w:r>
      <w:r>
        <w:rPr>
          <w:rFonts w:hint="eastAsia" w:ascii="Times New Roman" w:hAnsi="Times New Roman"/>
          <w:color w:val="000000"/>
          <w:kern w:val="0"/>
          <w:sz w:val="24"/>
        </w:rPr>
        <w:t>颁布的《证券投资基金会计核算业务指引》、《创金合信沪港深研究精选灵活配置混合型证券投资基金基金合同》和在财务报表附注</w:t>
      </w:r>
      <w:r>
        <w:rPr>
          <w:rFonts w:hint="default" w:ascii="Times New Roman" w:hAnsi="Times New Roman"/>
          <w:color w:val="000000"/>
          <w:kern w:val="0"/>
          <w:sz w:val="24"/>
        </w:rPr>
        <w:t>7.4.4</w:t>
      </w:r>
      <w:r>
        <w:rPr>
          <w:rFonts w:hint="eastAsia" w:ascii="Times New Roman" w:hAnsi="Times New Roman"/>
          <w:color w:val="000000"/>
          <w:kern w:val="0"/>
          <w:sz w:val="24"/>
        </w:rPr>
        <w:t>所列示的中国证监会、中国基金业协会发布的有关规定及允许的基金行业实务操作编制。</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7.4.3 </w:t>
      </w:r>
      <w:r>
        <w:rPr>
          <w:rFonts w:hint="eastAsia" w:ascii="Times New Roman" w:hAnsi="Times New Roman"/>
          <w:b/>
          <w:color w:val="000000"/>
          <w:kern w:val="0"/>
          <w:sz w:val="24"/>
        </w:rPr>
        <w:t>遵循企业会计准则及其他有关规定的声明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w:t>
      </w:r>
      <w:r>
        <w:rPr>
          <w:rFonts w:hint="default" w:ascii="Times New Roman" w:hAnsi="Times New Roman"/>
          <w:color w:val="000000"/>
          <w:kern w:val="0"/>
          <w:sz w:val="24"/>
        </w:rPr>
        <w:t>2016</w:t>
      </w:r>
      <w:r>
        <w:rPr>
          <w:rFonts w:hint="eastAsia" w:ascii="Times New Roman" w:hAnsi="Times New Roman"/>
          <w:color w:val="000000"/>
          <w:kern w:val="0"/>
          <w:sz w:val="24"/>
        </w:rPr>
        <w:t>年度财务报表符合企业会计准则的要求，真实、完整地反映了本基金</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日的财务状况以及</w:t>
      </w:r>
      <w:r>
        <w:rPr>
          <w:rFonts w:hint="default" w:ascii="Times New Roman" w:hAnsi="Times New Roman"/>
          <w:color w:val="000000"/>
          <w:kern w:val="0"/>
          <w:sz w:val="24"/>
        </w:rPr>
        <w:t>2016</w:t>
      </w:r>
      <w:r>
        <w:rPr>
          <w:rFonts w:hint="eastAsia" w:ascii="Times New Roman" w:hAnsi="Times New Roman"/>
          <w:color w:val="000000"/>
          <w:kern w:val="0"/>
          <w:sz w:val="24"/>
        </w:rPr>
        <w:t>年度的经营成果和基金净值变动情况等有关信息。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7.4.4 </w:t>
      </w:r>
      <w:r>
        <w:rPr>
          <w:rFonts w:hint="eastAsia" w:ascii="Times New Roman" w:hAnsi="Times New Roman"/>
          <w:b/>
          <w:color w:val="000000"/>
          <w:kern w:val="0"/>
          <w:sz w:val="24"/>
        </w:rPr>
        <w:t>重要会计政策和会计估计</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 </w:t>
      </w:r>
      <w:r>
        <w:rPr>
          <w:rFonts w:hint="eastAsia" w:ascii="Times New Roman" w:hAnsi="Times New Roman"/>
          <w:b/>
          <w:color w:val="000000"/>
          <w:kern w:val="0"/>
          <w:sz w:val="24"/>
        </w:rPr>
        <w:t>会计年度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本基金会计年度为公历</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日起至</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日止。比较财务报表的实际编制期间为</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基金合同生效日</w:t>
      </w:r>
      <w:r>
        <w:rPr>
          <w:rFonts w:hint="default" w:ascii="Times New Roman" w:hAnsi="Times New Roman"/>
          <w:color w:val="000000"/>
          <w:kern w:val="0"/>
          <w:sz w:val="24"/>
        </w:rPr>
        <w:t>)</w:t>
      </w:r>
      <w:r>
        <w:rPr>
          <w:rFonts w:hint="eastAsia" w:ascii="Times New Roman" w:hAnsi="Times New Roman"/>
          <w:color w:val="000000"/>
          <w:kern w:val="0"/>
          <w:sz w:val="24"/>
        </w:rPr>
        <w:t>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7.4.4.2 </w:t>
      </w:r>
      <w:r>
        <w:rPr>
          <w:rFonts w:hint="eastAsia" w:ascii="Times New Roman" w:hAnsi="Times New Roman"/>
          <w:b/>
          <w:color w:val="000000"/>
          <w:kern w:val="0"/>
          <w:sz w:val="24"/>
        </w:rPr>
        <w:t>记账本位币</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本基金的记账本位币为人民币。</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7.4.4.3 </w:t>
      </w:r>
      <w:r>
        <w:rPr>
          <w:rFonts w:hint="eastAsia" w:ascii="Times New Roman" w:hAnsi="Times New Roman"/>
          <w:b/>
          <w:color w:val="000000"/>
          <w:kern w:val="0"/>
          <w:sz w:val="24"/>
        </w:rPr>
        <w:t>金融资产和金融负债的分类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、金融资产的分类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本基金目前以交易目的持有的股票投资、债券投资和衍生工具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分类为以公允价值计量且其变动计入当期损益的金融资产。除衍生工具所产生的金融资产在资产负债表中以衍生金融资产列示外，以公允价值计量且其公允价值变动计入损益的金融资产在资产负债表中以交易性金融资产列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本基金持有的其他金融资产分类为应收款项，包括银行存款、买入返售金融资产和其他各类应收款项等。应收款项是指在活跃市场中没有报价、回收金额固定或可确定的非衍生金融资产。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、金融负债的分类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7.4.4.4 </w:t>
      </w:r>
      <w:r>
        <w:rPr>
          <w:rFonts w:hint="eastAsia" w:ascii="Times New Roman" w:hAnsi="Times New Roman"/>
          <w:b/>
          <w:color w:val="000000"/>
          <w:kern w:val="0"/>
          <w:sz w:val="24"/>
        </w:rPr>
        <w:t>金融资产和金融负债的初始确认、后续计量和终止确认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对于以公允价值计量且其变动计入当期损益的金融资产，按照公允价值进行后续计量；对于应收款项和其他金融负债采用实际利率法，以摊余成本进行后续计量。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金融资产满足下列条件之一的，予以终止确认：</w:t>
      </w:r>
      <w:r>
        <w:rPr>
          <w:rFonts w:hint="default" w:ascii="Times New Roman" w:hAnsi="Times New Roman"/>
          <w:color w:val="000000"/>
          <w:kern w:val="0"/>
          <w:sz w:val="24"/>
        </w:rPr>
        <w:t xml:space="preserve">(1) </w:t>
      </w:r>
      <w:r>
        <w:rPr>
          <w:rFonts w:hint="eastAsia" w:ascii="Times New Roman" w:hAnsi="Times New Roman"/>
          <w:color w:val="000000"/>
          <w:kern w:val="0"/>
          <w:sz w:val="24"/>
        </w:rPr>
        <w:t>收取该金融资产现金流量的合同权利终止；</w:t>
      </w:r>
      <w:r>
        <w:rPr>
          <w:rFonts w:hint="default" w:ascii="Times New Roman" w:hAnsi="Times New Roman"/>
          <w:color w:val="000000"/>
          <w:kern w:val="0"/>
          <w:sz w:val="24"/>
        </w:rPr>
        <w:t xml:space="preserve">(2) </w:t>
      </w:r>
      <w:r>
        <w:rPr>
          <w:rFonts w:hint="eastAsia" w:ascii="Times New Roman" w:hAnsi="Times New Roman"/>
          <w:color w:val="000000"/>
          <w:kern w:val="0"/>
          <w:sz w:val="24"/>
        </w:rPr>
        <w:t>该金融资产已转移，且本基金将金融资产所有权上几乎所有的风险和报酬转移给转入方；或者</w:t>
      </w:r>
      <w:r>
        <w:rPr>
          <w:rFonts w:hint="default" w:ascii="Times New Roman" w:hAnsi="Times New Roman"/>
          <w:color w:val="000000"/>
          <w:kern w:val="0"/>
          <w:sz w:val="24"/>
        </w:rPr>
        <w:t xml:space="preserve">(3) </w:t>
      </w:r>
      <w:r>
        <w:rPr>
          <w:rFonts w:hint="eastAsia" w:ascii="Times New Roman" w:hAnsi="Times New Roman"/>
          <w:color w:val="000000"/>
          <w:kern w:val="0"/>
          <w:sz w:val="24"/>
        </w:rPr>
        <w:t>该金融资产已转移，虽然本基金既没有转移也没有保留金融资产所有权上几乎所有的风险和报酬，但是放弃了对该金融资产控制。</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金融资产终止确认时，其账面价值与收到的对价的差额，计入当期损益。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当金融负债的现时义务全部或部分已经解除时，终止确认该金融负债或义务已解除的部分。终止确认部分的账面价值与支付的对价之间的差额，计入当期损益。</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7.4.4.5 </w:t>
      </w:r>
      <w:r>
        <w:rPr>
          <w:rFonts w:hint="eastAsia" w:ascii="Times New Roman" w:hAnsi="Times New Roman"/>
          <w:b/>
          <w:color w:val="000000"/>
          <w:kern w:val="0"/>
          <w:sz w:val="24"/>
        </w:rPr>
        <w:t>金融资产和金融负债的估值原则</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本基金持有的股票投资、债券投资和衍生工具</w:t>
      </w:r>
      <w:r>
        <w:rPr>
          <w:rFonts w:hint="default" w:ascii="Times New Roman" w:hAnsi="Times New Roman"/>
          <w:color w:val="000000"/>
          <w:kern w:val="0"/>
          <w:sz w:val="24"/>
        </w:rPr>
        <w:t>(</w:t>
      </w:r>
      <w:r>
        <w:rPr>
          <w:rFonts w:hint="eastAsia" w:ascii="Times New Roman" w:hAnsi="Times New Roman"/>
          <w:color w:val="000000"/>
          <w:kern w:val="0"/>
          <w:sz w:val="24"/>
        </w:rPr>
        <w:t>主要为权证投资</w:t>
      </w:r>
      <w:r>
        <w:rPr>
          <w:rFonts w:hint="default" w:ascii="Times New Roman" w:hAnsi="Times New Roman"/>
          <w:color w:val="000000"/>
          <w:kern w:val="0"/>
          <w:sz w:val="24"/>
        </w:rPr>
        <w:t>)</w:t>
      </w:r>
      <w:r>
        <w:rPr>
          <w:rFonts w:hint="eastAsia" w:ascii="Times New Roman" w:hAnsi="Times New Roman"/>
          <w:color w:val="000000"/>
          <w:kern w:val="0"/>
          <w:sz w:val="24"/>
        </w:rPr>
        <w:t>按如下原则确定公允价值并进行估值：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存在活跃市场的金融工具按其估值日的市场交易价格确定公允价值；估值日无交易，但最近交易日后经济环境未发生重大变化且证券发行机构未发生影响证券价格的重大事件的，按最近交易日的市场交易价格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、存在活跃市场的金融工具，如估值日无交易且最近交易日后经济环境发生了重大变化，参考类似投资品种的现行市价及重大变化等因素，调整最近交易市价以确定公允价值。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当金融工具不存在活跃市场，采用市场参与者普遍认同且被以往市场实际交易价格验证具有可靠性的估值技术确定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基金特定相关的参数。</w:t>
      </w:r>
    </w:p>
    <w:p>
      <w:pPr>
        <w:autoSpaceDE w:val="0"/>
        <w:autoSpaceDN w:val="0"/>
        <w:adjustRightInd w:val="0"/>
        <w:spacing w:beforeLines="0" w:afterLines="0" w:line="288" w:lineRule="auto"/>
        <w:jc w:val="left"/>
        <w:rPr>
          <w:rFonts w:hint="default" w:ascii="Times New Roman" w:eastAsia="Times New Roman"/>
          <w:color w:val="000000"/>
          <w:kern w:val="0"/>
          <w:sz w:val="22"/>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7.4.4.6 </w:t>
      </w:r>
      <w:r>
        <w:rPr>
          <w:rFonts w:hint="eastAsia" w:ascii="Times New Roman" w:hAnsi="Times New Roman"/>
          <w:b/>
          <w:color w:val="000000"/>
          <w:kern w:val="0"/>
          <w:sz w:val="24"/>
        </w:rPr>
        <w:t>金融资产和金融负债的抵销</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本基金持有的资产和承担的负债基本为金融资产和金融负债。当本基金</w:t>
      </w:r>
      <w:r>
        <w:rPr>
          <w:rFonts w:hint="default" w:ascii="Times New Roman" w:hAnsi="Times New Roman"/>
          <w:color w:val="000000"/>
          <w:kern w:val="0"/>
          <w:sz w:val="24"/>
        </w:rPr>
        <w:t>(1)</w:t>
      </w:r>
      <w:r>
        <w:rPr>
          <w:rFonts w:hint="eastAsia" w:ascii="Times New Roman" w:hAnsi="Times New Roman"/>
          <w:color w:val="000000"/>
          <w:kern w:val="0"/>
          <w:sz w:val="24"/>
        </w:rPr>
        <w:t>具有抵销已确认金额的法定权利且该种法定权利现在是可执行的；且</w:t>
      </w:r>
      <w:r>
        <w:rPr>
          <w:rFonts w:hint="default" w:ascii="Times New Roman" w:hAnsi="Times New Roman"/>
          <w:color w:val="000000"/>
          <w:kern w:val="0"/>
          <w:sz w:val="24"/>
        </w:rPr>
        <w:t>(2)</w:t>
      </w:r>
      <w:r>
        <w:rPr>
          <w:rFonts w:hint="eastAsia" w:ascii="Times New Roman" w:hAnsi="Times New Roman"/>
          <w:color w:val="000000"/>
          <w:kern w:val="0"/>
          <w:sz w:val="24"/>
        </w:rPr>
        <w:t>交易双方准备按净额结算时，金融资产与金融负债按抵销后的净额在资产负债表中列示。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7.4.4.7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实收基金为对外发行基金份额所募集的总金额在扣除损益平准金分摊部分后的余额。由于申购和赎回引起的实收基金变动分别于基金申购确认日及基金赎回确认日确认。</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7.4.4.8 </w:t>
      </w:r>
      <w:r>
        <w:rPr>
          <w:rFonts w:hint="eastAsia" w:ascii="Times New Roman" w:hAnsi="Times New Roman"/>
          <w:b/>
          <w:color w:val="000000"/>
          <w:kern w:val="0"/>
          <w:sz w:val="24"/>
        </w:rPr>
        <w:t>损益平准金</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确认，并于期末全额转入未分配利润</w:t>
      </w:r>
      <w:r>
        <w:rPr>
          <w:rFonts w:hint="default" w:ascii="Times New Roman" w:hAnsi="Times New Roman"/>
          <w:color w:val="000000"/>
          <w:kern w:val="0"/>
          <w:sz w:val="24"/>
        </w:rPr>
        <w:t>/(</w:t>
      </w:r>
      <w:r>
        <w:rPr>
          <w:rFonts w:hint="eastAsia" w:ascii="Times New Roman" w:hAnsi="Times New Roman"/>
          <w:color w:val="000000"/>
          <w:kern w:val="0"/>
          <w:sz w:val="24"/>
        </w:rPr>
        <w:t>累计亏损</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7.4.4.9 </w:t>
      </w:r>
      <w:r>
        <w:rPr>
          <w:rFonts w:hint="eastAsia" w:ascii="Times New Roman" w:hAnsi="Times New Roman"/>
          <w:b/>
          <w:color w:val="000000"/>
          <w:kern w:val="0"/>
          <w:sz w:val="24"/>
        </w:rPr>
        <w:t>收入</w:t>
      </w:r>
      <w:r>
        <w:rPr>
          <w:rFonts w:hint="default" w:ascii="Times New Roman" w:hAnsi="Times New Roman"/>
          <w:b/>
          <w:color w:val="000000"/>
          <w:kern w:val="0"/>
          <w:sz w:val="24"/>
        </w:rPr>
        <w:t>/</w:t>
      </w:r>
      <w:r>
        <w:rPr>
          <w:rFonts w:hint="eastAsia" w:ascii="Times New Roman" w:hAnsi="Times New Roman"/>
          <w:b/>
          <w:color w:val="000000"/>
          <w:kern w:val="0"/>
          <w:sz w:val="24"/>
        </w:rPr>
        <w:t>（损失）的确认和计量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后的净额确认为利息收入。</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应收款项在持有期间确认的利息收入按实际利率法计算，实际利率法与直线法差异较小的则按直线法计算。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7.4.4.10 </w:t>
      </w:r>
      <w:r>
        <w:rPr>
          <w:rFonts w:hint="eastAsia" w:ascii="Times New Roman" w:hAnsi="Times New Roman"/>
          <w:b/>
          <w:color w:val="000000"/>
          <w:kern w:val="0"/>
          <w:sz w:val="24"/>
        </w:rPr>
        <w:t>费用的确认和计量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本基金的管理人报酬和托管费在费用涵盖期间按基金合同约定的费率和计算方法逐日确认。</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其他金融负债在持有期间确认的利息支出按实际利率法计算，实际利率法与直线法差异较小的则按直线法计算。</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7.4.4.11 </w:t>
      </w:r>
      <w:r>
        <w:rPr>
          <w:rFonts w:hint="eastAsia" w:ascii="Times New Roman" w:hAnsi="Times New Roman"/>
          <w:b/>
          <w:color w:val="000000"/>
          <w:kern w:val="0"/>
          <w:sz w:val="24"/>
        </w:rPr>
        <w:t>基金的收益分配政策</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本基金的收益分配政策为：</w:t>
      </w:r>
      <w:r>
        <w:rPr>
          <w:rFonts w:hint="default" w:ascii="Times New Roman" w:hAnsi="Times New Roman"/>
          <w:color w:val="000000"/>
          <w:kern w:val="0"/>
          <w:sz w:val="24"/>
        </w:rPr>
        <w:t xml:space="preserve">(1) </w:t>
      </w:r>
      <w:r>
        <w:rPr>
          <w:rFonts w:hint="eastAsia" w:ascii="Times New Roman" w:hAnsi="Times New Roman"/>
          <w:color w:val="000000"/>
          <w:kern w:val="0"/>
          <w:sz w:val="24"/>
        </w:rPr>
        <w:t>在符合有关基金分红条件的前提下，本基金每年收益分配次数最多为</w:t>
      </w:r>
      <w:r>
        <w:rPr>
          <w:rFonts w:hint="default" w:ascii="Times New Roman" w:hAnsi="Times New Roman"/>
          <w:color w:val="000000"/>
          <w:kern w:val="0"/>
          <w:sz w:val="24"/>
        </w:rPr>
        <w:t>6</w:t>
      </w:r>
      <w:r>
        <w:rPr>
          <w:rFonts w:hint="eastAsia" w:ascii="Times New Roman" w:hAnsi="Times New Roman"/>
          <w:color w:val="000000"/>
          <w:kern w:val="0"/>
          <w:sz w:val="24"/>
        </w:rPr>
        <w:t>次，每次收益分配比例不得低于该次可供分配利润的</w:t>
      </w:r>
      <w:r>
        <w:rPr>
          <w:rFonts w:hint="default" w:ascii="Times New Roman" w:hAnsi="Times New Roman"/>
          <w:color w:val="000000"/>
          <w:kern w:val="0"/>
          <w:sz w:val="24"/>
        </w:rPr>
        <w:t>30%</w:t>
      </w:r>
      <w:r>
        <w:rPr>
          <w:rFonts w:hint="eastAsia" w:ascii="Times New Roman" w:hAnsi="Times New Roman"/>
          <w:color w:val="000000"/>
          <w:kern w:val="0"/>
          <w:sz w:val="24"/>
        </w:rPr>
        <w:t>；若《基金合同》生效不满</w:t>
      </w:r>
      <w:r>
        <w:rPr>
          <w:rFonts w:hint="default" w:ascii="Times New Roman" w:hAnsi="Times New Roman"/>
          <w:color w:val="000000"/>
          <w:kern w:val="0"/>
          <w:sz w:val="24"/>
        </w:rPr>
        <w:t>3</w:t>
      </w:r>
      <w:r>
        <w:rPr>
          <w:rFonts w:hint="eastAsia" w:ascii="Times New Roman" w:hAnsi="Times New Roman"/>
          <w:color w:val="000000"/>
          <w:kern w:val="0"/>
          <w:sz w:val="24"/>
        </w:rPr>
        <w:t>个月可不进行收益分配。</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本基金收益分配方式分两种：现金分红与红利再投资，投资者可选择现金红利或将现金红利自动转为基金份额进行再投资；若投资者不选择，本基金默认的收益分配方式是现金分红。</w:t>
      </w:r>
      <w:r>
        <w:rPr>
          <w:rFonts w:hint="default" w:ascii="Times New Roman" w:hAnsi="Times New Roman"/>
          <w:color w:val="000000"/>
          <w:kern w:val="0"/>
          <w:sz w:val="24"/>
        </w:rPr>
        <w:t xml:space="preserve">(3) </w:t>
      </w:r>
      <w:r>
        <w:rPr>
          <w:rFonts w:hint="eastAsia" w:ascii="Times New Roman" w:hAnsi="Times New Roman"/>
          <w:color w:val="000000"/>
          <w:kern w:val="0"/>
          <w:sz w:val="24"/>
        </w:rPr>
        <w:t>基金收益分配后基金份额净值不能低于面值，即基金收益分配基准日的基金份额净值减去每单位基金份额收益分配金额后不能低于面值。</w:t>
      </w:r>
      <w:r>
        <w:rPr>
          <w:rFonts w:hint="default" w:ascii="Times New Roman" w:hAnsi="Times New Roman"/>
          <w:color w:val="000000"/>
          <w:kern w:val="0"/>
          <w:sz w:val="24"/>
        </w:rPr>
        <w:t xml:space="preserve">(4) </w:t>
      </w:r>
      <w:r>
        <w:rPr>
          <w:rFonts w:hint="eastAsia" w:ascii="Times New Roman" w:hAnsi="Times New Roman"/>
          <w:color w:val="000000"/>
          <w:kern w:val="0"/>
          <w:sz w:val="24"/>
        </w:rPr>
        <w:t>每一基金份额享有同等分配权。</w:t>
      </w:r>
      <w:r>
        <w:rPr>
          <w:rFonts w:hint="default" w:ascii="Times New Roman" w:hAnsi="Times New Roman"/>
          <w:color w:val="000000"/>
          <w:kern w:val="0"/>
          <w:sz w:val="24"/>
        </w:rPr>
        <w:t xml:space="preserve">(5) </w:t>
      </w:r>
      <w:r>
        <w:rPr>
          <w:rFonts w:hint="eastAsia" w:ascii="Times New Roman" w:hAnsi="Times New Roman"/>
          <w:color w:val="000000"/>
          <w:kern w:val="0"/>
          <w:sz w:val="24"/>
        </w:rPr>
        <w:t>法律法规或监管机关另有规定的，从其规定。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7.4.4.12 </w:t>
      </w:r>
      <w:r>
        <w:rPr>
          <w:rFonts w:hint="eastAsia" w:ascii="Times New Roman" w:hAnsi="Times New Roman"/>
          <w:b/>
          <w:color w:val="000000"/>
          <w:kern w:val="0"/>
          <w:sz w:val="24"/>
        </w:rPr>
        <w:t>外币交易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外币交易按交易发生日的即期汇率将外币金额折算为人民币入账。</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以公允价值计量的外币非货币性项目，于估值日采用估值日的即期汇率折算为人民币，所产生的折算差额直接计入公允价值变动损益科目。</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7.4.4.13 </w:t>
      </w:r>
      <w:r>
        <w:rPr>
          <w:rFonts w:hint="eastAsia" w:ascii="Times New Roman" w:hAnsi="Times New Roman"/>
          <w:b/>
          <w:color w:val="000000"/>
          <w:kern w:val="0"/>
          <w:sz w:val="24"/>
        </w:rPr>
        <w:t>分部报告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本基金以内部组织结构、管理要求、内部报告制度为依据确定经营分部，以经营分部为基础确定报告分部并披露分部信息。经营分部是指本基金内同时满足下列条件的组成部分：</w:t>
      </w:r>
      <w:r>
        <w:rPr>
          <w:rFonts w:hint="default" w:ascii="Times New Roman" w:hAnsi="Times New Roman"/>
          <w:color w:val="000000"/>
          <w:kern w:val="0"/>
          <w:sz w:val="24"/>
        </w:rPr>
        <w:t xml:space="preserve">(1) </w:t>
      </w:r>
      <w:r>
        <w:rPr>
          <w:rFonts w:hint="eastAsia" w:ascii="Times New Roman" w:hAnsi="Times New Roman"/>
          <w:color w:val="000000"/>
          <w:kern w:val="0"/>
          <w:sz w:val="24"/>
        </w:rPr>
        <w:t>该组成部分能够在日常活动中产生收入、发生费用；</w:t>
      </w:r>
      <w:r>
        <w:rPr>
          <w:rFonts w:hint="default" w:ascii="Times New Roman" w:hAnsi="Times New Roman"/>
          <w:color w:val="000000"/>
          <w:kern w:val="0"/>
          <w:sz w:val="24"/>
        </w:rPr>
        <w:t xml:space="preserve">(2) </w:t>
      </w:r>
      <w:r>
        <w:rPr>
          <w:rFonts w:hint="eastAsia" w:ascii="Times New Roman" w:hAnsi="Times New Roman"/>
          <w:color w:val="000000"/>
          <w:kern w:val="0"/>
          <w:sz w:val="24"/>
        </w:rPr>
        <w:t>本基金的基金管理人能够定期评价该组成部分的经营成果，以决定向其配置资源、评价其业绩；</w:t>
      </w:r>
      <w:r>
        <w:rPr>
          <w:rFonts w:hint="default" w:ascii="Times New Roman" w:hAnsi="Times New Roman"/>
          <w:color w:val="000000"/>
          <w:kern w:val="0"/>
          <w:sz w:val="24"/>
        </w:rPr>
        <w:t xml:space="preserve">(3) </w:t>
      </w:r>
      <w:r>
        <w:rPr>
          <w:rFonts w:hint="eastAsia" w:ascii="Times New Roman" w:hAnsi="Times New Roman"/>
          <w:color w:val="000000"/>
          <w:kern w:val="0"/>
          <w:sz w:val="24"/>
        </w:rPr>
        <w:t>本基金能够取得该组成部分的财务状况、经营成果和现金流量等有关会计信息。如果两个或多个经营分部具有相似的经济特征，并且满足一定条件的，则合并为一个经营分部。</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本基金目前以一个单一的经营分部运作，不需要披露分部信息。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7.4.4.14 </w:t>
      </w:r>
      <w:r>
        <w:rPr>
          <w:rFonts w:hint="eastAsia" w:ascii="Times New Roman" w:hAnsi="Times New Roman"/>
          <w:b/>
          <w:color w:val="000000"/>
          <w:kern w:val="0"/>
          <w:sz w:val="24"/>
        </w:rPr>
        <w:t>其他重要的会计政策和会计估计</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根据本基金的估值原则和中国证监会允许的基金行业估值实务操作，本基金确定以下类别股票投资和债券投资的公允价值时采用的估值方法及其关键假设如下：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对于证券交易所上市的股票和债券，若出现重大事项停牌或交易不活跃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等情况，本基金根据中国证监会公告</w:t>
      </w:r>
      <w:r>
        <w:rPr>
          <w:rFonts w:hint="default" w:ascii="Times New Roman" w:hAnsi="Times New Roman"/>
          <w:color w:val="000000"/>
          <w:kern w:val="0"/>
          <w:sz w:val="24"/>
        </w:rPr>
        <w:t>[2008]38</w:t>
      </w:r>
      <w:r>
        <w:rPr>
          <w:rFonts w:hint="eastAsia" w:ascii="Times New Roman" w:hAnsi="Times New Roman"/>
          <w:color w:val="000000"/>
          <w:kern w:val="0"/>
          <w:sz w:val="24"/>
        </w:rPr>
        <w:t>号《关于进一步规范证券投资基金估值业务的指导意见》，根据具体情况采用《关于发布中基协</w:t>
      </w:r>
      <w:r>
        <w:rPr>
          <w:rFonts w:hint="default" w:ascii="Times New Roman" w:hAnsi="Times New Roman"/>
          <w:color w:val="000000"/>
          <w:kern w:val="0"/>
          <w:sz w:val="24"/>
        </w:rPr>
        <w:t>(AMAC)</w:t>
      </w:r>
      <w:r>
        <w:rPr>
          <w:rFonts w:hint="eastAsia" w:ascii="Times New Roman" w:hAnsi="Times New Roman"/>
          <w:color w:val="000000"/>
          <w:kern w:val="0"/>
          <w:sz w:val="24"/>
        </w:rPr>
        <w:t>基金行业股票估值指数的通知》提供的指数收益法等估值技术进行估值。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 </w:t>
      </w:r>
      <w:r>
        <w:rPr>
          <w:rFonts w:hint="eastAsia" w:ascii="Times New Roman" w:hAnsi="Times New Roman"/>
          <w:b/>
          <w:color w:val="000000"/>
          <w:kern w:val="0"/>
          <w:sz w:val="24"/>
        </w:rPr>
        <w:t>会计政策和会计估计变更以及差错更正的说明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7.4.5.1 </w:t>
      </w:r>
      <w:r>
        <w:rPr>
          <w:rFonts w:hint="eastAsia" w:ascii="Times New Roman" w:hAnsi="Times New Roman"/>
          <w:b/>
          <w:color w:val="000000"/>
          <w:kern w:val="0"/>
          <w:sz w:val="24"/>
        </w:rPr>
        <w:t>会计政策变更的说明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本基金本报告期未发生会计政策变更。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7.4.5.2 </w:t>
      </w:r>
      <w:r>
        <w:rPr>
          <w:rFonts w:hint="eastAsia" w:ascii="Times New Roman" w:hAnsi="Times New Roman"/>
          <w:b/>
          <w:color w:val="000000"/>
          <w:kern w:val="0"/>
          <w:sz w:val="24"/>
        </w:rPr>
        <w:t>会计估计变更的说明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本基金本报告期未发生会计估计变更。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7.4.5.3 </w:t>
      </w:r>
      <w:r>
        <w:rPr>
          <w:rFonts w:hint="eastAsia" w:ascii="Times New Roman" w:hAnsi="Times New Roman"/>
          <w:b/>
          <w:color w:val="000000"/>
          <w:kern w:val="0"/>
          <w:sz w:val="24"/>
        </w:rPr>
        <w:t>差错更正的说明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本基金在本报告期间无须说明的会计差错更正。</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7.4.6 </w:t>
      </w:r>
      <w:r>
        <w:rPr>
          <w:rFonts w:hint="eastAsia" w:ascii="Times New Roman" w:hAnsi="Times New Roman"/>
          <w:b/>
          <w:color w:val="000000"/>
          <w:kern w:val="0"/>
          <w:sz w:val="24"/>
        </w:rPr>
        <w:t>税项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根据财政部、国家税务总局财税</w:t>
      </w:r>
      <w:r>
        <w:rPr>
          <w:rFonts w:hint="default" w:ascii="Times New Roman" w:hAnsi="Times New Roman"/>
          <w:color w:val="000000"/>
          <w:kern w:val="0"/>
          <w:sz w:val="24"/>
        </w:rPr>
        <w:t>[2004]78</w:t>
      </w:r>
      <w:r>
        <w:rPr>
          <w:rFonts w:hint="eastAsia" w:ascii="Times New Roman" w:hAnsi="Times New Roman"/>
          <w:color w:val="000000"/>
          <w:kern w:val="0"/>
          <w:sz w:val="24"/>
        </w:rPr>
        <w:t>号《财政部、国家税务总局关于证券投资基金税收政策的通知》、财税</w:t>
      </w:r>
      <w:r>
        <w:rPr>
          <w:rFonts w:hint="default" w:ascii="Times New Roman" w:hAnsi="Times New Roman"/>
          <w:color w:val="000000"/>
          <w:kern w:val="0"/>
          <w:sz w:val="24"/>
        </w:rPr>
        <w:t>[2008]1</w:t>
      </w:r>
      <w:r>
        <w:rPr>
          <w:rFonts w:hint="eastAsia" w:ascii="Times New Roman" w:hAnsi="Times New Roman"/>
          <w:color w:val="000000"/>
          <w:kern w:val="0"/>
          <w:sz w:val="24"/>
        </w:rPr>
        <w:t>号《关于企业所得税若干优惠政策的通知》、财税</w:t>
      </w:r>
      <w:r>
        <w:rPr>
          <w:rFonts w:hint="default" w:ascii="Times New Roman" w:hAnsi="Times New Roman"/>
          <w:color w:val="000000"/>
          <w:kern w:val="0"/>
          <w:sz w:val="24"/>
        </w:rPr>
        <w:t>[2012]85</w:t>
      </w:r>
      <w:r>
        <w:rPr>
          <w:rFonts w:hint="eastAsia" w:ascii="Times New Roman" w:hAnsi="Times New Roman"/>
          <w:color w:val="000000"/>
          <w:kern w:val="0"/>
          <w:sz w:val="24"/>
        </w:rPr>
        <w:t>号《关于实施上市公司股息红利差别化个人所得税政策有关问题的通知》、财税</w:t>
      </w:r>
      <w:r>
        <w:rPr>
          <w:rFonts w:hint="default" w:ascii="Times New Roman" w:hAnsi="Times New Roman"/>
          <w:color w:val="000000"/>
          <w:kern w:val="0"/>
          <w:sz w:val="24"/>
        </w:rPr>
        <w:t>[2014]81</w:t>
      </w:r>
      <w:r>
        <w:rPr>
          <w:rFonts w:hint="eastAsia" w:ascii="Times New Roman" w:hAnsi="Times New Roman"/>
          <w:color w:val="000000"/>
          <w:kern w:val="0"/>
          <w:sz w:val="24"/>
        </w:rPr>
        <w:t>号《财政部国家税务总局证监会关于沪港股票市场交易互联互通机制试点有关税收政策的通知》、财税</w:t>
      </w:r>
      <w:r>
        <w:rPr>
          <w:rFonts w:hint="default" w:ascii="Times New Roman" w:hAnsi="Times New Roman"/>
          <w:color w:val="000000"/>
          <w:kern w:val="0"/>
          <w:sz w:val="24"/>
        </w:rPr>
        <w:t>[2015]101</w:t>
      </w:r>
      <w:r>
        <w:rPr>
          <w:rFonts w:hint="eastAsia" w:ascii="Times New Roman" w:hAnsi="Times New Roman"/>
          <w:color w:val="000000"/>
          <w:kern w:val="0"/>
          <w:sz w:val="24"/>
        </w:rPr>
        <w:t>号《关于上市公司股息红利差别化个人所得税政策有关问题的通知》、财税</w:t>
      </w:r>
      <w:r>
        <w:rPr>
          <w:rFonts w:hint="default" w:ascii="Times New Roman" w:hAnsi="Times New Roman"/>
          <w:color w:val="000000"/>
          <w:kern w:val="0"/>
          <w:sz w:val="24"/>
        </w:rPr>
        <w:t>[2016]36</w:t>
      </w:r>
      <w:r>
        <w:rPr>
          <w:rFonts w:hint="eastAsia" w:ascii="Times New Roman" w:hAnsi="Times New Roman"/>
          <w:color w:val="000000"/>
          <w:kern w:val="0"/>
          <w:sz w:val="24"/>
        </w:rPr>
        <w:t>号《关于全面推开营业税改征增值税试点的通知》、财税</w:t>
      </w:r>
      <w:r>
        <w:rPr>
          <w:rFonts w:hint="default" w:ascii="Times New Roman" w:hAnsi="Times New Roman"/>
          <w:color w:val="000000"/>
          <w:kern w:val="0"/>
          <w:sz w:val="24"/>
        </w:rPr>
        <w:t>[2016]46</w:t>
      </w:r>
      <w:r>
        <w:rPr>
          <w:rFonts w:hint="eastAsia" w:ascii="Times New Roman" w:hAnsi="Times New Roman"/>
          <w:color w:val="000000"/>
          <w:kern w:val="0"/>
          <w:sz w:val="24"/>
        </w:rPr>
        <w:t>号《关于进一步明确全面推开营改增试点金融业有关政策的通知》、财税</w:t>
      </w:r>
      <w:r>
        <w:rPr>
          <w:rFonts w:hint="default" w:ascii="Times New Roman" w:hAnsi="Times New Roman"/>
          <w:color w:val="000000"/>
          <w:kern w:val="0"/>
          <w:sz w:val="24"/>
        </w:rPr>
        <w:t>[2016]70</w:t>
      </w:r>
      <w:r>
        <w:rPr>
          <w:rFonts w:hint="eastAsia" w:ascii="Times New Roman" w:hAnsi="Times New Roman"/>
          <w:color w:val="000000"/>
          <w:kern w:val="0"/>
          <w:sz w:val="24"/>
        </w:rPr>
        <w:t>号《关于金融机构同业往来等增值税政策的补充通知》及其他相关财税法规和实务操作，主要税项列示如下：</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日前，以发行基金方式募集资金不属于营业税征收范围，不征收营业税。对证券投资基金管理人运用基金买卖股票、债券的差价收入免征营业税。自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日起，金融业由缴纳营业税改为缴纳增值税。对证券投资基金管理人运用基金买卖股票、债券的转让收入免征增值税，对国债、地方政府债以及金融同业往来利息收入亦免征增值税。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对基金从证券市场中取得的收入，包括买卖股票、债券的差价收入，股票的股息、红利收入，债券的利息收入及其他收入，暂不征收企业所得税。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对基金取得的企业债券利息收入，应由发行债券的企业在向基金支付利息时代扣代缴</w:t>
      </w:r>
      <w:r>
        <w:rPr>
          <w:rFonts w:hint="default" w:ascii="Times New Roman" w:hAnsi="Times New Roman"/>
          <w:color w:val="000000"/>
          <w:kern w:val="0"/>
          <w:sz w:val="24"/>
        </w:rPr>
        <w:t>20%</w:t>
      </w:r>
      <w:r>
        <w:rPr>
          <w:rFonts w:hint="eastAsia" w:ascii="Times New Roman" w:hAnsi="Times New Roman"/>
          <w:color w:val="000000"/>
          <w:kern w:val="0"/>
          <w:sz w:val="24"/>
        </w:rPr>
        <w:t>的个人所得税。对基金从上市公司取得的股息红利所得，持股期限在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个月以内</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个月</w:t>
      </w:r>
      <w:r>
        <w:rPr>
          <w:rFonts w:hint="default" w:ascii="Times New Roman" w:hAnsi="Times New Roman"/>
          <w:color w:val="000000"/>
          <w:kern w:val="0"/>
          <w:sz w:val="24"/>
        </w:rPr>
        <w:t>)</w:t>
      </w:r>
      <w:r>
        <w:rPr>
          <w:rFonts w:hint="eastAsia" w:ascii="Times New Roman" w:hAnsi="Times New Roman"/>
          <w:color w:val="000000"/>
          <w:kern w:val="0"/>
          <w:sz w:val="24"/>
        </w:rPr>
        <w:t>的，其股息红利所得全额计入应纳税所得额；持股期限在</w:t>
      </w:r>
      <w:r>
        <w:rPr>
          <w:rFonts w:hint="default" w:ascii="Times New Roman" w:hAnsi="Times New Roman"/>
          <w:color w:val="000000"/>
          <w:kern w:val="0"/>
          <w:sz w:val="24"/>
        </w:rPr>
        <w:t>1</w:t>
      </w:r>
      <w:r>
        <w:rPr>
          <w:rFonts w:hint="eastAsia" w:ascii="Times New Roman" w:hAnsi="Times New Roman"/>
          <w:color w:val="000000"/>
          <w:kern w:val="0"/>
          <w:sz w:val="24"/>
        </w:rPr>
        <w:t>个月以上至</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1</w:t>
      </w:r>
      <w:r>
        <w:rPr>
          <w:rFonts w:hint="eastAsia" w:ascii="Times New Roman" w:hAnsi="Times New Roman"/>
          <w:color w:val="000000"/>
          <w:kern w:val="0"/>
          <w:sz w:val="24"/>
        </w:rPr>
        <w:t>年</w:t>
      </w:r>
      <w:r>
        <w:rPr>
          <w:rFonts w:hint="default" w:ascii="Times New Roman" w:hAnsi="Times New Roman"/>
          <w:color w:val="000000"/>
          <w:kern w:val="0"/>
          <w:sz w:val="24"/>
        </w:rPr>
        <w:t>)</w:t>
      </w:r>
      <w:r>
        <w:rPr>
          <w:rFonts w:hint="eastAsia" w:ascii="Times New Roman" w:hAnsi="Times New Roman"/>
          <w:color w:val="000000"/>
          <w:kern w:val="0"/>
          <w:sz w:val="24"/>
        </w:rPr>
        <w:t>的，暂减按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计入应纳税所得额；持股期限超过</w:t>
      </w:r>
      <w:r>
        <w:rPr>
          <w:rFonts w:hint="default" w:ascii="Times New Roman" w:hAnsi="Times New Roman"/>
          <w:color w:val="000000"/>
          <w:kern w:val="0"/>
          <w:sz w:val="24"/>
        </w:rPr>
        <w:t>1</w:t>
      </w:r>
      <w:r>
        <w:rPr>
          <w:rFonts w:hint="eastAsia" w:ascii="Times New Roman" w:hAnsi="Times New Roman"/>
          <w:color w:val="000000"/>
          <w:kern w:val="0"/>
          <w:sz w:val="24"/>
        </w:rPr>
        <w:t>年的，暂免征收个人所得税。对基金持有的上市公司限售股，解禁后取得的股息、红利收入，按照上述规定计算纳税，持股时间自解禁日起计算；解禁前取得的股息、红利收入继续暂减按</w:t>
      </w:r>
      <w:r>
        <w:rPr>
          <w:rFonts w:hint="default" w:ascii="Times New Roman" w:hAnsi="Times New Roman"/>
          <w:color w:val="000000"/>
          <w:kern w:val="0"/>
          <w:sz w:val="24"/>
        </w:rPr>
        <w:t>50%</w:t>
      </w:r>
      <w:r>
        <w:rPr>
          <w:rFonts w:hint="eastAsia" w:ascii="Times New Roman" w:hAnsi="Times New Roman"/>
          <w:color w:val="000000"/>
          <w:kern w:val="0"/>
          <w:sz w:val="24"/>
        </w:rPr>
        <w:t>计入应纳税所得额。上述所得统一适用</w:t>
      </w:r>
      <w:r>
        <w:rPr>
          <w:rFonts w:hint="default" w:ascii="Times New Roman" w:hAnsi="Times New Roman"/>
          <w:color w:val="000000"/>
          <w:kern w:val="0"/>
          <w:sz w:val="24"/>
        </w:rPr>
        <w:t>20%</w:t>
      </w:r>
      <w:r>
        <w:rPr>
          <w:rFonts w:hint="eastAsia" w:ascii="Times New Roman" w:hAnsi="Times New Roman"/>
          <w:color w:val="000000"/>
          <w:kern w:val="0"/>
          <w:sz w:val="24"/>
        </w:rPr>
        <w:t>的税率计征个人所得税。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对基金通过沪港通投资香港联交所上市</w:t>
      </w:r>
      <w:r>
        <w:rPr>
          <w:rFonts w:hint="default" w:ascii="Times New Roman" w:hAnsi="Times New Roman"/>
          <w:color w:val="000000"/>
          <w:kern w:val="0"/>
          <w:sz w:val="24"/>
        </w:rPr>
        <w:t>H</w:t>
      </w:r>
      <w:r>
        <w:rPr>
          <w:rFonts w:hint="eastAsia" w:ascii="Times New Roman" w:hAnsi="Times New Roman"/>
          <w:color w:val="000000"/>
          <w:kern w:val="0"/>
          <w:sz w:val="24"/>
        </w:rPr>
        <w:t>股取得的股息红利，</w:t>
      </w:r>
      <w:r>
        <w:rPr>
          <w:rFonts w:hint="default" w:ascii="Times New Roman" w:hAnsi="Times New Roman"/>
          <w:color w:val="000000"/>
          <w:kern w:val="0"/>
          <w:sz w:val="24"/>
        </w:rPr>
        <w:t>H</w:t>
      </w:r>
      <w:r>
        <w:rPr>
          <w:rFonts w:hint="eastAsia" w:ascii="Times New Roman" w:hAnsi="Times New Roman"/>
          <w:color w:val="000000"/>
          <w:kern w:val="0"/>
          <w:sz w:val="24"/>
        </w:rPr>
        <w:t>股公司应向中国证券登记结算有限责任公司</w:t>
      </w:r>
      <w:r>
        <w:rPr>
          <w:rFonts w:hint="default" w:ascii="Times New Roman" w:hAnsi="Times New Roman"/>
          <w:color w:val="000000"/>
          <w:kern w:val="0"/>
          <w:sz w:val="24"/>
        </w:rPr>
        <w:t>(</w:t>
      </w:r>
      <w:r>
        <w:rPr>
          <w:rFonts w:hint="eastAsia" w:ascii="Times New Roman" w:hAnsi="Times New Roman"/>
          <w:color w:val="000000"/>
          <w:kern w:val="0"/>
          <w:sz w:val="24"/>
        </w:rPr>
        <w:t>以下简称</w:t>
      </w:r>
      <w:r>
        <w:rPr>
          <w:rFonts w:hint="default" w:ascii="Times New Roman" w:hAnsi="Times New Roman"/>
          <w:color w:val="000000"/>
          <w:kern w:val="0"/>
          <w:sz w:val="24"/>
        </w:rPr>
        <w:t>"</w:t>
      </w:r>
      <w:r>
        <w:rPr>
          <w:rFonts w:hint="eastAsia" w:ascii="Times New Roman" w:hAnsi="Times New Roman"/>
          <w:color w:val="000000"/>
          <w:kern w:val="0"/>
          <w:sz w:val="24"/>
        </w:rPr>
        <w:t>中国结算</w:t>
      </w:r>
      <w:r>
        <w:rPr>
          <w:rFonts w:hint="default" w:ascii="Times New Roman" w:hAnsi="Times New Roman"/>
          <w:color w:val="000000"/>
          <w:kern w:val="0"/>
          <w:sz w:val="24"/>
        </w:rPr>
        <w:t>")</w:t>
      </w:r>
      <w:r>
        <w:rPr>
          <w:rFonts w:hint="eastAsia" w:ascii="Times New Roman" w:hAnsi="Times New Roman"/>
          <w:color w:val="000000"/>
          <w:kern w:val="0"/>
          <w:sz w:val="24"/>
        </w:rPr>
        <w:t>提出申请，由中国结算向</w:t>
      </w:r>
      <w:r>
        <w:rPr>
          <w:rFonts w:hint="default" w:ascii="Times New Roman" w:hAnsi="Times New Roman"/>
          <w:color w:val="000000"/>
          <w:kern w:val="0"/>
          <w:sz w:val="24"/>
        </w:rPr>
        <w:t>H</w:t>
      </w:r>
      <w:r>
        <w:rPr>
          <w:rFonts w:hint="eastAsia" w:ascii="Times New Roman" w:hAnsi="Times New Roman"/>
          <w:color w:val="000000"/>
          <w:kern w:val="0"/>
          <w:sz w:val="24"/>
        </w:rPr>
        <w:t>股公司提供内地个人投资者名册，</w:t>
      </w:r>
      <w:r>
        <w:rPr>
          <w:rFonts w:hint="default" w:ascii="Times New Roman" w:hAnsi="Times New Roman"/>
          <w:color w:val="000000"/>
          <w:kern w:val="0"/>
          <w:sz w:val="24"/>
        </w:rPr>
        <w:t>H</w:t>
      </w:r>
      <w:r>
        <w:rPr>
          <w:rFonts w:hint="eastAsia" w:ascii="Times New Roman" w:hAnsi="Times New Roman"/>
          <w:color w:val="000000"/>
          <w:kern w:val="0"/>
          <w:sz w:val="24"/>
        </w:rPr>
        <w:t>股公司按照</w:t>
      </w:r>
      <w:r>
        <w:rPr>
          <w:rFonts w:hint="default" w:ascii="Times New Roman" w:hAnsi="Times New Roman"/>
          <w:color w:val="000000"/>
          <w:kern w:val="0"/>
          <w:sz w:val="24"/>
        </w:rPr>
        <w:t>20%</w:t>
      </w:r>
      <w:r>
        <w:rPr>
          <w:rFonts w:hint="eastAsia" w:ascii="Times New Roman" w:hAnsi="Times New Roman"/>
          <w:color w:val="000000"/>
          <w:kern w:val="0"/>
          <w:sz w:val="24"/>
        </w:rPr>
        <w:t>的税率代扣个人所得税。基金通过沪港通投资香港联交所上市的非</w:t>
      </w:r>
      <w:r>
        <w:rPr>
          <w:rFonts w:hint="default" w:ascii="Times New Roman" w:hAnsi="Times New Roman"/>
          <w:color w:val="000000"/>
          <w:kern w:val="0"/>
          <w:sz w:val="24"/>
        </w:rPr>
        <w:t>H</w:t>
      </w:r>
      <w:r>
        <w:rPr>
          <w:rFonts w:hint="eastAsia" w:ascii="Times New Roman" w:hAnsi="Times New Roman"/>
          <w:color w:val="000000"/>
          <w:kern w:val="0"/>
          <w:sz w:val="24"/>
        </w:rPr>
        <w:t>股取得的股息红利，由中国结算按照</w:t>
      </w:r>
      <w:r>
        <w:rPr>
          <w:rFonts w:hint="default" w:ascii="Times New Roman" w:hAnsi="Times New Roman"/>
          <w:color w:val="000000"/>
          <w:kern w:val="0"/>
          <w:sz w:val="24"/>
        </w:rPr>
        <w:t>20%</w:t>
      </w:r>
      <w:r>
        <w:rPr>
          <w:rFonts w:hint="eastAsia" w:ascii="Times New Roman" w:hAnsi="Times New Roman"/>
          <w:color w:val="000000"/>
          <w:kern w:val="0"/>
          <w:sz w:val="24"/>
        </w:rPr>
        <w:t>的税率代扣个人所得税。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(4)</w:t>
      </w:r>
      <w:r>
        <w:rPr>
          <w:rFonts w:hint="eastAsia" w:ascii="Times New Roman" w:hAnsi="Times New Roman"/>
          <w:color w:val="000000"/>
          <w:kern w:val="0"/>
          <w:sz w:val="24"/>
        </w:rPr>
        <w:t>基金卖出股票按</w:t>
      </w:r>
      <w:r>
        <w:rPr>
          <w:rFonts w:hint="default" w:ascii="Times New Roman" w:hAnsi="Times New Roman"/>
          <w:color w:val="000000"/>
          <w:kern w:val="0"/>
          <w:sz w:val="24"/>
        </w:rPr>
        <w:t>0.1%</w:t>
      </w:r>
      <w:r>
        <w:rPr>
          <w:rFonts w:hint="eastAsia" w:ascii="Times New Roman" w:hAnsi="Times New Roman"/>
          <w:color w:val="000000"/>
          <w:kern w:val="0"/>
          <w:sz w:val="24"/>
        </w:rPr>
        <w:t>的税率缴纳股票交易印花税，买入股票不征收股票交易印花税。基金通过沪港通买卖、继承、赠与联交所上市股票，按照香港特别行政区现行税法规定缴纳印花税。</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 </w:t>
      </w:r>
      <w:r>
        <w:rPr>
          <w:rFonts w:hint="eastAsia" w:ascii="Times New Roman" w:hAnsi="Times New Roman"/>
          <w:b/>
          <w:color w:val="000000"/>
          <w:kern w:val="0"/>
          <w:sz w:val="24"/>
        </w:rPr>
        <w:t>重要财务报表项目的说明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 </w:t>
      </w:r>
      <w:r>
        <w:rPr>
          <w:rFonts w:hint="eastAsia" w:ascii="Times New Roman" w:hAnsi="Times New Roman"/>
          <w:b/>
          <w:color w:val="000000"/>
          <w:kern w:val="0"/>
          <w:sz w:val="24"/>
        </w:rPr>
        <w:t>银行存款</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3250"/>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其中：存款期限</w:t>
            </w:r>
            <w:r>
              <w:rPr>
                <w:rFonts w:hint="default" w:ascii="Times New Roman" w:hAnsi="Times New Roman"/>
                <w:color w:val="000000"/>
                <w:kern w:val="0"/>
                <w:sz w:val="24"/>
              </w:rPr>
              <w:t>1-3</w:t>
            </w:r>
            <w:r>
              <w:rPr>
                <w:rFonts w:hint="eastAsia" w:ascii="Times New Roman" w:hAnsi="Times New Roman"/>
                <w:color w:val="000000"/>
                <w:kern w:val="0"/>
                <w:sz w:val="24"/>
              </w:rPr>
              <w:t>个月</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25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7.4.7.2 </w:t>
      </w:r>
      <w:r>
        <w:rPr>
          <w:rFonts w:hint="eastAsia" w:ascii="Times New Roman" w:hAnsi="Times New Roman"/>
          <w:b/>
          <w:color w:val="000000"/>
          <w:kern w:val="0"/>
          <w:sz w:val="24"/>
        </w:rPr>
        <w:t>交易性金融资产</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80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180,196,895.38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8,060,827.58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180,196,895.38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8,060,827.58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3"/>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 xml:space="preserve"> 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成本</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公允价值变动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167,551,729.45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r>
              <w:rPr>
                <w:rFonts w:hint="default" w:ascii="Times New Roman" w:eastAsia="Times New Roman"/>
                <w:color w:val="000000"/>
                <w:kern w:val="0"/>
                <w:sz w:val="24"/>
              </w:rPr>
              <w:t>-</w:t>
            </w:r>
            <w:r>
              <w:rPr>
                <w:rFonts w:hint="eastAsia" w:ascii="Times New Roman" w:hAnsi="Times New Roman"/>
                <w:color w:val="000000"/>
                <w:kern w:val="0"/>
                <w:sz w:val="24"/>
              </w:rPr>
              <w:t>金交所黄金合约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资产支持证券</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167,551,729.45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7.4.7.3 </w:t>
      </w:r>
      <w:r>
        <w:rPr>
          <w:rFonts w:hint="eastAsia" w:ascii="Times New Roman" w:hAnsi="Times New Roman"/>
          <w:b/>
          <w:color w:val="000000"/>
          <w:kern w:val="0"/>
          <w:sz w:val="24"/>
        </w:rPr>
        <w:t>衍生金融资产</w:t>
      </w:r>
      <w:r>
        <w:rPr>
          <w:rFonts w:hint="default" w:ascii="Times New Roman" w:hAnsi="Times New Roman"/>
          <w:b/>
          <w:color w:val="000000"/>
          <w:kern w:val="0"/>
          <w:sz w:val="24"/>
        </w:rPr>
        <w:t>/</w:t>
      </w:r>
      <w:r>
        <w:rPr>
          <w:rFonts w:hint="eastAsia" w:ascii="Times New Roman" w:hAnsi="Times New Roman"/>
          <w:b/>
          <w:color w:val="000000"/>
          <w:kern w:val="0"/>
          <w:sz w:val="24"/>
        </w:rPr>
        <w:t>负债</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本基金于本期末及上年度末均未持有衍生金融资产</w:t>
      </w:r>
      <w:r>
        <w:rPr>
          <w:rFonts w:hint="default" w:ascii="Times New Roman" w:hAnsi="Times New Roman"/>
          <w:color w:val="000000"/>
          <w:kern w:val="0"/>
          <w:sz w:val="24"/>
        </w:rPr>
        <w:t>/</w:t>
      </w:r>
      <w:r>
        <w:rPr>
          <w:rFonts w:hint="eastAsia" w:ascii="Times New Roman" w:hAnsi="Times New Roman"/>
          <w:color w:val="000000"/>
          <w:kern w:val="0"/>
          <w:sz w:val="24"/>
        </w:rPr>
        <w:t>负债。</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 </w:t>
      </w:r>
      <w:r>
        <w:rPr>
          <w:rFonts w:hint="eastAsia" w:ascii="Times New Roman" w:hAnsi="Times New Roman"/>
          <w:b/>
          <w:color w:val="000000"/>
          <w:kern w:val="0"/>
          <w:sz w:val="24"/>
        </w:rPr>
        <w:t>买入返售金融资产</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7.4.7.4.1 </w:t>
      </w:r>
      <w:r>
        <w:rPr>
          <w:rFonts w:hint="eastAsia" w:ascii="Times New Roman" w:hAnsi="Times New Roman"/>
          <w:b/>
          <w:color w:val="000000"/>
          <w:kern w:val="0"/>
          <w:sz w:val="24"/>
        </w:rPr>
        <w:t>各项买入返售金融资产期末余额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账面余额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其中：买断式逆回购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650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 xml:space="preserve"> 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账面余额</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其中：买断式逆回购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44,000,000.00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44,000,000.00</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7.4.7.4.2 </w:t>
      </w:r>
      <w:r>
        <w:rPr>
          <w:rFonts w:hint="eastAsia" w:ascii="Times New Roman" w:hAnsi="Times New Roman"/>
          <w:b/>
          <w:color w:val="000000"/>
          <w:kern w:val="0"/>
          <w:sz w:val="24"/>
        </w:rPr>
        <w:t>期末买断式逆回购交易中取得的债券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本基金于本期末及上年度末均未有买断式逆回购交易中取得的债券。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7.4.7.5 </w:t>
      </w:r>
      <w:r>
        <w:rPr>
          <w:rFonts w:hint="eastAsia" w:ascii="Times New Roman" w:hAnsi="Times New Roman"/>
          <w:b/>
          <w:color w:val="000000"/>
          <w:kern w:val="0"/>
          <w:sz w:val="24"/>
        </w:rPr>
        <w:t>应收利息</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应收活期存款利息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6,704.89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3,803.73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应收定期存款利息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应收其他存款利息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应收结算备付金利息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177.81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10,832.29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应收债券利息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应收买入返售证券利息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应收申购款利息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应收黄金合约拆借孳息</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40.81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6,923.51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14,642.51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7.4.7.6 </w:t>
      </w:r>
      <w:r>
        <w:rPr>
          <w:rFonts w:hint="eastAsia" w:ascii="Times New Roman" w:hAnsi="Times New Roman"/>
          <w:b/>
          <w:color w:val="000000"/>
          <w:kern w:val="0"/>
          <w:sz w:val="24"/>
        </w:rPr>
        <w:t>其他资产</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本基金本期末及上年度末均无其他资产。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7.4.7.7 </w:t>
      </w:r>
      <w:r>
        <w:rPr>
          <w:rFonts w:hint="eastAsia" w:ascii="Times New Roman" w:hAnsi="Times New Roman"/>
          <w:b/>
          <w:color w:val="000000"/>
          <w:kern w:val="0"/>
          <w:sz w:val="24"/>
        </w:rPr>
        <w:t>应付交易费用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150,837.46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221,976.23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银行间市场应付交易费用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150,837.46</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221,976.23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7.4.7.8 </w:t>
      </w:r>
      <w:r>
        <w:rPr>
          <w:rFonts w:hint="eastAsia" w:ascii="Times New Roman" w:hAnsi="Times New Roman"/>
          <w:b/>
          <w:color w:val="000000"/>
          <w:kern w:val="0"/>
          <w:sz w:val="24"/>
        </w:rPr>
        <w:t>其他负债</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应付券商交易单元保证金</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应付赎回费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1,605.35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预提费用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66,605.15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83,000.00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7.4.7.9 </w:t>
      </w:r>
      <w:r>
        <w:rPr>
          <w:rFonts w:hint="eastAsia" w:ascii="Times New Roman" w:hAnsi="Times New Roman"/>
          <w:b/>
          <w:color w:val="000000"/>
          <w:kern w:val="0"/>
          <w:sz w:val="24"/>
        </w:rPr>
        <w:t>实收基金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77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基金份额（份）</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账面金额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本期申购</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143,714,005.53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143,714,005.53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本期赎回（以“</w:t>
            </w:r>
            <w:r>
              <w:rPr>
                <w:rFonts w:hint="default" w:ascii="Times New Roman" w:eastAsia="Times New Roman"/>
                <w:color w:val="000000"/>
                <w:kern w:val="0"/>
                <w:sz w:val="24"/>
              </w:rPr>
              <w:t>-</w:t>
            </w:r>
            <w:r>
              <w:rPr>
                <w:rFonts w:hint="eastAsia" w:ascii="Times New Roman" w:hAnsi="Times New Roman"/>
                <w:color w:val="000000"/>
                <w:kern w:val="0"/>
                <w:sz w:val="24"/>
              </w:rPr>
              <w:t>”号填列）</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-158,897,059.99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-158,897,059.99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233,089,922.59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233,089,922.59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注：申购含红利再投、转换入份</w:t>
      </w:r>
      <w:r>
        <w:rPr>
          <w:rFonts w:hint="default" w:ascii="Times New Roman" w:hAnsi="Times New Roman"/>
          <w:color w:val="000000"/>
          <w:kern w:val="0"/>
          <w:sz w:val="21"/>
        </w:rPr>
        <w:t>(</w:t>
      </w:r>
      <w:r>
        <w:rPr>
          <w:rFonts w:hint="eastAsia" w:ascii="Times New Roman" w:hAnsi="Times New Roman"/>
          <w:color w:val="000000"/>
          <w:kern w:val="0"/>
          <w:sz w:val="21"/>
        </w:rPr>
        <w:t>金</w:t>
      </w:r>
      <w:r>
        <w:rPr>
          <w:rFonts w:hint="default" w:ascii="Times New Roman" w:hAnsi="Times New Roman"/>
          <w:color w:val="000000"/>
          <w:kern w:val="0"/>
          <w:sz w:val="21"/>
        </w:rPr>
        <w:t>)</w:t>
      </w:r>
      <w:r>
        <w:rPr>
          <w:rFonts w:hint="eastAsia" w:ascii="Times New Roman" w:hAnsi="Times New Roman"/>
          <w:color w:val="000000"/>
          <w:kern w:val="0"/>
          <w:sz w:val="21"/>
        </w:rPr>
        <w:t>额；赎回含转换出份</w:t>
      </w:r>
      <w:r>
        <w:rPr>
          <w:rFonts w:hint="default" w:ascii="Times New Roman" w:hAnsi="Times New Roman"/>
          <w:color w:val="000000"/>
          <w:kern w:val="0"/>
          <w:sz w:val="21"/>
        </w:rPr>
        <w:t>(</w:t>
      </w:r>
      <w:r>
        <w:rPr>
          <w:rFonts w:hint="eastAsia" w:ascii="Times New Roman" w:hAnsi="Times New Roman"/>
          <w:color w:val="000000"/>
          <w:kern w:val="0"/>
          <w:sz w:val="21"/>
        </w:rPr>
        <w:t>金</w:t>
      </w:r>
      <w:r>
        <w:rPr>
          <w:rFonts w:hint="default" w:ascii="Times New Roman" w:hAnsi="Times New Roman"/>
          <w:color w:val="000000"/>
          <w:kern w:val="0"/>
          <w:sz w:val="21"/>
        </w:rPr>
        <w:t>)</w:t>
      </w:r>
      <w:r>
        <w:rPr>
          <w:rFonts w:hint="eastAsia" w:ascii="Times New Roman" w:hAnsi="Times New Roman"/>
          <w:color w:val="000000"/>
          <w:kern w:val="0"/>
          <w:sz w:val="21"/>
        </w:rPr>
        <w:t>额。</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7.4.7.10 </w:t>
      </w:r>
      <w:r>
        <w:rPr>
          <w:rFonts w:hint="eastAsia" w:ascii="Times New Roman" w:hAnsi="Times New Roman"/>
          <w:b/>
          <w:color w:val="000000"/>
          <w:kern w:val="0"/>
          <w:sz w:val="24"/>
        </w:rPr>
        <w:t>未分配利润</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2168"/>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已实现部分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未实现部分</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未分配利润合计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上年度末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249,345.90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-1,551,903.79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-1,302,557.89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1,668,038.33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9,500,861.13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11,168,899.46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5,887,576.16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581,511.93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6,469,088.09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其中：基金申购款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2,176,402.95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7,449,253.08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9,625,656.03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基金赎回款</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3,711,173.21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-6,867,741.15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-3,156,567.94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本期已分配利润</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本期末</w:t>
            </w:r>
          </w:p>
        </w:tc>
        <w:tc>
          <w:tcPr>
            <w:tcW w:w="216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7,804,960.39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8,530,469.27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16,335,429.66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7.4.7.11 </w:t>
      </w:r>
      <w:r>
        <w:rPr>
          <w:rFonts w:hint="eastAsia" w:ascii="Times New Roman" w:hAnsi="Times New Roman"/>
          <w:b/>
          <w:color w:val="000000"/>
          <w:kern w:val="0"/>
          <w:sz w:val="24"/>
        </w:rPr>
        <w:t>存款利息收入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活期存款利息收入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210,919.94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104,614.41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定期存款利息收入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684,444.44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其他存款利息收入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结算备付金利息收入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24,771.07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69,950.90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2,379.23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238,070.24</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859,031.65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7.4.7.12 </w:t>
      </w:r>
      <w:r>
        <w:rPr>
          <w:rFonts w:hint="eastAsia" w:ascii="Times New Roman" w:hAnsi="Times New Roman"/>
          <w:b/>
          <w:color w:val="000000"/>
          <w:kern w:val="0"/>
          <w:sz w:val="24"/>
        </w:rPr>
        <w:t>股票投资收益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卖出股票成交总额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554,455,356.03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39,085,607.20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减：卖出股票成本总额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549,736,654.55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38,736,942.95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买卖股票差价收入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4,718,701.48</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348,664.25</w:t>
            </w:r>
          </w:p>
        </w:tc>
      </w:tr>
    </w:tbl>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7.4.7.13 </w:t>
      </w:r>
      <w:r>
        <w:rPr>
          <w:rFonts w:hint="eastAsia" w:ascii="Times New Roman" w:hAnsi="Times New Roman"/>
          <w:b/>
          <w:color w:val="000000"/>
          <w:kern w:val="0"/>
          <w:sz w:val="24"/>
        </w:rPr>
        <w:t>债券投资收益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本基金于本期及上年度可比期间均未发生债券投资收益。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7.4.7.14 </w:t>
      </w:r>
      <w:r>
        <w:rPr>
          <w:rFonts w:hint="eastAsia" w:ascii="Times New Roman" w:hAnsi="Times New Roman"/>
          <w:b/>
          <w:color w:val="000000"/>
          <w:kern w:val="0"/>
          <w:sz w:val="24"/>
        </w:rPr>
        <w:t>衍生工具收益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本基金于本期及上年度可比期间均未发生衍生工具收益。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7.4.7.15 </w:t>
      </w:r>
      <w:r>
        <w:rPr>
          <w:rFonts w:hint="eastAsia" w:ascii="Times New Roman" w:hAnsi="Times New Roman"/>
          <w:b/>
          <w:color w:val="000000"/>
          <w:kern w:val="0"/>
          <w:sz w:val="24"/>
        </w:rPr>
        <w:t>股利收益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股票投资产生的股利收益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1,593,482.81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基金投资产生的股利收益</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1,593,482.81</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7.4.7.16 </w:t>
      </w:r>
      <w:r>
        <w:rPr>
          <w:rFonts w:hint="eastAsia" w:ascii="Times New Roman" w:hAnsi="Times New Roman"/>
          <w:b/>
          <w:color w:val="000000"/>
          <w:kern w:val="0"/>
          <w:sz w:val="24"/>
        </w:rPr>
        <w:t>公允价值变动收益</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交易性金融资产</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9,500,861.13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股票投资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9,500,861.13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债券投资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资产支持证券投资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基金投资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贵金属投资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衍生工具</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权证投资</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3.</w:t>
            </w:r>
            <w:r>
              <w:rPr>
                <w:rFonts w:hint="eastAsia" w:ascii="Times New Roman" w:hAnsi="Times New Roman"/>
                <w:color w:val="000000"/>
                <w:kern w:val="0"/>
                <w:sz w:val="24"/>
              </w:rPr>
              <w:t>其他</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9,500,861.13</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-1,440,033.55</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7.4.7.17 </w:t>
      </w:r>
      <w:r>
        <w:rPr>
          <w:rFonts w:hint="eastAsia" w:ascii="Times New Roman" w:hAnsi="Times New Roman"/>
          <w:b/>
          <w:color w:val="000000"/>
          <w:kern w:val="0"/>
          <w:sz w:val="24"/>
        </w:rPr>
        <w:t>其他收入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基金赎回费收入</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335,373.09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181,747.60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335,373.09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181,747.60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7.4.7.18 </w:t>
      </w:r>
      <w:r>
        <w:rPr>
          <w:rFonts w:hint="eastAsia" w:ascii="Times New Roman" w:hAnsi="Times New Roman"/>
          <w:b/>
          <w:color w:val="000000"/>
          <w:kern w:val="0"/>
          <w:sz w:val="24"/>
        </w:rPr>
        <w:t>交易费用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交易所市场交易费用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1,542,247.77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285,936.74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银行间市场交易费用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1,542,247.77</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285,936.74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7.4.7.19 </w:t>
      </w:r>
      <w:r>
        <w:rPr>
          <w:rFonts w:hint="eastAsia" w:ascii="Times New Roman" w:hAnsi="Times New Roman"/>
          <w:b/>
          <w:color w:val="000000"/>
          <w:kern w:val="0"/>
          <w:sz w:val="24"/>
        </w:rPr>
        <w:t>其他费用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审计费用</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71,999.80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信息披露费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汇划手续费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254.00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帐户维护费</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172,253.80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84,040.00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 </w:t>
      </w:r>
      <w:r>
        <w:rPr>
          <w:rFonts w:hint="eastAsia" w:ascii="Times New Roman" w:hAnsi="Times New Roman"/>
          <w:b/>
          <w:color w:val="000000"/>
          <w:kern w:val="0"/>
          <w:sz w:val="24"/>
        </w:rPr>
        <w:t>或有事项、资产负债表日后事项的说明</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7.4.8.1 </w:t>
      </w:r>
      <w:r>
        <w:rPr>
          <w:rFonts w:hint="eastAsia" w:ascii="Times New Roman" w:hAnsi="Times New Roman"/>
          <w:b/>
          <w:color w:val="000000"/>
          <w:kern w:val="0"/>
          <w:sz w:val="24"/>
        </w:rPr>
        <w:t>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截至资产负债表日，本基金并无须作披露的或有事项。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7.4.8.2 </w:t>
      </w:r>
      <w:r>
        <w:rPr>
          <w:rFonts w:hint="eastAsia" w:ascii="Times New Roman" w:hAnsi="Times New Roman"/>
          <w:b/>
          <w:color w:val="000000"/>
          <w:kern w:val="0"/>
          <w:sz w:val="24"/>
        </w:rPr>
        <w:t>资产负债表日后事项</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财政部、国家税务总局于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21</w:t>
      </w:r>
      <w:r>
        <w:rPr>
          <w:rFonts w:hint="eastAsia" w:ascii="Times New Roman" w:hAnsi="Times New Roman"/>
          <w:color w:val="000000"/>
          <w:kern w:val="0"/>
          <w:sz w:val="24"/>
        </w:rPr>
        <w:t>日颁布《关于明确金融房地产开发教育辅助服务等增值税政策的通知》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[2016]140</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，要求资管产品运营过程中发生的增值税应税行为，以资管产品管理人为增值税纳税人，自</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5</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日起执行。</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根据财政部、国家税务总局于</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6</w:t>
      </w:r>
      <w:r>
        <w:rPr>
          <w:rFonts w:hint="eastAsia" w:ascii="Times New Roman" w:hAnsi="Times New Roman"/>
          <w:color w:val="000000"/>
          <w:kern w:val="0"/>
          <w:sz w:val="24"/>
        </w:rPr>
        <w:t>日颁布的《关于资管产品增值税政策有关问题的补充通知》</w:t>
      </w:r>
      <w:r>
        <w:rPr>
          <w:rFonts w:hint="default" w:ascii="Times New Roman" w:hAnsi="Times New Roman"/>
          <w:color w:val="000000"/>
          <w:kern w:val="0"/>
          <w:sz w:val="24"/>
        </w:rPr>
        <w:t>(</w:t>
      </w:r>
      <w:r>
        <w:rPr>
          <w:rFonts w:hint="eastAsia" w:ascii="Times New Roman" w:hAnsi="Times New Roman"/>
          <w:color w:val="000000"/>
          <w:kern w:val="0"/>
          <w:sz w:val="24"/>
        </w:rPr>
        <w:t>财税</w:t>
      </w:r>
      <w:r>
        <w:rPr>
          <w:rFonts w:hint="default" w:ascii="Times New Roman" w:hAnsi="Times New Roman"/>
          <w:color w:val="000000"/>
          <w:kern w:val="0"/>
          <w:sz w:val="24"/>
        </w:rPr>
        <w:t>[2017]2</w:t>
      </w:r>
      <w:r>
        <w:rPr>
          <w:rFonts w:hint="eastAsia" w:ascii="Times New Roman" w:hAnsi="Times New Roman"/>
          <w:color w:val="000000"/>
          <w:kern w:val="0"/>
          <w:sz w:val="24"/>
        </w:rPr>
        <w:t>号</w:t>
      </w:r>
      <w:r>
        <w:rPr>
          <w:rFonts w:hint="default" w:ascii="Times New Roman" w:hAnsi="Times New Roman"/>
          <w:color w:val="000000"/>
          <w:kern w:val="0"/>
          <w:sz w:val="24"/>
        </w:rPr>
        <w:t>)</w:t>
      </w:r>
      <w:r>
        <w:rPr>
          <w:rFonts w:hint="eastAsia" w:ascii="Times New Roman" w:hAnsi="Times New Roman"/>
          <w:color w:val="000000"/>
          <w:kern w:val="0"/>
          <w:sz w:val="24"/>
        </w:rPr>
        <w:t>，</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含</w:t>
      </w:r>
      <w:r>
        <w:rPr>
          <w:rFonts w:hint="default" w:ascii="Times New Roman" w:hAnsi="Times New Roman"/>
          <w:color w:val="000000"/>
          <w:kern w:val="0"/>
          <w:sz w:val="24"/>
        </w:rPr>
        <w:t>)</w:t>
      </w:r>
      <w:r>
        <w:rPr>
          <w:rFonts w:hint="eastAsia" w:ascii="Times New Roman" w:hAnsi="Times New Roman"/>
          <w:color w:val="000000"/>
          <w:kern w:val="0"/>
          <w:sz w:val="24"/>
        </w:rPr>
        <w:t>以后，资管产品运营过程中发生的增值税应税行为，以资管产品管理人为增值税纳税人，按照现行规定缴纳增值税。对资管产品在</w:t>
      </w:r>
      <w:r>
        <w:rPr>
          <w:rFonts w:hint="default" w:ascii="Times New Roman" w:hAnsi="Times New Roman"/>
          <w:color w:val="000000"/>
          <w:kern w:val="0"/>
          <w:sz w:val="24"/>
        </w:rPr>
        <w:t>2017</w:t>
      </w:r>
      <w:r>
        <w:rPr>
          <w:rFonts w:hint="eastAsia" w:ascii="Times New Roman" w:hAnsi="Times New Roman"/>
          <w:color w:val="000000"/>
          <w:kern w:val="0"/>
          <w:sz w:val="24"/>
        </w:rPr>
        <w:t>年</w:t>
      </w:r>
      <w:r>
        <w:rPr>
          <w:rFonts w:hint="default" w:ascii="Times New Roman" w:hAnsi="Times New Roman"/>
          <w:color w:val="000000"/>
          <w:kern w:val="0"/>
          <w:sz w:val="24"/>
        </w:rPr>
        <w:t>7</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前运营过程中发生的增值税应税行为，未缴纳增值税的，不再缴纳；已缴纳增值税的，已纳税额从资管产品管理人以后月份的增值税应纳税额中抵减。资管产品运营过程中发生增值税应税行为的具体征收管理办法，由国家税务总局另行制定。上述税收政策对本基金截至本财务报表批准报出日止的财务状况和经营成果无影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 </w:t>
      </w:r>
      <w:r>
        <w:rPr>
          <w:rFonts w:hint="eastAsia" w:ascii="Times New Roman" w:hAnsi="Times New Roman"/>
          <w:b/>
          <w:color w:val="000000"/>
          <w:kern w:val="0"/>
          <w:sz w:val="24"/>
        </w:rPr>
        <w:t>关联方关系</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7.4.9.1 </w:t>
      </w:r>
      <w:r>
        <w:rPr>
          <w:rFonts w:hint="eastAsia" w:ascii="Times New Roman" w:hAnsi="Times New Roman"/>
          <w:b/>
          <w:color w:val="000000"/>
          <w:kern w:val="0"/>
          <w:sz w:val="24"/>
        </w:rPr>
        <w:t>本报告期存在控制关系或其他重大利害关系的关联方发生变化的情况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本报告期不存在重大关联方发生变化的情况。</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7.4.9.2 </w:t>
      </w:r>
      <w:r>
        <w:rPr>
          <w:rFonts w:hint="eastAsia" w:ascii="Times New Roman" w:hAnsi="Times New Roman"/>
          <w:b/>
          <w:color w:val="000000"/>
          <w:kern w:val="0"/>
          <w:sz w:val="24"/>
        </w:rPr>
        <w:t>本报告期与基金发生关联交易的各关联方</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与本基金的关系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基金管理人、注册登记机构、基金销售机构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中国工商银行股份有限公司</w:t>
            </w:r>
            <w:r>
              <w:rPr>
                <w:rFonts w:hint="default" w:ascii="Times New Roman" w:hAnsi="Times New Roman"/>
                <w:color w:val="000000"/>
                <w:kern w:val="0"/>
                <w:sz w:val="24"/>
              </w:rPr>
              <w:t>(</w:t>
            </w:r>
            <w:r>
              <w:rPr>
                <w:rFonts w:hint="eastAsia" w:ascii="Times New Roman" w:hAnsi="Times New Roman"/>
                <w:color w:val="000000"/>
                <w:kern w:val="0"/>
                <w:sz w:val="24"/>
              </w:rPr>
              <w:t>“中国工商银行”</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基金托管人、基金代销机构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基金管理人的股东、基金代销机构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433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深圳市金合信投资合伙企业</w:t>
            </w:r>
            <w:r>
              <w:rPr>
                <w:rFonts w:hint="default" w:ascii="Times New Roman" w:hAnsi="Times New Roman"/>
                <w:color w:val="000000"/>
                <w:kern w:val="0"/>
                <w:sz w:val="24"/>
              </w:rPr>
              <w:t>(</w:t>
            </w:r>
            <w:r>
              <w:rPr>
                <w:rFonts w:hint="eastAsia" w:ascii="Times New Roman" w:hAnsi="Times New Roman"/>
                <w:color w:val="000000"/>
                <w:kern w:val="0"/>
                <w:sz w:val="24"/>
              </w:rPr>
              <w:t>有限合伙</w:t>
            </w:r>
            <w:r>
              <w:rPr>
                <w:rFonts w:hint="default" w:ascii="Times New Roman" w:hAnsi="Times New Roman"/>
                <w:color w:val="000000"/>
                <w:kern w:val="0"/>
                <w:sz w:val="24"/>
              </w:rPr>
              <w:t>)</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基金管理人的股东</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 </w:t>
      </w:r>
      <w:r>
        <w:rPr>
          <w:rFonts w:hint="eastAsia" w:ascii="Times New Roman" w:hAnsi="Times New Roman"/>
          <w:b/>
          <w:color w:val="000000"/>
          <w:kern w:val="0"/>
          <w:sz w:val="24"/>
        </w:rPr>
        <w:t>本报告期及上年度可比期间的关联方交易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 </w:t>
      </w:r>
      <w:r>
        <w:rPr>
          <w:rFonts w:hint="eastAsia" w:ascii="Times New Roman" w:hAnsi="Times New Roman"/>
          <w:b/>
          <w:color w:val="000000"/>
          <w:kern w:val="0"/>
          <w:sz w:val="24"/>
        </w:rPr>
        <w:t>通过关联方交易单元进行的交易</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7.4.10.1.1 </w:t>
      </w:r>
      <w:r>
        <w:rPr>
          <w:rFonts w:hint="eastAsia" w:ascii="Times New Roman" w:hAnsi="Times New Roman"/>
          <w:b/>
          <w:color w:val="000000"/>
          <w:kern w:val="0"/>
          <w:sz w:val="24"/>
        </w:rPr>
        <w:t>股票交易</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占当期股票成交总额的比例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26,105,899.33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10.77%</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7.4.10.1.2 </w:t>
      </w:r>
      <w:r>
        <w:rPr>
          <w:rFonts w:hint="eastAsia" w:ascii="Times New Roman" w:hAnsi="Times New Roman"/>
          <w:b/>
          <w:color w:val="000000"/>
          <w:kern w:val="0"/>
          <w:sz w:val="24"/>
        </w:rPr>
        <w:t>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本基金于本期及上年度可比期间内未通过关联方交易单元进行权证交易。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7.4.10.1.3 </w:t>
      </w:r>
      <w:r>
        <w:rPr>
          <w:rFonts w:hint="eastAsia" w:ascii="Times New Roman" w:hAnsi="Times New Roman"/>
          <w:b/>
          <w:color w:val="000000"/>
          <w:kern w:val="0"/>
          <w:sz w:val="24"/>
        </w:rPr>
        <w:t>应支付关联方的佣金</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2167"/>
        <w:gridCol w:w="1445"/>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7224"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占当期佣金总量的比例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期末应付佣金余额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占期末应付佣金总额的比例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18,933.93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18,933.93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8.64%</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w:t>
      </w:r>
      <w:r>
        <w:rPr>
          <w:rFonts w:hint="default" w:ascii="Times New Roman" w:hAnsi="Times New Roman"/>
          <w:color w:val="000000"/>
          <w:kern w:val="0"/>
          <w:sz w:val="21"/>
        </w:rPr>
        <w:t xml:space="preserve">1. </w:t>
      </w:r>
      <w:r>
        <w:rPr>
          <w:rFonts w:hint="eastAsia" w:ascii="Times New Roman" w:hAnsi="Times New Roman"/>
          <w:color w:val="000000"/>
          <w:kern w:val="0"/>
          <w:sz w:val="21"/>
        </w:rPr>
        <w:t>上述佣金参考市场价格经本基金的基金管理人与对方协商确定，以扣除由中国证券登记结算有限责任公司收取的证管费和经手费的净额列示。</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default" w:ascii="Times New Roman" w:hAnsi="Times New Roman"/>
          <w:color w:val="000000"/>
          <w:kern w:val="0"/>
          <w:sz w:val="21"/>
        </w:rPr>
        <w:t xml:space="preserve">2. </w:t>
      </w:r>
      <w:r>
        <w:rPr>
          <w:rFonts w:hint="eastAsia" w:ascii="Times New Roman" w:hAnsi="Times New Roman"/>
          <w:color w:val="000000"/>
          <w:kern w:val="0"/>
          <w:sz w:val="21"/>
        </w:rPr>
        <w:t>该类佣金协议的服务范围还包括佣金收取方为本基金提供的证券投资研究成果和市场信息服务等。</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 </w:t>
      </w:r>
      <w:r>
        <w:rPr>
          <w:rFonts w:hint="eastAsia" w:ascii="Times New Roman" w:hAnsi="Times New Roman"/>
          <w:b/>
          <w:color w:val="000000"/>
          <w:kern w:val="0"/>
          <w:sz w:val="24"/>
        </w:rPr>
        <w:t>关联方报酬</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7.4.10.2.1 </w:t>
      </w:r>
      <w:r>
        <w:rPr>
          <w:rFonts w:hint="eastAsia" w:ascii="Times New Roman" w:hAnsi="Times New Roman"/>
          <w:b/>
          <w:color w:val="000000"/>
          <w:kern w:val="0"/>
          <w:sz w:val="24"/>
        </w:rPr>
        <w:t>基金管理费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当期发生的基金应支付的管理费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3,033,909.84</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1,511,717.71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其中：支付销售机构的客户维护费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1,768,102.12</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950,472.58</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注：支付基金管理人创金合信基金管理有限公司的管理人报酬按前一日基金资产净值</w:t>
      </w:r>
      <w:r>
        <w:rPr>
          <w:rFonts w:hint="default" w:ascii="Times New Roman" w:hAnsi="Times New Roman"/>
          <w:color w:val="000000"/>
          <w:kern w:val="0"/>
          <w:sz w:val="21"/>
        </w:rPr>
        <w:t>1.50%</w:t>
      </w:r>
      <w:r>
        <w:rPr>
          <w:rFonts w:hint="eastAsia" w:ascii="Times New Roman" w:hAnsi="Times New Roman"/>
          <w:color w:val="000000"/>
          <w:kern w:val="0"/>
          <w:sz w:val="21"/>
        </w:rPr>
        <w:t>的年费率计提，逐日累计至每月月底，按月支付。其计算公式为：日管理人报酬＝前一日基金资产净值</w:t>
      </w:r>
      <w:r>
        <w:rPr>
          <w:rFonts w:hint="default" w:ascii="Times New Roman" w:hAnsi="Times New Roman"/>
          <w:color w:val="000000"/>
          <w:kern w:val="0"/>
          <w:sz w:val="21"/>
        </w:rPr>
        <w:t>*1.50%/</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7.4.10.2.2 </w:t>
      </w:r>
      <w:r>
        <w:rPr>
          <w:rFonts w:hint="eastAsia" w:ascii="Times New Roman" w:hAnsi="Times New Roman"/>
          <w:b/>
          <w:color w:val="000000"/>
          <w:kern w:val="0"/>
          <w:sz w:val="24"/>
        </w:rPr>
        <w:t>基金托管费</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26"/>
        <w:gridCol w:w="3251"/>
        <w:gridCol w:w="32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52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当期发生的基金应支付的托管费</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505,651.63</w:t>
            </w:r>
          </w:p>
        </w:tc>
        <w:tc>
          <w:tcPr>
            <w:tcW w:w="325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251,953.03</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注：支付基金托管人中国工商银行的托管费按前一日基金资产净值</w:t>
      </w:r>
      <w:r>
        <w:rPr>
          <w:rFonts w:hint="default" w:ascii="Times New Roman" w:hAnsi="Times New Roman"/>
          <w:color w:val="000000"/>
          <w:kern w:val="0"/>
          <w:sz w:val="21"/>
        </w:rPr>
        <w:t>0.25%</w:t>
      </w:r>
      <w:r>
        <w:rPr>
          <w:rFonts w:hint="eastAsia" w:ascii="Times New Roman" w:hAnsi="Times New Roman"/>
          <w:color w:val="000000"/>
          <w:kern w:val="0"/>
          <w:sz w:val="21"/>
        </w:rPr>
        <w:t>的年费率计提，逐日累计至每月月底，按月支付。其计算公式为：日托管费＝前一日基金资产净值</w:t>
      </w:r>
      <w:r>
        <w:rPr>
          <w:rFonts w:hint="default" w:ascii="Times New Roman" w:hAnsi="Times New Roman"/>
          <w:color w:val="000000"/>
          <w:kern w:val="0"/>
          <w:sz w:val="21"/>
        </w:rPr>
        <w:t>*0.25%/</w:t>
      </w:r>
      <w:r>
        <w:rPr>
          <w:rFonts w:hint="eastAsia" w:ascii="Times New Roman" w:hAnsi="Times New Roman"/>
          <w:color w:val="000000"/>
          <w:kern w:val="0"/>
          <w:sz w:val="21"/>
        </w:rPr>
        <w:t>当年天数。</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7.4.10.3 </w:t>
      </w:r>
      <w:r>
        <w:rPr>
          <w:rFonts w:hint="eastAsia" w:ascii="Times New Roman" w:hAnsi="Times New Roman"/>
          <w:b/>
          <w:color w:val="000000"/>
          <w:kern w:val="0"/>
          <w:sz w:val="24"/>
        </w:rPr>
        <w:t>与关联方进行银行间同业市场的债券</w:t>
      </w:r>
      <w:r>
        <w:rPr>
          <w:rFonts w:hint="default" w:ascii="Times New Roman" w:hAnsi="Times New Roman"/>
          <w:b/>
          <w:color w:val="000000"/>
          <w:kern w:val="0"/>
          <w:sz w:val="24"/>
        </w:rPr>
        <w:t>(</w:t>
      </w:r>
      <w:r>
        <w:rPr>
          <w:rFonts w:hint="eastAsia" w:ascii="Times New Roman" w:hAnsi="Times New Roman"/>
          <w:b/>
          <w:color w:val="000000"/>
          <w:kern w:val="0"/>
          <w:sz w:val="24"/>
        </w:rPr>
        <w:t>含回购</w:t>
      </w:r>
      <w:r>
        <w:rPr>
          <w:rFonts w:hint="default" w:ascii="Times New Roman" w:hAnsi="Times New Roman"/>
          <w:b/>
          <w:color w:val="000000"/>
          <w:kern w:val="0"/>
          <w:sz w:val="24"/>
        </w:rPr>
        <w:t>)</w:t>
      </w:r>
      <w:r>
        <w:rPr>
          <w:rFonts w:hint="eastAsia" w:ascii="Times New Roman" w:hAnsi="Times New Roman"/>
          <w:b/>
          <w:color w:val="000000"/>
          <w:kern w:val="0"/>
          <w:sz w:val="24"/>
        </w:rPr>
        <w:t>交易</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本基金于本期及上年度可比期间无与关联方进行银行间同业市场的债券</w:t>
      </w:r>
      <w:r>
        <w:rPr>
          <w:rFonts w:hint="default" w:ascii="Times New Roman" w:hAnsi="Times New Roman"/>
          <w:color w:val="000000"/>
          <w:kern w:val="0"/>
          <w:sz w:val="24"/>
        </w:rPr>
        <w:t>(</w:t>
      </w:r>
      <w:r>
        <w:rPr>
          <w:rFonts w:hint="eastAsia" w:ascii="Times New Roman" w:hAnsi="Times New Roman"/>
          <w:color w:val="000000"/>
          <w:kern w:val="0"/>
          <w:sz w:val="24"/>
        </w:rPr>
        <w:t>含回购</w:t>
      </w:r>
      <w:r>
        <w:rPr>
          <w:rFonts w:hint="default" w:ascii="Times New Roman" w:hAnsi="Times New Roman"/>
          <w:color w:val="000000"/>
          <w:kern w:val="0"/>
          <w:sz w:val="24"/>
        </w:rPr>
        <w:t>)</w:t>
      </w:r>
      <w:r>
        <w:rPr>
          <w:rFonts w:hint="eastAsia" w:ascii="Times New Roman" w:hAnsi="Times New Roman"/>
          <w:color w:val="000000"/>
          <w:kern w:val="0"/>
          <w:sz w:val="24"/>
        </w:rPr>
        <w:t>交易。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 </w:t>
      </w:r>
      <w:r>
        <w:rPr>
          <w:rFonts w:hint="eastAsia" w:ascii="Times New Roman" w:hAnsi="Times New Roman"/>
          <w:b/>
          <w:color w:val="000000"/>
          <w:kern w:val="0"/>
          <w:sz w:val="24"/>
        </w:rPr>
        <w:t>各关联方投资本基金的情况</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7.4.10.4.1 </w:t>
      </w:r>
      <w:r>
        <w:rPr>
          <w:rFonts w:hint="eastAsia" w:ascii="Times New Roman" w:hAnsi="Times New Roman"/>
          <w:b/>
          <w:color w:val="000000"/>
          <w:kern w:val="0"/>
          <w:sz w:val="24"/>
        </w:rPr>
        <w:t>报告期内基金管理人运用固有资金投资本基金的情况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2889"/>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日）持有的基金份额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期初持有的基金份额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期间申购</w:t>
            </w:r>
            <w:r>
              <w:rPr>
                <w:rFonts w:hint="default" w:ascii="Times New Roman" w:hAnsi="Times New Roman"/>
                <w:color w:val="000000"/>
                <w:kern w:val="0"/>
                <w:sz w:val="24"/>
              </w:rPr>
              <w:t>/</w:t>
            </w:r>
            <w:r>
              <w:rPr>
                <w:rFonts w:hint="eastAsia" w:ascii="Times New Roman" w:hAnsi="Times New Roman"/>
                <w:color w:val="000000"/>
                <w:kern w:val="0"/>
                <w:sz w:val="24"/>
              </w:rPr>
              <w:t>买入总份额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期间因拆分变动份额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减：期间赎回</w:t>
            </w:r>
            <w:r>
              <w:rPr>
                <w:rFonts w:hint="default" w:ascii="Times New Roman" w:hAnsi="Times New Roman"/>
                <w:color w:val="000000"/>
                <w:kern w:val="0"/>
                <w:sz w:val="24"/>
              </w:rPr>
              <w:t>/</w:t>
            </w:r>
            <w:r>
              <w:rPr>
                <w:rFonts w:hint="eastAsia" w:ascii="Times New Roman" w:hAnsi="Times New Roman"/>
                <w:color w:val="000000"/>
                <w:kern w:val="0"/>
                <w:sz w:val="24"/>
              </w:rPr>
              <w:t>卖出总份额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期末持有的基金份额</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期末持有的基金份额</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4.29%</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7.4.10.4.2 </w:t>
      </w:r>
      <w:r>
        <w:rPr>
          <w:rFonts w:hint="eastAsia" w:ascii="Times New Roman" w:hAnsi="Times New Roman"/>
          <w:b/>
          <w:color w:val="000000"/>
          <w:kern w:val="0"/>
          <w:sz w:val="24"/>
        </w:rPr>
        <w:t>报告期末除基金管理人之外的其他关联方投资本基金的情况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持有的基金份额占基金总份额的比例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基金份额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持有的基金份额占基金总份额的比例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第一创业证券股份有限公司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4,999,450.00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7.4.10.5 </w:t>
      </w:r>
      <w:r>
        <w:rPr>
          <w:rFonts w:hint="eastAsia" w:ascii="Times New Roman" w:hAnsi="Times New Roman"/>
          <w:b/>
          <w:color w:val="000000"/>
          <w:kern w:val="0"/>
          <w:sz w:val="24"/>
        </w:rPr>
        <w:t>由关联方保管的银行存款余额及当期产生的利息收入</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806"/>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关联方名称</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w:t>
            </w:r>
            <w:r>
              <w:rPr>
                <w:rFonts w:hint="eastAsia" w:ascii="Times New Roman" w:hAnsi="Times New Roman"/>
                <w:color w:val="000000"/>
                <w:kern w:val="0"/>
                <w:sz w:val="24"/>
              </w:rPr>
              <w:t>月</w:t>
            </w:r>
            <w:r>
              <w:rPr>
                <w:rFonts w:hint="default" w:ascii="Times New Roman" w:hAnsi="Times New Roman"/>
                <w:color w:val="000000"/>
                <w:kern w:val="0"/>
                <w:sz w:val="24"/>
              </w:rPr>
              <w:t>1</w:t>
            </w:r>
            <w:r>
              <w:rPr>
                <w:rFonts w:hint="eastAsia" w:ascii="Times New Roman" w:hAnsi="Times New Roman"/>
                <w:color w:val="000000"/>
                <w:kern w:val="0"/>
                <w:sz w:val="24"/>
              </w:rPr>
              <w:t>日至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3612"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上年度可比期间</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日至</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期末余额</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当期利息收入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中国工商银行活期存款</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210,919.94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104,614.41</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注：本基金的银行存款由基金托管人中国工商银行保管，按金融机构同业存款利率计息。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7.4.10.6 </w:t>
      </w:r>
      <w:r>
        <w:rPr>
          <w:rFonts w:hint="eastAsia" w:ascii="Times New Roman" w:hAnsi="Times New Roman"/>
          <w:b/>
          <w:color w:val="000000"/>
          <w:kern w:val="0"/>
          <w:sz w:val="24"/>
        </w:rPr>
        <w:t>本基金在承销期内参与关联方承销证券的情况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本基金于本期及上年度可比期间均未在承销期内直接购入关联方承销证券。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7.4.10.7 </w:t>
      </w:r>
      <w:r>
        <w:rPr>
          <w:rFonts w:hint="eastAsia" w:ascii="Times New Roman" w:hAnsi="Times New Roman"/>
          <w:b/>
          <w:color w:val="000000"/>
          <w:kern w:val="0"/>
          <w:sz w:val="24"/>
        </w:rPr>
        <w:t>其他关联交易事项的说明</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本基金本报告期及上年度可比期间无须作说明的其他关联交易事项。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7.4.11 </w:t>
      </w:r>
      <w:r>
        <w:rPr>
          <w:rFonts w:hint="eastAsia" w:ascii="Times New Roman" w:hAnsi="Times New Roman"/>
          <w:b/>
          <w:color w:val="000000"/>
          <w:kern w:val="0"/>
          <w:sz w:val="24"/>
        </w:rPr>
        <w:t>利润分配情况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本基金于本期未进行利润分配。</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 </w:t>
      </w:r>
      <w:r>
        <w:rPr>
          <w:rFonts w:hint="eastAsia" w:ascii="Times New Roman" w:hAnsi="Times New Roman"/>
          <w:b/>
          <w:color w:val="000000"/>
          <w:kern w:val="0"/>
          <w:sz w:val="24"/>
        </w:rPr>
        <w:t>期末（</w:t>
      </w:r>
      <w:r>
        <w:rPr>
          <w:rFonts w:hint="default" w:ascii="Times New Roman" w:hAnsi="Times New Roman"/>
          <w:b/>
          <w:color w:val="000000"/>
          <w:kern w:val="0"/>
          <w:sz w:val="24"/>
        </w:rPr>
        <w:t>2016</w:t>
      </w:r>
      <w:r>
        <w:rPr>
          <w:rFonts w:hint="eastAsia" w:ascii="Times New Roman" w:hAnsi="Times New Roman"/>
          <w:b/>
          <w:color w:val="000000"/>
          <w:kern w:val="0"/>
          <w:sz w:val="24"/>
        </w:rPr>
        <w:t>年</w:t>
      </w:r>
      <w:r>
        <w:rPr>
          <w:rFonts w:hint="default" w:ascii="Times New Roman" w:hAnsi="Times New Roman"/>
          <w:b/>
          <w:color w:val="000000"/>
          <w:kern w:val="0"/>
          <w:sz w:val="24"/>
        </w:rPr>
        <w:t>12</w:t>
      </w:r>
      <w:r>
        <w:rPr>
          <w:rFonts w:hint="eastAsia" w:ascii="Times New Roman" w:hAnsi="Times New Roman"/>
          <w:b/>
          <w:color w:val="000000"/>
          <w:kern w:val="0"/>
          <w:sz w:val="24"/>
        </w:rPr>
        <w:t>月</w:t>
      </w:r>
      <w:r>
        <w:rPr>
          <w:rFonts w:hint="default" w:ascii="Times New Roman" w:hAnsi="Times New Roman"/>
          <w:b/>
          <w:color w:val="000000"/>
          <w:kern w:val="0"/>
          <w:sz w:val="24"/>
        </w:rPr>
        <w:t>31</w:t>
      </w:r>
      <w:r>
        <w:rPr>
          <w:rFonts w:hint="eastAsia" w:ascii="Times New Roman" w:hAnsi="Times New Roman"/>
          <w:b/>
          <w:color w:val="000000"/>
          <w:kern w:val="0"/>
          <w:sz w:val="24"/>
        </w:rPr>
        <w:t>日）本基金持有的流通受限证券</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7.4.12.1 </w:t>
      </w:r>
      <w:r>
        <w:rPr>
          <w:rFonts w:hint="eastAsia" w:ascii="Times New Roman" w:hAnsi="Times New Roman"/>
          <w:b/>
          <w:color w:val="000000"/>
          <w:kern w:val="0"/>
          <w:sz w:val="24"/>
        </w:rPr>
        <w:t>因认购新发</w:t>
      </w:r>
      <w:r>
        <w:rPr>
          <w:rFonts w:hint="default" w:ascii="Times New Roman" w:hAnsi="Times New Roman"/>
          <w:b/>
          <w:color w:val="000000"/>
          <w:kern w:val="0"/>
          <w:sz w:val="24"/>
        </w:rPr>
        <w:t>/</w:t>
      </w:r>
      <w:r>
        <w:rPr>
          <w:rFonts w:hint="eastAsia" w:ascii="Times New Roman" w:hAnsi="Times New Roman"/>
          <w:b/>
          <w:color w:val="000000"/>
          <w:kern w:val="0"/>
          <w:sz w:val="24"/>
        </w:rPr>
        <w:t>增发证券而于期末持有的流通受限证券</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1083"/>
        <w:gridCol w:w="723"/>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9028" w:type="dxa"/>
            <w:gridSpan w:val="10"/>
            <w:tcBorders>
              <w:top w:val="single" w:color="000000" w:sz="8" w:space="0"/>
              <w:left w:val="single" w:color="000000" w:sz="8" w:space="0"/>
              <w:bottom w:val="single" w:color="000000" w:sz="8" w:space="0"/>
              <w:right w:val="single" w:color="000000" w:sz="8" w:space="0"/>
              <w:tl2br w:val="nil"/>
              <w:tr2bl w:val="nil"/>
            </w:tcBorders>
            <w:noWrap w:val="0"/>
            <w:vAlign w:val="bottom"/>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18"/>
              </w:rPr>
            </w:pPr>
            <w:r>
              <w:rPr>
                <w:rFonts w:hint="default" w:ascii="Times New Roman" w:hAnsi="Times New Roman"/>
                <w:color w:val="000000"/>
                <w:kern w:val="0"/>
                <w:sz w:val="18"/>
              </w:rPr>
              <w:t xml:space="preserve">7.4.12.1.1 </w:t>
            </w:r>
            <w:r>
              <w:rPr>
                <w:rFonts w:hint="eastAsia" w:ascii="Times New Roman" w:hAnsi="Times New Roman"/>
                <w:color w:val="000000"/>
                <w:kern w:val="0"/>
                <w:sz w:val="18"/>
              </w:rPr>
              <w:t>受限证券类别：股票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证券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名称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成功</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认购日</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可流通日</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流通受限类型</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认购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价格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601375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中原证券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22,827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91,308.00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91,308.00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603186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华正新材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1,874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美联新材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9,355.80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常熟汽饰</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1,764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18,416.16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18,416.16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603032</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德新交运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5.81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9,458.68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熙菱信息</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4.94</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1,380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天铁股份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14.11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1,438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20,290.18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景旺电子</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23.16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748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17,323.68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17,323.68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002838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道恩股份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681</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10,405.68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300583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赛托生物</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40.29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1,582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63,738.78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603877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太平鸟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2017-01-09</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21.30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2,448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52,142.40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52,142.40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002840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华统股份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2016-12-29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6.55</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1,814</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11,881.70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603689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皖天然气</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7.87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4,818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37,917.66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603266</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天龙股份</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14.63</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1,562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22,852.06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300591</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万里马</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2016-12-30</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2017-01-10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新发流通受限</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3.07</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2,396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7,355.72</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7.4.12.2 </w:t>
      </w:r>
      <w:r>
        <w:rPr>
          <w:rFonts w:hint="eastAsia" w:ascii="Times New Roman" w:hAnsi="Times New Roman"/>
          <w:b/>
          <w:color w:val="000000"/>
          <w:kern w:val="0"/>
          <w:sz w:val="24"/>
        </w:rPr>
        <w:t>期末持有的暂时停牌等流通受限股票</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723"/>
        <w:gridCol w:w="722"/>
        <w:gridCol w:w="1084"/>
        <w:gridCol w:w="1083"/>
        <w:gridCol w:w="723"/>
        <w:gridCol w:w="1083"/>
        <w:gridCol w:w="723"/>
        <w:gridCol w:w="1083"/>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股票代码</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股票名称</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停牌日期</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停牌原因</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复牌日期</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复牌</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开盘单价</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数量</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w:t>
            </w:r>
            <w:r>
              <w:rPr>
                <w:rFonts w:hint="eastAsia" w:ascii="Times New Roman" w:hAnsi="Times New Roman"/>
                <w:color w:val="000000"/>
                <w:kern w:val="0"/>
                <w:sz w:val="18"/>
              </w:rPr>
              <w:t>单位</w:t>
            </w:r>
            <w:r>
              <w:rPr>
                <w:rFonts w:hint="default" w:ascii="Times New Roman" w:hAnsi="Times New Roman"/>
                <w:color w:val="000000"/>
                <w:kern w:val="0"/>
                <w:sz w:val="18"/>
              </w:rPr>
              <w:t xml:space="preserve">: </w:t>
            </w:r>
            <w:r>
              <w:rPr>
                <w:rFonts w:hint="eastAsia" w:ascii="Times New Roman" w:hAnsi="Times New Roman"/>
                <w:color w:val="000000"/>
                <w:kern w:val="0"/>
                <w:sz w:val="18"/>
              </w:rPr>
              <w:t>股</w:t>
            </w:r>
            <w:r>
              <w:rPr>
                <w:rFonts w:hint="default" w:ascii="Times New Roman" w:hAnsi="Times New Roman"/>
                <w:color w:val="000000"/>
                <w:kern w:val="0"/>
                <w:sz w:val="18"/>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成本总额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估值总额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600859</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王府井</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18"/>
              </w:rPr>
            </w:pPr>
            <w:r>
              <w:rPr>
                <w:rFonts w:hint="default" w:ascii="Times New Roman" w:hAnsi="Times New Roman"/>
                <w:color w:val="000000"/>
                <w:kern w:val="0"/>
                <w:sz w:val="18"/>
              </w:rPr>
              <w:t>2016-09-27</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18"/>
              </w:rPr>
            </w:pPr>
            <w:r>
              <w:rPr>
                <w:rFonts w:hint="eastAsia" w:ascii="Times New Roman" w:hAnsi="Times New Roman"/>
                <w:color w:val="000000"/>
                <w:kern w:val="0"/>
                <w:sz w:val="18"/>
              </w:rPr>
              <w:t>重大资产重组</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16.28</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18"/>
              </w:rPr>
            </w:pPr>
            <w:r>
              <w:rPr>
                <w:rFonts w:hint="eastAsia" w:ascii="Times New Roman" w:hAnsi="Times New Roman"/>
                <w:color w:val="000000"/>
                <w:kern w:val="0"/>
                <w:sz w:val="18"/>
              </w:rPr>
              <w:t>－</w:t>
            </w:r>
          </w:p>
        </w:tc>
        <w:tc>
          <w:tcPr>
            <w:tcW w:w="72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323,348</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5,386,051.60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18"/>
              </w:rPr>
            </w:pPr>
            <w:r>
              <w:rPr>
                <w:rFonts w:hint="default" w:ascii="Times New Roman" w:hAnsi="Times New Roman"/>
                <w:color w:val="000000"/>
                <w:kern w:val="0"/>
                <w:sz w:val="18"/>
              </w:rPr>
              <w:t>5,264,105.44</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 </w:t>
      </w:r>
      <w:r>
        <w:rPr>
          <w:rFonts w:hint="eastAsia" w:ascii="Times New Roman" w:hAnsi="Times New Roman"/>
          <w:b/>
          <w:color w:val="000000"/>
          <w:kern w:val="0"/>
          <w:sz w:val="24"/>
        </w:rPr>
        <w:t>期末债券正回购交易中作为抵押的债券</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3"/>
        </w:rPr>
      </w:pPr>
      <w:r>
        <w:rPr>
          <w:rFonts w:hint="default" w:ascii="Times New Roman" w:hAnsi="Times New Roman"/>
          <w:b/>
          <w:color w:val="000000"/>
          <w:kern w:val="0"/>
          <w:sz w:val="24"/>
        </w:rPr>
        <w:t xml:space="preserve">7.4.12.3.1 </w:t>
      </w:r>
      <w:r>
        <w:rPr>
          <w:rFonts w:hint="eastAsia" w:ascii="Times New Roman" w:hAnsi="Times New Roman"/>
          <w:b/>
          <w:color w:val="000000"/>
          <w:kern w:val="0"/>
          <w:sz w:val="24"/>
        </w:rPr>
        <w:t>银行间市场债券正回购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日止，本基金从事银行间市场债券正回购交易形成的卖出回购证券款余额为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7.4.12.3.2 </w:t>
      </w:r>
      <w:r>
        <w:rPr>
          <w:rFonts w:hint="eastAsia" w:ascii="Times New Roman" w:hAnsi="Times New Roman"/>
          <w:b/>
          <w:color w:val="000000"/>
          <w:kern w:val="0"/>
          <w:sz w:val="24"/>
        </w:rPr>
        <w:t>交易所市场债券正回购</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截至本报告期末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日止，本基金从事交易所债券正回购交易形成的卖出回购证券款余额为</w:t>
      </w:r>
      <w:r>
        <w:rPr>
          <w:rFonts w:hint="default" w:ascii="Times New Roman" w:eastAsia="Times New Roman"/>
          <w:color w:val="000000"/>
          <w:kern w:val="0"/>
          <w:sz w:val="24"/>
        </w:rPr>
        <w:t>0</w:t>
      </w:r>
      <w:r>
        <w:rPr>
          <w:rFonts w:hint="eastAsia" w:ascii="Times New Roman" w:hAnsi="Times New Roman"/>
          <w:color w:val="000000"/>
          <w:kern w:val="0"/>
          <w:sz w:val="24"/>
        </w:rPr>
        <w:t>，无抵押债券。</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 </w:t>
      </w:r>
      <w:r>
        <w:rPr>
          <w:rFonts w:hint="eastAsia" w:ascii="Times New Roman" w:hAnsi="Times New Roman"/>
          <w:b/>
          <w:color w:val="000000"/>
          <w:kern w:val="0"/>
          <w:sz w:val="24"/>
        </w:rPr>
        <w:t>金融工具风险及管理</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7.4.13.1 </w:t>
      </w:r>
      <w:r>
        <w:rPr>
          <w:rFonts w:hint="eastAsia" w:ascii="Times New Roman" w:hAnsi="Times New Roman"/>
          <w:b/>
          <w:color w:val="000000"/>
          <w:kern w:val="0"/>
          <w:sz w:val="24"/>
        </w:rPr>
        <w:t>风险管理政策和组织架构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在日常经营活动中涉及的财务风险主要包括信用风险、流动性风险及市场风险。本基金管理人制定了政策和程序来识别及分析这些风险，并设定适当的风险限额及内部控制流程，通过可靠的管理及信息系统持续监控上述各类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本基金的基金管理人奉行全面风险管理体系的建设，建立了以风控与审计委员会为核心的、由督察长、风险控制办公会、监察稽核部和相关业务部门构成的四级风险管理架构体系。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7.4.13.2</w:t>
      </w:r>
      <w:r>
        <w:rPr>
          <w:rFonts w:hint="eastAsia" w:ascii="Times New Roman" w:hAnsi="Times New Roman"/>
          <w:b/>
          <w:color w:val="000000"/>
          <w:kern w:val="0"/>
          <w:sz w:val="24"/>
        </w:rPr>
        <w:t>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信用风险是指基金在交易过程中因交易对手未履行合约责任，或者基金所投资证券之发行人出现违约、拒绝支付到期本息等情况，导致基金资产损失和收益变化的风险。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交易前对交易对手的资信状况进行了充分的评估。本基金的活期银行存款存放在本基金的托管行中国工商银行，因而与银行存款相关的信用风险不重大。本基金在交易所进行的交易均以中国证券登记结算有限责任公司为交易对手完成证券交收和款项清算，违约风险可能性很小；在银行间同业市场进行交易前均对交易对手进行信用评估并对证券交割方式进行限制以控制相应的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本基金的基金管理人建立了信用风险管理流程，通过对投资品种信用等级评估来控制证券发行人的信用风险，且通过分散化投资以分散信用风险。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本基金债券投资的信用评级情况按《中国人民银行信用评级管理指导意见》设定的标准统计及汇总。</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日，本基金未持有债券投资。</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7.4.13.3 </w:t>
      </w:r>
      <w:r>
        <w:rPr>
          <w:rFonts w:hint="eastAsia" w:ascii="Times New Roman" w:hAnsi="Times New Roman"/>
          <w:b/>
          <w:color w:val="000000"/>
          <w:kern w:val="0"/>
          <w:sz w:val="24"/>
        </w:rPr>
        <w:t>流动性风险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针对投资品种变现的流动性风险，本基金的基金管理人通过独立的风险管理部门设定流动性比例要求，对流动性指标进行持续的监测和分析，包括组合持仓集中度指标、组合在短时间内变现能力的综合指标、组合中变现能力较差的投资品种比例以及流通受限制的投资品种比例等。本基金投资于一家公司发行的股票市值不超过基金资产净值的</w:t>
      </w:r>
      <w:r>
        <w:rPr>
          <w:rFonts w:hint="default" w:ascii="Times New Roman" w:hAnsi="Times New Roman"/>
          <w:color w:val="000000"/>
          <w:kern w:val="0"/>
          <w:sz w:val="24"/>
        </w:rPr>
        <w:t>10%</w:t>
      </w:r>
      <w:r>
        <w:rPr>
          <w:rFonts w:hint="eastAsia" w:ascii="Times New Roman" w:hAnsi="Times New Roman"/>
          <w:color w:val="000000"/>
          <w:kern w:val="0"/>
          <w:sz w:val="24"/>
        </w:rPr>
        <w:t>，且本基金与由本基金的基金管理人管理的其他基金共同持有一家公司发行的证券不得超过该证券的</w:t>
      </w:r>
      <w:r>
        <w:rPr>
          <w:rFonts w:hint="default" w:ascii="Times New Roman" w:hAnsi="Times New Roman"/>
          <w:color w:val="000000"/>
          <w:kern w:val="0"/>
          <w:sz w:val="24"/>
        </w:rPr>
        <w:t>10%</w:t>
      </w:r>
      <w:r>
        <w:rPr>
          <w:rFonts w:hint="eastAsia" w:ascii="Times New Roman" w:hAnsi="Times New Roman"/>
          <w:color w:val="000000"/>
          <w:kern w:val="0"/>
          <w:sz w:val="24"/>
        </w:rPr>
        <w:t>。本基金所持大部分证券在证券交易所上市，其余亦可在银行间同业市场交易，因此除附注</w:t>
      </w:r>
      <w:r>
        <w:rPr>
          <w:rFonts w:hint="default" w:ascii="Times New Roman" w:hAnsi="Times New Roman"/>
          <w:color w:val="000000"/>
          <w:kern w:val="0"/>
          <w:sz w:val="24"/>
        </w:rPr>
        <w:t>7.4.12</w:t>
      </w:r>
      <w:r>
        <w:rPr>
          <w:rFonts w:hint="eastAsia" w:ascii="Times New Roman" w:hAnsi="Times New Roman"/>
          <w:color w:val="000000"/>
          <w:kern w:val="0"/>
          <w:sz w:val="24"/>
        </w:rPr>
        <w:t>中列示的部分基金资产流通暂时受限制不能自由转让的情况外，其余均能以合理价格适时变现。此外，本基金可通过卖出回购金融资产方式借入短期资金应对流动性需求，其上限一般不超过基金持有的债券投资的公允价值。</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日，本基金所承担的全部金融负债的合约约定到期日均较短且不计息，可赎回基金份额净值</w:t>
      </w:r>
      <w:r>
        <w:rPr>
          <w:rFonts w:hint="default" w:ascii="Times New Roman" w:hAnsi="Times New Roman"/>
          <w:color w:val="000000"/>
          <w:kern w:val="0"/>
          <w:sz w:val="24"/>
        </w:rPr>
        <w:t>(</w:t>
      </w:r>
      <w:r>
        <w:rPr>
          <w:rFonts w:hint="eastAsia" w:ascii="Times New Roman" w:hAnsi="Times New Roman"/>
          <w:color w:val="000000"/>
          <w:kern w:val="0"/>
          <w:sz w:val="24"/>
        </w:rPr>
        <w:t>所有者权益</w:t>
      </w:r>
      <w:r>
        <w:rPr>
          <w:rFonts w:hint="default" w:ascii="Times New Roman" w:hAnsi="Times New Roman"/>
          <w:color w:val="000000"/>
          <w:kern w:val="0"/>
          <w:sz w:val="24"/>
        </w:rPr>
        <w:t>)</w:t>
      </w:r>
      <w:r>
        <w:rPr>
          <w:rFonts w:hint="eastAsia" w:ascii="Times New Roman" w:hAnsi="Times New Roman"/>
          <w:color w:val="000000"/>
          <w:kern w:val="0"/>
          <w:sz w:val="24"/>
        </w:rPr>
        <w:t>无固定到期日且不计息，因此账面余额即为未折现的合约到期现金流量。</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 </w:t>
      </w:r>
      <w:r>
        <w:rPr>
          <w:rFonts w:hint="eastAsia" w:ascii="Times New Roman" w:hAnsi="Times New Roman"/>
          <w:b/>
          <w:color w:val="000000"/>
          <w:kern w:val="0"/>
          <w:sz w:val="24"/>
        </w:rPr>
        <w:t>市场风险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市场风险是指基金所持金融工具的公允价值或未来现金流量因所处市场各类价格因素的变动而发生波动的风险，包括利率风险、外汇风险和其他价格风险。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 </w:t>
      </w:r>
      <w:r>
        <w:rPr>
          <w:rFonts w:hint="eastAsia" w:ascii="Times New Roman" w:hAnsi="Times New Roman"/>
          <w:b/>
          <w:color w:val="000000"/>
          <w:kern w:val="0"/>
          <w:sz w:val="24"/>
        </w:rPr>
        <w:t>利率风险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本基金的基金管理人定期对本基金面临的利率敏感性缺口进行监控，并通过调整投资组合的久期等方法对上述利率风险进行管理。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145"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7.4.13.4.1.1 </w:t>
      </w:r>
      <w:r>
        <w:rPr>
          <w:rFonts w:hint="eastAsia" w:ascii="Times New Roman" w:hAnsi="Times New Roman"/>
          <w:b/>
          <w:color w:val="000000"/>
          <w:kern w:val="0"/>
          <w:sz w:val="24"/>
        </w:rPr>
        <w:t>利率风险敞口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4"/>
        <w:gridCol w:w="1445"/>
        <w:gridCol w:w="1445"/>
        <w:gridCol w:w="1444"/>
        <w:gridCol w:w="1445"/>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54,338,479.72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358,101.11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358,101.11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82,600.56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6,923.51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21,557,993.62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21,557,993.62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54,779,181.39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209,822,640.09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264,601,821.48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13,748,271.71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13,748,271.71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应付赎回款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946,340.85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946,340.85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226,640.62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226,640.62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37,773.44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37,773.44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150,837.46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150,837.46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66,605.15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66,605.15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15,176,469.23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15,176,469.23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54,779,181.39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194,646,170.86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249,425,352.25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年以内</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1-5</w:t>
            </w:r>
            <w:r>
              <w:rPr>
                <w:rFonts w:hint="eastAsia" w:ascii="Times New Roman" w:hAnsi="Times New Roman"/>
                <w:color w:val="000000"/>
                <w:kern w:val="0"/>
                <w:sz w:val="24"/>
              </w:rPr>
              <w:t>年</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5</w:t>
            </w:r>
            <w:r>
              <w:rPr>
                <w:rFonts w:hint="eastAsia" w:ascii="Times New Roman" w:hAnsi="Times New Roman"/>
                <w:color w:val="000000"/>
                <w:kern w:val="0"/>
                <w:sz w:val="24"/>
              </w:rPr>
              <w:t>年以上</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不计息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银行存款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15,901,846.23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结算备付金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21,826,917.00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21,826,917.00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13,128.52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13,128.52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166,111,695.90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14,642.51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资产总计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81,741,891.75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166,126,338.41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247,868,230.16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应付证券清算款</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213,294.52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213,294.52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应付管理人报酬</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325,320.18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325,320.18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应付托管费</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54,220.07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54,220.07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应付交易费用</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221,976.23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221,976.23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其他负债</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负债总计</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897,811.00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897,811.00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80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利率敏感度缺口</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81,741,891.75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165,228,527.41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246,970,419.16</w:t>
            </w:r>
          </w:p>
        </w:tc>
      </w:tr>
    </w:tbl>
    <w:p>
      <w:pPr>
        <w:autoSpaceDE w:val="0"/>
        <w:autoSpaceDN w:val="0"/>
        <w:adjustRightInd w:val="0"/>
        <w:spacing w:before="145"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注：表中所示为本基金资产及负债的账面价值，并按照合约规定的利率重新定价日或到期日孰早者予以分类。</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7.4.13.4.1.2 </w:t>
      </w:r>
      <w:r>
        <w:rPr>
          <w:rFonts w:hint="eastAsia" w:ascii="Times New Roman" w:hAnsi="Times New Roman"/>
          <w:b/>
          <w:color w:val="000000"/>
          <w:kern w:val="0"/>
          <w:sz w:val="24"/>
        </w:rPr>
        <w:t>利率风险的敏感性分析</w:t>
      </w:r>
    </w:p>
    <w:p>
      <w:pPr>
        <w:autoSpaceDE w:val="0"/>
        <w:autoSpaceDN w:val="0"/>
        <w:adjustRightInd w:val="0"/>
        <w:spacing w:before="29" w:beforeLines="0" w:afterLines="0" w:line="288" w:lineRule="auto"/>
        <w:ind w:left="15"/>
        <w:jc w:val="left"/>
        <w:rPr>
          <w:rFonts w:hint="default" w:ascii="宋体"/>
          <w:color w:val="000000"/>
          <w:kern w:val="0"/>
          <w:sz w:val="24"/>
        </w:rPr>
      </w:pPr>
      <w:r>
        <w:rPr>
          <w:rFonts w:hint="default" w:ascii="Times New Roman" w:hAnsi="Times New Roman"/>
          <w:color w:val="000000"/>
          <w:kern w:val="0"/>
          <w:sz w:val="21"/>
        </w:rPr>
        <w:t xml:space="preserve">   </w:t>
      </w:r>
      <w:r>
        <w:rPr>
          <w:rFonts w:hint="eastAsia" w:ascii="宋体" w:hAnsi="宋体"/>
          <w:color w:val="000000"/>
          <w:kern w:val="0"/>
          <w:sz w:val="24"/>
        </w:rPr>
        <w:t>于2016年12月31日，本基金未持有交易性债券投资 (2015年12月31日：同)，因此市场利率的变动对于本基金资产净值无重大影响(2015年12月31日：同)。</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7.4.13.4.2 </w:t>
      </w:r>
      <w:r>
        <w:rPr>
          <w:rFonts w:hint="eastAsia" w:ascii="Times New Roman" w:hAnsi="Times New Roman"/>
          <w:b/>
          <w:color w:val="000000"/>
          <w:kern w:val="0"/>
          <w:sz w:val="24"/>
        </w:rPr>
        <w:t>外汇风险</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eastAsia" w:ascii="Times New Roman" w:hAnsi="Times New Roman"/>
          <w:color w:val="000000"/>
          <w:kern w:val="0"/>
          <w:sz w:val="24"/>
        </w:rPr>
        <w:t>外汇风险是指金融工具的公允价值或未来现金流量因外汇汇率变动而发生波动的风险。本基金持有不以记账本位币计价的资产，因此存在相应的外汇风险。本基金管理人每日对本基金的外汇头寸进行监控。</w:t>
      </w:r>
      <w:r>
        <w:rPr>
          <w:rFonts w:hint="default" w:ascii="Times New Roman" w:hAnsi="Times New Roman"/>
          <w:color w:val="000000"/>
          <w:kern w:val="0"/>
          <w:sz w:val="24"/>
        </w:rPr>
        <w:t xml:space="preserve"> </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截至</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日，沪港深交易性金融资产合计为</w:t>
      </w:r>
      <w:r>
        <w:rPr>
          <w:rFonts w:hint="default" w:ascii="Times New Roman" w:hAnsi="Times New Roman"/>
          <w:color w:val="000000"/>
          <w:kern w:val="0"/>
          <w:sz w:val="24"/>
        </w:rPr>
        <w:t>2,382,437.93</w:t>
      </w:r>
      <w:r>
        <w:rPr>
          <w:rFonts w:hint="eastAsia" w:ascii="Times New Roman" w:hAnsi="Times New Roman"/>
          <w:color w:val="000000"/>
          <w:kern w:val="0"/>
          <w:sz w:val="24"/>
        </w:rPr>
        <w:t>元，资产负债表外汇风险敞口净额为</w:t>
      </w:r>
      <w:r>
        <w:rPr>
          <w:rFonts w:hint="default" w:ascii="Times New Roman" w:hAnsi="Times New Roman"/>
          <w:color w:val="000000"/>
          <w:kern w:val="0"/>
          <w:sz w:val="24"/>
        </w:rPr>
        <w:t>2,382,437.93</w:t>
      </w:r>
      <w:r>
        <w:rPr>
          <w:rFonts w:hint="eastAsia" w:ascii="Times New Roman" w:hAnsi="Times New Roman"/>
          <w:color w:val="000000"/>
          <w:kern w:val="0"/>
          <w:sz w:val="24"/>
        </w:rPr>
        <w:t>元。上年度末（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日），交易性金融资产合计为</w:t>
      </w:r>
      <w:r>
        <w:rPr>
          <w:rFonts w:hint="default" w:ascii="Times New Roman" w:hAnsi="Times New Roman"/>
          <w:color w:val="000000"/>
          <w:kern w:val="0"/>
          <w:sz w:val="24"/>
        </w:rPr>
        <w:t xml:space="preserve">3,005,635.92 </w:t>
      </w:r>
      <w:r>
        <w:rPr>
          <w:rFonts w:hint="eastAsia" w:ascii="Times New Roman" w:hAnsi="Times New Roman"/>
          <w:color w:val="000000"/>
          <w:kern w:val="0"/>
          <w:sz w:val="24"/>
        </w:rPr>
        <w:t>元，资产负债表外汇风险敞口净额为</w:t>
      </w:r>
      <w:r>
        <w:rPr>
          <w:rFonts w:hint="default" w:ascii="Times New Roman" w:hAnsi="Times New Roman"/>
          <w:color w:val="000000"/>
          <w:kern w:val="0"/>
          <w:sz w:val="24"/>
        </w:rPr>
        <w:t>3,005,635.92</w:t>
      </w:r>
      <w:r>
        <w:rPr>
          <w:rFonts w:hint="eastAsia" w:ascii="Times New Roman" w:hAnsi="Times New Roman"/>
          <w:color w:val="000000"/>
          <w:kern w:val="0"/>
          <w:sz w:val="24"/>
        </w:rPr>
        <w:t>元。</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在假设除汇率外其他市场变量保持不变情况下，本期末（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日），若所有外币相对于人民币升值</w:t>
      </w:r>
      <w:r>
        <w:rPr>
          <w:rFonts w:hint="default" w:ascii="Times New Roman" w:hAnsi="Times New Roman"/>
          <w:color w:val="000000"/>
          <w:kern w:val="0"/>
          <w:sz w:val="24"/>
        </w:rPr>
        <w:t>5%</w:t>
      </w:r>
      <w:r>
        <w:rPr>
          <w:rFonts w:hint="eastAsia" w:ascii="Times New Roman" w:hAnsi="Times New Roman"/>
          <w:color w:val="000000"/>
          <w:kern w:val="0"/>
          <w:sz w:val="24"/>
        </w:rPr>
        <w:t>，则基金资产净值上升约</w:t>
      </w:r>
      <w:r>
        <w:rPr>
          <w:rFonts w:hint="default" w:ascii="Times New Roman" w:hAnsi="Times New Roman"/>
          <w:color w:val="000000"/>
          <w:kern w:val="0"/>
          <w:sz w:val="24"/>
        </w:rPr>
        <w:t>119,121.90</w:t>
      </w:r>
      <w:r>
        <w:rPr>
          <w:rFonts w:hint="eastAsia" w:ascii="Times New Roman" w:hAnsi="Times New Roman"/>
          <w:color w:val="000000"/>
          <w:kern w:val="0"/>
          <w:sz w:val="24"/>
        </w:rPr>
        <w:t>元，若所有外币相对于人民币贬值</w:t>
      </w:r>
      <w:r>
        <w:rPr>
          <w:rFonts w:hint="default" w:ascii="Times New Roman" w:hAnsi="Times New Roman"/>
          <w:color w:val="000000"/>
          <w:kern w:val="0"/>
          <w:sz w:val="24"/>
        </w:rPr>
        <w:t>5%</w:t>
      </w:r>
      <w:r>
        <w:rPr>
          <w:rFonts w:hint="eastAsia" w:ascii="Times New Roman" w:hAnsi="Times New Roman"/>
          <w:color w:val="000000"/>
          <w:kern w:val="0"/>
          <w:sz w:val="24"/>
        </w:rPr>
        <w:t>，则基金资产净值下降约</w:t>
      </w:r>
      <w:r>
        <w:rPr>
          <w:rFonts w:hint="default" w:ascii="Times New Roman" w:hAnsi="Times New Roman"/>
          <w:color w:val="000000"/>
          <w:kern w:val="0"/>
          <w:sz w:val="24"/>
        </w:rPr>
        <w:t>119,121.90</w:t>
      </w:r>
      <w:r>
        <w:rPr>
          <w:rFonts w:hint="eastAsia" w:ascii="Times New Roman" w:hAnsi="Times New Roman"/>
          <w:color w:val="000000"/>
          <w:kern w:val="0"/>
          <w:sz w:val="24"/>
        </w:rPr>
        <w:t>元。在假设除汇率外其他市场变量保持不变情况下，上年度末（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日），若所有外币相对于人民币升值</w:t>
      </w:r>
      <w:r>
        <w:rPr>
          <w:rFonts w:hint="default" w:ascii="Times New Roman" w:hAnsi="Times New Roman"/>
          <w:color w:val="000000"/>
          <w:kern w:val="0"/>
          <w:sz w:val="24"/>
        </w:rPr>
        <w:t>5%</w:t>
      </w:r>
      <w:r>
        <w:rPr>
          <w:rFonts w:hint="eastAsia" w:ascii="Times New Roman" w:hAnsi="Times New Roman"/>
          <w:color w:val="000000"/>
          <w:kern w:val="0"/>
          <w:sz w:val="24"/>
        </w:rPr>
        <w:t>，则基金资产净值上升约</w:t>
      </w:r>
      <w:r>
        <w:rPr>
          <w:rFonts w:hint="default" w:ascii="Times New Roman" w:hAnsi="Times New Roman"/>
          <w:color w:val="000000"/>
          <w:kern w:val="0"/>
          <w:sz w:val="24"/>
        </w:rPr>
        <w:t>150,281.80</w:t>
      </w:r>
      <w:r>
        <w:rPr>
          <w:rFonts w:hint="eastAsia" w:ascii="Times New Roman" w:hAnsi="Times New Roman"/>
          <w:color w:val="000000"/>
          <w:kern w:val="0"/>
          <w:sz w:val="24"/>
        </w:rPr>
        <w:t>元，若所有外币相对于人民币贬值</w:t>
      </w:r>
      <w:r>
        <w:rPr>
          <w:rFonts w:hint="default" w:ascii="Times New Roman" w:hAnsi="Times New Roman"/>
          <w:color w:val="000000"/>
          <w:kern w:val="0"/>
          <w:sz w:val="24"/>
        </w:rPr>
        <w:t>5%</w:t>
      </w:r>
      <w:r>
        <w:rPr>
          <w:rFonts w:hint="eastAsia" w:ascii="Times New Roman" w:hAnsi="Times New Roman"/>
          <w:color w:val="000000"/>
          <w:kern w:val="0"/>
          <w:sz w:val="24"/>
        </w:rPr>
        <w:t>，则基金资产净值下降约</w:t>
      </w:r>
      <w:r>
        <w:rPr>
          <w:rFonts w:hint="default" w:ascii="Times New Roman" w:hAnsi="Times New Roman"/>
          <w:color w:val="000000"/>
          <w:kern w:val="0"/>
          <w:sz w:val="24"/>
        </w:rPr>
        <w:t>150,281.80</w:t>
      </w:r>
      <w:r>
        <w:rPr>
          <w:rFonts w:hint="eastAsia" w:ascii="Times New Roman" w:hAnsi="Times New Roman"/>
          <w:color w:val="000000"/>
          <w:kern w:val="0"/>
          <w:sz w:val="24"/>
        </w:rPr>
        <w:t>元。</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 </w:t>
      </w:r>
      <w:r>
        <w:rPr>
          <w:rFonts w:hint="eastAsia" w:ascii="Times New Roman" w:hAnsi="Times New Roman"/>
          <w:b/>
          <w:color w:val="000000"/>
          <w:kern w:val="0"/>
          <w:sz w:val="24"/>
        </w:rPr>
        <w:t>其他价格风险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本基金的基金管理人在构建和管理投资组合的过程中，采用</w:t>
      </w:r>
      <w:r>
        <w:rPr>
          <w:rFonts w:hint="default" w:ascii="Times New Roman" w:hAnsi="Times New Roman"/>
          <w:color w:val="000000"/>
          <w:kern w:val="0"/>
          <w:sz w:val="24"/>
        </w:rPr>
        <w:t>"</w:t>
      </w:r>
      <w:r>
        <w:rPr>
          <w:rFonts w:hint="eastAsia" w:ascii="Times New Roman" w:hAnsi="Times New Roman"/>
          <w:color w:val="000000"/>
          <w:kern w:val="0"/>
          <w:sz w:val="24"/>
        </w:rPr>
        <w:t>自上而下</w:t>
      </w:r>
      <w:r>
        <w:rPr>
          <w:rFonts w:hint="default" w:ascii="Times New Roman" w:hAnsi="Times New Roman"/>
          <w:color w:val="000000"/>
          <w:kern w:val="0"/>
          <w:sz w:val="24"/>
        </w:rPr>
        <w:t>"</w:t>
      </w:r>
      <w:r>
        <w:rPr>
          <w:rFonts w:hint="eastAsia" w:ascii="Times New Roman" w:hAnsi="Times New Roman"/>
          <w:color w:val="000000"/>
          <w:kern w:val="0"/>
          <w:sz w:val="24"/>
        </w:rPr>
        <w:t>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本基金通过投资组合的分散化降低其他价格风险。本基金投资组合中股票投资比例为基金总资产的</w:t>
      </w:r>
      <w:r>
        <w:rPr>
          <w:rFonts w:hint="default" w:ascii="Times New Roman" w:hAnsi="Times New Roman"/>
          <w:color w:val="000000"/>
          <w:kern w:val="0"/>
          <w:sz w:val="24"/>
        </w:rPr>
        <w:t>0-95%</w:t>
      </w:r>
      <w:r>
        <w:rPr>
          <w:rFonts w:hint="eastAsia" w:ascii="Times New Roman" w:hAnsi="Times New Roman"/>
          <w:color w:val="000000"/>
          <w:kern w:val="0"/>
          <w:sz w:val="24"/>
        </w:rPr>
        <w:t>，基金持有全部权证的市值不超过基金资产净值的</w:t>
      </w:r>
      <w:r>
        <w:rPr>
          <w:rFonts w:hint="default" w:ascii="Times New Roman" w:hAnsi="Times New Roman"/>
          <w:color w:val="000000"/>
          <w:kern w:val="0"/>
          <w:sz w:val="24"/>
        </w:rPr>
        <w:t>3%</w:t>
      </w:r>
      <w:r>
        <w:rPr>
          <w:rFonts w:hint="eastAsia" w:ascii="Times New Roman" w:hAnsi="Times New Roman"/>
          <w:color w:val="000000"/>
          <w:kern w:val="0"/>
          <w:sz w:val="24"/>
        </w:rPr>
        <w:t>，债券、中期票据、中小企业私募债券、资产支持证券、货币市场工具、债券回购、银行存款以及法律法规或中国证监会允许基金投资的其他金融工具的投资比例为基金资产的</w:t>
      </w:r>
      <w:r>
        <w:rPr>
          <w:rFonts w:hint="default" w:ascii="Times New Roman" w:hAnsi="Times New Roman"/>
          <w:color w:val="000000"/>
          <w:kern w:val="0"/>
          <w:sz w:val="24"/>
        </w:rPr>
        <w:t>5%-100%</w:t>
      </w:r>
      <w:r>
        <w:rPr>
          <w:rFonts w:hint="eastAsia" w:ascii="Times New Roman" w:hAnsi="Times New Roman"/>
          <w:color w:val="000000"/>
          <w:kern w:val="0"/>
          <w:sz w:val="24"/>
        </w:rPr>
        <w:t>。其中，本基金每个交易日日终在扣除股指期货合约需缴纳的交易保证金后，应当保持不低于基金资产净值</w:t>
      </w:r>
      <w:r>
        <w:rPr>
          <w:rFonts w:hint="default" w:ascii="Times New Roman" w:hAnsi="Times New Roman"/>
          <w:color w:val="000000"/>
          <w:kern w:val="0"/>
          <w:sz w:val="24"/>
        </w:rPr>
        <w:t>5%</w:t>
      </w:r>
      <w:r>
        <w:rPr>
          <w:rFonts w:hint="eastAsia" w:ascii="Times New Roman" w:hAnsi="Times New Roman"/>
          <w:color w:val="000000"/>
          <w:kern w:val="0"/>
          <w:sz w:val="24"/>
        </w:rPr>
        <w:t>的现金或者到期日在一年以内的政府债券。此外，本基金的基金管理人每日对本基金所持有的证券价格实施监控，定期运用多种定量方法对基金进行风险度量，包括</w:t>
      </w:r>
      <w:r>
        <w:rPr>
          <w:rFonts w:hint="default" w:ascii="Times New Roman" w:hAnsi="Times New Roman"/>
          <w:color w:val="000000"/>
          <w:kern w:val="0"/>
          <w:sz w:val="24"/>
        </w:rPr>
        <w:t>VaR(Value at Risk)</w:t>
      </w:r>
      <w:r>
        <w:rPr>
          <w:rFonts w:hint="eastAsia" w:ascii="Times New Roman" w:hAnsi="Times New Roman"/>
          <w:color w:val="000000"/>
          <w:kern w:val="0"/>
          <w:sz w:val="24"/>
        </w:rPr>
        <w:t>指标等来测试本基金面临的潜在价格风险，及时可靠地对风险进行跟踪和控制。</w:t>
      </w:r>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 xml:space="preserve"> </w:t>
      </w: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7.4.13.4.3.1 </w:t>
      </w:r>
      <w:r>
        <w:rPr>
          <w:rFonts w:hint="eastAsia" w:ascii="Times New Roman" w:hAnsi="Times New Roman"/>
          <w:b/>
          <w:color w:val="000000"/>
          <w:kern w:val="0"/>
          <w:sz w:val="24"/>
        </w:rPr>
        <w:t>其他价格风险敞口</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249"/>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上年度末</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占基金资产净值比例</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r>
              <w:rPr>
                <w:rFonts w:hint="default" w:ascii="Times New Roman" w:hAnsi="Times New Roman"/>
                <w:color w:val="000000"/>
                <w:kern w:val="0"/>
                <w:sz w:val="24"/>
              </w:rPr>
              <w:t>%</w:t>
            </w: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股票投资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166,111,695.90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67.26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基金投资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交易性金融资产</w:t>
            </w:r>
            <w:r>
              <w:rPr>
                <w:rFonts w:hint="default" w:ascii="Times New Roman" w:eastAsia="Times New Roman"/>
                <w:color w:val="000000"/>
                <w:kern w:val="0"/>
                <w:sz w:val="24"/>
              </w:rPr>
              <w:t>-</w:t>
            </w:r>
            <w:r>
              <w:rPr>
                <w:rFonts w:hint="eastAsia" w:ascii="Times New Roman" w:hAnsi="Times New Roman"/>
                <w:color w:val="000000"/>
                <w:kern w:val="0"/>
                <w:sz w:val="24"/>
              </w:rPr>
              <w:t>贵金属投资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衍生金融资产－权证投资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24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75.48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166,111,695.90</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67.26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7.4.13.4.3.2 </w:t>
      </w:r>
      <w:r>
        <w:rPr>
          <w:rFonts w:hint="eastAsia" w:ascii="Times New Roman" w:hAnsi="Times New Roman"/>
          <w:b/>
          <w:color w:val="000000"/>
          <w:kern w:val="0"/>
          <w:sz w:val="24"/>
        </w:rPr>
        <w:t>其他价格风险的敏感性分析</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82"/>
        <w:gridCol w:w="2889"/>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restart"/>
            <w:tcBorders>
              <w:top w:val="single" w:color="000000" w:sz="8" w:space="0"/>
              <w:left w:val="single" w:color="000000" w:sz="8" w:space="0"/>
              <w:bottom w:val="nil"/>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分析</w:t>
            </w:r>
          </w:p>
        </w:tc>
        <w:tc>
          <w:tcPr>
            <w:tcW w:w="2889"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相关风险变量的变动</w:t>
            </w:r>
          </w:p>
        </w:tc>
        <w:tc>
          <w:tcPr>
            <w:tcW w:w="5057"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对资产负债表日基金资产净值的</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影响金额（单位：人民币元）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vMerge w:val="continue"/>
            <w:tcBorders>
              <w:top w:val="single" w:color="000000" w:sz="8" w:space="0"/>
              <w:left w:val="single" w:color="000000" w:sz="8" w:space="0"/>
              <w:bottom w:val="nil"/>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本期末</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上年度末</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比较基准上涨</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12,425,009.72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11,978,065.33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082" w:type="dxa"/>
            <w:tcBorders>
              <w:top w:val="nil"/>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288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比较基准下降</w:t>
            </w:r>
            <w:r>
              <w:rPr>
                <w:rFonts w:hint="default" w:ascii="Times New Roman" w:hAnsi="Times New Roman"/>
                <w:color w:val="000000"/>
                <w:kern w:val="0"/>
                <w:sz w:val="24"/>
              </w:rPr>
              <w:t>5%</w:t>
            </w:r>
            <w:r>
              <w:rPr>
                <w:rFonts w:hint="eastAsia" w:ascii="Times New Roman" w:hAnsi="Times New Roman"/>
                <w:color w:val="000000"/>
                <w:kern w:val="0"/>
                <w:sz w:val="24"/>
              </w:rPr>
              <w:t>资产净值变动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-12,425,009.72</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-11,978,065.33</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7.4.14 </w:t>
      </w:r>
      <w:r>
        <w:rPr>
          <w:rFonts w:hint="eastAsia" w:ascii="Times New Roman" w:hAnsi="Times New Roman"/>
          <w:b/>
          <w:color w:val="000000"/>
          <w:kern w:val="0"/>
          <w:sz w:val="24"/>
        </w:rPr>
        <w:t>有助于理解和分析会计报表需要说明的其他事项</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(a)</w:t>
      </w:r>
      <w:r>
        <w:rPr>
          <w:rFonts w:hint="eastAsia" w:ascii="Times New Roman" w:hAnsi="Times New Roman"/>
          <w:color w:val="000000"/>
          <w:kern w:val="0"/>
          <w:sz w:val="24"/>
        </w:rPr>
        <w:t>金融工具公允价值计量的方法</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公允价值计量结果所属的层次，由对公允价值计量整体而言具有重要意义的输入值所属的最低层次决定：</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第一层次：相同资产或负债在活跃市场上未经调整的报价。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第二层次：除第一层次输入值外相关资产或负债直接或间接可观察的输入值。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第三层次：相关资产或负债的不可观察输入值。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(b)</w:t>
      </w:r>
      <w:r>
        <w:rPr>
          <w:rFonts w:hint="eastAsia" w:ascii="Times New Roman" w:hAnsi="Times New Roman"/>
          <w:color w:val="000000"/>
          <w:kern w:val="0"/>
          <w:sz w:val="24"/>
        </w:rPr>
        <w:t>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w:t>
      </w:r>
      <w:r>
        <w:rPr>
          <w:rFonts w:hint="eastAsia" w:ascii="Times New Roman" w:hAnsi="Times New Roman"/>
          <w:color w:val="000000"/>
          <w:kern w:val="0"/>
          <w:sz w:val="24"/>
        </w:rPr>
        <w:t>各层次金融工具公允价值</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日，本基金持有的以公允价值计量且其变动计入当期损益的金融资产中属于第一层次的余额为</w:t>
      </w:r>
      <w:r>
        <w:rPr>
          <w:rFonts w:hint="default" w:ascii="Times New Roman" w:hAnsi="Times New Roman"/>
          <w:color w:val="000000"/>
          <w:kern w:val="0"/>
          <w:sz w:val="24"/>
        </w:rPr>
        <w:t>182,604,290.44</w:t>
      </w:r>
      <w:r>
        <w:rPr>
          <w:rFonts w:hint="eastAsia" w:ascii="Times New Roman" w:hAnsi="Times New Roman"/>
          <w:color w:val="000000"/>
          <w:kern w:val="0"/>
          <w:sz w:val="24"/>
        </w:rPr>
        <w:t>元，属于第二层次的余额为</w:t>
      </w:r>
      <w:r>
        <w:rPr>
          <w:rFonts w:hint="default" w:ascii="Times New Roman" w:hAnsi="Times New Roman"/>
          <w:color w:val="000000"/>
          <w:kern w:val="0"/>
          <w:sz w:val="24"/>
        </w:rPr>
        <w:t>5,653,432.52</w:t>
      </w:r>
      <w:r>
        <w:rPr>
          <w:rFonts w:hint="eastAsia" w:ascii="Times New Roman" w:hAnsi="Times New Roman"/>
          <w:color w:val="000000"/>
          <w:kern w:val="0"/>
          <w:sz w:val="24"/>
        </w:rPr>
        <w:t>元，无属于第三层次的余额</w:t>
      </w:r>
      <w:r>
        <w:rPr>
          <w:rFonts w:hint="default" w:ascii="Times New Roman" w:hAnsi="Times New Roman"/>
          <w:color w:val="000000"/>
          <w:kern w:val="0"/>
          <w:sz w:val="24"/>
        </w:rPr>
        <w:t xml:space="preserve">(2015 </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日：第一层次</w:t>
      </w:r>
      <w:r>
        <w:rPr>
          <w:rFonts w:hint="default" w:ascii="Times New Roman" w:hAnsi="Times New Roman"/>
          <w:color w:val="000000"/>
          <w:kern w:val="0"/>
          <w:sz w:val="24"/>
        </w:rPr>
        <w:t xml:space="preserve">164,750,695.90 </w:t>
      </w:r>
      <w:r>
        <w:rPr>
          <w:rFonts w:hint="eastAsia" w:ascii="Times New Roman" w:hAnsi="Times New Roman"/>
          <w:color w:val="000000"/>
          <w:kern w:val="0"/>
          <w:sz w:val="24"/>
        </w:rPr>
        <w:t>元，第二层次</w:t>
      </w:r>
      <w:r>
        <w:rPr>
          <w:rFonts w:hint="default" w:ascii="Times New Roman" w:hAnsi="Times New Roman"/>
          <w:color w:val="000000"/>
          <w:kern w:val="0"/>
          <w:sz w:val="24"/>
        </w:rPr>
        <w:t xml:space="preserve">1,361,000.00 </w:t>
      </w:r>
      <w:r>
        <w:rPr>
          <w:rFonts w:hint="eastAsia" w:ascii="Times New Roman" w:hAnsi="Times New Roman"/>
          <w:color w:val="000000"/>
          <w:kern w:val="0"/>
          <w:sz w:val="24"/>
        </w:rPr>
        <w:t>元，无第三层次</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w:t>
      </w:r>
      <w:r>
        <w:rPr>
          <w:rFonts w:hint="eastAsia" w:ascii="Times New Roman" w:hAnsi="Times New Roman"/>
          <w:color w:val="000000"/>
          <w:kern w:val="0"/>
          <w:sz w:val="24"/>
        </w:rPr>
        <w:t>公允价值所属层次间的重大变动</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对于证券交易所上市的股票和债券，若出现重大事项停牌、交易不活跃</w:t>
      </w:r>
      <w:r>
        <w:rPr>
          <w:rFonts w:hint="default" w:ascii="Times New Roman" w:hAnsi="Times New Roman"/>
          <w:color w:val="000000"/>
          <w:kern w:val="0"/>
          <w:sz w:val="24"/>
        </w:rPr>
        <w:t>(</w:t>
      </w:r>
      <w:r>
        <w:rPr>
          <w:rFonts w:hint="eastAsia" w:ascii="Times New Roman" w:hAnsi="Times New Roman"/>
          <w:color w:val="000000"/>
          <w:kern w:val="0"/>
          <w:sz w:val="24"/>
        </w:rPr>
        <w:t>包括涨跌停时的交易不活跃</w:t>
      </w:r>
      <w:r>
        <w:rPr>
          <w:rFonts w:hint="default" w:ascii="Times New Roman" w:hAnsi="Times New Roman"/>
          <w:color w:val="000000"/>
          <w:kern w:val="0"/>
          <w:sz w:val="24"/>
        </w:rPr>
        <w:t>)</w:t>
      </w:r>
      <w:r>
        <w:rPr>
          <w:rFonts w:hint="eastAsia" w:ascii="Times New Roman" w:hAnsi="Times New Roman"/>
          <w:color w:val="000000"/>
          <w:kern w:val="0"/>
          <w:sz w:val="24"/>
        </w:rPr>
        <w:t>、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(iii)</w:t>
      </w:r>
      <w:r>
        <w:rPr>
          <w:rFonts w:hint="eastAsia" w:ascii="Times New Roman" w:hAnsi="Times New Roman"/>
          <w:color w:val="000000"/>
          <w:kern w:val="0"/>
          <w:sz w:val="24"/>
        </w:rPr>
        <w:t>第三层次公允价值余额和本期变动金额</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无。</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(c)</w:t>
      </w:r>
      <w:r>
        <w:rPr>
          <w:rFonts w:hint="eastAsia" w:ascii="Times New Roman" w:hAnsi="Times New Roman"/>
          <w:color w:val="000000"/>
          <w:kern w:val="0"/>
          <w:sz w:val="24"/>
        </w:rPr>
        <w:t>非持续的以公允价值计量的金融工具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于</w:t>
      </w:r>
      <w:r>
        <w:rPr>
          <w:rFonts w:hint="default" w:ascii="Times New Roman" w:hAnsi="Times New Roman"/>
          <w:color w:val="000000"/>
          <w:kern w:val="0"/>
          <w:sz w:val="24"/>
        </w:rPr>
        <w:t>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日，本基金未持有非持续的以公允价值计量的金融工具</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31</w:t>
      </w:r>
      <w:r>
        <w:rPr>
          <w:rFonts w:hint="eastAsia" w:ascii="Times New Roman" w:hAnsi="Times New Roman"/>
          <w:color w:val="000000"/>
          <w:kern w:val="0"/>
          <w:sz w:val="24"/>
        </w:rPr>
        <w:t>日：同</w:t>
      </w:r>
      <w:r>
        <w:rPr>
          <w:rFonts w:hint="default" w:ascii="Times New Roman" w:hAnsi="Times New Roman"/>
          <w:color w:val="000000"/>
          <w:kern w:val="0"/>
          <w:sz w:val="24"/>
        </w:rPr>
        <w:t>)</w:t>
      </w:r>
      <w:r>
        <w:rPr>
          <w:rFonts w:hint="eastAsia" w:ascii="Times New Roman" w:hAnsi="Times New Roman"/>
          <w:color w:val="000000"/>
          <w:kern w:val="0"/>
          <w:sz w:val="24"/>
        </w:rPr>
        <w:t>。</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(d)</w:t>
      </w:r>
      <w:r>
        <w:rPr>
          <w:rFonts w:hint="eastAsia" w:ascii="Times New Roman" w:hAnsi="Times New Roman"/>
          <w:color w:val="000000"/>
          <w:kern w:val="0"/>
          <w:sz w:val="24"/>
        </w:rPr>
        <w:t>不以公允价值计量的金融工具</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不以公允价值计量的金融资产和负债主要包括应收款项和其他金融负债，其账面价值与公允价值相差很小。</w:t>
      </w:r>
    </w:p>
    <w:p>
      <w:pPr>
        <w:autoSpaceDE w:val="0"/>
        <w:autoSpaceDN w:val="0"/>
        <w:adjustRightInd w:val="0"/>
        <w:spacing w:before="145" w:beforeLines="0" w:afterLines="0" w:line="288" w:lineRule="auto"/>
        <w:ind w:left="15" w:firstLine="482"/>
        <w:jc w:val="left"/>
        <w:rPr>
          <w:rFonts w:hint="default" w:ascii="Times New Roman" w:eastAsia="Times New Roman"/>
          <w:color w:val="000000"/>
          <w:kern w:val="0"/>
          <w:sz w:val="24"/>
        </w:rPr>
      </w:pPr>
      <w:r>
        <w:rPr>
          <w:rFonts w:hint="default" w:ascii="Times New Roman" w:hAnsi="Times New Roman"/>
          <w:color w:val="000000"/>
          <w:kern w:val="0"/>
          <w:sz w:val="24"/>
        </w:rPr>
        <w:t>(2)</w:t>
      </w:r>
      <w:r>
        <w:rPr>
          <w:rFonts w:hint="eastAsia" w:ascii="Times New Roman" w:hAnsi="Times New Roman"/>
          <w:color w:val="000000"/>
          <w:kern w:val="0"/>
          <w:sz w:val="24"/>
        </w:rPr>
        <w:t>除公允价值外，截至资产负债表日本基金无需要说明的其他重要事项。</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34" w:name="_Toc477899880"/>
      <w:r>
        <w:rPr>
          <w:rFonts w:hint="eastAsia" w:ascii="Times New Roman" w:hAnsi="Times New Roman"/>
          <w:b/>
          <w:color w:val="000000"/>
          <w:kern w:val="0"/>
          <w:sz w:val="24"/>
        </w:rPr>
        <w:t>§</w:t>
      </w:r>
      <w:r>
        <w:rPr>
          <w:rFonts w:hint="default" w:ascii="Times New Roman" w:hAnsi="Times New Roman"/>
          <w:b/>
          <w:color w:val="000000"/>
          <w:kern w:val="0"/>
          <w:sz w:val="24"/>
        </w:rPr>
        <w:t xml:space="preserve">8  </w:t>
      </w:r>
      <w:r>
        <w:rPr>
          <w:rFonts w:hint="eastAsia" w:ascii="Times New Roman" w:hAnsi="Times New Roman"/>
          <w:b/>
          <w:color w:val="000000"/>
          <w:kern w:val="0"/>
          <w:sz w:val="24"/>
        </w:rPr>
        <w:t>投资组合报告</w:t>
      </w:r>
      <w:bookmarkEnd w:id="34"/>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5" w:name="_Toc477899881"/>
      <w:r>
        <w:rPr>
          <w:rFonts w:hint="default" w:ascii="Times New Roman" w:hAnsi="Times New Roman"/>
          <w:b/>
          <w:color w:val="000000"/>
          <w:kern w:val="0"/>
          <w:sz w:val="24"/>
        </w:rPr>
        <w:t xml:space="preserve">8.1 </w:t>
      </w:r>
      <w:r>
        <w:rPr>
          <w:rFonts w:hint="eastAsia" w:ascii="Times New Roman" w:hAnsi="Times New Roman"/>
          <w:b/>
          <w:color w:val="000000"/>
          <w:kern w:val="0"/>
          <w:sz w:val="24"/>
        </w:rPr>
        <w:t>期末基金资产组合情况</w:t>
      </w:r>
      <w:bookmarkEnd w:id="35"/>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占基金总资产的比例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权益投资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其中：股票</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188,257,722.96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固定收益投资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其中：债券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3"/>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资产支持证券</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贵金属投资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金融衍生品投资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银行存款和结算备付金合计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54,696,580.83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其他各项资产</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21,647,517.69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264,601,821.48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注：本基金本报告期末通过沪港通交易机制投资的港股公允价值为</w:t>
      </w:r>
      <w:r>
        <w:rPr>
          <w:rFonts w:hint="default" w:ascii="Times New Roman" w:hAnsi="Times New Roman"/>
          <w:color w:val="000000"/>
          <w:kern w:val="0"/>
          <w:sz w:val="21"/>
        </w:rPr>
        <w:t>2,382,437.93</w:t>
      </w:r>
      <w:r>
        <w:rPr>
          <w:rFonts w:hint="eastAsia" w:ascii="Times New Roman" w:hAnsi="Times New Roman"/>
          <w:color w:val="000000"/>
          <w:kern w:val="0"/>
          <w:sz w:val="21"/>
        </w:rPr>
        <w:t>元，占净值比为</w:t>
      </w:r>
      <w:r>
        <w:rPr>
          <w:rFonts w:hint="default" w:ascii="Times New Roman" w:hAnsi="Times New Roman"/>
          <w:color w:val="000000"/>
          <w:kern w:val="0"/>
          <w:sz w:val="21"/>
        </w:rPr>
        <w:t>0.96%</w:t>
      </w:r>
      <w:r>
        <w:rPr>
          <w:rFonts w:hint="eastAsia" w:ascii="Times New Roman" w:hAnsi="Times New Roman"/>
          <w:color w:val="000000"/>
          <w:kern w:val="0"/>
          <w:sz w:val="21"/>
        </w:rPr>
        <w:t>。</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 </w:t>
      </w:r>
      <w:r>
        <w:rPr>
          <w:rFonts w:hint="eastAsia" w:ascii="Times New Roman" w:hAnsi="Times New Roman"/>
          <w:b/>
          <w:color w:val="000000"/>
          <w:kern w:val="0"/>
          <w:sz w:val="24"/>
        </w:rPr>
        <w:t>报告期末按行业分类的股票投资组合</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6" w:name="_Toc477899882"/>
      <w:r>
        <w:rPr>
          <w:rFonts w:hint="default" w:ascii="Times New Roman" w:hAnsi="Times New Roman"/>
          <w:b/>
          <w:color w:val="000000"/>
          <w:kern w:val="0"/>
          <w:sz w:val="24"/>
        </w:rPr>
        <w:t xml:space="preserve">8.2.1 </w:t>
      </w:r>
      <w:r>
        <w:rPr>
          <w:rFonts w:hint="eastAsia" w:ascii="Times New Roman" w:hAnsi="Times New Roman"/>
          <w:b/>
          <w:color w:val="000000"/>
          <w:kern w:val="0"/>
          <w:sz w:val="24"/>
        </w:rPr>
        <w:t>报告期末按行业分类的境内股票投资组合</w:t>
      </w:r>
      <w:bookmarkEnd w:id="36"/>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974"/>
        <w:gridCol w:w="2167"/>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代码</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行业类别</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公允价值（元）</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A</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农、林、牧、渔业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152,180.00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B</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采矿业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C</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制造业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114,758,121.14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D</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10,412,320.89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E</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建筑业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15,592.23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F</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批发和零售业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24,838,605.51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G</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交通运输、仓储和邮政业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10,579,603.31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住宿和餐饮业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I</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168,880.95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J</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金融业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15,277,461.00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K</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房地产业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L</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租赁和商务服务业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M</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科学研究和技术服务业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N</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水利、环境和公共设施管理业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O</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居民服务、修理和其他服务业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P</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教育</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Q</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卫生和社会工作</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R</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文化、体育和娱乐业</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S</w:t>
            </w: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综合</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9,672,520.00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center"/>
              <w:rPr>
                <w:rFonts w:hint="default" w:ascii="Times New Roman" w:eastAsia="Times New Roman"/>
                <w:color w:val="000000"/>
                <w:kern w:val="0"/>
                <w:sz w:val="24"/>
              </w:rPr>
            </w:pPr>
          </w:p>
        </w:tc>
        <w:tc>
          <w:tcPr>
            <w:tcW w:w="397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185,875,285.03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74.52</w:t>
            </w:r>
          </w:p>
        </w:tc>
      </w:tr>
    </w:tbl>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8.2.2 </w:t>
      </w:r>
      <w:r>
        <w:rPr>
          <w:rFonts w:hint="eastAsia" w:ascii="Times New Roman" w:hAnsi="Times New Roman"/>
          <w:b/>
          <w:color w:val="000000"/>
          <w:kern w:val="0"/>
          <w:sz w:val="24"/>
        </w:rPr>
        <w:t>报告期末按行业分类的沪港通投资股票投资组合</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27"/>
        <w:gridCol w:w="3128"/>
        <w:gridCol w:w="2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沪港通投资股票行业分类行业类别</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沪港通投资股票行业分类公允价值</w:t>
            </w:r>
            <w:r>
              <w:rPr>
                <w:rFonts w:hint="default" w:ascii="Times New Roman" w:hAnsi="Times New Roman"/>
                <w:color w:val="000000"/>
                <w:kern w:val="0"/>
                <w:sz w:val="24"/>
              </w:rPr>
              <w:t>(</w:t>
            </w:r>
            <w:r>
              <w:rPr>
                <w:rFonts w:hint="eastAsia" w:ascii="Times New Roman" w:hAnsi="Times New Roman"/>
                <w:color w:val="000000"/>
                <w:kern w:val="0"/>
                <w:sz w:val="24"/>
              </w:rPr>
              <w:t>元</w:t>
            </w:r>
            <w:r>
              <w:rPr>
                <w:rFonts w:hint="default"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沪港通投资股票行业分类公允价值占基金资产净值比（％）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A </w:t>
            </w:r>
            <w:r>
              <w:rPr>
                <w:rFonts w:hint="eastAsia" w:ascii="Times New Roman" w:hAnsi="Times New Roman"/>
                <w:color w:val="000000"/>
                <w:kern w:val="0"/>
                <w:sz w:val="24"/>
              </w:rPr>
              <w:t>农、林、牧、渔业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B </w:t>
            </w:r>
            <w:r>
              <w:rPr>
                <w:rFonts w:hint="eastAsia" w:ascii="Times New Roman" w:hAnsi="Times New Roman"/>
                <w:color w:val="000000"/>
                <w:kern w:val="0"/>
                <w:sz w:val="24"/>
              </w:rPr>
              <w:t>采矿业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720,975.06</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C </w:t>
            </w:r>
            <w:r>
              <w:rPr>
                <w:rFonts w:hint="eastAsia" w:ascii="Times New Roman" w:hAnsi="Times New Roman"/>
                <w:color w:val="000000"/>
                <w:kern w:val="0"/>
                <w:sz w:val="24"/>
              </w:rPr>
              <w:t>制造业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287,674.42</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D </w:t>
            </w:r>
            <w:r>
              <w:rPr>
                <w:rFonts w:hint="eastAsia" w:ascii="Times New Roman" w:hAnsi="Times New Roman"/>
                <w:color w:val="000000"/>
                <w:kern w:val="0"/>
                <w:sz w:val="24"/>
              </w:rPr>
              <w:t>电力、热力、燃气及水生产和供应业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E </w:t>
            </w:r>
            <w:r>
              <w:rPr>
                <w:rFonts w:hint="eastAsia" w:ascii="Times New Roman" w:hAnsi="Times New Roman"/>
                <w:color w:val="000000"/>
                <w:kern w:val="0"/>
                <w:sz w:val="24"/>
              </w:rPr>
              <w:t>建筑业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F </w:t>
            </w:r>
            <w:r>
              <w:rPr>
                <w:rFonts w:hint="eastAsia" w:ascii="Times New Roman" w:hAnsi="Times New Roman"/>
                <w:color w:val="000000"/>
                <w:kern w:val="0"/>
                <w:sz w:val="24"/>
              </w:rPr>
              <w:t>批发和零售业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G </w:t>
            </w:r>
            <w:r>
              <w:rPr>
                <w:rFonts w:hint="eastAsia" w:ascii="Times New Roman" w:hAnsi="Times New Roman"/>
                <w:color w:val="000000"/>
                <w:kern w:val="0"/>
                <w:sz w:val="24"/>
              </w:rPr>
              <w:t>交通运输、仓储和邮政业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334,904.54</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H </w:t>
            </w:r>
            <w:r>
              <w:rPr>
                <w:rFonts w:hint="eastAsia" w:ascii="Times New Roman" w:hAnsi="Times New Roman"/>
                <w:color w:val="000000"/>
                <w:kern w:val="0"/>
                <w:sz w:val="24"/>
              </w:rPr>
              <w:t>住宿和餐饮业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I </w:t>
            </w:r>
            <w:r>
              <w:rPr>
                <w:rFonts w:hint="eastAsia" w:ascii="Times New Roman" w:hAnsi="Times New Roman"/>
                <w:color w:val="000000"/>
                <w:kern w:val="0"/>
                <w:sz w:val="24"/>
              </w:rPr>
              <w:t>信息传输、软件和信息技术服务业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J </w:t>
            </w:r>
            <w:r>
              <w:rPr>
                <w:rFonts w:hint="eastAsia" w:ascii="Times New Roman" w:hAnsi="Times New Roman"/>
                <w:color w:val="000000"/>
                <w:kern w:val="0"/>
                <w:sz w:val="24"/>
              </w:rPr>
              <w:t>金融业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1,038,883.91</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K </w:t>
            </w:r>
            <w:r>
              <w:rPr>
                <w:rFonts w:hint="eastAsia" w:ascii="Times New Roman" w:hAnsi="Times New Roman"/>
                <w:color w:val="000000"/>
                <w:kern w:val="0"/>
                <w:sz w:val="24"/>
              </w:rPr>
              <w:t>房地产业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L </w:t>
            </w:r>
            <w:r>
              <w:rPr>
                <w:rFonts w:hint="eastAsia" w:ascii="Times New Roman" w:hAnsi="Times New Roman"/>
                <w:color w:val="000000"/>
                <w:kern w:val="0"/>
                <w:sz w:val="24"/>
              </w:rPr>
              <w:t>租赁和商务服务业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M </w:t>
            </w:r>
            <w:r>
              <w:rPr>
                <w:rFonts w:hint="eastAsia" w:ascii="Times New Roman" w:hAnsi="Times New Roman"/>
                <w:color w:val="000000"/>
                <w:kern w:val="0"/>
                <w:sz w:val="24"/>
              </w:rPr>
              <w:t>科学研究和技术服务业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N </w:t>
            </w:r>
            <w:r>
              <w:rPr>
                <w:rFonts w:hint="eastAsia" w:ascii="Times New Roman" w:hAnsi="Times New Roman"/>
                <w:color w:val="000000"/>
                <w:kern w:val="0"/>
                <w:sz w:val="24"/>
              </w:rPr>
              <w:t>水利、环境和公共设施管理业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O </w:t>
            </w:r>
            <w:r>
              <w:rPr>
                <w:rFonts w:hint="eastAsia" w:ascii="Times New Roman" w:hAnsi="Times New Roman"/>
                <w:color w:val="000000"/>
                <w:kern w:val="0"/>
                <w:sz w:val="24"/>
              </w:rPr>
              <w:t>居民服务、修理和其他服务业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P </w:t>
            </w:r>
            <w:r>
              <w:rPr>
                <w:rFonts w:hint="eastAsia" w:ascii="Times New Roman" w:hAnsi="Times New Roman"/>
                <w:color w:val="000000"/>
                <w:kern w:val="0"/>
                <w:sz w:val="24"/>
              </w:rPr>
              <w:t>教育</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Q </w:t>
            </w:r>
            <w:r>
              <w:rPr>
                <w:rFonts w:hint="eastAsia" w:ascii="Times New Roman" w:hAnsi="Times New Roman"/>
                <w:color w:val="000000"/>
                <w:kern w:val="0"/>
                <w:sz w:val="24"/>
              </w:rPr>
              <w:t>卫生和社会工作</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R </w:t>
            </w:r>
            <w:r>
              <w:rPr>
                <w:rFonts w:hint="eastAsia" w:ascii="Times New Roman" w:hAnsi="Times New Roman"/>
                <w:color w:val="000000"/>
                <w:kern w:val="0"/>
                <w:sz w:val="24"/>
              </w:rPr>
              <w:t>文化、体育和娱乐业</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S </w:t>
            </w:r>
            <w:r>
              <w:rPr>
                <w:rFonts w:hint="eastAsia" w:ascii="Times New Roman" w:hAnsi="Times New Roman"/>
                <w:color w:val="000000"/>
                <w:kern w:val="0"/>
                <w:sz w:val="24"/>
              </w:rPr>
              <w:t>综合</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12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31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2,382,437.93</w:t>
            </w:r>
          </w:p>
        </w:tc>
        <w:tc>
          <w:tcPr>
            <w:tcW w:w="283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0.96</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注：通过沪港通机制投资的股票所属行业分类采用中国证券监督管理委员会制定的《上市公司行业分类指引》。</w:t>
      </w:r>
    </w:p>
    <w:p>
      <w:pPr>
        <w:autoSpaceDE w:val="0"/>
        <w:autoSpaceDN w:val="0"/>
        <w:adjustRightInd w:val="0"/>
        <w:spacing w:beforeLines="0" w:afterLines="0" w:line="288" w:lineRule="auto"/>
        <w:jc w:val="left"/>
        <w:rPr>
          <w:rFonts w:hint="default" w:ascii="Times New Roman" w:eastAsia="Times New Roman"/>
          <w:color w:val="000000"/>
          <w:kern w:val="0"/>
          <w:sz w:val="1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7" w:name="_Toc477899883"/>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r>
        <w:rPr>
          <w:rFonts w:hint="default" w:ascii="Times New Roman" w:hAnsi="Times New Roman"/>
          <w:b/>
          <w:color w:val="000000"/>
          <w:kern w:val="0"/>
          <w:sz w:val="24"/>
        </w:rPr>
        <w:t xml:space="preserve">8.3 </w:t>
      </w:r>
      <w:r>
        <w:rPr>
          <w:rFonts w:hint="eastAsia" w:ascii="Times New Roman" w:hAnsi="Times New Roman"/>
          <w:b/>
          <w:color w:val="000000"/>
          <w:kern w:val="0"/>
          <w:sz w:val="24"/>
        </w:rPr>
        <w:t>期末按公允价值占基金资产净值比例大小排序的所有股票投资明细</w:t>
      </w:r>
      <w:bookmarkEnd w:id="37"/>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1445"/>
        <w:gridCol w:w="1806"/>
        <w:gridCol w:w="1806"/>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公允价值</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湖南海利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1,588,819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16,777,928.64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新疆众和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1,788,844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14,006,648.52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泰山石油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1,188,827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13,160,314.89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博闻科技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688,835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11,076,466.80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湖北宜化</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1,388,376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11,037,589.20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1,388,809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10,374,403.23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新兴铸管</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2,002,000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10,350,340.00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平安银行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1,118,830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10,181,353.00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铁龙物流</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1,228,057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9,922,700.56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天山股份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1,388,836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9,791,293.80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鲁银投资</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9,672,520.00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河钢股份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9,619,200.00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柳</w:t>
            </w:r>
            <w:r>
              <w:rPr>
                <w:rFonts w:hint="default" w:ascii="Times New Roman" w:hAnsi="Times New Roman"/>
                <w:color w:val="000000"/>
                <w:kern w:val="0"/>
                <w:sz w:val="24"/>
              </w:rPr>
              <w:t xml:space="preserve">    </w:t>
            </w:r>
            <w:r>
              <w:rPr>
                <w:rFonts w:hint="eastAsia" w:ascii="Times New Roman" w:hAnsi="Times New Roman"/>
                <w:color w:val="000000"/>
                <w:kern w:val="0"/>
                <w:sz w:val="24"/>
              </w:rPr>
              <w:t>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1,281,771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9,369,746.01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兰太实业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7,609,600.00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金晶科技</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1,288,856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5,967,403.28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王府井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323,348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5,264,105.44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601818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光大银行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5,004,800.00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华新水泥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4,557,000.00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600778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友好集团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288,821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3,252,124.46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银座股份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337,827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3,162,060.72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红星发展</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188,894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2,534,957.48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南京化纤</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657,500.00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广深铁路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127,701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647,444.07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H03328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交通银行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501,820.11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三元股份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392,500.00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H01088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中国神华</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391,795.38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H00525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广深铁路股份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334,904.54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H01898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中煤能源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329,179.68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H02009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金隅股份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287,674.42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H01288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农业银行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284,454.18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H06818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中国光大银行</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252,609.62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600996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贵广网络</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8,625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162,063.75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开创国际</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152,180.00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宝钢股份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20,957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133,076.95</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百合花</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123,167.88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601375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中原证券</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22,827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91,308.00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603298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杭叉集团</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3,641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88,403.48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比音勒芬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1,158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70,290.60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603577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汇金通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69,642.60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日月股份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1,652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68,805.80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赛托生物</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63,738.78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信捷电气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53,886.08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603877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太平鸟</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52,142.40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永吉股份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3,869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42,675.07</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弘亚数控</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37,988.72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603689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皖天然气</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37,917.66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英飞特</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1,359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35,157.33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同为股份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24,220.26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603266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天龙股份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22,852.06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天铁股份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20,290.18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浙江仙通</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18,807.10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常熟汽饰</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18,416.16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603228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景旺电子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17,323.68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603929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亚翔集成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15,592.23</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华统股份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11,881.70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002838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道恩股份</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10,405.68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603186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华正新材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1,874</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10,063.38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603032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德新交运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1,628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9,458.68</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美联新材</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9,355.80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300591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万里马</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2,396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7,355.72</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300588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熙菱信息</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6,817.20</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8" w:name="_Toc477899884"/>
      <w:r>
        <w:rPr>
          <w:rFonts w:hint="default" w:ascii="Times New Roman" w:hAnsi="Times New Roman"/>
          <w:b/>
          <w:color w:val="000000"/>
          <w:kern w:val="0"/>
          <w:sz w:val="24"/>
        </w:rPr>
        <w:t xml:space="preserve">8.4 </w:t>
      </w:r>
      <w:r>
        <w:rPr>
          <w:rFonts w:hint="eastAsia" w:ascii="Times New Roman" w:hAnsi="Times New Roman"/>
          <w:b/>
          <w:color w:val="000000"/>
          <w:kern w:val="0"/>
          <w:sz w:val="24"/>
        </w:rPr>
        <w:t>报告期内股票投资组合的重大变动</w:t>
      </w:r>
      <w:bookmarkEnd w:id="38"/>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8.4.1 </w:t>
      </w:r>
      <w:r>
        <w:rPr>
          <w:rFonts w:hint="eastAsia" w:ascii="Times New Roman" w:hAnsi="Times New Roman"/>
          <w:b/>
          <w:color w:val="000000"/>
          <w:kern w:val="0"/>
          <w:sz w:val="24"/>
        </w:rPr>
        <w:t>累计买入金额超出期初基金资产净值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本期累计买入金额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湖南海利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30,421,921.81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湖北宜化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29,062,255.61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兰太实业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25,400,095.18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新疆众和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23,416,826.27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泰山石油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23,147,534.58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天山股份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18,991,235.23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18,479,867.94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柳</w:t>
            </w:r>
            <w:r>
              <w:rPr>
                <w:rFonts w:hint="default" w:ascii="Times New Roman" w:hAnsi="Times New Roman"/>
                <w:color w:val="000000"/>
                <w:kern w:val="0"/>
                <w:sz w:val="24"/>
              </w:rPr>
              <w:t xml:space="preserve">    </w:t>
            </w:r>
            <w:r>
              <w:rPr>
                <w:rFonts w:hint="eastAsia" w:ascii="Times New Roman" w:hAnsi="Times New Roman"/>
                <w:color w:val="000000"/>
                <w:kern w:val="0"/>
                <w:sz w:val="24"/>
              </w:rPr>
              <w:t>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18,467,237.31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鲁银投资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18,370,509.00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博闻科技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18,126,813.12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河钢股份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18,045,768.63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000876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w:t>
            </w:r>
            <w:r>
              <w:rPr>
                <w:rFonts w:hint="default" w:ascii="Times New Roman" w:hAnsi="Times New Roman"/>
                <w:color w:val="000000"/>
                <w:kern w:val="0"/>
                <w:sz w:val="24"/>
              </w:rPr>
              <w:t xml:space="preserve"> </w:t>
            </w:r>
            <w:r>
              <w:rPr>
                <w:rFonts w:hint="eastAsia" w:ascii="Times New Roman" w:hAnsi="Times New Roman"/>
                <w:color w:val="000000"/>
                <w:kern w:val="0"/>
                <w:sz w:val="24"/>
              </w:rPr>
              <w:t>希</w:t>
            </w:r>
            <w:r>
              <w:rPr>
                <w:rFonts w:hint="default" w:ascii="Times New Roman" w:hAnsi="Times New Roman"/>
                <w:color w:val="000000"/>
                <w:kern w:val="0"/>
                <w:sz w:val="24"/>
              </w:rPr>
              <w:t xml:space="preserve"> </w:t>
            </w:r>
            <w:r>
              <w:rPr>
                <w:rFonts w:hint="eastAsia" w:ascii="Times New Roman" w:hAnsi="Times New Roman"/>
                <w:color w:val="000000"/>
                <w:kern w:val="0"/>
                <w:sz w:val="24"/>
              </w:rPr>
              <w:t>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16,447,669.90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平安银行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16,177,568.15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金晶科技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15,631,312.12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14,646,323.40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铁龙物流</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14,570,037.24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中国石化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13,808,681.77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四川美丰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13,790,073.53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601333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广深铁路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11,010,675.51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新兴铸管</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10,512,322.38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红星发展</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9,621,376.85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华夏银行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9,223,691.62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华新水泥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9,164,541.10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600859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王府井</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9,073,055.53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兰花科创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8,779,816.74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601088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中国神华</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8,261,583.00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葛洲坝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7,857,867.00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武钢股份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7,632,884.00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友好集团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7,624,611.10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长城电工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7,604,055.33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平煤股份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7,043,239.10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亚盛集团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6,534,754.01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601998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6,507,817.75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钱江生化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6,371,574.99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华鲁恒升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6,239,914.00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云天化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6,226,626.04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阳泉煤业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5,608,984.08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5,433,449.00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600746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江苏索普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5,170,144.84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2.09</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注：本期累计买入金额按买卖成交金额，不考虑相关交易费用。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8.4.2 </w:t>
      </w:r>
      <w:r>
        <w:rPr>
          <w:rFonts w:hint="eastAsia" w:ascii="Times New Roman" w:hAnsi="Times New Roman"/>
          <w:b/>
          <w:color w:val="000000"/>
          <w:kern w:val="0"/>
          <w:sz w:val="24"/>
        </w:rPr>
        <w:t>累计卖出金额超出期初基金资产净值</w:t>
      </w:r>
      <w:r>
        <w:rPr>
          <w:rFonts w:hint="default" w:ascii="Times New Roman" w:hAnsi="Times New Roman"/>
          <w:b/>
          <w:color w:val="000000"/>
          <w:kern w:val="0"/>
          <w:sz w:val="24"/>
        </w:rPr>
        <w:t>2%</w:t>
      </w:r>
      <w:r>
        <w:rPr>
          <w:rFonts w:hint="eastAsia" w:ascii="Times New Roman" w:hAnsi="Times New Roman"/>
          <w:b/>
          <w:color w:val="000000"/>
          <w:kern w:val="0"/>
          <w:sz w:val="24"/>
        </w:rPr>
        <w:t>或前</w:t>
      </w:r>
      <w:r>
        <w:rPr>
          <w:rFonts w:hint="default" w:ascii="Times New Roman" w:hAnsi="Times New Roman"/>
          <w:b/>
          <w:color w:val="000000"/>
          <w:kern w:val="0"/>
          <w:sz w:val="24"/>
        </w:rPr>
        <w:t>20</w:t>
      </w:r>
      <w:r>
        <w:rPr>
          <w:rFonts w:hint="eastAsia" w:ascii="Times New Roman" w:hAnsi="Times New Roman"/>
          <w:b/>
          <w:color w:val="000000"/>
          <w:kern w:val="0"/>
          <w:sz w:val="24"/>
        </w:rPr>
        <w:t>名的股票明细</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1445"/>
        <w:gridCol w:w="2167"/>
        <w:gridCol w:w="2529"/>
        <w:gridCol w:w="21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股票代码</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股票名称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本期累计卖出金额</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eastAsia" w:ascii="Times New Roman" w:hAnsi="Times New Roman"/>
                <w:color w:val="000000"/>
                <w:kern w:val="0"/>
                <w:sz w:val="24"/>
              </w:rPr>
              <w:t>占期初基金资产净值比例</w:t>
            </w:r>
            <w:r>
              <w:rPr>
                <w:rFonts w:hint="default"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000422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湖北宜化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23,680,010.95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四川美丰</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21,973,980.49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兰太实业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21,900,978.80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中国石化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18,756,811.01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新疆众和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18,113,456.05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600731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湖南海利</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17,625,086.04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宝钢股份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17,312,886.99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000001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平安银行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16,743,824.02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000876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新</w:t>
            </w:r>
            <w:r>
              <w:rPr>
                <w:rFonts w:hint="default" w:ascii="Times New Roman" w:hAnsi="Times New Roman"/>
                <w:color w:val="000000"/>
                <w:kern w:val="0"/>
                <w:sz w:val="24"/>
              </w:rPr>
              <w:t xml:space="preserve"> </w:t>
            </w:r>
            <w:r>
              <w:rPr>
                <w:rFonts w:hint="eastAsia" w:ascii="Times New Roman" w:hAnsi="Times New Roman"/>
                <w:color w:val="000000"/>
                <w:kern w:val="0"/>
                <w:sz w:val="24"/>
              </w:rPr>
              <w:t>希</w:t>
            </w:r>
            <w:r>
              <w:rPr>
                <w:rFonts w:hint="default" w:ascii="Times New Roman" w:hAnsi="Times New Roman"/>
                <w:color w:val="000000"/>
                <w:kern w:val="0"/>
                <w:sz w:val="24"/>
              </w:rPr>
              <w:t xml:space="preserve"> </w:t>
            </w:r>
            <w:r>
              <w:rPr>
                <w:rFonts w:hint="eastAsia" w:ascii="Times New Roman" w:hAnsi="Times New Roman"/>
                <w:color w:val="000000"/>
                <w:kern w:val="0"/>
                <w:sz w:val="24"/>
              </w:rPr>
              <w:t>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16,408,868.96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600367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红星发展</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13,988,900.00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601333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广深铁路</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13,874,465.97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华夏银行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13,816,575.54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601998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13,251,259.15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000554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泰山石油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12,811,283.00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天富能源</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12,752,505.05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000709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河钢股份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12,606,773.02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000877</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天山股份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12,532,085.72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600784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鲁银投资</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11,725,292.00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601088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中国神华</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10,702,529.95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600068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葛洲坝</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9,735,512.59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600586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金晶科技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9,025,138.95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000528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柳</w:t>
            </w:r>
            <w:r>
              <w:rPr>
                <w:rFonts w:hint="default" w:ascii="Times New Roman" w:hAnsi="Times New Roman"/>
                <w:color w:val="000000"/>
                <w:kern w:val="0"/>
                <w:sz w:val="24"/>
              </w:rPr>
              <w:t xml:space="preserve">    </w:t>
            </w:r>
            <w:r>
              <w:rPr>
                <w:rFonts w:hint="eastAsia" w:ascii="Times New Roman" w:hAnsi="Times New Roman"/>
                <w:color w:val="000000"/>
                <w:kern w:val="0"/>
                <w:sz w:val="24"/>
              </w:rPr>
              <w:t>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9,023,281.41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600348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阳泉煤业</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8,810,987.86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600192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长城电工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8,776,658.75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博闻科技</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8,664,774.88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600108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亚盛集团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8,657,038.81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兰花科创</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8,432,019.75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600005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武钢股份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8,356,078.00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600016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民生银行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8,027,902.00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钱江生化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7,878,883.14</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600801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华新水泥</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7,864,480.21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601328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交通银行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7,338,400.00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600426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华鲁恒升</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6,951,040.50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铁龙物流</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6,776,063.55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600778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友好集团</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6,709,720.51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600746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江苏索普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6,606,032.35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601939</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建设银行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6,597,526.42</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601666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平煤股份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6,566,829.00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601818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光大银行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6,420,000.00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600096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云天化</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6,294,362.85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2.55</w:t>
            </w:r>
          </w:p>
        </w:tc>
      </w:tr>
      <w:tr>
        <w:tblPrEx>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000983</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西山煤电</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6,167,361.18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601288</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农业银行</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6,122,000.00</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600126</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杭钢股份</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5,485,972.55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000635</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英</w:t>
            </w:r>
            <w:r>
              <w:rPr>
                <w:rFonts w:hint="default" w:ascii="Times New Roman" w:hAnsi="Times New Roman"/>
                <w:color w:val="000000"/>
                <w:kern w:val="0"/>
                <w:sz w:val="24"/>
              </w:rPr>
              <w:t xml:space="preserve"> </w:t>
            </w:r>
            <w:r>
              <w:rPr>
                <w:rFonts w:hint="eastAsia" w:ascii="Times New Roman" w:hAnsi="Times New Roman"/>
                <w:color w:val="000000"/>
                <w:kern w:val="0"/>
                <w:sz w:val="24"/>
              </w:rPr>
              <w:t>力</w:t>
            </w:r>
            <w:r>
              <w:rPr>
                <w:rFonts w:hint="default" w:ascii="Times New Roman" w:hAnsi="Times New Roman"/>
                <w:color w:val="000000"/>
                <w:kern w:val="0"/>
                <w:sz w:val="24"/>
              </w:rPr>
              <w:t xml:space="preserve"> </w:t>
            </w:r>
            <w:r>
              <w:rPr>
                <w:rFonts w:hint="eastAsia" w:ascii="Times New Roman" w:hAnsi="Times New Roman"/>
                <w:color w:val="000000"/>
                <w:kern w:val="0"/>
                <w:sz w:val="24"/>
              </w:rPr>
              <w:t>特</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5,030,917.71</w:t>
            </w:r>
          </w:p>
        </w:tc>
        <w:tc>
          <w:tcPr>
            <w:tcW w:w="216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2.04</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注：本期累计卖出金额按买卖成交金额，不考虑相关交易费用。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8.4.3 </w:t>
      </w:r>
      <w:r>
        <w:rPr>
          <w:rFonts w:hint="eastAsia" w:ascii="Times New Roman" w:hAnsi="Times New Roman"/>
          <w:b/>
          <w:color w:val="000000"/>
          <w:kern w:val="0"/>
          <w:sz w:val="24"/>
        </w:rPr>
        <w:t>买入股票的成本总额及卖出股票的收入总额</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买入股票的成本（成交）总额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562,381,820.48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卖出股票的收入（成交）总额</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554,455,356.03</w:t>
            </w: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注：买入股票成本、卖出股票收入均按买卖成交金额填列，不考虑相关交易费用。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39" w:name="_Toc477899885"/>
      <w:r>
        <w:rPr>
          <w:rFonts w:hint="default" w:ascii="Times New Roman" w:hAnsi="Times New Roman"/>
          <w:b/>
          <w:color w:val="000000"/>
          <w:kern w:val="0"/>
          <w:sz w:val="24"/>
        </w:rPr>
        <w:t xml:space="preserve">8.5 </w:t>
      </w:r>
      <w:r>
        <w:rPr>
          <w:rFonts w:hint="eastAsia" w:ascii="Times New Roman" w:hAnsi="Times New Roman"/>
          <w:b/>
          <w:color w:val="000000"/>
          <w:kern w:val="0"/>
          <w:sz w:val="24"/>
        </w:rPr>
        <w:t>期末按债券品种分类的债券投资组合</w:t>
      </w:r>
      <w:bookmarkEnd w:id="39"/>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0" w:name="_Toc477899886"/>
      <w:r>
        <w:rPr>
          <w:rFonts w:hint="default" w:ascii="Times New Roman" w:hAnsi="Times New Roman"/>
          <w:b/>
          <w:color w:val="000000"/>
          <w:kern w:val="0"/>
          <w:sz w:val="24"/>
        </w:rPr>
        <w:t xml:space="preserve">8.6 </w:t>
      </w:r>
      <w:r>
        <w:rPr>
          <w:rFonts w:hint="eastAsia" w:ascii="Times New Roman" w:hAnsi="Times New Roman"/>
          <w:b/>
          <w:color w:val="000000"/>
          <w:kern w:val="0"/>
          <w:sz w:val="24"/>
        </w:rPr>
        <w:t>期末按公允价值占基金资产净值比例大小排序的前五名债券投资明细</w:t>
      </w:r>
      <w:bookmarkEnd w:id="40"/>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本基金本报告期末未持有债券。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1" w:name="_Toc477899887"/>
      <w:r>
        <w:rPr>
          <w:rFonts w:hint="default" w:ascii="Times New Roman" w:hAnsi="Times New Roman"/>
          <w:b/>
          <w:color w:val="000000"/>
          <w:kern w:val="0"/>
          <w:sz w:val="24"/>
        </w:rPr>
        <w:t xml:space="preserve">8.7 </w:t>
      </w:r>
      <w:r>
        <w:rPr>
          <w:rFonts w:hint="eastAsia" w:ascii="Times New Roman" w:hAnsi="Times New Roman"/>
          <w:b/>
          <w:color w:val="000000"/>
          <w:kern w:val="0"/>
          <w:sz w:val="24"/>
        </w:rPr>
        <w:t>期末按公允价值占基金资产净值比例大小排序的所有资产支持证券投资明细</w:t>
      </w:r>
      <w:bookmarkEnd w:id="41"/>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本基金本报告期末未持有资产支持证券。</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2" w:name="_Toc477899888"/>
      <w:r>
        <w:rPr>
          <w:rFonts w:hint="default" w:ascii="Times New Roman" w:hAnsi="Times New Roman"/>
          <w:b/>
          <w:color w:val="000000"/>
          <w:kern w:val="0"/>
          <w:sz w:val="24"/>
        </w:rPr>
        <w:t xml:space="preserve">8.8 </w:t>
      </w:r>
      <w:r>
        <w:rPr>
          <w:rFonts w:hint="eastAsia" w:ascii="Times New Roman" w:hAnsi="Times New Roman"/>
          <w:b/>
          <w:color w:val="000000"/>
          <w:kern w:val="0"/>
          <w:sz w:val="24"/>
        </w:rPr>
        <w:t>报告期末按公允价值占基金资产净值比例大小排序的前五名贵金属投资明细</w:t>
      </w:r>
      <w:bookmarkEnd w:id="42"/>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本基金本报告期末未持有贵金属。</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3" w:name="_Toc477899889"/>
      <w:r>
        <w:rPr>
          <w:rFonts w:hint="default" w:ascii="Times New Roman" w:hAnsi="Times New Roman"/>
          <w:b/>
          <w:color w:val="000000"/>
          <w:kern w:val="0"/>
          <w:sz w:val="24"/>
        </w:rPr>
        <w:t xml:space="preserve">8.9 </w:t>
      </w:r>
      <w:r>
        <w:rPr>
          <w:rFonts w:hint="eastAsia" w:ascii="Times New Roman" w:hAnsi="Times New Roman"/>
          <w:b/>
          <w:color w:val="000000"/>
          <w:kern w:val="0"/>
          <w:sz w:val="24"/>
        </w:rPr>
        <w:t>期末按公允价值占基金资产净值比例大小排序的前五名权证投资明细</w:t>
      </w:r>
      <w:bookmarkEnd w:id="4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本基金本报告期末未持有权证。</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4" w:name="_Toc477899890"/>
      <w:r>
        <w:rPr>
          <w:rFonts w:hint="default" w:ascii="Times New Roman" w:hAnsi="Times New Roman"/>
          <w:b/>
          <w:color w:val="000000"/>
          <w:kern w:val="0"/>
          <w:sz w:val="24"/>
        </w:rPr>
        <w:t xml:space="preserve">8.10 </w:t>
      </w:r>
      <w:r>
        <w:rPr>
          <w:rFonts w:hint="eastAsia" w:ascii="Times New Roman" w:hAnsi="Times New Roman"/>
          <w:b/>
          <w:color w:val="000000"/>
          <w:kern w:val="0"/>
          <w:sz w:val="24"/>
        </w:rPr>
        <w:t>报告期末本基金投资的股指期货交易情况说明</w:t>
      </w:r>
      <w:bookmarkEnd w:id="44"/>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本基金本报告期未投资股指期货。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5" w:name="_Toc477899891"/>
      <w:r>
        <w:rPr>
          <w:rFonts w:hint="default" w:ascii="Times New Roman" w:hAnsi="Times New Roman"/>
          <w:b/>
          <w:color w:val="000000"/>
          <w:kern w:val="0"/>
          <w:sz w:val="24"/>
        </w:rPr>
        <w:t xml:space="preserve">8.11 </w:t>
      </w:r>
      <w:r>
        <w:rPr>
          <w:rFonts w:hint="eastAsia" w:ascii="Times New Roman" w:hAnsi="Times New Roman"/>
          <w:b/>
          <w:color w:val="000000"/>
          <w:kern w:val="0"/>
          <w:sz w:val="24"/>
        </w:rPr>
        <w:t>报告期末本基金投资的国债期货交易情况说明</w:t>
      </w:r>
      <w:bookmarkEnd w:id="45"/>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本基金本报告期未投资国债期货。</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6" w:name="_Toc477899892"/>
      <w:r>
        <w:rPr>
          <w:rFonts w:hint="default" w:ascii="Times New Roman" w:hAnsi="Times New Roman"/>
          <w:b/>
          <w:color w:val="000000"/>
          <w:kern w:val="0"/>
          <w:sz w:val="24"/>
        </w:rPr>
        <w:t xml:space="preserve">8.12 </w:t>
      </w:r>
      <w:r>
        <w:rPr>
          <w:rFonts w:hint="eastAsia" w:ascii="Times New Roman" w:hAnsi="Times New Roman"/>
          <w:b/>
          <w:color w:val="000000"/>
          <w:kern w:val="0"/>
          <w:sz w:val="24"/>
        </w:rPr>
        <w:t>投资组合报告附注</w:t>
      </w:r>
      <w:bookmarkEnd w:id="46"/>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8.12.1</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2016</w:t>
      </w:r>
      <w:r>
        <w:rPr>
          <w:rFonts w:hint="eastAsia" w:ascii="Times New Roman" w:hAnsi="Times New Roman"/>
          <w:color w:val="000000"/>
          <w:kern w:val="0"/>
          <w:sz w:val="24"/>
        </w:rPr>
        <w:t>年</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17</w:t>
      </w:r>
      <w:r>
        <w:rPr>
          <w:rFonts w:hint="eastAsia" w:ascii="Times New Roman" w:hAnsi="Times New Roman"/>
          <w:color w:val="000000"/>
          <w:kern w:val="0"/>
          <w:sz w:val="24"/>
        </w:rPr>
        <w:t>日，湖北宜化公告公司收到宜昌市环境保护局下发的宜市环法</w:t>
      </w:r>
      <w:r>
        <w:rPr>
          <w:rFonts w:hint="default" w:ascii="Times New Roman" w:hAnsi="Times New Roman"/>
          <w:color w:val="000000"/>
          <w:kern w:val="0"/>
          <w:sz w:val="24"/>
        </w:rPr>
        <w:t>[2016]97</w:t>
      </w:r>
      <w:r>
        <w:rPr>
          <w:rFonts w:hint="eastAsia" w:ascii="Times New Roman" w:hAnsi="Times New Roman"/>
          <w:color w:val="000000"/>
          <w:kern w:val="0"/>
          <w:sz w:val="24"/>
        </w:rPr>
        <w:t>号文《宜昌市环境保护局行政处罚及停产整治事先</w:t>
      </w:r>
      <w:r>
        <w:rPr>
          <w:rFonts w:hint="default" w:ascii="Times New Roman" w:hAnsi="Times New Roman"/>
          <w:color w:val="000000"/>
          <w:kern w:val="0"/>
          <w:sz w:val="24"/>
        </w:rPr>
        <w:t>(</w:t>
      </w:r>
      <w:r>
        <w:rPr>
          <w:rFonts w:hint="eastAsia" w:ascii="Times New Roman" w:hAnsi="Times New Roman"/>
          <w:color w:val="000000"/>
          <w:kern w:val="0"/>
          <w:sz w:val="24"/>
        </w:rPr>
        <w:t>听证</w:t>
      </w:r>
      <w:r>
        <w:rPr>
          <w:rFonts w:hint="default" w:ascii="Times New Roman" w:hAnsi="Times New Roman"/>
          <w:color w:val="000000"/>
          <w:kern w:val="0"/>
          <w:sz w:val="24"/>
        </w:rPr>
        <w:t>)</w:t>
      </w:r>
      <w:r>
        <w:rPr>
          <w:rFonts w:hint="eastAsia" w:ascii="Times New Roman" w:hAnsi="Times New Roman"/>
          <w:color w:val="000000"/>
          <w:kern w:val="0"/>
          <w:sz w:val="24"/>
        </w:rPr>
        <w:t>告知书》，</w:t>
      </w:r>
      <w:r>
        <w:rPr>
          <w:rFonts w:hint="default" w:ascii="Times New Roman" w:hAnsi="Times New Roman"/>
          <w:color w:val="000000"/>
          <w:kern w:val="0"/>
          <w:sz w:val="24"/>
        </w:rPr>
        <w:t xml:space="preserve"> </w:t>
      </w:r>
      <w:r>
        <w:rPr>
          <w:rFonts w:hint="eastAsia" w:ascii="Times New Roman" w:hAnsi="Times New Roman"/>
          <w:color w:val="000000"/>
          <w:kern w:val="0"/>
          <w:sz w:val="24"/>
        </w:rPr>
        <w:t>处应缴纳排污费数额五倍的罚款，即人民币</w:t>
      </w:r>
      <w:r>
        <w:rPr>
          <w:rFonts w:hint="default" w:ascii="Times New Roman" w:hAnsi="Times New Roman"/>
          <w:color w:val="000000"/>
          <w:kern w:val="0"/>
          <w:sz w:val="24"/>
        </w:rPr>
        <w:t>252</w:t>
      </w:r>
      <w:r>
        <w:rPr>
          <w:rFonts w:hint="eastAsia" w:ascii="Times New Roman" w:hAnsi="Times New Roman"/>
          <w:color w:val="000000"/>
          <w:kern w:val="0"/>
          <w:sz w:val="24"/>
        </w:rPr>
        <w:t>万元</w:t>
      </w:r>
      <w:r>
        <w:rPr>
          <w:rFonts w:hint="default" w:ascii="Times New Roman" w:hAnsi="Times New Roman"/>
          <w:color w:val="000000"/>
          <w:kern w:val="0"/>
          <w:sz w:val="24"/>
        </w:rPr>
        <w:t>(</w:t>
      </w:r>
      <w:r>
        <w:rPr>
          <w:rFonts w:hint="eastAsia" w:ascii="Times New Roman" w:hAnsi="Times New Roman"/>
          <w:color w:val="000000"/>
          <w:kern w:val="0"/>
          <w:sz w:val="24"/>
        </w:rPr>
        <w:t>大写</w:t>
      </w:r>
      <w:r>
        <w:rPr>
          <w:rFonts w:hint="default" w:ascii="Times New Roman" w:hAnsi="Times New Roman"/>
          <w:color w:val="000000"/>
          <w:kern w:val="0"/>
          <w:sz w:val="24"/>
        </w:rPr>
        <w:t>:</w:t>
      </w:r>
      <w:r>
        <w:rPr>
          <w:rFonts w:hint="eastAsia" w:ascii="Times New Roman" w:hAnsi="Times New Roman"/>
          <w:color w:val="000000"/>
          <w:kern w:val="0"/>
          <w:sz w:val="24"/>
        </w:rPr>
        <w:t>贰佰伍拾贰万元</w:t>
      </w:r>
      <w:r>
        <w:rPr>
          <w:rFonts w:hint="default" w:ascii="Times New Roman" w:hAnsi="Times New Roman"/>
          <w:color w:val="000000"/>
          <w:kern w:val="0"/>
          <w:sz w:val="24"/>
        </w:rPr>
        <w:t>)</w:t>
      </w:r>
      <w:r>
        <w:rPr>
          <w:rFonts w:hint="eastAsia" w:ascii="Times New Roman" w:hAnsi="Times New Roman"/>
          <w:color w:val="000000"/>
          <w:kern w:val="0"/>
          <w:sz w:val="24"/>
        </w:rPr>
        <w:t>，责令公司停产整治</w:t>
      </w:r>
      <w:r>
        <w:rPr>
          <w:rFonts w:hint="default" w:ascii="Times New Roman" w:eastAsia="Times New Roman"/>
          <w:color w:val="000000"/>
          <w:kern w:val="0"/>
          <w:sz w:val="24"/>
        </w:rPr>
        <w:t>,</w:t>
      </w:r>
      <w:r>
        <w:rPr>
          <w:rFonts w:hint="eastAsia" w:ascii="Times New Roman" w:hAnsi="Times New Roman"/>
          <w:color w:val="000000"/>
          <w:kern w:val="0"/>
          <w:sz w:val="24"/>
        </w:rPr>
        <w:t>在停产期间针对存在的环保问题进行整改。</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经调查核实</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w:t>
      </w:r>
      <w:r>
        <w:rPr>
          <w:rFonts w:hint="eastAsia" w:ascii="Times New Roman" w:hAnsi="Times New Roman"/>
          <w:color w:val="000000"/>
          <w:kern w:val="0"/>
          <w:sz w:val="24"/>
        </w:rPr>
        <w:t>日晚水污染物超标排放原因是老厂区置换过程中造气循环水液位控制不当出现漫液情况导致</w:t>
      </w:r>
      <w:r>
        <w:rPr>
          <w:rFonts w:hint="default" w:ascii="Times New Roman" w:hAnsi="Times New Roman"/>
          <w:color w:val="000000"/>
          <w:kern w:val="0"/>
          <w:sz w:val="24"/>
        </w:rPr>
        <w:t xml:space="preserve">, </w:t>
      </w:r>
      <w:r>
        <w:rPr>
          <w:rFonts w:hint="eastAsia" w:ascii="Times New Roman" w:hAnsi="Times New Roman"/>
          <w:color w:val="000000"/>
          <w:kern w:val="0"/>
          <w:sz w:val="24"/>
        </w:rPr>
        <w:t>属于偶发性事件</w:t>
      </w:r>
      <w:r>
        <w:rPr>
          <w:rFonts w:hint="default" w:ascii="Times New Roman" w:eastAsia="Times New Roman"/>
          <w:color w:val="000000"/>
          <w:kern w:val="0"/>
          <w:sz w:val="24"/>
        </w:rPr>
        <w:t>,</w:t>
      </w:r>
      <w:r>
        <w:rPr>
          <w:rFonts w:hint="eastAsia" w:ascii="Times New Roman" w:hAnsi="Times New Roman"/>
          <w:color w:val="000000"/>
          <w:kern w:val="0"/>
          <w:sz w:val="24"/>
        </w:rPr>
        <w:t>我公司于</w:t>
      </w:r>
      <w:r>
        <w:rPr>
          <w:rFonts w:hint="default" w:ascii="Times New Roman" w:hAnsi="Times New Roman"/>
          <w:color w:val="000000"/>
          <w:kern w:val="0"/>
          <w:sz w:val="24"/>
        </w:rPr>
        <w:t>12</w:t>
      </w:r>
      <w:r>
        <w:rPr>
          <w:rFonts w:hint="eastAsia" w:ascii="Times New Roman" w:hAnsi="Times New Roman"/>
          <w:color w:val="000000"/>
          <w:kern w:val="0"/>
          <w:sz w:val="24"/>
        </w:rPr>
        <w:t>月</w:t>
      </w:r>
      <w:r>
        <w:rPr>
          <w:rFonts w:hint="default" w:ascii="Times New Roman" w:hAnsi="Times New Roman"/>
          <w:color w:val="000000"/>
          <w:kern w:val="0"/>
          <w:sz w:val="24"/>
        </w:rPr>
        <w:t>2</w:t>
      </w:r>
      <w:r>
        <w:rPr>
          <w:rFonts w:hint="eastAsia" w:ascii="Times New Roman" w:hAnsi="Times New Roman"/>
          <w:color w:val="000000"/>
          <w:kern w:val="0"/>
          <w:sz w:val="24"/>
        </w:rPr>
        <w:t>日事发当天已完成整改</w:t>
      </w:r>
      <w:r>
        <w:rPr>
          <w:rFonts w:hint="default" w:ascii="Times New Roman" w:hAnsi="Times New Roman"/>
          <w:color w:val="000000"/>
          <w:kern w:val="0"/>
          <w:sz w:val="24"/>
        </w:rPr>
        <w:t xml:space="preserve">, </w:t>
      </w:r>
      <w:r>
        <w:rPr>
          <w:rFonts w:hint="eastAsia" w:ascii="Times New Roman" w:hAnsi="Times New Roman"/>
          <w:color w:val="000000"/>
          <w:kern w:val="0"/>
          <w:sz w:val="24"/>
        </w:rPr>
        <w:t>并已将整改情况书面报告宜昌市环保局。本次排污事件发生于公司老厂区造气循环水工段</w:t>
      </w:r>
      <w:r>
        <w:rPr>
          <w:rFonts w:hint="default" w:ascii="Times New Roman" w:eastAsia="Times New Roman"/>
          <w:color w:val="000000"/>
          <w:kern w:val="0"/>
          <w:sz w:val="24"/>
        </w:rPr>
        <w:t>,</w:t>
      </w:r>
      <w:r>
        <w:rPr>
          <w:rFonts w:hint="eastAsia" w:ascii="Times New Roman" w:hAnsi="Times New Roman"/>
          <w:color w:val="000000"/>
          <w:kern w:val="0"/>
          <w:sz w:val="24"/>
        </w:rPr>
        <w:t>按照原定计划</w:t>
      </w:r>
      <w:r>
        <w:rPr>
          <w:rFonts w:hint="default" w:ascii="Times New Roman" w:eastAsia="Times New Roman"/>
          <w:color w:val="000000"/>
          <w:kern w:val="0"/>
          <w:sz w:val="24"/>
        </w:rPr>
        <w:t>,</w:t>
      </w:r>
      <w:r>
        <w:rPr>
          <w:rFonts w:hint="eastAsia" w:ascii="Times New Roman" w:hAnsi="Times New Roman"/>
          <w:color w:val="000000"/>
          <w:kern w:val="0"/>
          <w:sz w:val="24"/>
        </w:rPr>
        <w:t>我公司老厂区生产系统目前已停止生产</w:t>
      </w:r>
      <w:r>
        <w:rPr>
          <w:rFonts w:hint="default" w:ascii="Times New Roman" w:eastAsia="Times New Roman"/>
          <w:color w:val="000000"/>
          <w:kern w:val="0"/>
          <w:sz w:val="24"/>
        </w:rPr>
        <w:t>,</w:t>
      </w:r>
      <w:r>
        <w:rPr>
          <w:rFonts w:hint="eastAsia" w:ascii="Times New Roman" w:hAnsi="Times New Roman"/>
          <w:color w:val="000000"/>
          <w:kern w:val="0"/>
          <w:sz w:val="24"/>
        </w:rPr>
        <w:t>进入技术升级改造阶段</w:t>
      </w:r>
      <w:r>
        <w:rPr>
          <w:rFonts w:hint="default" w:ascii="Times New Roman" w:eastAsia="Times New Roman"/>
          <w:color w:val="000000"/>
          <w:kern w:val="0"/>
          <w:sz w:val="24"/>
        </w:rPr>
        <w:t>.</w:t>
      </w:r>
      <w:r>
        <w:rPr>
          <w:rFonts w:hint="eastAsia" w:ascii="Times New Roman" w:hAnsi="Times New Roman"/>
          <w:color w:val="000000"/>
          <w:kern w:val="0"/>
          <w:sz w:val="24"/>
        </w:rPr>
        <w:t>本次技改拟将原有的间歇式固定层气化工艺升级为水煤浆洁净煤气化工艺</w:t>
      </w:r>
      <w:r>
        <w:rPr>
          <w:rFonts w:hint="default" w:ascii="Times New Roman" w:eastAsia="Times New Roman"/>
          <w:color w:val="000000"/>
          <w:kern w:val="0"/>
          <w:sz w:val="24"/>
        </w:rPr>
        <w:t>,</w:t>
      </w:r>
      <w:r>
        <w:rPr>
          <w:rFonts w:hint="eastAsia" w:ascii="Times New Roman" w:hAnsi="Times New Roman"/>
          <w:color w:val="000000"/>
          <w:kern w:val="0"/>
          <w:sz w:val="24"/>
        </w:rPr>
        <w:t>可以大幅度降低污染物排放总量</w:t>
      </w:r>
      <w:r>
        <w:rPr>
          <w:rFonts w:hint="default" w:ascii="Times New Roman" w:eastAsia="Times New Roman"/>
          <w:color w:val="000000"/>
          <w:kern w:val="0"/>
          <w:sz w:val="24"/>
        </w:rPr>
        <w:t>,</w:t>
      </w:r>
      <w:r>
        <w:rPr>
          <w:rFonts w:hint="eastAsia" w:ascii="Times New Roman" w:hAnsi="Times New Roman"/>
          <w:color w:val="000000"/>
          <w:kern w:val="0"/>
          <w:sz w:val="24"/>
        </w:rPr>
        <w:t>显著提高公司环保管理水平。公司服从宜昌市环保局拟对我公司进行的行政处罚决定</w:t>
      </w:r>
      <w:r>
        <w:rPr>
          <w:rFonts w:hint="default" w:ascii="Times New Roman" w:hAnsi="Times New Roman"/>
          <w:color w:val="000000"/>
          <w:kern w:val="0"/>
          <w:sz w:val="24"/>
        </w:rPr>
        <w:t xml:space="preserve">, </w:t>
      </w:r>
      <w:r>
        <w:rPr>
          <w:rFonts w:hint="eastAsia" w:ascii="Times New Roman" w:hAnsi="Times New Roman"/>
          <w:color w:val="000000"/>
          <w:kern w:val="0"/>
          <w:sz w:val="24"/>
        </w:rPr>
        <w:t>不对上述行政处罚决定申请陈述申辩和听证。</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 xml:space="preserve">    </w:t>
      </w:r>
      <w:r>
        <w:rPr>
          <w:rFonts w:hint="eastAsia" w:ascii="Times New Roman" w:hAnsi="Times New Roman"/>
          <w:color w:val="000000"/>
          <w:kern w:val="0"/>
          <w:sz w:val="24"/>
        </w:rPr>
        <w:t>湖北宜化是中国最大磷肥、氮肥、聚氯乙烯、多元醇等化工品生产商之一，</w:t>
      </w:r>
      <w:r>
        <w:rPr>
          <w:rFonts w:hint="default" w:ascii="Times New Roman" w:hAnsi="Times New Roman"/>
          <w:color w:val="000000"/>
          <w:kern w:val="0"/>
          <w:sz w:val="24"/>
        </w:rPr>
        <w:t>2015</w:t>
      </w:r>
      <w:r>
        <w:rPr>
          <w:rFonts w:hint="eastAsia" w:ascii="Times New Roman" w:hAnsi="Times New Roman"/>
          <w:color w:val="000000"/>
          <w:kern w:val="0"/>
          <w:sz w:val="24"/>
        </w:rPr>
        <w:t>年营业收入</w:t>
      </w:r>
      <w:r>
        <w:rPr>
          <w:rFonts w:hint="default" w:ascii="Times New Roman" w:hAnsi="Times New Roman"/>
          <w:color w:val="000000"/>
          <w:kern w:val="0"/>
          <w:sz w:val="24"/>
        </w:rPr>
        <w:t>183</w:t>
      </w:r>
      <w:r>
        <w:rPr>
          <w:rFonts w:hint="eastAsia" w:ascii="Times New Roman" w:hAnsi="Times New Roman"/>
          <w:color w:val="000000"/>
          <w:kern w:val="0"/>
          <w:sz w:val="24"/>
        </w:rPr>
        <w:t>亿元，在全国拥有几十套生产装置，因此环保整改和停产的生产能力占其产能比较较小。本基金投资湖北宜化主要考虑其化工品业务盈利能力回升，环保处罚对其投资价值判断无实质性影响。公司前期市净率最低仅</w:t>
      </w:r>
      <w:r>
        <w:rPr>
          <w:rFonts w:hint="default" w:ascii="Times New Roman" w:hAnsi="Times New Roman"/>
          <w:color w:val="000000"/>
          <w:kern w:val="0"/>
          <w:sz w:val="24"/>
        </w:rPr>
        <w:t>0.7</w:t>
      </w:r>
      <w:r>
        <w:rPr>
          <w:rFonts w:hint="eastAsia" w:ascii="Times New Roman" w:hAnsi="Times New Roman"/>
          <w:color w:val="000000"/>
          <w:kern w:val="0"/>
          <w:sz w:val="24"/>
        </w:rPr>
        <w:t>倍，估值处于历史底部，维持持有评级。本基金基金经理依据基金合同和公司投资管理制度，在投资授权范围内，经正常投资决策程序对湖北宜化进行了投资。</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hAnsi="Times New Roman"/>
          <w:b/>
          <w:color w:val="000000"/>
          <w:kern w:val="0"/>
          <w:sz w:val="24"/>
        </w:rPr>
      </w:pPr>
      <w:r>
        <w:rPr>
          <w:rFonts w:hint="default" w:ascii="Times New Roman" w:hAnsi="Times New Roman"/>
          <w:b/>
          <w:color w:val="000000"/>
          <w:kern w:val="0"/>
          <w:sz w:val="24"/>
        </w:rPr>
        <w:t>8.12.2</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本基金投资的前十名股票未超出基金合同规定的备选股票库。</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8.12.3 </w:t>
      </w:r>
      <w:r>
        <w:rPr>
          <w:rFonts w:hint="eastAsia" w:ascii="Times New Roman" w:hAnsi="Times New Roman"/>
          <w:b/>
          <w:color w:val="000000"/>
          <w:kern w:val="0"/>
          <w:sz w:val="24"/>
        </w:rPr>
        <w:t>期末其他各项资产构成</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4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名称</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存出保证金</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82,600.56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应收证券清算款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应收股利</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应收利息</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6,923.51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应收申购款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21,557,993.62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其他应收款</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待摊费用</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其他</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合计</w:t>
            </w:r>
          </w:p>
        </w:tc>
        <w:tc>
          <w:tcPr>
            <w:tcW w:w="469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21,647,517.69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8.12.4 </w:t>
      </w:r>
      <w:r>
        <w:rPr>
          <w:rFonts w:hint="eastAsia" w:ascii="Times New Roman" w:hAnsi="Times New Roman"/>
          <w:b/>
          <w:color w:val="000000"/>
          <w:kern w:val="0"/>
          <w:sz w:val="24"/>
        </w:rPr>
        <w:t>期末持有的处于转股期的可转换债券明细</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本基金本报告期末未持有处于转股期的可转换债券。</w:t>
      </w:r>
    </w:p>
    <w:p>
      <w:pPr>
        <w:autoSpaceDE w:val="0"/>
        <w:autoSpaceDN w:val="0"/>
        <w:adjustRightInd w:val="0"/>
        <w:spacing w:beforeLines="0" w:afterLines="0" w:line="288" w:lineRule="auto"/>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8.12.5 </w:t>
      </w:r>
      <w:r>
        <w:rPr>
          <w:rFonts w:hint="eastAsia" w:ascii="Times New Roman" w:hAnsi="Times New Roman"/>
          <w:b/>
          <w:color w:val="000000"/>
          <w:kern w:val="0"/>
          <w:sz w:val="24"/>
        </w:rPr>
        <w:t>期末前十名股票中存在流通受限情况的说明</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本基金本报告期末前十名股票不存在流通受限的情况。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47" w:name="_Toc477899893"/>
      <w:r>
        <w:rPr>
          <w:rFonts w:hint="eastAsia" w:ascii="Times New Roman" w:hAnsi="Times New Roman"/>
          <w:b/>
          <w:color w:val="000000"/>
          <w:kern w:val="0"/>
          <w:sz w:val="24"/>
        </w:rPr>
        <w:t>§</w:t>
      </w:r>
      <w:r>
        <w:rPr>
          <w:rFonts w:hint="default" w:ascii="Times New Roman" w:hAnsi="Times New Roman"/>
          <w:b/>
          <w:color w:val="000000"/>
          <w:kern w:val="0"/>
          <w:sz w:val="24"/>
        </w:rPr>
        <w:t xml:space="preserve">9  </w:t>
      </w:r>
      <w:r>
        <w:rPr>
          <w:rFonts w:hint="eastAsia" w:ascii="Times New Roman" w:hAnsi="Times New Roman"/>
          <w:b/>
          <w:color w:val="000000"/>
          <w:kern w:val="0"/>
          <w:sz w:val="24"/>
        </w:rPr>
        <w:t>基金份额持有人信息</w:t>
      </w:r>
      <w:bookmarkEnd w:id="47"/>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8" w:name="_Toc477899894"/>
      <w:r>
        <w:rPr>
          <w:rFonts w:hint="default" w:ascii="Times New Roman" w:hAnsi="Times New Roman"/>
          <w:b/>
          <w:color w:val="000000"/>
          <w:kern w:val="0"/>
          <w:sz w:val="24"/>
        </w:rPr>
        <w:t xml:space="preserve">9.1 </w:t>
      </w:r>
      <w:r>
        <w:rPr>
          <w:rFonts w:hint="eastAsia" w:ascii="Times New Roman" w:hAnsi="Times New Roman"/>
          <w:b/>
          <w:color w:val="000000"/>
          <w:kern w:val="0"/>
          <w:sz w:val="24"/>
        </w:rPr>
        <w:t>期末基金份额持有人户数及持有人结构</w:t>
      </w:r>
      <w:bookmarkEnd w:id="48"/>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份额单位：份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806"/>
        <w:gridCol w:w="1806"/>
        <w:gridCol w:w="1083"/>
        <w:gridCol w:w="1806"/>
        <w:gridCol w:w="1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持有人户数</w:t>
            </w:r>
          </w:p>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w:t>
            </w:r>
            <w:r>
              <w:rPr>
                <w:rFonts w:hint="eastAsia" w:ascii="Times New Roman" w:hAnsi="Times New Roman"/>
                <w:color w:val="000000"/>
                <w:kern w:val="0"/>
                <w:sz w:val="24"/>
              </w:rPr>
              <w:t>户</w:t>
            </w:r>
            <w:r>
              <w:rPr>
                <w:rFonts w:hint="default" w:ascii="Times New Roman" w:hAnsi="Times New Roman"/>
                <w:color w:val="000000"/>
                <w:kern w:val="0"/>
                <w:sz w:val="24"/>
              </w:rPr>
              <w:t>)</w:t>
            </w:r>
          </w:p>
        </w:tc>
        <w:tc>
          <w:tcPr>
            <w:tcW w:w="1806"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户均持有的基金份额</w:t>
            </w:r>
          </w:p>
        </w:tc>
        <w:tc>
          <w:tcPr>
            <w:tcW w:w="5779" w:type="dxa"/>
            <w:gridSpan w:val="4"/>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持有人结构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288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机构投资者</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个人投资者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份额</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4,036</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57,752.71</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10,010,250.00</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4.29%</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223,079,672.59</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95.71%</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49" w:name="_Toc477899895"/>
      <w:r>
        <w:rPr>
          <w:rFonts w:hint="default" w:ascii="Times New Roman" w:hAnsi="Times New Roman"/>
          <w:b/>
          <w:color w:val="000000"/>
          <w:kern w:val="0"/>
          <w:sz w:val="24"/>
        </w:rPr>
        <w:t xml:space="preserve">9.2 </w:t>
      </w:r>
      <w:r>
        <w:rPr>
          <w:rFonts w:hint="eastAsia" w:ascii="Times New Roman" w:hAnsi="Times New Roman"/>
          <w:b/>
          <w:color w:val="000000"/>
          <w:kern w:val="0"/>
          <w:sz w:val="24"/>
        </w:rPr>
        <w:t>期末基金管理人的从业人员持有本基金的情况</w:t>
      </w:r>
      <w:bookmarkEnd w:id="49"/>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2529"/>
        <w:gridCol w:w="25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持有份额总数（份）</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占基金总份额比例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基金管理人所有从业人员持有本基金</w:t>
            </w:r>
          </w:p>
        </w:tc>
        <w:tc>
          <w:tcPr>
            <w:tcW w:w="2529"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2,932,138.66</w:t>
            </w:r>
          </w:p>
        </w:tc>
        <w:tc>
          <w:tcPr>
            <w:tcW w:w="252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1.26%</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0" w:name="_Toc477899896"/>
      <w:r>
        <w:rPr>
          <w:rFonts w:hint="default" w:ascii="Times New Roman" w:hAnsi="Times New Roman"/>
          <w:b/>
          <w:color w:val="000000"/>
          <w:kern w:val="0"/>
          <w:sz w:val="24"/>
        </w:rPr>
        <w:t xml:space="preserve">9.3 </w:t>
      </w:r>
      <w:r>
        <w:rPr>
          <w:rFonts w:hint="eastAsia" w:ascii="Times New Roman" w:hAnsi="Times New Roman"/>
          <w:b/>
          <w:color w:val="000000"/>
          <w:kern w:val="0"/>
          <w:sz w:val="24"/>
        </w:rPr>
        <w:t>期末基金管理人的从业人员持有本开放式基金份额总量区间情况</w:t>
      </w:r>
      <w:bookmarkEnd w:id="50"/>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1"/>
        <w:gridCol w:w="50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项目</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持有基金份额总量的数量区间（万份）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本公司高级管理人员、基金投资和研究部门负责人持有本开放式基金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&gt;100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3971"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本基金基金经理持有本开放式基金</w:t>
            </w:r>
          </w:p>
        </w:tc>
        <w:tc>
          <w:tcPr>
            <w:tcW w:w="5057"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10~50</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1" w:name="_Toc477899897"/>
      <w:r>
        <w:rPr>
          <w:rFonts w:hint="eastAsia" w:ascii="Times New Roman" w:hAnsi="Times New Roman"/>
          <w:b/>
          <w:color w:val="000000"/>
          <w:kern w:val="0"/>
          <w:sz w:val="24"/>
        </w:rPr>
        <w:t>§</w:t>
      </w:r>
      <w:r>
        <w:rPr>
          <w:rFonts w:hint="default" w:ascii="Times New Roman" w:hAnsi="Times New Roman"/>
          <w:b/>
          <w:color w:val="000000"/>
          <w:kern w:val="0"/>
          <w:sz w:val="24"/>
        </w:rPr>
        <w:t xml:space="preserve">10 </w:t>
      </w:r>
      <w:r>
        <w:rPr>
          <w:rFonts w:hint="eastAsia" w:ascii="Times New Roman" w:hAnsi="Times New Roman"/>
          <w:b/>
          <w:color w:val="000000"/>
          <w:kern w:val="0"/>
          <w:sz w:val="24"/>
        </w:rPr>
        <w:t>开放式基金份额变动</w:t>
      </w:r>
      <w:bookmarkEnd w:id="51"/>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单位：份</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138"/>
        <w:gridCol w:w="2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基金合同生效日</w:t>
            </w:r>
            <w:r>
              <w:rPr>
                <w:rFonts w:hint="default" w:ascii="Times New Roman" w:hAnsi="Times New Roman"/>
                <w:color w:val="000000"/>
                <w:kern w:val="0"/>
                <w:sz w:val="24"/>
              </w:rPr>
              <w:t>(2015</w:t>
            </w:r>
            <w:r>
              <w:rPr>
                <w:rFonts w:hint="eastAsia" w:ascii="Times New Roman" w:hAnsi="Times New Roman"/>
                <w:color w:val="000000"/>
                <w:kern w:val="0"/>
                <w:sz w:val="24"/>
              </w:rPr>
              <w:t>年</w:t>
            </w:r>
            <w:r>
              <w:rPr>
                <w:rFonts w:hint="default" w:ascii="Times New Roman" w:hAnsi="Times New Roman"/>
                <w:color w:val="000000"/>
                <w:kern w:val="0"/>
                <w:sz w:val="24"/>
              </w:rPr>
              <w:t>8</w:t>
            </w:r>
            <w:r>
              <w:rPr>
                <w:rFonts w:hint="eastAsia" w:ascii="Times New Roman" w:hAnsi="Times New Roman"/>
                <w:color w:val="000000"/>
                <w:kern w:val="0"/>
                <w:sz w:val="24"/>
              </w:rPr>
              <w:t>月</w:t>
            </w:r>
            <w:r>
              <w:rPr>
                <w:rFonts w:hint="default" w:ascii="Times New Roman" w:hAnsi="Times New Roman"/>
                <w:color w:val="000000"/>
                <w:kern w:val="0"/>
                <w:sz w:val="24"/>
              </w:rPr>
              <w:t>24</w:t>
            </w:r>
            <w:r>
              <w:rPr>
                <w:rFonts w:hint="eastAsia" w:ascii="Times New Roman" w:hAnsi="Times New Roman"/>
                <w:color w:val="000000"/>
                <w:kern w:val="0"/>
                <w:sz w:val="24"/>
              </w:rPr>
              <w:t>日</w:t>
            </w:r>
            <w:r>
              <w:rPr>
                <w:rFonts w:hint="default" w:ascii="Times New Roman" w:hAnsi="Times New Roman"/>
                <w:color w:val="000000"/>
                <w:kern w:val="0"/>
                <w:sz w:val="24"/>
              </w:rPr>
              <w:t>)</w:t>
            </w:r>
            <w:r>
              <w:rPr>
                <w:rFonts w:hint="eastAsia" w:ascii="Times New Roman" w:hAnsi="Times New Roman"/>
                <w:color w:val="000000"/>
                <w:kern w:val="0"/>
                <w:sz w:val="24"/>
              </w:rPr>
              <w:t>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303,868,723.06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本报告期期初基金份额总额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248,272,977.05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本报告期基金总申购份额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143,714,005.53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减：本报告期基金总赎回份额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158,897,059.99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本报告期基金拆分变动份额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6138"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本报告期期末基金份额总额</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233,089,922.59</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52" w:name="_Toc477899898"/>
      <w:r>
        <w:rPr>
          <w:rFonts w:hint="eastAsia" w:ascii="Times New Roman" w:hAnsi="Times New Roman"/>
          <w:b/>
          <w:color w:val="000000"/>
          <w:kern w:val="0"/>
          <w:sz w:val="24"/>
        </w:rPr>
        <w:t>§</w:t>
      </w:r>
      <w:r>
        <w:rPr>
          <w:rFonts w:hint="default" w:ascii="Times New Roman" w:hAnsi="Times New Roman"/>
          <w:b/>
          <w:color w:val="000000"/>
          <w:kern w:val="0"/>
          <w:sz w:val="24"/>
        </w:rPr>
        <w:t xml:space="preserve">11 </w:t>
      </w:r>
      <w:r>
        <w:rPr>
          <w:rFonts w:hint="eastAsia" w:ascii="Times New Roman" w:hAnsi="Times New Roman"/>
          <w:b/>
          <w:color w:val="000000"/>
          <w:kern w:val="0"/>
          <w:sz w:val="24"/>
        </w:rPr>
        <w:t>重大事件揭示</w:t>
      </w:r>
      <w:bookmarkEnd w:id="52"/>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3" w:name="_Toc477899899"/>
      <w:r>
        <w:rPr>
          <w:rFonts w:hint="default" w:ascii="Times New Roman" w:hAnsi="Times New Roman"/>
          <w:b/>
          <w:color w:val="000000"/>
          <w:kern w:val="0"/>
          <w:sz w:val="24"/>
        </w:rPr>
        <w:t xml:space="preserve">11.1 </w:t>
      </w:r>
      <w:r>
        <w:rPr>
          <w:rFonts w:hint="eastAsia" w:ascii="Times New Roman" w:hAnsi="Times New Roman"/>
          <w:b/>
          <w:color w:val="000000"/>
          <w:kern w:val="0"/>
          <w:sz w:val="24"/>
        </w:rPr>
        <w:t>基金份额持有人大会决议</w:t>
      </w:r>
      <w:bookmarkEnd w:id="53"/>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本报告期内未召开基金份额持有人大会。</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4" w:name="_Toc477899900"/>
      <w:r>
        <w:rPr>
          <w:rFonts w:hint="default" w:ascii="Times New Roman" w:hAnsi="Times New Roman"/>
          <w:b/>
          <w:color w:val="000000"/>
          <w:kern w:val="0"/>
          <w:sz w:val="24"/>
        </w:rPr>
        <w:t xml:space="preserve">11.2 </w:t>
      </w:r>
      <w:r>
        <w:rPr>
          <w:rFonts w:hint="eastAsia" w:ascii="Times New Roman" w:hAnsi="Times New Roman"/>
          <w:b/>
          <w:color w:val="000000"/>
          <w:kern w:val="0"/>
          <w:sz w:val="24"/>
        </w:rPr>
        <w:t>基金管理人、基金托管人的专门基金托管部门的重大人事变动</w:t>
      </w:r>
      <w:bookmarkEnd w:id="5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本报告期内基金管理人、基金托管人的专门基金托管部门无重大人事变动。</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5" w:name="_Toc477899901"/>
      <w:r>
        <w:rPr>
          <w:rFonts w:hint="default" w:ascii="Times New Roman" w:hAnsi="Times New Roman"/>
          <w:b/>
          <w:color w:val="000000"/>
          <w:kern w:val="0"/>
          <w:sz w:val="24"/>
        </w:rPr>
        <w:t xml:space="preserve">11.3 </w:t>
      </w:r>
      <w:r>
        <w:rPr>
          <w:rFonts w:hint="eastAsia" w:ascii="Times New Roman" w:hAnsi="Times New Roman"/>
          <w:b/>
          <w:color w:val="000000"/>
          <w:kern w:val="0"/>
          <w:sz w:val="24"/>
        </w:rPr>
        <w:t>涉及基金管理人、基金财产、基金托管业务的诉讼</w:t>
      </w:r>
      <w:bookmarkEnd w:id="55"/>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本报告期内，无涉及基金管理人、基金财产、基金托管业务的诉讼。</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6" w:name="_Toc477899902"/>
      <w:r>
        <w:rPr>
          <w:rFonts w:hint="default" w:ascii="Times New Roman" w:hAnsi="Times New Roman"/>
          <w:b/>
          <w:color w:val="000000"/>
          <w:kern w:val="0"/>
          <w:sz w:val="24"/>
        </w:rPr>
        <w:t xml:space="preserve">11.4 </w:t>
      </w:r>
      <w:r>
        <w:rPr>
          <w:rFonts w:hint="eastAsia" w:ascii="Times New Roman" w:hAnsi="Times New Roman"/>
          <w:b/>
          <w:color w:val="000000"/>
          <w:kern w:val="0"/>
          <w:sz w:val="24"/>
        </w:rPr>
        <w:t>基金投资策略的改变</w:t>
      </w:r>
      <w:bookmarkEnd w:id="56"/>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本报告期内基金投资策略无重大改变。</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7" w:name="_Toc477899903"/>
      <w:r>
        <w:rPr>
          <w:rFonts w:hint="default" w:ascii="Times New Roman" w:hAnsi="Times New Roman"/>
          <w:b/>
          <w:color w:val="000000"/>
          <w:kern w:val="0"/>
          <w:sz w:val="24"/>
        </w:rPr>
        <w:t xml:space="preserve">11.5 </w:t>
      </w:r>
      <w:r>
        <w:rPr>
          <w:rFonts w:hint="eastAsia" w:ascii="Times New Roman" w:hAnsi="Times New Roman"/>
          <w:b/>
          <w:color w:val="000000"/>
          <w:kern w:val="0"/>
          <w:sz w:val="24"/>
        </w:rPr>
        <w:t>为基金进行审计的会计师事务所情况</w:t>
      </w:r>
      <w:bookmarkEnd w:id="57"/>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本报告期内本基金未更换会计师事务所，本年度支付给普华永道中天会计师事务所</w:t>
      </w:r>
      <w:r>
        <w:rPr>
          <w:rFonts w:hint="default" w:ascii="Times New Roman" w:hAnsi="Times New Roman"/>
          <w:color w:val="000000"/>
          <w:kern w:val="0"/>
          <w:sz w:val="24"/>
        </w:rPr>
        <w:t>(</w:t>
      </w:r>
      <w:r>
        <w:rPr>
          <w:rFonts w:hint="eastAsia" w:ascii="Times New Roman" w:hAnsi="Times New Roman"/>
          <w:color w:val="000000"/>
          <w:kern w:val="0"/>
          <w:sz w:val="24"/>
        </w:rPr>
        <w:t>特殊普通合伙</w:t>
      </w:r>
      <w:r>
        <w:rPr>
          <w:rFonts w:hint="default" w:ascii="Times New Roman" w:hAnsi="Times New Roman"/>
          <w:color w:val="000000"/>
          <w:kern w:val="0"/>
          <w:sz w:val="24"/>
        </w:rPr>
        <w:t>)</w:t>
      </w:r>
      <w:r>
        <w:rPr>
          <w:rFonts w:hint="eastAsia" w:ascii="Times New Roman" w:hAnsi="Times New Roman"/>
          <w:color w:val="000000"/>
          <w:kern w:val="0"/>
          <w:sz w:val="24"/>
        </w:rPr>
        <w:t>审计费用</w:t>
      </w:r>
      <w:r>
        <w:rPr>
          <w:rFonts w:hint="default" w:ascii="Times New Roman" w:hAnsi="Times New Roman"/>
          <w:color w:val="000000"/>
          <w:kern w:val="0"/>
          <w:sz w:val="24"/>
        </w:rPr>
        <w:t>71,999.80</w:t>
      </w:r>
      <w:r>
        <w:rPr>
          <w:rFonts w:hint="eastAsia" w:ascii="Times New Roman" w:hAnsi="Times New Roman"/>
          <w:color w:val="000000"/>
          <w:kern w:val="0"/>
          <w:sz w:val="24"/>
        </w:rPr>
        <w:t>元，该审计机构连续提供审计服务的年限为</w:t>
      </w:r>
      <w:r>
        <w:rPr>
          <w:rFonts w:hint="default" w:ascii="Times New Roman" w:hAnsi="Times New Roman"/>
          <w:color w:val="000000"/>
          <w:kern w:val="0"/>
          <w:sz w:val="24"/>
        </w:rPr>
        <w:t>2</w:t>
      </w:r>
      <w:r>
        <w:rPr>
          <w:rFonts w:hint="eastAsia" w:ascii="Times New Roman" w:hAnsi="Times New Roman"/>
          <w:color w:val="000000"/>
          <w:kern w:val="0"/>
          <w:sz w:val="24"/>
        </w:rPr>
        <w:t>年。</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8" w:name="_Toc477899904"/>
      <w:r>
        <w:rPr>
          <w:rFonts w:hint="default" w:ascii="Times New Roman" w:hAnsi="Times New Roman"/>
          <w:b/>
          <w:color w:val="000000"/>
          <w:kern w:val="0"/>
          <w:sz w:val="24"/>
        </w:rPr>
        <w:t xml:space="preserve">11.6 </w:t>
      </w:r>
      <w:r>
        <w:rPr>
          <w:rFonts w:hint="eastAsia" w:ascii="Times New Roman" w:hAnsi="Times New Roman"/>
          <w:b/>
          <w:color w:val="000000"/>
          <w:kern w:val="0"/>
          <w:sz w:val="24"/>
        </w:rPr>
        <w:t>管理人、托管人及其高级管理人员受稽查或处罚等情况</w:t>
      </w:r>
      <w:bookmarkEnd w:id="58"/>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r>
        <w:rPr>
          <w:rFonts w:hint="eastAsia" w:ascii="Times New Roman" w:hAnsi="Times New Roman"/>
          <w:color w:val="000000"/>
          <w:kern w:val="0"/>
          <w:sz w:val="24"/>
        </w:rPr>
        <w:t>本报告期内，基金管理人、基金托管人及其高级管理人员没有受到监管部门稽查或处罚等情况。</w:t>
      </w:r>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4"/>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59" w:name="_Toc477899905"/>
      <w:r>
        <w:rPr>
          <w:rFonts w:hint="default" w:ascii="Times New Roman" w:hAnsi="Times New Roman"/>
          <w:b/>
          <w:color w:val="000000"/>
          <w:kern w:val="0"/>
          <w:sz w:val="24"/>
        </w:rPr>
        <w:t xml:space="preserve">11.7 </w:t>
      </w:r>
      <w:r>
        <w:rPr>
          <w:rFonts w:hint="eastAsia" w:ascii="Times New Roman" w:hAnsi="Times New Roman"/>
          <w:b/>
          <w:color w:val="000000"/>
          <w:kern w:val="0"/>
          <w:sz w:val="24"/>
        </w:rPr>
        <w:t>基金租用证券公司交易单元的有关情况</w:t>
      </w:r>
      <w:bookmarkEnd w:id="59"/>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11.7.1 </w:t>
      </w:r>
      <w:r>
        <w:rPr>
          <w:rFonts w:hint="eastAsia" w:ascii="Times New Roman" w:hAnsi="Times New Roman"/>
          <w:b/>
          <w:color w:val="000000"/>
          <w:kern w:val="0"/>
          <w:sz w:val="24"/>
        </w:rPr>
        <w:t>基金租用证券公司交易单元进行股票投资及佣金支付情况</w:t>
      </w: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445"/>
        <w:gridCol w:w="1445"/>
        <w:gridCol w:w="1445"/>
        <w:gridCol w:w="7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108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交易单元</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数量</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股票交易</w:t>
            </w:r>
          </w:p>
        </w:tc>
        <w:tc>
          <w:tcPr>
            <w:tcW w:w="2890"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应支付该券商的佣金</w:t>
            </w:r>
          </w:p>
        </w:tc>
        <w:tc>
          <w:tcPr>
            <w:tcW w:w="722"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占股票</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佣金</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占当期佣金</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总量的比例</w:t>
            </w:r>
          </w:p>
        </w:tc>
        <w:tc>
          <w:tcPr>
            <w:tcW w:w="722"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center"/>
              <w:rPr>
                <w:rFonts w:hint="default" w:ascii="Times New Roman" w:eastAsia="Times New Roman"/>
                <w:kern w:val="0"/>
                <w:sz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460,102,267.29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426,637.50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48.00%</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363,159,931.21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32.62%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263,018.07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29.59%</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79,299,799.61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7.12%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73,436.31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8.26%</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39,777,625.10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3.57%</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36,659.55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4.12%</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50,401,782.34</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36,037.53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4.05%</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46,332,829.43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4.16%</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33,484.59</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3.77%</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58,392,616.71</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5.25%</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13,316.93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1.50%</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14,677,735.90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1.32%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5,430.33</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0.61%</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72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r>
    </w:tbl>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注：交易单元的选择标准和程序：</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1</w:t>
      </w:r>
      <w:r>
        <w:rPr>
          <w:rFonts w:hint="eastAsia" w:ascii="Times New Roman" w:hAnsi="Times New Roman"/>
          <w:color w:val="000000"/>
          <w:kern w:val="0"/>
          <w:sz w:val="21"/>
        </w:rPr>
        <w:t>）研究实力较强，有固定的研究机构和专门的研究人员，能及时为基金提供高质量的咨询服务，包括宏观经济报告、行业报告、市场分析、个股分析报告及其它专门报告，并能根据基金投资的特定要求，提供专门研究报告；</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2</w:t>
      </w:r>
      <w:r>
        <w:rPr>
          <w:rFonts w:hint="eastAsia" w:ascii="Times New Roman" w:hAnsi="Times New Roman"/>
          <w:color w:val="000000"/>
          <w:kern w:val="0"/>
          <w:sz w:val="21"/>
        </w:rPr>
        <w:t>）财务状况良好，各项财务指标显示公司经营状况稳定；</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3</w:t>
      </w:r>
      <w:r>
        <w:rPr>
          <w:rFonts w:hint="eastAsia" w:ascii="Times New Roman" w:hAnsi="Times New Roman"/>
          <w:color w:val="000000"/>
          <w:kern w:val="0"/>
          <w:sz w:val="21"/>
        </w:rPr>
        <w:t>）经营行为规范，内部管理规范、严格，具备健全的内部控制制度，并能满足基金运作高度保密的要求；</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w:t>
      </w:r>
      <w:r>
        <w:rPr>
          <w:rFonts w:hint="default" w:ascii="Times New Roman" w:hAnsi="Times New Roman"/>
          <w:color w:val="000000"/>
          <w:kern w:val="0"/>
          <w:sz w:val="21"/>
        </w:rPr>
        <w:t>4</w:t>
      </w:r>
      <w:r>
        <w:rPr>
          <w:rFonts w:hint="eastAsia" w:ascii="Times New Roman" w:hAnsi="Times New Roman"/>
          <w:color w:val="000000"/>
          <w:kern w:val="0"/>
          <w:sz w:val="21"/>
        </w:rPr>
        <w:t>）具备基金运作所需的高效、安全的通讯条件，交易设施符合代理基金进行证券交易的需要，并能为基金提供全面的信息服务。</w:t>
      </w:r>
    </w:p>
    <w:p>
      <w:pPr>
        <w:autoSpaceDE w:val="0"/>
        <w:autoSpaceDN w:val="0"/>
        <w:adjustRightInd w:val="0"/>
        <w:spacing w:before="29" w:beforeLines="0" w:afterLines="0" w:line="288" w:lineRule="auto"/>
        <w:ind w:left="15"/>
        <w:jc w:val="left"/>
        <w:rPr>
          <w:rFonts w:hint="default" w:ascii="Times New Roman" w:eastAsia="Times New Roman"/>
          <w:color w:val="000000"/>
          <w:kern w:val="0"/>
          <w:sz w:val="21"/>
        </w:rPr>
      </w:pPr>
      <w:r>
        <w:rPr>
          <w:rFonts w:hint="eastAsia" w:ascii="Times New Roman" w:hAnsi="Times New Roman"/>
          <w:color w:val="000000"/>
          <w:kern w:val="0"/>
          <w:sz w:val="21"/>
        </w:rPr>
        <w:t>基金管理人根据以上标准进行考察后确定租用券商的交易单元，并与被选中的证券经营机构签订交易单元租用协议。</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r>
        <w:rPr>
          <w:rFonts w:hint="eastAsia" w:ascii="Times New Roman" w:hAnsi="Times New Roman"/>
          <w:color w:val="000000"/>
          <w:kern w:val="0"/>
          <w:sz w:val="21"/>
        </w:rPr>
        <w:t>本基金报告期内新增中银国际证券，金元证券，招商证券，华安证券，中泰证券</w:t>
      </w:r>
      <w:r>
        <w:rPr>
          <w:rFonts w:hint="default" w:ascii="Times New Roman" w:hAnsi="Times New Roman"/>
          <w:color w:val="000000"/>
          <w:kern w:val="0"/>
          <w:sz w:val="21"/>
        </w:rPr>
        <w:t>5</w:t>
      </w:r>
      <w:r>
        <w:rPr>
          <w:rFonts w:hint="eastAsia" w:ascii="Times New Roman" w:hAnsi="Times New Roman"/>
          <w:color w:val="000000"/>
          <w:kern w:val="0"/>
          <w:sz w:val="21"/>
        </w:rPr>
        <w:t>家券商的</w:t>
      </w:r>
      <w:r>
        <w:rPr>
          <w:rFonts w:hint="default" w:ascii="Times New Roman" w:hAnsi="Times New Roman"/>
          <w:color w:val="000000"/>
          <w:kern w:val="0"/>
          <w:sz w:val="21"/>
        </w:rPr>
        <w:t>10</w:t>
      </w:r>
      <w:r>
        <w:rPr>
          <w:rFonts w:hint="eastAsia" w:ascii="Times New Roman" w:hAnsi="Times New Roman"/>
          <w:color w:val="000000"/>
          <w:kern w:val="0"/>
          <w:sz w:val="21"/>
        </w:rPr>
        <w:t>个交易单元。</w:t>
      </w:r>
      <w:r>
        <w:rPr>
          <w:rFonts w:hint="default" w:ascii="Times New Roman" w:hAnsi="Times New Roman"/>
          <w:color w:val="000000"/>
          <w:kern w:val="0"/>
          <w:sz w:val="21"/>
        </w:rPr>
        <w:t xml:space="preserve"> </w:t>
      </w:r>
    </w:p>
    <w:p>
      <w:pPr>
        <w:autoSpaceDE w:val="0"/>
        <w:autoSpaceDN w:val="0"/>
        <w:adjustRightInd w:val="0"/>
        <w:spacing w:before="29" w:beforeLines="0" w:afterLines="0" w:line="288" w:lineRule="auto"/>
        <w:ind w:left="15"/>
        <w:jc w:val="left"/>
        <w:rPr>
          <w:rFonts w:hint="default" w:ascii="Times New Roman" w:hAnsi="Times New Roman"/>
          <w:color w:val="000000"/>
          <w:kern w:val="0"/>
          <w:sz w:val="21"/>
        </w:rPr>
      </w:pPr>
    </w:p>
    <w:p>
      <w:pPr>
        <w:autoSpaceDE w:val="0"/>
        <w:autoSpaceDN w:val="0"/>
        <w:adjustRightInd w:val="0"/>
        <w:spacing w:before="29" w:beforeLines="0" w:afterLines="0" w:line="288" w:lineRule="auto"/>
        <w:ind w:left="15"/>
        <w:jc w:val="left"/>
        <w:rPr>
          <w:rFonts w:hint="default" w:ascii="Times New Roman" w:eastAsia="Times New Roman"/>
          <w:b/>
          <w:color w:val="000000"/>
          <w:kern w:val="0"/>
          <w:sz w:val="24"/>
        </w:rPr>
      </w:pPr>
      <w:r>
        <w:rPr>
          <w:rFonts w:hint="default" w:ascii="Times New Roman" w:hAnsi="Times New Roman"/>
          <w:b/>
          <w:color w:val="000000"/>
          <w:kern w:val="0"/>
          <w:sz w:val="24"/>
        </w:rPr>
        <w:t xml:space="preserve">11.7.2 </w:t>
      </w:r>
      <w:r>
        <w:rPr>
          <w:rFonts w:hint="eastAsia" w:ascii="Times New Roman" w:hAnsi="Times New Roman"/>
          <w:b/>
          <w:color w:val="000000"/>
          <w:kern w:val="0"/>
          <w:sz w:val="24"/>
        </w:rPr>
        <w:t>基金租用证券公司交易单元进行其他证券投资的情况</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金额单位：人民币元</w:t>
      </w:r>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43"/>
        <w:gridCol w:w="1083"/>
        <w:gridCol w:w="1445"/>
        <w:gridCol w:w="1084"/>
        <w:gridCol w:w="1445"/>
        <w:gridCol w:w="1083"/>
        <w:gridCol w:w="1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restart"/>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券商名称</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债券交易</w:t>
            </w:r>
          </w:p>
        </w:tc>
        <w:tc>
          <w:tcPr>
            <w:tcW w:w="2529"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债券回购交易</w:t>
            </w:r>
          </w:p>
        </w:tc>
        <w:tc>
          <w:tcPr>
            <w:tcW w:w="2528" w:type="dxa"/>
            <w:gridSpan w:val="2"/>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权证交易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vMerge w:val="continue"/>
            <w:tcBorders>
              <w:top w:val="single" w:color="000000" w:sz="8" w:space="0"/>
              <w:left w:val="single" w:color="000000" w:sz="8" w:space="0"/>
              <w:bottom w:val="single" w:color="000000" w:sz="8" w:space="0"/>
              <w:right w:val="single" w:color="000000" w:sz="8" w:space="0"/>
              <w:tl2br w:val="nil"/>
              <w:tr2bl w:val="nil"/>
            </w:tcBorders>
            <w:noWrap w:val="0"/>
            <w:vAlign w:val="top"/>
          </w:tcPr>
          <w:p>
            <w:pPr>
              <w:autoSpaceDE w:val="0"/>
              <w:autoSpaceDN w:val="0"/>
              <w:adjustRightInd w:val="0"/>
              <w:spacing w:beforeLines="0" w:afterLines="0" w:line="288" w:lineRule="auto"/>
              <w:jc w:val="left"/>
              <w:rPr>
                <w:rFonts w:hint="default" w:ascii="Times New Roman" w:eastAsia="Times New Roman"/>
                <w:kern w:val="0"/>
                <w:sz w:val="20"/>
              </w:rPr>
            </w:pP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占债券回购</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成交金额</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占权证</w:t>
            </w:r>
          </w:p>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成交总额比例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东兴证券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87,000,000.00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60.42%</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银河证券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30,000,000.00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20.83%</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国信证券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中信建投</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中泰证券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中银国际</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金元证券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27,000,000.00</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hAnsi="Times New Roman"/>
                <w:color w:val="000000"/>
                <w:kern w:val="0"/>
                <w:sz w:val="24"/>
              </w:rPr>
            </w:pPr>
            <w:r>
              <w:rPr>
                <w:rFonts w:hint="default" w:ascii="Times New Roman" w:hAnsi="Times New Roman"/>
                <w:color w:val="000000"/>
                <w:kern w:val="0"/>
                <w:sz w:val="24"/>
              </w:rPr>
              <w:t>18.75%</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华安证券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招商证券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中信证券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3"/>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144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第一创业证券</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4"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c>
          <w:tcPr>
            <w:tcW w:w="1083"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Lines="0" w:afterLines="0" w:line="288" w:lineRule="auto"/>
              <w:jc w:val="right"/>
              <w:rPr>
                <w:rFonts w:hint="default" w:ascii="Times New Roman" w:eastAsia="Times New Roman"/>
                <w:color w:val="000000"/>
                <w:kern w:val="0"/>
                <w:sz w:val="24"/>
              </w:rPr>
            </w:pPr>
          </w:p>
        </w:tc>
        <w:tc>
          <w:tcPr>
            <w:tcW w:w="1445"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right"/>
              <w:rPr>
                <w:rFonts w:hint="default" w:ascii="Times New Roman" w:eastAsia="Times New Roman"/>
                <w:color w:val="000000"/>
                <w:kern w:val="0"/>
                <w:sz w:val="24"/>
              </w:rPr>
            </w:pPr>
            <w:r>
              <w:rPr>
                <w:rFonts w:hint="eastAsia" w:ascii="Times New Roman" w:hAnsi="Times New Roman"/>
                <w:color w:val="000000"/>
                <w:kern w:val="0"/>
                <w:sz w:val="24"/>
              </w:rPr>
              <w:t>－</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0" w:name="_Toc477899906"/>
      <w:r>
        <w:rPr>
          <w:rFonts w:hint="default" w:ascii="Times New Roman" w:hAnsi="Times New Roman"/>
          <w:b/>
          <w:color w:val="000000"/>
          <w:kern w:val="0"/>
          <w:sz w:val="24"/>
        </w:rPr>
        <w:t xml:space="preserve">11.8 </w:t>
      </w:r>
      <w:r>
        <w:rPr>
          <w:rFonts w:hint="eastAsia" w:ascii="Times New Roman" w:hAnsi="Times New Roman"/>
          <w:b/>
          <w:color w:val="000000"/>
          <w:kern w:val="0"/>
          <w:sz w:val="24"/>
        </w:rPr>
        <w:t>其他重大事件</w:t>
      </w:r>
      <w:bookmarkEnd w:id="60"/>
    </w:p>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20"/>
        <w:gridCol w:w="3612"/>
        <w:gridCol w:w="2890"/>
        <w:gridCol w:w="180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序号</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公告事项</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法定披露方式</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eastAsia="Times New Roman"/>
                <w:color w:val="000000"/>
                <w:kern w:val="0"/>
                <w:sz w:val="24"/>
              </w:rPr>
            </w:pPr>
            <w:r>
              <w:rPr>
                <w:rFonts w:hint="eastAsia" w:ascii="Times New Roman" w:hAnsi="Times New Roman"/>
                <w:color w:val="000000"/>
                <w:kern w:val="0"/>
                <w:sz w:val="24"/>
              </w:rPr>
              <w:t>法定披露日期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创金合信基金管理有限公司旗下公募基金受指数熔断影响开放时间调整的公告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创金合信基金管理有限公司关于在指数熔断实施期间调整旗下部分基金开放时间的公告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年第</w:t>
            </w:r>
            <w:r>
              <w:rPr>
                <w:rFonts w:hint="default" w:ascii="Times New Roman" w:hAnsi="Times New Roman"/>
                <w:color w:val="000000"/>
                <w:kern w:val="0"/>
                <w:sz w:val="24"/>
              </w:rPr>
              <w:t>4</w:t>
            </w:r>
            <w:r>
              <w:rPr>
                <w:rFonts w:hint="eastAsia" w:ascii="Times New Roman" w:hAnsi="Times New Roman"/>
                <w:color w:val="000000"/>
                <w:kern w:val="0"/>
                <w:sz w:val="24"/>
              </w:rPr>
              <w:t>季度报告</w:t>
            </w:r>
            <w:r>
              <w:rPr>
                <w:rFonts w:hint="default" w:ascii="Times New Roman" w:hAnsi="Times New Roman"/>
                <w:color w:val="000000"/>
                <w:kern w:val="0"/>
                <w:sz w:val="24"/>
              </w:rPr>
              <w:t>1.15</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创金合信基金管理有限公司旗下基金增加华夏银行为代销机构并参与其费率优惠的公告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创金合信基金管理有限公司关于旗下基金增加定期定额投资业务代销机构的公告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2015</w:t>
            </w:r>
            <w:r>
              <w:rPr>
                <w:rFonts w:hint="eastAsia" w:ascii="Times New Roman" w:hAnsi="Times New Roman"/>
                <w:color w:val="000000"/>
                <w:kern w:val="0"/>
                <w:sz w:val="24"/>
              </w:rPr>
              <w:t>年年度报告摘要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创金合信基金管理有限公司旗下基金参与工商银行费率优惠的公告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2016-03-30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1</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2016-04-22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创金合信基金管理有限公司关于旗下基金开展微信直销平台认购费率优惠活动的公告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2016-06-24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创金合信基金管理有限公司关于旗下部分基金估值方法变更的提示性公告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19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创金合信基金管理有限公司关于旗下部分基金增加代销机构的公告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2016-07-28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w:t>
            </w:r>
            <w:r>
              <w:rPr>
                <w:rFonts w:hint="default" w:ascii="Times New Roman" w:hAnsi="Times New Roman"/>
                <w:color w:val="000000"/>
                <w:kern w:val="0"/>
                <w:sz w:val="24"/>
              </w:rPr>
              <w:t xml:space="preserve"> </w:t>
            </w:r>
            <w:r>
              <w:rPr>
                <w:rFonts w:hint="eastAsia" w:ascii="Times New Roman" w:hAnsi="Times New Roman"/>
                <w:color w:val="000000"/>
                <w:kern w:val="0"/>
                <w:sz w:val="24"/>
              </w:rPr>
              <w:t>关于调整旗下部分开放式基金申购金额下限及最低持有金额下限的公告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创金合信基金关于调整官方微信平台认购及申购费率的公告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创金合信基金管理有限公司旗下部分开放式证券投资基金增加诺亚财富为代销机构的公告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创金合信基金管理有限公司旗下部分开放式证券投资基金增加京东金融为代销机构的公告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年半年度报告摘要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2016-08-27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创金合信基金管理有限公司旗下部分开放式证券投资基金增加大泰金石为代销机构的公告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2016-09-06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号）招募说明书（更新）</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29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2</w:t>
            </w:r>
            <w:r>
              <w:rPr>
                <w:rFonts w:hint="eastAsia" w:ascii="Times New Roman" w:hAnsi="Times New Roman"/>
                <w:color w:val="000000"/>
                <w:kern w:val="0"/>
                <w:sz w:val="24"/>
              </w:rPr>
              <w:t>号）招募说明书（摘要）</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创金合信基金管理有限公司旗下部分开放式证券投资基金增加大智慧财富为代销机构的公告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创金合信基金管理有限公司旗下部分开放式证券投资基金增加上海基煜基金销售有限公司为代销机构的公告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年第</w:t>
            </w:r>
            <w:r>
              <w:rPr>
                <w:rFonts w:hint="default" w:ascii="Times New Roman" w:hAnsi="Times New Roman"/>
                <w:color w:val="000000"/>
                <w:kern w:val="0"/>
                <w:sz w:val="24"/>
              </w:rPr>
              <w:t>3</w:t>
            </w:r>
            <w:r>
              <w:rPr>
                <w:rFonts w:hint="eastAsia" w:ascii="Times New Roman" w:hAnsi="Times New Roman"/>
                <w:color w:val="000000"/>
                <w:kern w:val="0"/>
                <w:sz w:val="24"/>
              </w:rPr>
              <w:t>季度报告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2016-10-24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33</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创金合信基金管理有限公司旗下部分开放式证券投资基金增加金融界为代销机构的公告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34</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创金合信基金管理有限公司关于旗下部分产品增加代销机构的公告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35</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创金合信基金管理有限公司关于旗下基金增加华润银行为代销及定期定额投资业务机构的公告资业务机构的公告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36</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创金合信基金关于针对旗下部分开放式证券投资基金调整直销柜台申购金额的公告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37</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创金合信基金管理有限公司关于养老金账户通过直销柜台申购、转换转入旗下部分基金产品费率优惠的公告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38</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创金合信基金管理有限公司关于旗下基金增加招商银行为代销及定期定额投资业务机构的公告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39</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创金合信基金关于针对旗下部分开放式证券投资基金调整直销柜台申购费率的公告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40</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创金合信基金管理有限公司旗下部分开放式证券投资基金增加华信证券为代销机构的公告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41</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创金合信基金管理有限公司旗下部分开放式证券投资基金增加和讯为代销机构的公告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72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center"/>
              <w:rPr>
                <w:rFonts w:hint="default" w:ascii="Times New Roman" w:hAnsi="Times New Roman"/>
                <w:color w:val="000000"/>
                <w:kern w:val="0"/>
                <w:sz w:val="24"/>
              </w:rPr>
            </w:pPr>
            <w:r>
              <w:rPr>
                <w:rFonts w:hint="default" w:ascii="Times New Roman" w:hAnsi="Times New Roman"/>
                <w:color w:val="000000"/>
                <w:kern w:val="0"/>
                <w:sz w:val="24"/>
              </w:rPr>
              <w:t>42</w:t>
            </w:r>
          </w:p>
        </w:tc>
        <w:tc>
          <w:tcPr>
            <w:tcW w:w="3612"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创金合信基金管理有限公司关于旗下部分开放式证券投资基金增加永鑫保险为代销机构的公告</w:t>
            </w:r>
          </w:p>
        </w:tc>
        <w:tc>
          <w:tcPr>
            <w:tcW w:w="2890"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公司官网、中国证券报</w:t>
            </w:r>
          </w:p>
        </w:tc>
        <w:tc>
          <w:tcPr>
            <w:tcW w:w="1806" w:type="dxa"/>
            <w:tcBorders>
              <w:top w:val="single" w:color="000000" w:sz="8" w:space="0"/>
              <w:left w:val="single" w:color="000000" w:sz="8" w:space="0"/>
              <w:bottom w:val="single" w:color="000000" w:sz="8" w:space="0"/>
              <w:right w:val="single" w:color="000000" w:sz="8" w:space="0"/>
              <w:tl2br w:val="nil"/>
              <w:tr2bl w:val="nil"/>
            </w:tcBorders>
            <w:noWrap w:val="0"/>
            <w:vAlign w:val="center"/>
          </w:tcPr>
          <w:p>
            <w:pPr>
              <w:autoSpaceDE w:val="0"/>
              <w:autoSpaceDN w:val="0"/>
              <w:adjustRightInd w:val="0"/>
              <w:spacing w:before="29" w:beforeLines="0" w:afterLines="0" w:line="288" w:lineRule="auto"/>
              <w:ind w:left="15"/>
              <w:jc w:val="left"/>
              <w:rPr>
                <w:rFonts w:hint="default" w:ascii="Times New Roman" w:hAnsi="Times New Roman"/>
                <w:color w:val="000000"/>
                <w:kern w:val="0"/>
                <w:sz w:val="24"/>
              </w:rPr>
            </w:pPr>
            <w:r>
              <w:rPr>
                <w:rFonts w:hint="default" w:ascii="Times New Roman" w:hAnsi="Times New Roman"/>
                <w:color w:val="000000"/>
                <w:kern w:val="0"/>
                <w:sz w:val="24"/>
              </w:rPr>
              <w:t>2016-12-28</w:t>
            </w:r>
          </w:p>
        </w:tc>
      </w:tr>
    </w:tbl>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1" w:name="_Toc477899907"/>
      <w:r>
        <w:rPr>
          <w:rFonts w:hint="eastAsia" w:ascii="Times New Roman" w:hAnsi="Times New Roman"/>
          <w:b/>
          <w:color w:val="000000"/>
          <w:kern w:val="0"/>
          <w:sz w:val="24"/>
        </w:rPr>
        <w:t>§</w:t>
      </w:r>
      <w:r>
        <w:rPr>
          <w:rFonts w:hint="default" w:ascii="Times New Roman" w:hAnsi="Times New Roman"/>
          <w:b/>
          <w:color w:val="000000"/>
          <w:kern w:val="0"/>
          <w:sz w:val="24"/>
        </w:rPr>
        <w:t xml:space="preserve">12  </w:t>
      </w:r>
      <w:r>
        <w:rPr>
          <w:rFonts w:hint="eastAsia" w:ascii="Times New Roman" w:hAnsi="Times New Roman"/>
          <w:b/>
          <w:color w:val="000000"/>
          <w:kern w:val="0"/>
          <w:sz w:val="24"/>
        </w:rPr>
        <w:t>影响投资者决策的其他重要信息</w:t>
      </w:r>
      <w:bookmarkEnd w:id="61"/>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145" w:beforeLines="0" w:afterLines="0" w:line="288" w:lineRule="auto"/>
        <w:ind w:left="15"/>
        <w:jc w:val="left"/>
        <w:rPr>
          <w:rFonts w:hint="default" w:ascii="Times New Roman" w:eastAsia="Times New Roman"/>
          <w:color w:val="000000"/>
          <w:kern w:val="0"/>
          <w:sz w:val="24"/>
        </w:rPr>
      </w:pPr>
      <w:r>
        <w:rPr>
          <w:rFonts w:hint="eastAsia" w:ascii="Times New Roman" w:hAnsi="Times New Roman"/>
          <w:color w:val="000000"/>
          <w:kern w:val="0"/>
          <w:sz w:val="24"/>
        </w:rPr>
        <w:t>本报告期内，未出现影响投资者决策的其他重要信息。</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center"/>
        <w:outlineLvl w:val="0"/>
        <w:rPr>
          <w:rFonts w:hint="default" w:ascii="Times New Roman" w:eastAsia="Times New Roman"/>
          <w:b/>
          <w:color w:val="000000"/>
          <w:kern w:val="0"/>
          <w:sz w:val="24"/>
        </w:rPr>
      </w:pPr>
      <w:bookmarkStart w:id="62" w:name="_Toc477899908"/>
      <w:r>
        <w:rPr>
          <w:rFonts w:hint="eastAsia" w:ascii="Times New Roman" w:hAnsi="Times New Roman"/>
          <w:b/>
          <w:color w:val="000000"/>
          <w:kern w:val="0"/>
          <w:sz w:val="24"/>
        </w:rPr>
        <w:t>§</w:t>
      </w:r>
      <w:r>
        <w:rPr>
          <w:rFonts w:hint="default" w:ascii="Times New Roman" w:hAnsi="Times New Roman"/>
          <w:b/>
          <w:color w:val="000000"/>
          <w:kern w:val="0"/>
          <w:sz w:val="24"/>
        </w:rPr>
        <w:t xml:space="preserve">13 </w:t>
      </w:r>
      <w:r>
        <w:rPr>
          <w:rFonts w:hint="eastAsia" w:ascii="Times New Roman" w:hAnsi="Times New Roman"/>
          <w:b/>
          <w:color w:val="000000"/>
          <w:kern w:val="0"/>
          <w:sz w:val="24"/>
        </w:rPr>
        <w:t>备查文件目录</w:t>
      </w:r>
      <w:bookmarkEnd w:id="62"/>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3" w:name="_Toc477899909"/>
      <w:r>
        <w:rPr>
          <w:rFonts w:hint="default" w:ascii="Times New Roman" w:hAnsi="Times New Roman"/>
          <w:b/>
          <w:color w:val="000000"/>
          <w:kern w:val="0"/>
          <w:sz w:val="24"/>
        </w:rPr>
        <w:t xml:space="preserve">13.1 </w:t>
      </w:r>
      <w:r>
        <w:rPr>
          <w:rFonts w:hint="eastAsia" w:ascii="Times New Roman" w:hAnsi="Times New Roman"/>
          <w:b/>
          <w:color w:val="000000"/>
          <w:kern w:val="0"/>
          <w:sz w:val="24"/>
        </w:rPr>
        <w:t>备查文件目录</w:t>
      </w:r>
      <w:bookmarkEnd w:id="63"/>
    </w:p>
    <w:p>
      <w:pPr>
        <w:autoSpaceDE w:val="0"/>
        <w:autoSpaceDN w:val="0"/>
        <w:adjustRightInd w:val="0"/>
        <w:spacing w:before="29" w:beforeLines="0" w:afterLines="0" w:line="288" w:lineRule="auto"/>
        <w:ind w:left="15"/>
        <w:jc w:val="left"/>
        <w:rPr>
          <w:rFonts w:hint="default" w:ascii="Times New Roman" w:eastAsia="Times New Roman"/>
          <w:color w:val="000000"/>
          <w:kern w:val="0"/>
          <w:sz w:val="24"/>
        </w:rPr>
      </w:pPr>
      <w:r>
        <w:rPr>
          <w:rFonts w:hint="default" w:ascii="Times New Roman" w:hAnsi="Times New Roman"/>
          <w:color w:val="000000"/>
          <w:kern w:val="0"/>
          <w:sz w:val="24"/>
        </w:rPr>
        <w:t>1</w:t>
      </w:r>
      <w:r>
        <w:rPr>
          <w:rFonts w:hint="eastAsia" w:ascii="Times New Roman" w:hAnsi="Times New Roman"/>
          <w:color w:val="000000"/>
          <w:kern w:val="0"/>
          <w:sz w:val="24"/>
        </w:rPr>
        <w:t>、《创金合信沪港深研究精选灵活配置混合型证券投资基金基金合同》；</w:t>
      </w:r>
      <w:r>
        <w:rPr>
          <w:rFonts w:hint="default" w:ascii="Times New Roman" w:hAnsi="Times New Roman"/>
          <w:color w:val="000000"/>
          <w:kern w:val="0"/>
          <w:sz w:val="24"/>
        </w:rPr>
        <w:t>2</w:t>
      </w:r>
      <w:r>
        <w:rPr>
          <w:rFonts w:hint="eastAsia" w:ascii="Times New Roman" w:hAnsi="Times New Roman"/>
          <w:color w:val="000000"/>
          <w:kern w:val="0"/>
          <w:sz w:val="24"/>
        </w:rPr>
        <w:t>、《创金合信沪港深研究精选灵活配置混合型证券投资基金托管协议》；</w:t>
      </w:r>
      <w:r>
        <w:rPr>
          <w:rFonts w:hint="default" w:ascii="Times New Roman" w:hAnsi="Times New Roman"/>
          <w:color w:val="000000"/>
          <w:kern w:val="0"/>
          <w:sz w:val="24"/>
        </w:rPr>
        <w:t>3</w:t>
      </w:r>
      <w:r>
        <w:rPr>
          <w:rFonts w:hint="eastAsia" w:ascii="Times New Roman" w:hAnsi="Times New Roman"/>
          <w:color w:val="000000"/>
          <w:kern w:val="0"/>
          <w:sz w:val="24"/>
        </w:rPr>
        <w:t>、创金合信沪港深研究精选灵活配置混合型证券投资基金</w:t>
      </w:r>
      <w:r>
        <w:rPr>
          <w:rFonts w:hint="default" w:ascii="Times New Roman" w:hAnsi="Times New Roman"/>
          <w:color w:val="000000"/>
          <w:kern w:val="0"/>
          <w:sz w:val="24"/>
        </w:rPr>
        <w:t>2016</w:t>
      </w:r>
      <w:r>
        <w:rPr>
          <w:rFonts w:hint="eastAsia" w:ascii="Times New Roman" w:hAnsi="Times New Roman"/>
          <w:color w:val="000000"/>
          <w:kern w:val="0"/>
          <w:sz w:val="24"/>
        </w:rPr>
        <w:t>年年度报告</w:t>
      </w:r>
    </w:p>
    <w:p>
      <w:pPr>
        <w:autoSpaceDE w:val="0"/>
        <w:autoSpaceDN w:val="0"/>
        <w:adjustRightInd w:val="0"/>
        <w:spacing w:beforeLines="0" w:afterLines="0" w:line="288" w:lineRule="auto"/>
        <w:jc w:val="left"/>
        <w:rPr>
          <w:rFonts w:hint="default" w:ascii="Times New Roman" w:eastAsia="Times New Roman"/>
          <w:color w:val="000000"/>
          <w:kern w:val="0"/>
          <w:sz w:val="23"/>
        </w:rPr>
      </w:pP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4" w:name="_Toc477899910"/>
      <w:r>
        <w:rPr>
          <w:rFonts w:hint="default" w:ascii="Times New Roman" w:hAnsi="Times New Roman"/>
          <w:b/>
          <w:color w:val="000000"/>
          <w:kern w:val="0"/>
          <w:sz w:val="24"/>
        </w:rPr>
        <w:t xml:space="preserve">13.2 </w:t>
      </w:r>
      <w:r>
        <w:rPr>
          <w:rFonts w:hint="eastAsia" w:ascii="Times New Roman" w:hAnsi="Times New Roman"/>
          <w:b/>
          <w:color w:val="000000"/>
          <w:kern w:val="0"/>
          <w:sz w:val="24"/>
        </w:rPr>
        <w:t>存放地点</w:t>
      </w:r>
      <w:bookmarkEnd w:id="64"/>
    </w:p>
    <w:p>
      <w:pPr>
        <w:autoSpaceDE w:val="0"/>
        <w:autoSpaceDN w:val="0"/>
        <w:adjustRightInd w:val="0"/>
        <w:spacing w:before="29" w:beforeLines="0" w:afterLines="0" w:line="288" w:lineRule="auto"/>
        <w:ind w:left="15" w:firstLine="482"/>
        <w:jc w:val="left"/>
        <w:rPr>
          <w:rFonts w:hint="default" w:ascii="Times New Roman" w:eastAsia="Times New Roman"/>
          <w:color w:val="000000"/>
          <w:kern w:val="0"/>
          <w:sz w:val="23"/>
        </w:rPr>
      </w:pPr>
      <w:r>
        <w:rPr>
          <w:rFonts w:hint="eastAsia" w:ascii="Times New Roman" w:hAnsi="Times New Roman"/>
          <w:color w:val="000000"/>
          <w:kern w:val="0"/>
          <w:sz w:val="24"/>
        </w:rPr>
        <w:t>深圳市福田中心区福华一路</w:t>
      </w:r>
      <w:r>
        <w:rPr>
          <w:rFonts w:hint="default" w:ascii="Times New Roman" w:hAnsi="Times New Roman"/>
          <w:color w:val="000000"/>
          <w:kern w:val="0"/>
          <w:sz w:val="24"/>
        </w:rPr>
        <w:t>115</w:t>
      </w:r>
      <w:r>
        <w:rPr>
          <w:rFonts w:hint="eastAsia" w:ascii="Times New Roman" w:hAnsi="Times New Roman"/>
          <w:color w:val="000000"/>
          <w:kern w:val="0"/>
          <w:sz w:val="24"/>
        </w:rPr>
        <w:t>号投行大厦</w:t>
      </w:r>
      <w:r>
        <w:rPr>
          <w:rFonts w:hint="default" w:ascii="Times New Roman" w:hAnsi="Times New Roman"/>
          <w:color w:val="000000"/>
          <w:kern w:val="0"/>
          <w:sz w:val="24"/>
        </w:rPr>
        <w:t>15</w:t>
      </w:r>
      <w:r>
        <w:rPr>
          <w:rFonts w:hint="eastAsia" w:ascii="Times New Roman" w:hAnsi="Times New Roman"/>
          <w:color w:val="000000"/>
          <w:kern w:val="0"/>
          <w:sz w:val="24"/>
        </w:rPr>
        <w:t>楼</w:t>
      </w:r>
    </w:p>
    <w:p>
      <w:pPr>
        <w:autoSpaceDE w:val="0"/>
        <w:autoSpaceDN w:val="0"/>
        <w:adjustRightInd w:val="0"/>
        <w:spacing w:before="29" w:beforeLines="0" w:afterLines="0" w:line="288" w:lineRule="auto"/>
        <w:ind w:left="15"/>
        <w:jc w:val="left"/>
        <w:outlineLvl w:val="1"/>
        <w:rPr>
          <w:rFonts w:hint="default" w:ascii="Times New Roman" w:eastAsia="Times New Roman"/>
          <w:b/>
          <w:color w:val="000000"/>
          <w:kern w:val="0"/>
          <w:sz w:val="24"/>
        </w:rPr>
      </w:pPr>
      <w:bookmarkStart w:id="65" w:name="_Toc477899911"/>
      <w:r>
        <w:rPr>
          <w:rFonts w:hint="default" w:ascii="Times New Roman" w:hAnsi="Times New Roman"/>
          <w:b/>
          <w:color w:val="000000"/>
          <w:kern w:val="0"/>
          <w:sz w:val="24"/>
        </w:rPr>
        <w:t xml:space="preserve">13.3 </w:t>
      </w:r>
      <w:r>
        <w:rPr>
          <w:rFonts w:hint="eastAsia" w:ascii="Times New Roman" w:hAnsi="Times New Roman"/>
          <w:b/>
          <w:color w:val="000000"/>
          <w:kern w:val="0"/>
          <w:sz w:val="24"/>
        </w:rPr>
        <w:t>查阅方式</w:t>
      </w:r>
      <w:bookmarkEnd w:id="65"/>
    </w:p>
    <w:p>
      <w:pPr>
        <w:autoSpaceDE w:val="0"/>
        <w:autoSpaceDN w:val="0"/>
        <w:adjustRightInd w:val="0"/>
        <w:spacing w:before="29" w:beforeLines="0" w:afterLines="0" w:line="288" w:lineRule="auto"/>
        <w:ind w:left="15" w:firstLine="482"/>
        <w:jc w:val="left"/>
        <w:rPr>
          <w:rFonts w:hint="default" w:ascii="Times New Roman" w:hAnsi="Times New Roman"/>
          <w:color w:val="000000"/>
          <w:kern w:val="0"/>
          <w:sz w:val="24"/>
        </w:rPr>
      </w:pPr>
      <w:r>
        <w:rPr>
          <w:rFonts w:hint="default" w:ascii="Times New Roman" w:hAnsi="Times New Roman"/>
          <w:color w:val="000000"/>
          <w:kern w:val="0"/>
          <w:sz w:val="24"/>
        </w:rPr>
        <w:t>www.cjhxfund.com</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创金合信基金管理有限公司</w:t>
      </w:r>
    </w:p>
    <w:p>
      <w:pPr>
        <w:autoSpaceDE w:val="0"/>
        <w:autoSpaceDN w:val="0"/>
        <w:adjustRightInd w:val="0"/>
        <w:spacing w:before="29" w:beforeLines="0" w:afterLines="0" w:line="288" w:lineRule="auto"/>
        <w:ind w:left="15" w:firstLine="482"/>
        <w:jc w:val="right"/>
        <w:rPr>
          <w:rFonts w:hint="default" w:ascii="Times New Roman" w:eastAsia="Times New Roman"/>
          <w:b/>
          <w:color w:val="000000"/>
          <w:kern w:val="0"/>
          <w:sz w:val="24"/>
        </w:rPr>
      </w:pPr>
      <w:r>
        <w:rPr>
          <w:rFonts w:hint="eastAsia" w:ascii="Times New Roman" w:hAnsi="Times New Roman"/>
          <w:b/>
          <w:color w:val="000000"/>
          <w:kern w:val="0"/>
          <w:sz w:val="24"/>
        </w:rPr>
        <w:t>二〇一七年三月二十七日</w:t>
      </w:r>
    </w:p>
    <w:sectPr>
      <w:pgSz w:w="11926" w:h="15840"/>
      <w:pgMar w:top="1418" w:right="1418" w:bottom="853" w:left="1418"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spacing w:beforeLines="0" w:afterLines="0"/>
      <w:jc w:val="left"/>
      <w:rPr>
        <w:rFonts w:hint="default" w:ascii="宋体"/>
        <w:kern w:val="0"/>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0" w:type="auto"/>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88"/>
      <w:gridCol w:w="6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wBefore w:w="0" w:type="dxa"/>
        <w:wAfter w:w="0" w:type="dxa"/>
      </w:trPr>
      <w:tc>
        <w:tcPr>
          <w:tcW w:w="2888" w:type="dxa"/>
          <w:tcBorders>
            <w:top w:val="nil"/>
            <w:left w:val="nil"/>
            <w:bottom w:val="nil"/>
            <w:right w:val="nil"/>
            <w:tl2br w:val="nil"/>
            <w:tr2bl w:val="nil"/>
          </w:tcBorders>
          <w:noWrap w:val="0"/>
          <w:vAlign w:val="top"/>
        </w:tcPr>
        <w:p>
          <w:pPr>
            <w:autoSpaceDE w:val="0"/>
            <w:autoSpaceDN w:val="0"/>
            <w:adjustRightInd w:val="0"/>
            <w:spacing w:beforeLines="0" w:afterLines="0" w:line="240" w:lineRule="atLeast"/>
            <w:jc w:val="left"/>
            <w:rPr>
              <w:rFonts w:hint="default" w:ascii="宋体"/>
              <w:kern w:val="0"/>
              <w:sz w:val="24"/>
            </w:rPr>
          </w:pPr>
          <w:r>
            <w:rPr>
              <w:rFonts w:hint="default" w:ascii="宋体" w:eastAsia="Times New Roman"/>
              <w:kern w:val="0"/>
              <w:sz w:val="24"/>
            </w:rPr>
            <w:pict>
              <v:shape id="_x0000_i1025" o:spt="75" type="#_x0000_t75" style="height:16.95pt;width:141pt;" filled="f" stroked="f" coordsize="21600,21600">
                <v:path/>
                <v:fill on="f" focussize="0,0"/>
                <v:stroke on="f"/>
                <v:imagedata r:id="rId1" o:title=""/>
                <o:lock v:ext="edit" aspectratio="t"/>
                <w10:wrap type="none"/>
                <w10:anchorlock/>
              </v:shape>
            </w:pict>
          </w:r>
        </w:p>
      </w:tc>
      <w:tc>
        <w:tcPr>
          <w:tcW w:w="6140" w:type="dxa"/>
          <w:tcBorders>
            <w:top w:val="nil"/>
            <w:left w:val="nil"/>
            <w:bottom w:val="nil"/>
            <w:right w:val="nil"/>
            <w:tl2br w:val="nil"/>
            <w:tr2bl w:val="nil"/>
          </w:tcBorders>
          <w:noWrap w:val="0"/>
          <w:vAlign w:val="center"/>
        </w:tcPr>
        <w:p>
          <w:pPr>
            <w:autoSpaceDE w:val="0"/>
            <w:autoSpaceDN w:val="0"/>
            <w:adjustRightInd w:val="0"/>
            <w:spacing w:before="30" w:beforeLines="0" w:afterLines="0" w:line="211" w:lineRule="exact"/>
            <w:ind w:left="15"/>
            <w:jc w:val="right"/>
            <w:rPr>
              <w:rFonts w:hint="default" w:ascii="宋体"/>
              <w:color w:val="000000"/>
              <w:kern w:val="0"/>
              <w:sz w:val="21"/>
            </w:rPr>
          </w:pPr>
          <w:r>
            <w:rPr>
              <w:rFonts w:hint="eastAsia" w:ascii="宋体"/>
              <w:color w:val="000000"/>
              <w:kern w:val="0"/>
              <w:sz w:val="21"/>
            </w:rPr>
            <w:t>创金合信沪港深研究精选灵活配置混合型证券投资基金2016年年度报告</w:t>
          </w:r>
        </w:p>
      </w:tc>
    </w:tr>
  </w:tbl>
  <w:p>
    <w:pPr>
      <w:spacing w:beforeLines="0" w:afterLines="0"/>
      <w:rPr>
        <w:rFonts w:hint="default"/>
        <w:sz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720"/>
  <w:hyphenationZone w:val="360"/>
  <w:drawingGridHorizontalSpacing w:val="120"/>
  <w:drawingGridVerticalSpacing w:val="120"/>
  <w:displayHorizontalDrawingGridEvery w:val="0"/>
  <w:displayVerticalDrawingGridEvery w:val="3"/>
  <w:doNotUseMarginsForDrawingGridOrigin w:val="1"/>
  <w:drawingGridHorizontalOrigin w:val="1701"/>
  <w:drawingGridVerticalOrigin w:val="1984"/>
  <w:doNotShadeFormData w:val="1"/>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7B8730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iPriority="39" w:semiHidden="0" w:name="toc 1"/>
    <w:lsdException w:uiPriority="39" w:semiHidden="0"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nhideWhenUsed="0" w:uiPriority="99" w:semiHidden="0" w:name="Normal Indent"/>
    <w:lsdException w:unhideWhenUsed="0" w:uiPriority="99" w:semiHidden="0" w:name="footnote text"/>
    <w:lsdException w:unhideWhenUsed="0" w:uiPriority="99" w:semiHidden="0" w:name="annotation text"/>
    <w:lsdException w:uiPriority="99" w:semiHidden="0" w:name="header"/>
    <w:lsdException w:uiPriority="99" w:semiHidden="0" w:name="footer"/>
    <w:lsdException w:unhideWhenUsed="0" w:uiPriority="99" w:semiHidden="0" w:name="index heading"/>
    <w:lsdException w:qFormat="1" w:uiPriority="35"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qFormat="1" w:uiPriority="99" w:name="toa heading"/>
    <w:lsdException w:unhideWhenUsed="0" w:uiPriority="99" w:semiHidden="0" w:name="List"/>
    <w:lsdException w:unhideWhenUsed="0" w:uiPriority="99" w:semiHidden="0" w:name="List Bullet"/>
    <w:lsdException w:qFormat="1" w:uiPriority="99" w:name="List Number"/>
    <w:lsdException w:qFormat="1" w:uiPriority="99"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iPriority="10" w:name="Title"/>
    <w:lsdException w:unhideWhenUsed="0" w:uiPriority="99" w:semiHidden="0" w:name="Closing"/>
    <w:lsdException w:unhideWhenUsed="0" w:uiPriority="99" w:semiHidden="0" w:name="Signature"/>
    <w:lsdException w:uiPriority="1"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qFormat="1" w:uiPriority="99" w:name="List Continue 4"/>
    <w:lsdException w:qFormat="1" w:uiPriority="99" w:name="List Continue 5"/>
    <w:lsdException w:qFormat="1" w:uiPriority="99" w:name="Message Header"/>
    <w:lsdException w:qFormat="1" w:uiPriority="11"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iPriority="99" w:semiHidden="0" w:name="Hyperlink"/>
    <w:lsdException w:unhideWhenUsed="0" w:uiPriority="99" w:semiHidden="0" w:name="FollowedHyperlink"/>
    <w:lsdException w:qFormat="1" w:uiPriority="22" w:name="Strong"/>
    <w:lsdException w:qFormat="1" w:uiPriority="20" w:name="Emphasis"/>
    <w:lsdException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unhideWhenUsed="0" w:uiPriority="99" w:semiHidden="0"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iPriority="99" w:semiHidden="0" w:name="Balloon Text"/>
    <w:lsdException w:qFormat="1" w:uiPriority="59" w:name="Table Grid"/>
    <w:lsdException w:qFormat="1" w:uiPriority="99" w:name="Table Theme"/>
    <w:lsdException w:qFormat="1" w:uiPriority="60" w:name="Light Shading"/>
    <w:lsdException w:qFormat="1" w:uiPriority="61" w:name="Light List"/>
    <w:lsdException w:qFormat="1" w:uiPriority="62" w:name="Light Grid"/>
    <w:lsdException w:qFormat="1" w:uiPriority="63" w:name="Medium Shading 1"/>
    <w:lsdException w:qFormat="1" w:uiPriority="64" w:name="Medium Shading 2"/>
    <w:lsdException w:qFormat="1" w:uiPriority="65" w:name="Medium List 1"/>
    <w:lsdException w:qFormat="1" w:uiPriority="66" w:name="Medium List 2"/>
    <w:lsdException w:qFormat="1" w:uiPriority="67" w:name="Medium Grid 1"/>
    <w:lsdException w:qFormat="1" w:uiPriority="68" w:name="Medium Grid 2"/>
    <w:lsdException w:qFormat="1" w:uiPriority="69" w:name="Medium Grid 3"/>
    <w:lsdException w:qFormat="1" w:uiPriority="70" w:name="Dark List"/>
    <w:lsdException w:qFormat="1" w:uiPriority="71" w:name="Colorful Shading"/>
    <w:lsdException w:qFormat="1" w:uiPriority="72" w:name="Colorful List"/>
    <w:lsdException w:qFormat="1" w:uiPriority="73" w:name="Colorful Grid"/>
    <w:lsdException w:qFormat="1" w:uiPriority="60" w:name="Light Shading Accent 1"/>
    <w:lsdException w:qFormat="1" w:uiPriority="61" w:name="Light List Accent 1"/>
    <w:lsdException w:qFormat="1" w:uiPriority="62" w:name="Light Grid Accent 1"/>
    <w:lsdException w:qFormat="1" w:uiPriority="63" w:name="Medium Shading 1 Accent 1"/>
    <w:lsdException w:qFormat="1" w:uiPriority="64" w:name="Medium Shading 2 Accent 1"/>
    <w:lsdException w:qFormat="1" w:uiPriority="65" w:name="Medium List 1 Accent 1"/>
    <w:lsdException w:qFormat="1" w:uiPriority="66" w:name="Medium List 2 Accent 1"/>
    <w:lsdException w:qFormat="1" w:uiPriority="67" w:name="Medium Grid 1 Accent 1"/>
    <w:lsdException w:qFormat="1" w:uiPriority="68" w:name="Medium Grid 2 Accent 1"/>
    <w:lsdException w:qFormat="1" w:uiPriority="69" w:name="Medium Grid 3 Accent 1"/>
    <w:lsdException w:qFormat="1" w:uiPriority="70" w:name="Dark List Accent 1"/>
    <w:lsdException w:qFormat="1" w:uiPriority="71" w:name="Colorful Shading Accent 1"/>
    <w:lsdException w:qFormat="1" w:uiPriority="72" w:name="Colorful List Accent 1"/>
    <w:lsdException w:qFormat="1" w:uiPriority="73" w:name="Colorful Grid Accent 1"/>
    <w:lsdException w:qFormat="1" w:uiPriority="60" w:name="Light Shading Accent 2"/>
    <w:lsdException w:qFormat="1" w:uiPriority="61" w:name="Light List Accent 2"/>
    <w:lsdException w:qFormat="1" w:uiPriority="62" w:name="Light Grid Accent 2"/>
    <w:lsdException w:qFormat="1" w:uiPriority="63" w:name="Medium Shading 1 Accent 2"/>
    <w:lsdException w:qFormat="1" w:uiPriority="64" w:name="Medium Shading 2 Accent 2"/>
    <w:lsdException w:qFormat="1" w:uiPriority="65" w:name="Medium List 1 Accent 2"/>
    <w:lsdException w:qFormat="1" w:uiPriority="66" w:name="Medium List 2 Accent 2"/>
    <w:lsdException w:qFormat="1" w:uiPriority="67" w:name="Medium Grid 1 Accent 2"/>
    <w:lsdException w:qFormat="1" w:uiPriority="68" w:name="Medium Grid 2 Accent 2"/>
    <w:lsdException w:qFormat="1" w:uiPriority="69" w:name="Medium Grid 3 Accent 2"/>
    <w:lsdException w:qFormat="1" w:uiPriority="70" w:name="Dark List Accent 2"/>
    <w:lsdException w:qFormat="1" w:uiPriority="71" w:name="Colorful Shading Accent 2"/>
    <w:lsdException w:qFormat="1" w:uiPriority="72" w:name="Colorful List Accent 2"/>
    <w:lsdException w:qFormat="1" w:uiPriority="73" w:name="Colorful Grid Accent 2"/>
    <w:lsdException w:qFormat="1" w:uiPriority="60" w:name="Light Shading Accent 3"/>
    <w:lsdException w:qFormat="1" w:uiPriority="61" w:name="Light List Accent 3"/>
    <w:lsdException w:qFormat="1" w:uiPriority="62" w:name="Light Grid Accent 3"/>
    <w:lsdException w:qFormat="1" w:uiPriority="63" w:name="Medium Shading 1 Accent 3"/>
    <w:lsdException w:qFormat="1" w:uiPriority="64" w:name="Medium Shading 2 Accent 3"/>
    <w:lsdException w:qFormat="1" w:uiPriority="65" w:name="Medium List 1 Accent 3"/>
    <w:lsdException w:qFormat="1" w:uiPriority="66" w:name="Medium List 2 Accent 3"/>
    <w:lsdException w:qFormat="1" w:uiPriority="67" w:name="Medium Grid 1 Accent 3"/>
    <w:lsdException w:qFormat="1" w:uiPriority="68" w:name="Medium Grid 2 Accent 3"/>
    <w:lsdException w:qFormat="1" w:uiPriority="69" w:name="Medium Grid 3 Accent 3"/>
    <w:lsdException w:qFormat="1" w:uiPriority="70" w:name="Dark List Accent 3"/>
    <w:lsdException w:qFormat="1" w:uiPriority="71" w:name="Colorful Shading Accent 3"/>
    <w:lsdException w:qFormat="1" w:uiPriority="72" w:name="Colorful List Accent 3"/>
    <w:lsdException w:qFormat="1" w:uiPriority="73" w:name="Colorful Grid Accent 3"/>
    <w:lsdException w:qFormat="1" w:uiPriority="60" w:name="Light Shading Accent 4"/>
    <w:lsdException w:qFormat="1" w:uiPriority="61" w:name="Light List Accent 4"/>
    <w:lsdException w:qFormat="1" w:uiPriority="62" w:name="Light Grid Accent 4"/>
    <w:lsdException w:qFormat="1" w:uiPriority="63" w:name="Medium Shading 1 Accent 4"/>
    <w:lsdException w:qFormat="1" w:uiPriority="64" w:name="Medium Shading 2 Accent 4"/>
    <w:lsdException w:qFormat="1" w:uiPriority="65" w:name="Medium List 1 Accent 4"/>
    <w:lsdException w:qFormat="1" w:uiPriority="66" w:name="Medium List 2 Accent 4"/>
    <w:lsdException w:qFormat="1" w:uiPriority="67" w:name="Medium Grid 1 Accent 4"/>
    <w:lsdException w:qFormat="1" w:uiPriority="68" w:name="Medium Grid 2 Accent 4"/>
    <w:lsdException w:qFormat="1" w:uiPriority="69" w:name="Medium Grid 3 Accent 4"/>
    <w:lsdException w:qFormat="1" w:uiPriority="70" w:name="Dark List Accent 4"/>
    <w:lsdException w:qFormat="1" w:uiPriority="71" w:name="Colorful Shading Accent 4"/>
    <w:lsdException w:qFormat="1" w:uiPriority="72" w:name="Colorful List Accent 4"/>
    <w:lsdException w:qFormat="1" w:uiPriority="73" w:name="Colorful Grid Accent 4"/>
    <w:lsdException w:qFormat="1" w:uiPriority="60" w:name="Light Shading Accent 5"/>
    <w:lsdException w:qFormat="1" w:uiPriority="61" w:name="Light List Accent 5"/>
    <w:lsdException w:qFormat="1" w:uiPriority="62" w:name="Light Grid Accent 5"/>
    <w:lsdException w:qFormat="1" w:uiPriority="63" w:name="Medium Shading 1 Accent 5"/>
    <w:lsdException w:qFormat="1" w:uiPriority="64" w:name="Medium Shading 2 Accent 5"/>
    <w:lsdException w:qFormat="1" w:uiPriority="65" w:name="Medium List 1 Accent 5"/>
    <w:lsdException w:qFormat="1" w:uiPriority="66" w:name="Medium List 2 Accent 5"/>
    <w:lsdException w:qFormat="1" w:uiPriority="67" w:name="Medium Grid 1 Accent 5"/>
    <w:lsdException w:qFormat="1" w:uiPriority="68" w:name="Medium Grid 2 Accent 5"/>
    <w:lsdException w:qFormat="1" w:uiPriority="69" w:name="Medium Grid 3 Accent 5"/>
    <w:lsdException w:qFormat="1" w:uiPriority="70" w:name="Dark List Accent 5"/>
    <w:lsdException w:qFormat="1" w:uiPriority="71" w:name="Colorful Shading Accent 5"/>
    <w:lsdException w:qFormat="1" w:uiPriority="72" w:name="Colorful List Accent 5"/>
    <w:lsdException w:qFormat="1" w:uiPriority="73" w:name="Colorful Grid Accent 5"/>
    <w:lsdException w:qFormat="1" w:uiPriority="60" w:name="Light Shading Accent 6"/>
    <w:lsdException w:qFormat="1" w:uiPriority="61" w:name="Light List Accent 6"/>
    <w:lsdException w:qFormat="1" w:uiPriority="62" w:name="Light Grid Accent 6"/>
    <w:lsdException w:qFormat="1" w:uiPriority="63" w:name="Medium Shading 1 Accent 6"/>
    <w:lsdException w:qFormat="1" w:uiPriority="64" w:name="Medium Shading 2 Accent 6"/>
    <w:lsdException w:qFormat="1" w:uiPriority="65" w:name="Medium List 1 Accent 6"/>
    <w:lsdException w:qFormat="1" w:uiPriority="66" w:name="Medium List 2 Accent 6"/>
    <w:lsdException w:qFormat="1" w:uiPriority="67" w:name="Medium Grid 1 Accent 6"/>
    <w:lsdException w:qFormat="1" w:uiPriority="68" w:name="Medium Grid 2 Accent 6"/>
    <w:lsdException w:qFormat="1" w:uiPriority="69" w:name="Medium Grid 3 Accent 6"/>
    <w:lsdException w:qFormat="1" w:uiPriority="70" w:name="Dark List Accent 6"/>
    <w:lsdException w:qFormat="1" w:uiPriority="71" w:name="Colorful Shading Accent 6"/>
    <w:lsdException w:qFormat="1" w:uiPriority="72" w:name="Colorful List Accent 6"/>
    <w:lsdException w:qFormat="1" w:uiPriority="73" w:name="Colorful Grid Accent 6"/>
  </w:latentStyles>
  <w:style w:type="paragraph" w:default="1" w:styleId="1">
    <w:name w:val="Normal"/>
    <w:unhideWhenUsed/>
    <w:qFormat/>
    <w:uiPriority w:val="0"/>
    <w:pPr>
      <w:widowControl w:val="0"/>
      <w:spacing w:beforeLines="0" w:afterLines="0"/>
      <w:jc w:val="both"/>
    </w:pPr>
    <w:rPr>
      <w:rFonts w:hint="eastAsia" w:ascii="Calibri" w:hAnsi="Calibri" w:eastAsia="宋体"/>
      <w:kern w:val="2"/>
      <w:sz w:val="21"/>
      <w:lang w:val="en-US" w:eastAsia="zh-CN"/>
    </w:rPr>
  </w:style>
  <w:style w:type="character" w:default="1" w:styleId="9">
    <w:name w:val="Default Paragraph Font"/>
    <w:unhideWhenUsed/>
    <w:uiPriority w:val="1"/>
    <w:rPr>
      <w:rFonts w:hint="default"/>
      <w:sz w:val="24"/>
    </w:rPr>
  </w:style>
  <w:style w:type="table" w:default="1" w:styleId="8">
    <w:name w:val="Normal Table"/>
    <w:uiPriority w:val="99"/>
    <w:tblPr>
      <w:tblCellMar>
        <w:top w:w="0" w:type="dxa"/>
        <w:left w:w="108" w:type="dxa"/>
        <w:bottom w:w="0" w:type="dxa"/>
        <w:right w:w="108" w:type="dxa"/>
      </w:tblCellMar>
    </w:tblPr>
  </w:style>
  <w:style w:type="paragraph" w:styleId="2">
    <w:name w:val="Document Map"/>
    <w:basedOn w:val="1"/>
    <w:link w:val="13"/>
    <w:unhideWhenUsed/>
    <w:uiPriority w:val="99"/>
    <w:pPr>
      <w:spacing w:beforeLines="0" w:afterLines="0"/>
    </w:pPr>
    <w:rPr>
      <w:rFonts w:hint="eastAsia" w:ascii="宋体"/>
      <w:sz w:val="18"/>
    </w:rPr>
  </w:style>
  <w:style w:type="paragraph" w:styleId="3">
    <w:name w:val="Balloon Text"/>
    <w:basedOn w:val="1"/>
    <w:link w:val="15"/>
    <w:unhideWhenUsed/>
    <w:uiPriority w:val="99"/>
    <w:pPr>
      <w:spacing w:beforeLines="0" w:afterLines="0"/>
    </w:pPr>
    <w:rPr>
      <w:rFonts w:hint="eastAsia"/>
      <w:sz w:val="18"/>
    </w:rPr>
  </w:style>
  <w:style w:type="paragraph" w:styleId="4">
    <w:name w:val="footer"/>
    <w:basedOn w:val="1"/>
    <w:link w:val="17"/>
    <w:unhideWhenUsed/>
    <w:uiPriority w:val="99"/>
    <w:pPr>
      <w:tabs>
        <w:tab w:val="center" w:pos="4153"/>
        <w:tab w:val="right" w:pos="8306"/>
      </w:tabs>
      <w:snapToGrid w:val="0"/>
      <w:spacing w:beforeLines="0" w:afterLines="0"/>
      <w:jc w:val="left"/>
    </w:pPr>
    <w:rPr>
      <w:rFonts w:hint="eastAsia"/>
      <w:sz w:val="18"/>
    </w:rPr>
  </w:style>
  <w:style w:type="paragraph" w:styleId="5">
    <w:name w:val="header"/>
    <w:basedOn w:val="1"/>
    <w:link w:val="14"/>
    <w:unhideWhenUsed/>
    <w:uiPriority w:val="99"/>
    <w:pPr>
      <w:pBdr>
        <w:bottom w:val="single" w:color="auto" w:sz="6" w:space="1"/>
      </w:pBdr>
      <w:tabs>
        <w:tab w:val="center" w:pos="4153"/>
        <w:tab w:val="right" w:pos="8306"/>
      </w:tabs>
      <w:snapToGrid w:val="0"/>
      <w:spacing w:beforeLines="0" w:afterLines="0"/>
      <w:jc w:val="center"/>
    </w:pPr>
    <w:rPr>
      <w:rFonts w:hint="eastAsia"/>
      <w:sz w:val="18"/>
    </w:rPr>
  </w:style>
  <w:style w:type="paragraph" w:styleId="6">
    <w:name w:val="toc 1"/>
    <w:basedOn w:val="1"/>
    <w:next w:val="1"/>
    <w:unhideWhenUsed/>
    <w:uiPriority w:val="39"/>
    <w:pPr>
      <w:spacing w:beforeLines="0" w:afterLines="0"/>
    </w:pPr>
    <w:rPr>
      <w:rFonts w:hint="eastAsia"/>
      <w:sz w:val="21"/>
    </w:rPr>
  </w:style>
  <w:style w:type="paragraph" w:styleId="7">
    <w:name w:val="toc 2"/>
    <w:basedOn w:val="1"/>
    <w:next w:val="1"/>
    <w:unhideWhenUsed/>
    <w:uiPriority w:val="39"/>
    <w:pPr>
      <w:spacing w:beforeLines="0" w:afterLines="0"/>
      <w:ind w:left="420" w:leftChars="200"/>
    </w:pPr>
    <w:rPr>
      <w:rFonts w:hint="eastAsia"/>
      <w:sz w:val="21"/>
    </w:rPr>
  </w:style>
  <w:style w:type="character" w:styleId="10">
    <w:name w:val="Hyperlink"/>
    <w:basedOn w:val="9"/>
    <w:unhideWhenUsed/>
    <w:uiPriority w:val="99"/>
    <w:rPr>
      <w:rFonts w:hint="default" w:ascii="Times New Roman"/>
      <w:color w:val="0000FF"/>
      <w:sz w:val="24"/>
      <w:u w:val="single"/>
    </w:rPr>
  </w:style>
  <w:style w:type="character" w:customStyle="1" w:styleId="11">
    <w:name w:val="页眉 字符"/>
    <w:basedOn w:val="9"/>
    <w:unhideWhenUsed/>
    <w:uiPriority w:val="99"/>
    <w:rPr>
      <w:rFonts w:hint="default" w:ascii="Calibri"/>
      <w:sz w:val="18"/>
    </w:rPr>
  </w:style>
  <w:style w:type="character" w:customStyle="1" w:styleId="12">
    <w:name w:val="文档结构图 字符"/>
    <w:basedOn w:val="9"/>
    <w:unhideWhenUsed/>
    <w:uiPriority w:val="99"/>
    <w:rPr>
      <w:rFonts w:hint="eastAsia" w:ascii="Microsoft YaHei UI" w:hAnsi="Calibri" w:eastAsia="Microsoft YaHei UI"/>
      <w:sz w:val="18"/>
    </w:rPr>
  </w:style>
  <w:style w:type="character" w:customStyle="1" w:styleId="13">
    <w:name w:val="文档结构图 Char"/>
    <w:basedOn w:val="9"/>
    <w:link w:val="2"/>
    <w:unhideWhenUsed/>
    <w:locked/>
    <w:uiPriority w:val="99"/>
    <w:rPr>
      <w:rFonts w:hint="eastAsia" w:ascii="宋体" w:hAnsi="Calibri" w:eastAsia="宋体"/>
      <w:sz w:val="18"/>
    </w:rPr>
  </w:style>
  <w:style w:type="character" w:customStyle="1" w:styleId="14">
    <w:name w:val="页眉 Char"/>
    <w:basedOn w:val="9"/>
    <w:link w:val="5"/>
    <w:unhideWhenUsed/>
    <w:locked/>
    <w:uiPriority w:val="99"/>
    <w:rPr>
      <w:rFonts w:hint="default" w:ascii="Calibri"/>
      <w:sz w:val="18"/>
    </w:rPr>
  </w:style>
  <w:style w:type="character" w:customStyle="1" w:styleId="15">
    <w:name w:val="批注框文本 Char"/>
    <w:basedOn w:val="9"/>
    <w:link w:val="3"/>
    <w:unhideWhenUsed/>
    <w:locked/>
    <w:uiPriority w:val="99"/>
    <w:rPr>
      <w:rFonts w:hint="default" w:ascii="Calibri"/>
      <w:sz w:val="18"/>
    </w:rPr>
  </w:style>
  <w:style w:type="character" w:customStyle="1" w:styleId="16">
    <w:name w:val="页脚 字符"/>
    <w:basedOn w:val="9"/>
    <w:unhideWhenUsed/>
    <w:uiPriority w:val="99"/>
    <w:rPr>
      <w:rFonts w:hint="default" w:ascii="Calibri"/>
      <w:sz w:val="18"/>
    </w:rPr>
  </w:style>
  <w:style w:type="character" w:customStyle="1" w:styleId="17">
    <w:name w:val="页脚 Char"/>
    <w:basedOn w:val="9"/>
    <w:link w:val="4"/>
    <w:unhideWhenUsed/>
    <w:locked/>
    <w:uiPriority w:val="99"/>
    <w:rPr>
      <w:rFonts w:hint="default" w:ascii="Calibri"/>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Office_11.1.0.9208_F1E327BC-269C-435d-A152-05C5408002CA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2019-12-26T14:04:20Z</dcterms:created>
  <cp:lastModifiedBy>Administrator</cp:lastModifiedBy>
  <dcterms:modified xsi:type="dcterms:W3CDTF">2019-12-26T14:04:23Z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