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创金合信沪港深研究精选灵活配置混合型证券投资基金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2"/>
        <w:spacing w:before="240" w:after="120"/>
      </w:pPr>
      <w:bookmarkStart w:id="0" w:name="_Toc4172897"/>
      <w:r>
        <w:rPr>
          <w:rFonts w:hint="eastAsia" w:hAnsi="Calibri"/>
          <w:b/>
          <w:color w:val="000000"/>
        </w:rPr>
        <w:t>§1  重要提示及目录</w:t>
      </w:r>
      <w:bookmarkEnd w:id="0"/>
      <w:r>
        <w:rPr>
          <w:rFonts w:hint="eastAsia"/>
        </w:rPr>
        <w:t xml:space="preserve"> </w:t>
      </w:r>
    </w:p>
    <w:p>
      <w:pPr>
        <w:pStyle w:val="13"/>
        <w:rPr>
          <w:rFonts w:hint="eastAsia"/>
        </w:rPr>
      </w:pPr>
      <w:bookmarkStart w:id="1" w:name="_Toc4172898"/>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6"/>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19"/>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19"/>
              <w:wordWrap w:val="0"/>
              <w:spacing w:before="0"/>
              <w:ind w:left="0" w:firstLine="480"/>
              <w:rPr>
                <w:rFonts w:hint="eastAsia"/>
              </w:rPr>
            </w:pPr>
            <w:r>
              <w:rPr>
                <w:rFonts w:hint="eastAsia"/>
              </w:rPr>
              <w:t>基金管理人承诺以诚实信用、勤勉尽责的原则管理和运用基金资产，但不保证基金一定盈利。</w:t>
            </w:r>
          </w:p>
          <w:p>
            <w:pPr>
              <w:pStyle w:val="19"/>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19"/>
              <w:wordWrap w:val="0"/>
              <w:spacing w:before="0"/>
              <w:ind w:left="0" w:firstLine="480"/>
              <w:rPr>
                <w:rFonts w:hint="eastAsia"/>
              </w:rPr>
            </w:pPr>
            <w:r>
              <w:rPr>
                <w:rFonts w:hint="eastAsia"/>
              </w:rPr>
              <w:t>本报告期自2018年01月01日起至2018年12月31日止。</w:t>
            </w:r>
          </w:p>
        </w:tc>
      </w:tr>
    </w:tbl>
    <w:p>
      <w:pPr>
        <w:pStyle w:val="13"/>
        <w:rPr>
          <w:rFonts w:hint="eastAsia"/>
        </w:rPr>
      </w:pPr>
      <w:r>
        <w:rPr>
          <w:rFonts w:ascii="Times New Roman" w:hAnsi="Times New Roman"/>
        </w:rPr>
        <w:br w:type="page"/>
      </w:r>
      <w:bookmarkStart w:id="2" w:name="_Toc4172899"/>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0"/>
          <w:lang/>
        </w:rPr>
        <w:fldChar w:fldCharType="begin"/>
      </w:r>
      <w:r>
        <w:rPr>
          <w:rStyle w:val="10"/>
          <w:lang/>
        </w:rPr>
        <w:instrText xml:space="preserve"> </w:instrText>
      </w:r>
      <w:r>
        <w:rPr>
          <w:lang/>
        </w:rPr>
        <w:instrText xml:space="preserve">HYPERLINK \l "_Toc4172897"</w:instrText>
      </w:r>
      <w:r>
        <w:rPr>
          <w:rStyle w:val="10"/>
          <w:lang/>
        </w:rPr>
        <w:instrText xml:space="preserve"> </w:instrText>
      </w:r>
      <w:r>
        <w:rPr>
          <w:rStyle w:val="10"/>
          <w:lang/>
        </w:rPr>
        <w:fldChar w:fldCharType="separate"/>
      </w:r>
      <w:r>
        <w:rPr>
          <w:rStyle w:val="10"/>
          <w:b/>
          <w:lang/>
        </w:rPr>
        <w:t xml:space="preserve">§1  </w:t>
      </w:r>
      <w:r>
        <w:rPr>
          <w:rStyle w:val="10"/>
          <w:rFonts w:hint="eastAsia"/>
          <w:b/>
          <w:lang/>
        </w:rPr>
        <w:t>重要提示及目录</w:t>
      </w:r>
      <w:r>
        <w:rPr>
          <w:lang/>
        </w:rPr>
        <w:tab/>
      </w:r>
      <w:r>
        <w:rPr>
          <w:lang/>
        </w:rPr>
        <w:fldChar w:fldCharType="begin"/>
      </w:r>
      <w:r>
        <w:rPr>
          <w:lang/>
        </w:rPr>
        <w:instrText xml:space="preserve"> PAGEREF _Toc4172897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"_Toc4172898"</w:instrText>
      </w:r>
      <w:r>
        <w:rPr>
          <w:rStyle w:val="10"/>
          <w:lang/>
        </w:rPr>
        <w:instrText xml:space="preserve"> </w:instrText>
      </w:r>
      <w:r>
        <w:rPr>
          <w:rStyle w:val="10"/>
          <w:lang/>
        </w:rPr>
        <w:fldChar w:fldCharType="separate"/>
      </w:r>
      <w:r>
        <w:rPr>
          <w:rStyle w:val="10"/>
          <w:b/>
          <w:bCs/>
          <w:lang/>
        </w:rPr>
        <w:t xml:space="preserve">1.1 </w:t>
      </w:r>
      <w:r>
        <w:rPr>
          <w:rStyle w:val="10"/>
          <w:rFonts w:hint="eastAsia"/>
          <w:b/>
          <w:bCs/>
          <w:lang/>
        </w:rPr>
        <w:t>重要提示</w:t>
      </w:r>
      <w:r>
        <w:rPr>
          <w:lang/>
        </w:rPr>
        <w:tab/>
      </w:r>
      <w:r>
        <w:rPr>
          <w:lang/>
        </w:rPr>
        <w:fldChar w:fldCharType="begin"/>
      </w:r>
      <w:r>
        <w:rPr>
          <w:lang/>
        </w:rPr>
        <w:instrText xml:space="preserve"> PAGEREF _Toc4172898 \h </w:instrText>
      </w:r>
      <w:r>
        <w:rPr>
          <w:lang/>
        </w:rPr>
        <w:fldChar w:fldCharType="separate"/>
      </w:r>
      <w:r>
        <w:rPr>
          <w:lang/>
        </w:rPr>
        <w:t>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"_Toc4172899"</w:instrText>
      </w:r>
      <w:r>
        <w:rPr>
          <w:rStyle w:val="10"/>
          <w:lang/>
        </w:rPr>
        <w:instrText xml:space="preserve"> </w:instrText>
      </w:r>
      <w:r>
        <w:rPr>
          <w:rStyle w:val="10"/>
          <w:lang/>
        </w:rPr>
        <w:fldChar w:fldCharType="separate"/>
      </w:r>
      <w:r>
        <w:rPr>
          <w:rStyle w:val="10"/>
          <w:b/>
          <w:bCs/>
          <w:lang/>
        </w:rPr>
        <w:t xml:space="preserve">1.2 </w:t>
      </w:r>
      <w:r>
        <w:rPr>
          <w:rStyle w:val="10"/>
          <w:rFonts w:hint="eastAsia"/>
          <w:b/>
          <w:bCs/>
          <w:lang/>
        </w:rPr>
        <w:t>目录</w:t>
      </w:r>
      <w:r>
        <w:rPr>
          <w:lang/>
        </w:rPr>
        <w:tab/>
      </w:r>
      <w:r>
        <w:rPr>
          <w:lang/>
        </w:rPr>
        <w:fldChar w:fldCharType="begin"/>
      </w:r>
      <w:r>
        <w:rPr>
          <w:lang/>
        </w:rPr>
        <w:instrText xml:space="preserve"> PAGEREF _Toc4172899 \h </w:instrText>
      </w:r>
      <w:r>
        <w:rPr>
          <w:lang/>
        </w:rPr>
        <w:fldChar w:fldCharType="separate"/>
      </w:r>
      <w:r>
        <w:rPr>
          <w:lang/>
        </w:rPr>
        <w:t>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"_Toc4172900"</w:instrText>
      </w:r>
      <w:r>
        <w:rPr>
          <w:rStyle w:val="10"/>
          <w:lang/>
        </w:rPr>
        <w:instrText xml:space="preserve"> </w:instrText>
      </w:r>
      <w:r>
        <w:rPr>
          <w:rStyle w:val="10"/>
          <w:lang/>
        </w:rPr>
        <w:fldChar w:fldCharType="separate"/>
      </w:r>
      <w:r>
        <w:rPr>
          <w:rStyle w:val="10"/>
          <w:b/>
          <w:lang/>
        </w:rPr>
        <w:t xml:space="preserve">§2  </w:t>
      </w:r>
      <w:r>
        <w:rPr>
          <w:rStyle w:val="10"/>
          <w:rFonts w:hint="eastAsia"/>
          <w:b/>
          <w:lang/>
        </w:rPr>
        <w:t>基金简介</w:t>
      </w:r>
      <w:r>
        <w:rPr>
          <w:lang/>
        </w:rPr>
        <w:tab/>
      </w:r>
      <w:r>
        <w:rPr>
          <w:lang/>
        </w:rPr>
        <w:fldChar w:fldCharType="begin"/>
      </w:r>
      <w:r>
        <w:rPr>
          <w:lang/>
        </w:rPr>
        <w:instrText xml:space="preserve"> PAGEREF _Toc4172900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"_Toc4172901"</w:instrText>
      </w:r>
      <w:r>
        <w:rPr>
          <w:rStyle w:val="10"/>
          <w:lang/>
        </w:rPr>
        <w:instrText xml:space="preserve"> </w:instrText>
      </w:r>
      <w:r>
        <w:rPr>
          <w:rStyle w:val="10"/>
          <w:lang/>
        </w:rPr>
        <w:fldChar w:fldCharType="separate"/>
      </w:r>
      <w:r>
        <w:rPr>
          <w:rStyle w:val="10"/>
          <w:b/>
          <w:bCs/>
          <w:lang/>
        </w:rPr>
        <w:t xml:space="preserve">2.1 </w:t>
      </w:r>
      <w:r>
        <w:rPr>
          <w:rStyle w:val="10"/>
          <w:rFonts w:hint="eastAsia"/>
          <w:b/>
          <w:bCs/>
          <w:lang/>
        </w:rPr>
        <w:t>基金基本情况</w:t>
      </w:r>
      <w:r>
        <w:rPr>
          <w:lang/>
        </w:rPr>
        <w:tab/>
      </w:r>
      <w:r>
        <w:rPr>
          <w:lang/>
        </w:rPr>
        <w:fldChar w:fldCharType="begin"/>
      </w:r>
      <w:r>
        <w:rPr>
          <w:lang/>
        </w:rPr>
        <w:instrText xml:space="preserve"> PAGEREF _Toc4172901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"_Toc4172902"</w:instrText>
      </w:r>
      <w:r>
        <w:rPr>
          <w:rStyle w:val="10"/>
          <w:lang/>
        </w:rPr>
        <w:instrText xml:space="preserve"> </w:instrText>
      </w:r>
      <w:r>
        <w:rPr>
          <w:rStyle w:val="10"/>
          <w:lang/>
        </w:rPr>
        <w:fldChar w:fldCharType="separate"/>
      </w:r>
      <w:r>
        <w:rPr>
          <w:rStyle w:val="10"/>
          <w:b/>
          <w:bCs/>
          <w:lang/>
        </w:rPr>
        <w:t xml:space="preserve">2.2 </w:t>
      </w:r>
      <w:r>
        <w:rPr>
          <w:rStyle w:val="10"/>
          <w:rFonts w:hint="eastAsia"/>
          <w:b/>
          <w:bCs/>
          <w:lang/>
        </w:rPr>
        <w:t>基金产品说明</w:t>
      </w:r>
      <w:r>
        <w:rPr>
          <w:lang/>
        </w:rPr>
        <w:tab/>
      </w:r>
      <w:r>
        <w:rPr>
          <w:lang/>
        </w:rPr>
        <w:fldChar w:fldCharType="begin"/>
      </w:r>
      <w:r>
        <w:rPr>
          <w:lang/>
        </w:rPr>
        <w:instrText xml:space="preserve"> PAGEREF _Toc4172902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"_Toc4172903"</w:instrText>
      </w:r>
      <w:r>
        <w:rPr>
          <w:rStyle w:val="10"/>
          <w:lang/>
        </w:rPr>
        <w:instrText xml:space="preserve"> </w:instrText>
      </w:r>
      <w:r>
        <w:rPr>
          <w:rStyle w:val="10"/>
          <w:lang/>
        </w:rPr>
        <w:fldChar w:fldCharType="separate"/>
      </w:r>
      <w:r>
        <w:rPr>
          <w:rStyle w:val="10"/>
          <w:b/>
          <w:bCs/>
          <w:lang/>
        </w:rPr>
        <w:t xml:space="preserve">2.3 </w:t>
      </w:r>
      <w:r>
        <w:rPr>
          <w:rStyle w:val="10"/>
          <w:rFonts w:hint="eastAsia"/>
          <w:b/>
          <w:bCs/>
          <w:lang/>
        </w:rPr>
        <w:t>基金管理人和基金托管人</w:t>
      </w:r>
      <w:r>
        <w:rPr>
          <w:lang/>
        </w:rPr>
        <w:tab/>
      </w:r>
      <w:r>
        <w:rPr>
          <w:lang/>
        </w:rPr>
        <w:fldChar w:fldCharType="begin"/>
      </w:r>
      <w:r>
        <w:rPr>
          <w:lang/>
        </w:rPr>
        <w:instrText xml:space="preserve"> PAGEREF _Toc4172903 \h </w:instrText>
      </w:r>
      <w:r>
        <w:rPr>
          <w:lang/>
        </w:rPr>
        <w:fldChar w:fldCharType="separate"/>
      </w:r>
      <w:r>
        <w:rPr>
          <w:lang/>
        </w:rPr>
        <w:t>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"_Toc4172904"</w:instrText>
      </w:r>
      <w:r>
        <w:rPr>
          <w:rStyle w:val="10"/>
          <w:lang/>
        </w:rPr>
        <w:instrText xml:space="preserve"> </w:instrText>
      </w:r>
      <w:r>
        <w:rPr>
          <w:rStyle w:val="10"/>
          <w:lang/>
        </w:rPr>
        <w:fldChar w:fldCharType="separate"/>
      </w:r>
      <w:r>
        <w:rPr>
          <w:rStyle w:val="10"/>
          <w:b/>
          <w:bCs/>
          <w:lang/>
        </w:rPr>
        <w:t xml:space="preserve">2.4 </w:t>
      </w:r>
      <w:r>
        <w:rPr>
          <w:rStyle w:val="10"/>
          <w:rFonts w:hint="eastAsia"/>
          <w:b/>
          <w:bCs/>
          <w:lang/>
        </w:rPr>
        <w:t>信息披露方式</w:t>
      </w:r>
      <w:r>
        <w:rPr>
          <w:lang/>
        </w:rPr>
        <w:tab/>
      </w:r>
      <w:r>
        <w:rPr>
          <w:lang/>
        </w:rPr>
        <w:fldChar w:fldCharType="begin"/>
      </w:r>
      <w:r>
        <w:rPr>
          <w:lang/>
        </w:rPr>
        <w:instrText xml:space="preserve"> PAGEREF _Toc4172904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"_Toc4172905"</w:instrText>
      </w:r>
      <w:r>
        <w:rPr>
          <w:rStyle w:val="10"/>
          <w:lang/>
        </w:rPr>
        <w:instrText xml:space="preserve"> </w:instrText>
      </w:r>
      <w:r>
        <w:rPr>
          <w:rStyle w:val="10"/>
          <w:lang/>
        </w:rPr>
        <w:fldChar w:fldCharType="separate"/>
      </w:r>
      <w:r>
        <w:rPr>
          <w:rStyle w:val="10"/>
          <w:b/>
          <w:bCs/>
          <w:lang/>
        </w:rPr>
        <w:t xml:space="preserve">2.5 </w:t>
      </w:r>
      <w:r>
        <w:rPr>
          <w:rStyle w:val="10"/>
          <w:rFonts w:hint="eastAsia"/>
          <w:b/>
          <w:bCs/>
          <w:lang/>
        </w:rPr>
        <w:t>其他相关资料</w:t>
      </w:r>
      <w:r>
        <w:rPr>
          <w:lang/>
        </w:rPr>
        <w:tab/>
      </w:r>
      <w:r>
        <w:rPr>
          <w:lang/>
        </w:rPr>
        <w:fldChar w:fldCharType="begin"/>
      </w:r>
      <w:r>
        <w:rPr>
          <w:lang/>
        </w:rPr>
        <w:instrText xml:space="preserve"> PAGEREF _Toc4172905 \h </w:instrText>
      </w:r>
      <w:r>
        <w:rPr>
          <w:lang/>
        </w:rPr>
        <w:fldChar w:fldCharType="separate"/>
      </w:r>
      <w:r>
        <w:rPr>
          <w:lang/>
        </w:rPr>
        <w:t>6</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"_Toc4172906"</w:instrText>
      </w:r>
      <w:r>
        <w:rPr>
          <w:rStyle w:val="10"/>
          <w:lang/>
        </w:rPr>
        <w:instrText xml:space="preserve"> </w:instrText>
      </w:r>
      <w:r>
        <w:rPr>
          <w:rStyle w:val="10"/>
          <w:lang/>
        </w:rPr>
        <w:fldChar w:fldCharType="separate"/>
      </w:r>
      <w:r>
        <w:rPr>
          <w:rStyle w:val="10"/>
          <w:b/>
          <w:lang/>
        </w:rPr>
        <w:t xml:space="preserve">§3  </w:t>
      </w:r>
      <w:r>
        <w:rPr>
          <w:rStyle w:val="10"/>
          <w:rFonts w:hint="eastAsia"/>
          <w:b/>
          <w:lang/>
        </w:rPr>
        <w:t>主要财务指标、基金净值表现及利润分配情况</w:t>
      </w:r>
      <w:r>
        <w:rPr>
          <w:lang/>
        </w:rPr>
        <w:tab/>
      </w:r>
      <w:r>
        <w:rPr>
          <w:lang/>
        </w:rPr>
        <w:fldChar w:fldCharType="begin"/>
      </w:r>
      <w:r>
        <w:rPr>
          <w:lang/>
        </w:rPr>
        <w:instrText xml:space="preserve"> PAGEREF _Toc4172906 \h </w:instrText>
      </w:r>
      <w:r>
        <w:rPr>
          <w:lang/>
        </w:rPr>
        <w:fldChar w:fldCharType="separate"/>
      </w:r>
      <w:r>
        <w:rPr>
          <w:lang/>
        </w:rPr>
        <w:t>6</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"_Toc4172907"</w:instrText>
      </w:r>
      <w:r>
        <w:rPr>
          <w:rStyle w:val="10"/>
          <w:lang/>
        </w:rPr>
        <w:instrText xml:space="preserve"> </w:instrText>
      </w:r>
      <w:r>
        <w:rPr>
          <w:rStyle w:val="10"/>
          <w:lang/>
        </w:rPr>
        <w:fldChar w:fldCharType="separate"/>
      </w:r>
      <w:r>
        <w:rPr>
          <w:rStyle w:val="10"/>
          <w:b/>
          <w:bCs/>
          <w:lang/>
        </w:rPr>
        <w:t xml:space="preserve">3.1 </w:t>
      </w:r>
      <w:r>
        <w:rPr>
          <w:rStyle w:val="10"/>
          <w:rFonts w:hint="eastAsia"/>
          <w:b/>
          <w:bCs/>
          <w:lang/>
        </w:rPr>
        <w:t>主要会计数据和财务指标</w:t>
      </w:r>
      <w:r>
        <w:rPr>
          <w:lang/>
        </w:rPr>
        <w:tab/>
      </w:r>
      <w:r>
        <w:rPr>
          <w:lang/>
        </w:rPr>
        <w:fldChar w:fldCharType="begin"/>
      </w:r>
      <w:r>
        <w:rPr>
          <w:lang/>
        </w:rPr>
        <w:instrText xml:space="preserve"> PAGEREF _Toc4172907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"_Toc4172908"</w:instrText>
      </w:r>
      <w:r>
        <w:rPr>
          <w:rStyle w:val="10"/>
          <w:lang/>
        </w:rPr>
        <w:instrText xml:space="preserve"> </w:instrText>
      </w:r>
      <w:r>
        <w:rPr>
          <w:rStyle w:val="10"/>
          <w:lang/>
        </w:rPr>
        <w:fldChar w:fldCharType="separate"/>
      </w:r>
      <w:r>
        <w:rPr>
          <w:rStyle w:val="10"/>
          <w:b/>
          <w:bCs/>
          <w:lang/>
        </w:rPr>
        <w:t xml:space="preserve">3.2 </w:t>
      </w:r>
      <w:r>
        <w:rPr>
          <w:rStyle w:val="10"/>
          <w:rFonts w:hint="eastAsia"/>
          <w:b/>
          <w:bCs/>
          <w:lang/>
        </w:rPr>
        <w:t>基金净值表现</w:t>
      </w:r>
      <w:r>
        <w:rPr>
          <w:lang/>
        </w:rPr>
        <w:tab/>
      </w:r>
      <w:r>
        <w:rPr>
          <w:lang/>
        </w:rPr>
        <w:fldChar w:fldCharType="begin"/>
      </w:r>
      <w:r>
        <w:rPr>
          <w:lang/>
        </w:rPr>
        <w:instrText xml:space="preserve"> PAGEREF _Toc4172908 \h </w:instrText>
      </w:r>
      <w:r>
        <w:rPr>
          <w:lang/>
        </w:rPr>
        <w:fldChar w:fldCharType="separate"/>
      </w:r>
      <w:r>
        <w:rPr>
          <w:lang/>
        </w:rPr>
        <w:t>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"_Toc4172909"</w:instrText>
      </w:r>
      <w:r>
        <w:rPr>
          <w:rStyle w:val="10"/>
          <w:lang/>
        </w:rPr>
        <w:instrText xml:space="preserve"> </w:instrText>
      </w:r>
      <w:r>
        <w:rPr>
          <w:rStyle w:val="10"/>
          <w:lang/>
        </w:rPr>
        <w:fldChar w:fldCharType="separate"/>
      </w:r>
      <w:r>
        <w:rPr>
          <w:rStyle w:val="10"/>
          <w:b/>
          <w:lang/>
        </w:rPr>
        <w:t xml:space="preserve">3.3 </w:t>
      </w:r>
      <w:r>
        <w:rPr>
          <w:rStyle w:val="10"/>
          <w:rFonts w:hint="eastAsia"/>
          <w:b/>
          <w:lang/>
        </w:rPr>
        <w:t>过去三年基金的利润分配情况</w:t>
      </w:r>
      <w:r>
        <w:rPr>
          <w:lang/>
        </w:rPr>
        <w:tab/>
      </w:r>
      <w:r>
        <w:rPr>
          <w:lang/>
        </w:rPr>
        <w:fldChar w:fldCharType="begin"/>
      </w:r>
      <w:r>
        <w:rPr>
          <w:lang/>
        </w:rPr>
        <w:instrText xml:space="preserve"> PAGEREF _Toc4172909 \h </w:instrText>
      </w:r>
      <w:r>
        <w:rPr>
          <w:lang/>
        </w:rPr>
        <w:fldChar w:fldCharType="separate"/>
      </w:r>
      <w:r>
        <w:rPr>
          <w:lang/>
        </w:rPr>
        <w:t>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"_Toc4172910"</w:instrText>
      </w:r>
      <w:r>
        <w:rPr>
          <w:rStyle w:val="10"/>
          <w:lang/>
        </w:rPr>
        <w:instrText xml:space="preserve"> </w:instrText>
      </w:r>
      <w:r>
        <w:rPr>
          <w:rStyle w:val="10"/>
          <w:lang/>
        </w:rPr>
        <w:fldChar w:fldCharType="separate"/>
      </w:r>
      <w:r>
        <w:rPr>
          <w:rStyle w:val="10"/>
          <w:b/>
          <w:lang/>
        </w:rPr>
        <w:t xml:space="preserve">§4  </w:t>
      </w:r>
      <w:r>
        <w:rPr>
          <w:rStyle w:val="10"/>
          <w:rFonts w:hint="eastAsia"/>
          <w:b/>
          <w:lang/>
        </w:rPr>
        <w:t>管理人报告</w:t>
      </w:r>
      <w:r>
        <w:rPr>
          <w:lang/>
        </w:rPr>
        <w:tab/>
      </w:r>
      <w:r>
        <w:rPr>
          <w:lang/>
        </w:rPr>
        <w:fldChar w:fldCharType="begin"/>
      </w:r>
      <w:r>
        <w:rPr>
          <w:lang/>
        </w:rPr>
        <w:instrText xml:space="preserve"> PAGEREF _Toc4172910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"_Toc4172911"</w:instrText>
      </w:r>
      <w:r>
        <w:rPr>
          <w:rStyle w:val="10"/>
          <w:lang/>
        </w:rPr>
        <w:instrText xml:space="preserve"> </w:instrText>
      </w:r>
      <w:r>
        <w:rPr>
          <w:rStyle w:val="10"/>
          <w:lang/>
        </w:rPr>
        <w:fldChar w:fldCharType="separate"/>
      </w:r>
      <w:r>
        <w:rPr>
          <w:rStyle w:val="10"/>
          <w:b/>
          <w:bCs/>
          <w:lang/>
        </w:rPr>
        <w:t xml:space="preserve">4.1 </w:t>
      </w:r>
      <w:r>
        <w:rPr>
          <w:rStyle w:val="10"/>
          <w:rFonts w:hint="eastAsia"/>
          <w:b/>
          <w:bCs/>
          <w:lang/>
        </w:rPr>
        <w:t>基金管理人及基金经理情况</w:t>
      </w:r>
      <w:r>
        <w:rPr>
          <w:lang/>
        </w:rPr>
        <w:tab/>
      </w:r>
      <w:r>
        <w:rPr>
          <w:lang/>
        </w:rPr>
        <w:fldChar w:fldCharType="begin"/>
      </w:r>
      <w:r>
        <w:rPr>
          <w:lang/>
        </w:rPr>
        <w:instrText xml:space="preserve"> PAGEREF _Toc4172911 \h </w:instrText>
      </w:r>
      <w:r>
        <w:rPr>
          <w:lang/>
        </w:rPr>
        <w:fldChar w:fldCharType="separate"/>
      </w:r>
      <w:r>
        <w:rPr>
          <w:lang/>
        </w:rPr>
        <w:t>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"_Toc4172912"</w:instrText>
      </w:r>
      <w:r>
        <w:rPr>
          <w:rStyle w:val="10"/>
          <w:lang/>
        </w:rPr>
        <w:instrText xml:space="preserve"> </w:instrText>
      </w:r>
      <w:r>
        <w:rPr>
          <w:rStyle w:val="10"/>
          <w:lang/>
        </w:rPr>
        <w:fldChar w:fldCharType="separate"/>
      </w:r>
      <w:r>
        <w:rPr>
          <w:rStyle w:val="10"/>
          <w:b/>
          <w:lang/>
        </w:rPr>
        <w:t xml:space="preserve">4.2 </w:t>
      </w:r>
      <w:r>
        <w:rPr>
          <w:rStyle w:val="10"/>
          <w:rFonts w:hint="eastAsia"/>
          <w:b/>
          <w:lang/>
        </w:rPr>
        <w:t>管理人对报告期内本基金运作遵规守信情况的说明</w:t>
      </w:r>
      <w:r>
        <w:rPr>
          <w:lang/>
        </w:rPr>
        <w:tab/>
      </w:r>
      <w:r>
        <w:rPr>
          <w:lang/>
        </w:rPr>
        <w:fldChar w:fldCharType="begin"/>
      </w:r>
      <w:r>
        <w:rPr>
          <w:lang/>
        </w:rPr>
        <w:instrText xml:space="preserve"> PAGEREF _Toc4172912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"_Toc4172913"</w:instrText>
      </w:r>
      <w:r>
        <w:rPr>
          <w:rStyle w:val="10"/>
          <w:lang/>
        </w:rPr>
        <w:instrText xml:space="preserve"> </w:instrText>
      </w:r>
      <w:r>
        <w:rPr>
          <w:rStyle w:val="10"/>
          <w:lang/>
        </w:rPr>
        <w:fldChar w:fldCharType="separate"/>
      </w:r>
      <w:r>
        <w:rPr>
          <w:rStyle w:val="10"/>
          <w:b/>
          <w:lang/>
        </w:rPr>
        <w:t xml:space="preserve">4.3 </w:t>
      </w:r>
      <w:r>
        <w:rPr>
          <w:rStyle w:val="10"/>
          <w:rFonts w:hint="eastAsia"/>
          <w:b/>
          <w:lang/>
        </w:rPr>
        <w:t>管理人对报告期内公平交易情况的专项说明</w:t>
      </w:r>
      <w:r>
        <w:rPr>
          <w:lang/>
        </w:rPr>
        <w:tab/>
      </w:r>
      <w:r>
        <w:rPr>
          <w:lang/>
        </w:rPr>
        <w:fldChar w:fldCharType="begin"/>
      </w:r>
      <w:r>
        <w:rPr>
          <w:lang/>
        </w:rPr>
        <w:instrText xml:space="preserve"> PAGEREF _Toc4172913 \h </w:instrText>
      </w:r>
      <w:r>
        <w:rPr>
          <w:lang/>
        </w:rPr>
        <w:fldChar w:fldCharType="separate"/>
      </w:r>
      <w:r>
        <w:rPr>
          <w:lang/>
        </w:rPr>
        <w:t>11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"_Toc4172914"</w:instrText>
      </w:r>
      <w:r>
        <w:rPr>
          <w:rStyle w:val="10"/>
          <w:lang/>
        </w:rPr>
        <w:instrText xml:space="preserve"> </w:instrText>
      </w:r>
      <w:r>
        <w:rPr>
          <w:rStyle w:val="10"/>
          <w:lang/>
        </w:rPr>
        <w:fldChar w:fldCharType="separate"/>
      </w:r>
      <w:r>
        <w:rPr>
          <w:rStyle w:val="10"/>
          <w:b/>
          <w:lang/>
        </w:rPr>
        <w:t xml:space="preserve">4.4 </w:t>
      </w:r>
      <w:r>
        <w:rPr>
          <w:rStyle w:val="10"/>
          <w:rFonts w:hint="eastAsia"/>
          <w:b/>
          <w:lang/>
        </w:rPr>
        <w:t>管理人对报告期内基金的投资策略和业绩表现的说明</w:t>
      </w:r>
      <w:r>
        <w:rPr>
          <w:lang/>
        </w:rPr>
        <w:tab/>
      </w:r>
      <w:r>
        <w:rPr>
          <w:lang/>
        </w:rPr>
        <w:fldChar w:fldCharType="begin"/>
      </w:r>
      <w:r>
        <w:rPr>
          <w:lang/>
        </w:rPr>
        <w:instrText xml:space="preserve"> PAGEREF _Toc4172914 \h </w:instrText>
      </w:r>
      <w:r>
        <w:rPr>
          <w:lang/>
        </w:rPr>
        <w:fldChar w:fldCharType="separate"/>
      </w:r>
      <w:r>
        <w:rPr>
          <w:lang/>
        </w:rPr>
        <w:t>12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"_Toc4172915"</w:instrText>
      </w:r>
      <w:r>
        <w:rPr>
          <w:rStyle w:val="10"/>
          <w:lang/>
        </w:rPr>
        <w:instrText xml:space="preserve"> </w:instrText>
      </w:r>
      <w:r>
        <w:rPr>
          <w:rStyle w:val="10"/>
          <w:lang/>
        </w:rPr>
        <w:fldChar w:fldCharType="separate"/>
      </w:r>
      <w:r>
        <w:rPr>
          <w:rStyle w:val="10"/>
          <w:b/>
          <w:lang/>
        </w:rPr>
        <w:t xml:space="preserve">4.5 </w:t>
      </w:r>
      <w:r>
        <w:rPr>
          <w:rStyle w:val="10"/>
          <w:rFonts w:hint="eastAsia"/>
          <w:b/>
          <w:lang/>
        </w:rPr>
        <w:t>管理人对宏观经济、证券市场及行业走势的简要展望</w:t>
      </w:r>
      <w:r>
        <w:rPr>
          <w:lang/>
        </w:rPr>
        <w:tab/>
      </w:r>
      <w:r>
        <w:rPr>
          <w:lang/>
        </w:rPr>
        <w:fldChar w:fldCharType="begin"/>
      </w:r>
      <w:r>
        <w:rPr>
          <w:lang/>
        </w:rPr>
        <w:instrText xml:space="preserve"> PAGEREF _Toc4172915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"_Toc4172916"</w:instrText>
      </w:r>
      <w:r>
        <w:rPr>
          <w:rStyle w:val="10"/>
          <w:lang/>
        </w:rPr>
        <w:instrText xml:space="preserve"> </w:instrText>
      </w:r>
      <w:r>
        <w:rPr>
          <w:rStyle w:val="10"/>
          <w:lang/>
        </w:rPr>
        <w:fldChar w:fldCharType="separate"/>
      </w:r>
      <w:r>
        <w:rPr>
          <w:rStyle w:val="10"/>
          <w:b/>
          <w:lang/>
        </w:rPr>
        <w:t xml:space="preserve">4.6 </w:t>
      </w:r>
      <w:r>
        <w:rPr>
          <w:rStyle w:val="10"/>
          <w:rFonts w:hint="eastAsia"/>
          <w:b/>
          <w:lang/>
        </w:rPr>
        <w:t>管理人内部有关本基金的监察稽核工作情况</w:t>
      </w:r>
      <w:r>
        <w:rPr>
          <w:lang/>
        </w:rPr>
        <w:tab/>
      </w:r>
      <w:r>
        <w:rPr>
          <w:lang/>
        </w:rPr>
        <w:fldChar w:fldCharType="begin"/>
      </w:r>
      <w:r>
        <w:rPr>
          <w:lang/>
        </w:rPr>
        <w:instrText xml:space="preserve"> PAGEREF _Toc4172916 \h </w:instrText>
      </w:r>
      <w:r>
        <w:rPr>
          <w:lang/>
        </w:rPr>
        <w:fldChar w:fldCharType="separate"/>
      </w:r>
      <w:r>
        <w:rPr>
          <w:lang/>
        </w:rPr>
        <w:t>13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"_Toc4172917"</w:instrText>
      </w:r>
      <w:r>
        <w:rPr>
          <w:rStyle w:val="10"/>
          <w:lang/>
        </w:rPr>
        <w:instrText xml:space="preserve"> </w:instrText>
      </w:r>
      <w:r>
        <w:rPr>
          <w:rStyle w:val="10"/>
          <w:lang/>
        </w:rPr>
        <w:fldChar w:fldCharType="separate"/>
      </w:r>
      <w:r>
        <w:rPr>
          <w:rStyle w:val="10"/>
          <w:b/>
          <w:lang/>
        </w:rPr>
        <w:t xml:space="preserve">4.7 </w:t>
      </w:r>
      <w:r>
        <w:rPr>
          <w:rStyle w:val="10"/>
          <w:rFonts w:hint="eastAsia"/>
          <w:b/>
          <w:lang/>
        </w:rPr>
        <w:t>管理人对报告期内基金估值程序等事项的说明</w:t>
      </w:r>
      <w:r>
        <w:rPr>
          <w:lang/>
        </w:rPr>
        <w:tab/>
      </w:r>
      <w:r>
        <w:rPr>
          <w:lang/>
        </w:rPr>
        <w:fldChar w:fldCharType="begin"/>
      </w:r>
      <w:r>
        <w:rPr>
          <w:lang/>
        </w:rPr>
        <w:instrText xml:space="preserve"> PAGEREF _Toc4172917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"_Toc4172918"</w:instrText>
      </w:r>
      <w:r>
        <w:rPr>
          <w:rStyle w:val="10"/>
          <w:lang/>
        </w:rPr>
        <w:instrText xml:space="preserve"> </w:instrText>
      </w:r>
      <w:r>
        <w:rPr>
          <w:rStyle w:val="10"/>
          <w:lang/>
        </w:rPr>
        <w:fldChar w:fldCharType="separate"/>
      </w:r>
      <w:r>
        <w:rPr>
          <w:rStyle w:val="10"/>
          <w:b/>
          <w:bCs/>
          <w:lang/>
        </w:rPr>
        <w:t xml:space="preserve">4.8 </w:t>
      </w:r>
      <w:r>
        <w:rPr>
          <w:rStyle w:val="10"/>
          <w:rFonts w:hint="eastAsia"/>
          <w:b/>
          <w:bCs/>
          <w:lang/>
        </w:rPr>
        <w:t>管理人对报告期内基金利润分配情况的说明</w:t>
      </w:r>
      <w:r>
        <w:rPr>
          <w:lang/>
        </w:rPr>
        <w:tab/>
      </w:r>
      <w:r>
        <w:rPr>
          <w:lang/>
        </w:rPr>
        <w:fldChar w:fldCharType="begin"/>
      </w:r>
      <w:r>
        <w:rPr>
          <w:lang/>
        </w:rPr>
        <w:instrText xml:space="preserve"> PAGEREF _Toc4172918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"_Toc4172919"</w:instrText>
      </w:r>
      <w:r>
        <w:rPr>
          <w:rStyle w:val="10"/>
          <w:lang/>
        </w:rPr>
        <w:instrText xml:space="preserve"> </w:instrText>
      </w:r>
      <w:r>
        <w:rPr>
          <w:rStyle w:val="10"/>
          <w:lang/>
        </w:rPr>
        <w:fldChar w:fldCharType="separate"/>
      </w:r>
      <w:r>
        <w:rPr>
          <w:rStyle w:val="10"/>
          <w:b/>
          <w:bCs/>
          <w:lang/>
        </w:rPr>
        <w:t xml:space="preserve">4.9 </w:t>
      </w:r>
      <w:r>
        <w:rPr>
          <w:rStyle w:val="10"/>
          <w:rFonts w:hint="eastAsia"/>
          <w:b/>
          <w:bCs/>
          <w:lang/>
        </w:rPr>
        <w:t>报告期内管理人对本基金持有人数或基金资产净值预警情形的说明</w:t>
      </w:r>
      <w:r>
        <w:rPr>
          <w:lang/>
        </w:rPr>
        <w:tab/>
      </w:r>
      <w:r>
        <w:rPr>
          <w:lang/>
        </w:rPr>
        <w:fldChar w:fldCharType="begin"/>
      </w:r>
      <w:r>
        <w:rPr>
          <w:lang/>
        </w:rPr>
        <w:instrText xml:space="preserve"> PAGEREF _Toc4172919 \h </w:instrText>
      </w:r>
      <w:r>
        <w:rPr>
          <w:lang/>
        </w:rPr>
        <w:fldChar w:fldCharType="separate"/>
      </w:r>
      <w:r>
        <w:rPr>
          <w:lang/>
        </w:rPr>
        <w:t>14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"_Toc4172920"</w:instrText>
      </w:r>
      <w:r>
        <w:rPr>
          <w:rStyle w:val="10"/>
          <w:lang/>
        </w:rPr>
        <w:instrText xml:space="preserve"> </w:instrText>
      </w:r>
      <w:r>
        <w:rPr>
          <w:rStyle w:val="10"/>
          <w:lang/>
        </w:rPr>
        <w:fldChar w:fldCharType="separate"/>
      </w:r>
      <w:r>
        <w:rPr>
          <w:rStyle w:val="10"/>
          <w:b/>
          <w:lang/>
        </w:rPr>
        <w:t xml:space="preserve">§5  </w:t>
      </w:r>
      <w:r>
        <w:rPr>
          <w:rStyle w:val="10"/>
          <w:rFonts w:hint="eastAsia"/>
          <w:b/>
          <w:lang/>
        </w:rPr>
        <w:t>托管人报告</w:t>
      </w:r>
      <w:r>
        <w:rPr>
          <w:lang/>
        </w:rPr>
        <w:tab/>
      </w:r>
      <w:r>
        <w:rPr>
          <w:lang/>
        </w:rPr>
        <w:fldChar w:fldCharType="begin"/>
      </w:r>
      <w:r>
        <w:rPr>
          <w:lang/>
        </w:rPr>
        <w:instrText xml:space="preserve"> PAGEREF _Toc4172920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"_Toc4172921"</w:instrText>
      </w:r>
      <w:r>
        <w:rPr>
          <w:rStyle w:val="10"/>
          <w:lang/>
        </w:rPr>
        <w:instrText xml:space="preserve"> </w:instrText>
      </w:r>
      <w:r>
        <w:rPr>
          <w:rStyle w:val="10"/>
          <w:lang/>
        </w:rPr>
        <w:fldChar w:fldCharType="separate"/>
      </w:r>
      <w:r>
        <w:rPr>
          <w:rStyle w:val="10"/>
          <w:b/>
          <w:bCs/>
          <w:lang/>
        </w:rPr>
        <w:t xml:space="preserve">5.1 </w:t>
      </w:r>
      <w:r>
        <w:rPr>
          <w:rStyle w:val="10"/>
          <w:rFonts w:hint="eastAsia"/>
          <w:b/>
          <w:bCs/>
          <w:lang/>
        </w:rPr>
        <w:t>报告期内本基金托管人遵规守信情况声明</w:t>
      </w:r>
      <w:r>
        <w:rPr>
          <w:lang/>
        </w:rPr>
        <w:tab/>
      </w:r>
      <w:r>
        <w:rPr>
          <w:lang/>
        </w:rPr>
        <w:fldChar w:fldCharType="begin"/>
      </w:r>
      <w:r>
        <w:rPr>
          <w:lang/>
        </w:rPr>
        <w:instrText xml:space="preserve"> PAGEREF _Toc4172921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"_Toc4172922"</w:instrText>
      </w:r>
      <w:r>
        <w:rPr>
          <w:rStyle w:val="10"/>
          <w:lang/>
        </w:rPr>
        <w:instrText xml:space="preserve"> </w:instrText>
      </w:r>
      <w:r>
        <w:rPr>
          <w:rStyle w:val="10"/>
          <w:lang/>
        </w:rPr>
        <w:fldChar w:fldCharType="separate"/>
      </w:r>
      <w:r>
        <w:rPr>
          <w:rStyle w:val="10"/>
          <w:b/>
          <w:bCs/>
          <w:lang/>
        </w:rPr>
        <w:t xml:space="preserve">5.2 </w:t>
      </w:r>
      <w:r>
        <w:rPr>
          <w:rStyle w:val="10"/>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_Toc4172922 \h </w:instrText>
      </w:r>
      <w:r>
        <w:rPr>
          <w:lang/>
        </w:rPr>
        <w:fldChar w:fldCharType="separate"/>
      </w:r>
      <w:r>
        <w:rPr>
          <w:lang/>
        </w:rPr>
        <w:t>14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"_Toc4172923"</w:instrText>
      </w:r>
      <w:r>
        <w:rPr>
          <w:rStyle w:val="10"/>
          <w:lang/>
        </w:rPr>
        <w:instrText xml:space="preserve"> </w:instrText>
      </w:r>
      <w:r>
        <w:rPr>
          <w:rStyle w:val="10"/>
          <w:lang/>
        </w:rPr>
        <w:fldChar w:fldCharType="separate"/>
      </w:r>
      <w:r>
        <w:rPr>
          <w:rStyle w:val="10"/>
          <w:b/>
          <w:bCs/>
          <w:lang/>
        </w:rPr>
        <w:t xml:space="preserve">5.3 </w:t>
      </w:r>
      <w:r>
        <w:rPr>
          <w:rStyle w:val="10"/>
          <w:rFonts w:hint="eastAsia"/>
          <w:b/>
          <w:bCs/>
          <w:lang/>
        </w:rPr>
        <w:t>托管人对本年度报告中财务信息等内容的真实、准确和完整发表意见</w:t>
      </w:r>
      <w:r>
        <w:rPr>
          <w:lang/>
        </w:rPr>
        <w:tab/>
      </w:r>
      <w:r>
        <w:rPr>
          <w:lang/>
        </w:rPr>
        <w:fldChar w:fldCharType="begin"/>
      </w:r>
      <w:r>
        <w:rPr>
          <w:lang/>
        </w:rPr>
        <w:instrText xml:space="preserve"> PAGEREF _Toc4172923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"_Toc4172924"</w:instrText>
      </w:r>
      <w:r>
        <w:rPr>
          <w:rStyle w:val="10"/>
          <w:lang/>
        </w:rPr>
        <w:instrText xml:space="preserve"> </w:instrText>
      </w:r>
      <w:r>
        <w:rPr>
          <w:rStyle w:val="10"/>
          <w:lang/>
        </w:rPr>
        <w:fldChar w:fldCharType="separate"/>
      </w:r>
      <w:r>
        <w:rPr>
          <w:rStyle w:val="10"/>
          <w:b/>
          <w:lang/>
        </w:rPr>
        <w:t xml:space="preserve">§6  </w:t>
      </w:r>
      <w:r>
        <w:rPr>
          <w:rStyle w:val="10"/>
          <w:rFonts w:hint="eastAsia"/>
          <w:b/>
          <w:lang/>
        </w:rPr>
        <w:t>审计报告</w:t>
      </w:r>
      <w:r>
        <w:rPr>
          <w:lang/>
        </w:rPr>
        <w:tab/>
      </w:r>
      <w:r>
        <w:rPr>
          <w:lang/>
        </w:rPr>
        <w:fldChar w:fldCharType="begin"/>
      </w:r>
      <w:r>
        <w:rPr>
          <w:lang/>
        </w:rPr>
        <w:instrText xml:space="preserve"> PAGEREF _Toc4172924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"_Toc4172925"</w:instrText>
      </w:r>
      <w:r>
        <w:rPr>
          <w:rStyle w:val="10"/>
          <w:lang/>
        </w:rPr>
        <w:instrText xml:space="preserve"> </w:instrText>
      </w:r>
      <w:r>
        <w:rPr>
          <w:rStyle w:val="10"/>
          <w:lang/>
        </w:rPr>
        <w:fldChar w:fldCharType="separate"/>
      </w:r>
      <w:r>
        <w:rPr>
          <w:rStyle w:val="10"/>
          <w:b/>
          <w:bCs/>
          <w:lang/>
        </w:rPr>
        <w:t xml:space="preserve">6.1 </w:t>
      </w:r>
      <w:r>
        <w:rPr>
          <w:rStyle w:val="10"/>
          <w:rFonts w:hint="eastAsia"/>
          <w:b/>
          <w:bCs/>
          <w:lang/>
        </w:rPr>
        <w:t>审计报告基本信息</w:t>
      </w:r>
      <w:r>
        <w:rPr>
          <w:lang/>
        </w:rPr>
        <w:tab/>
      </w:r>
      <w:r>
        <w:rPr>
          <w:lang/>
        </w:rPr>
        <w:fldChar w:fldCharType="begin"/>
      </w:r>
      <w:r>
        <w:rPr>
          <w:lang/>
        </w:rPr>
        <w:instrText xml:space="preserve"> PAGEREF _Toc4172925 \h </w:instrText>
      </w:r>
      <w:r>
        <w:rPr>
          <w:lang/>
        </w:rPr>
        <w:fldChar w:fldCharType="separate"/>
      </w:r>
      <w:r>
        <w:rPr>
          <w:lang/>
        </w:rPr>
        <w:t>15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"_Toc4172926"</w:instrText>
      </w:r>
      <w:r>
        <w:rPr>
          <w:rStyle w:val="10"/>
          <w:lang/>
        </w:rPr>
        <w:instrText xml:space="preserve"> </w:instrText>
      </w:r>
      <w:r>
        <w:rPr>
          <w:rStyle w:val="10"/>
          <w:lang/>
        </w:rPr>
        <w:fldChar w:fldCharType="separate"/>
      </w:r>
      <w:r>
        <w:rPr>
          <w:rStyle w:val="10"/>
          <w:b/>
          <w:bCs/>
          <w:lang/>
        </w:rPr>
        <w:t xml:space="preserve">6.2 </w:t>
      </w:r>
      <w:r>
        <w:rPr>
          <w:rStyle w:val="10"/>
          <w:rFonts w:hint="eastAsia"/>
          <w:b/>
          <w:bCs/>
          <w:lang/>
        </w:rPr>
        <w:t>审计报告的基本内容</w:t>
      </w:r>
      <w:r>
        <w:rPr>
          <w:lang/>
        </w:rPr>
        <w:tab/>
      </w:r>
      <w:r>
        <w:rPr>
          <w:lang/>
        </w:rPr>
        <w:fldChar w:fldCharType="begin"/>
      </w:r>
      <w:r>
        <w:rPr>
          <w:lang/>
        </w:rPr>
        <w:instrText xml:space="preserve"> PAGEREF _Toc4172926 \h </w:instrText>
      </w:r>
      <w:r>
        <w:rPr>
          <w:lang/>
        </w:rPr>
        <w:fldChar w:fldCharType="separate"/>
      </w:r>
      <w:r>
        <w:rPr>
          <w:lang/>
        </w:rPr>
        <w:t>15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"_Toc4172927"</w:instrText>
      </w:r>
      <w:r>
        <w:rPr>
          <w:rStyle w:val="10"/>
          <w:lang/>
        </w:rPr>
        <w:instrText xml:space="preserve"> </w:instrText>
      </w:r>
      <w:r>
        <w:rPr>
          <w:rStyle w:val="10"/>
          <w:lang/>
        </w:rPr>
        <w:fldChar w:fldCharType="separate"/>
      </w:r>
      <w:r>
        <w:rPr>
          <w:rStyle w:val="10"/>
          <w:b/>
          <w:lang/>
        </w:rPr>
        <w:t xml:space="preserve">§7  </w:t>
      </w:r>
      <w:r>
        <w:rPr>
          <w:rStyle w:val="10"/>
          <w:rFonts w:hint="eastAsia"/>
          <w:b/>
          <w:lang/>
        </w:rPr>
        <w:t>年度财务报表</w:t>
      </w:r>
      <w:r>
        <w:rPr>
          <w:lang/>
        </w:rPr>
        <w:tab/>
      </w:r>
      <w:r>
        <w:rPr>
          <w:lang/>
        </w:rPr>
        <w:fldChar w:fldCharType="begin"/>
      </w:r>
      <w:r>
        <w:rPr>
          <w:lang/>
        </w:rPr>
        <w:instrText xml:space="preserve"> PAGEREF _Toc4172927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"_Toc4172928"</w:instrText>
      </w:r>
      <w:r>
        <w:rPr>
          <w:rStyle w:val="10"/>
          <w:lang/>
        </w:rPr>
        <w:instrText xml:space="preserve"> </w:instrText>
      </w:r>
      <w:r>
        <w:rPr>
          <w:rStyle w:val="10"/>
          <w:lang/>
        </w:rPr>
        <w:fldChar w:fldCharType="separate"/>
      </w:r>
      <w:r>
        <w:rPr>
          <w:rStyle w:val="10"/>
          <w:b/>
          <w:bCs/>
          <w:lang/>
        </w:rPr>
        <w:t xml:space="preserve">7.1 </w:t>
      </w:r>
      <w:r>
        <w:rPr>
          <w:rStyle w:val="10"/>
          <w:rFonts w:hint="eastAsia"/>
          <w:b/>
          <w:bCs/>
          <w:lang/>
        </w:rPr>
        <w:t>资产负债表</w:t>
      </w:r>
      <w:r>
        <w:rPr>
          <w:lang/>
        </w:rPr>
        <w:tab/>
      </w:r>
      <w:r>
        <w:rPr>
          <w:lang/>
        </w:rPr>
        <w:fldChar w:fldCharType="begin"/>
      </w:r>
      <w:r>
        <w:rPr>
          <w:lang/>
        </w:rPr>
        <w:instrText xml:space="preserve"> PAGEREF _Toc4172928 \h </w:instrText>
      </w:r>
      <w:r>
        <w:rPr>
          <w:lang/>
        </w:rPr>
        <w:fldChar w:fldCharType="separate"/>
      </w:r>
      <w:r>
        <w:rPr>
          <w:lang/>
        </w:rPr>
        <w:t>18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"_Toc4172929"</w:instrText>
      </w:r>
      <w:r>
        <w:rPr>
          <w:rStyle w:val="10"/>
          <w:lang/>
        </w:rPr>
        <w:instrText xml:space="preserve"> </w:instrText>
      </w:r>
      <w:r>
        <w:rPr>
          <w:rStyle w:val="10"/>
          <w:lang/>
        </w:rPr>
        <w:fldChar w:fldCharType="separate"/>
      </w:r>
      <w:r>
        <w:rPr>
          <w:rStyle w:val="10"/>
          <w:b/>
          <w:bCs/>
          <w:lang/>
        </w:rPr>
        <w:t xml:space="preserve">7.2 </w:t>
      </w:r>
      <w:r>
        <w:rPr>
          <w:rStyle w:val="10"/>
          <w:rFonts w:hint="eastAsia"/>
          <w:b/>
          <w:bCs/>
          <w:lang/>
        </w:rPr>
        <w:t>利润表</w:t>
      </w:r>
      <w:r>
        <w:rPr>
          <w:lang/>
        </w:rPr>
        <w:tab/>
      </w:r>
      <w:r>
        <w:rPr>
          <w:lang/>
        </w:rPr>
        <w:fldChar w:fldCharType="begin"/>
      </w:r>
      <w:r>
        <w:rPr>
          <w:lang/>
        </w:rPr>
        <w:instrText xml:space="preserve"> PAGEREF _Toc4172929 \h </w:instrText>
      </w:r>
      <w:r>
        <w:rPr>
          <w:lang/>
        </w:rPr>
        <w:fldChar w:fldCharType="separate"/>
      </w:r>
      <w:r>
        <w:rPr>
          <w:lang/>
        </w:rPr>
        <w:t>19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"_Toc4172930"</w:instrText>
      </w:r>
      <w:r>
        <w:rPr>
          <w:rStyle w:val="10"/>
          <w:lang/>
        </w:rPr>
        <w:instrText xml:space="preserve"> </w:instrText>
      </w:r>
      <w:r>
        <w:rPr>
          <w:rStyle w:val="10"/>
          <w:lang/>
        </w:rPr>
        <w:fldChar w:fldCharType="separate"/>
      </w:r>
      <w:r>
        <w:rPr>
          <w:rStyle w:val="10"/>
          <w:b/>
          <w:bCs/>
          <w:lang/>
        </w:rPr>
        <w:t xml:space="preserve">7.3 </w:t>
      </w:r>
      <w:r>
        <w:rPr>
          <w:rStyle w:val="10"/>
          <w:rFonts w:hint="eastAsia"/>
          <w:b/>
          <w:bCs/>
          <w:lang/>
        </w:rPr>
        <w:t>所有者权益（基金净值）变动表</w:t>
      </w:r>
      <w:r>
        <w:rPr>
          <w:lang/>
        </w:rPr>
        <w:tab/>
      </w:r>
      <w:r>
        <w:rPr>
          <w:lang/>
        </w:rPr>
        <w:fldChar w:fldCharType="begin"/>
      </w:r>
      <w:r>
        <w:rPr>
          <w:lang/>
        </w:rPr>
        <w:instrText xml:space="preserve"> PAGEREF _Toc4172930 \h </w:instrText>
      </w:r>
      <w:r>
        <w:rPr>
          <w:lang/>
        </w:rPr>
        <w:fldChar w:fldCharType="separate"/>
      </w:r>
      <w:r>
        <w:rPr>
          <w:lang/>
        </w:rPr>
        <w:t>21</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"_Toc4172931"</w:instrText>
      </w:r>
      <w:r>
        <w:rPr>
          <w:rStyle w:val="10"/>
          <w:lang/>
        </w:rPr>
        <w:instrText xml:space="preserve"> </w:instrText>
      </w:r>
      <w:r>
        <w:rPr>
          <w:rStyle w:val="10"/>
          <w:lang/>
        </w:rPr>
        <w:fldChar w:fldCharType="separate"/>
      </w:r>
      <w:r>
        <w:rPr>
          <w:rStyle w:val="10"/>
          <w:b/>
          <w:bCs/>
          <w:lang/>
        </w:rPr>
        <w:t xml:space="preserve">7.4 </w:t>
      </w:r>
      <w:r>
        <w:rPr>
          <w:rStyle w:val="10"/>
          <w:rFonts w:hint="eastAsia"/>
          <w:b/>
          <w:bCs/>
          <w:lang/>
        </w:rPr>
        <w:t>报表附注</w:t>
      </w:r>
      <w:r>
        <w:rPr>
          <w:lang/>
        </w:rPr>
        <w:tab/>
      </w:r>
      <w:r>
        <w:rPr>
          <w:lang/>
        </w:rPr>
        <w:fldChar w:fldCharType="begin"/>
      </w:r>
      <w:r>
        <w:rPr>
          <w:lang/>
        </w:rPr>
        <w:instrText xml:space="preserve"> PAGEREF _Toc4172931 \h </w:instrText>
      </w:r>
      <w:r>
        <w:rPr>
          <w:lang/>
        </w:rPr>
        <w:fldChar w:fldCharType="separate"/>
      </w:r>
      <w:r>
        <w:rPr>
          <w:lang/>
        </w:rPr>
        <w:t>23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"_Toc4172932"</w:instrText>
      </w:r>
      <w:r>
        <w:rPr>
          <w:rStyle w:val="10"/>
          <w:lang/>
        </w:rPr>
        <w:instrText xml:space="preserve"> </w:instrText>
      </w:r>
      <w:r>
        <w:rPr>
          <w:rStyle w:val="10"/>
          <w:lang/>
        </w:rPr>
        <w:fldChar w:fldCharType="separate"/>
      </w:r>
      <w:r>
        <w:rPr>
          <w:rStyle w:val="10"/>
          <w:b/>
          <w:lang/>
        </w:rPr>
        <w:t xml:space="preserve">§8 </w:t>
      </w:r>
      <w:r>
        <w:rPr>
          <w:rStyle w:val="10"/>
          <w:rFonts w:hint="eastAsia"/>
          <w:b/>
          <w:lang/>
        </w:rPr>
        <w:t>投资组合报告</w:t>
      </w:r>
      <w:r>
        <w:rPr>
          <w:lang/>
        </w:rPr>
        <w:tab/>
      </w:r>
      <w:r>
        <w:rPr>
          <w:lang/>
        </w:rPr>
        <w:fldChar w:fldCharType="begin"/>
      </w:r>
      <w:r>
        <w:rPr>
          <w:lang/>
        </w:rPr>
        <w:instrText xml:space="preserve"> PAGEREF _Toc4172932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"_Toc4172933"</w:instrText>
      </w:r>
      <w:r>
        <w:rPr>
          <w:rStyle w:val="10"/>
          <w:lang/>
        </w:rPr>
        <w:instrText xml:space="preserve"> </w:instrText>
      </w:r>
      <w:r>
        <w:rPr>
          <w:rStyle w:val="10"/>
          <w:lang/>
        </w:rPr>
        <w:fldChar w:fldCharType="separate"/>
      </w:r>
      <w:r>
        <w:rPr>
          <w:rStyle w:val="10"/>
          <w:b/>
          <w:bCs/>
          <w:lang/>
        </w:rPr>
        <w:t xml:space="preserve">8.1 </w:t>
      </w:r>
      <w:r>
        <w:rPr>
          <w:rStyle w:val="10"/>
          <w:rFonts w:hint="eastAsia"/>
          <w:b/>
          <w:bCs/>
          <w:lang/>
        </w:rPr>
        <w:t>期末基金资产组合情况</w:t>
      </w:r>
      <w:r>
        <w:rPr>
          <w:lang/>
        </w:rPr>
        <w:tab/>
      </w:r>
      <w:r>
        <w:rPr>
          <w:lang/>
        </w:rPr>
        <w:fldChar w:fldCharType="begin"/>
      </w:r>
      <w:r>
        <w:rPr>
          <w:lang/>
        </w:rPr>
        <w:instrText xml:space="preserve"> PAGEREF _Toc4172933 \h </w:instrText>
      </w:r>
      <w:r>
        <w:rPr>
          <w:lang/>
        </w:rPr>
        <w:fldChar w:fldCharType="separate"/>
      </w:r>
      <w:r>
        <w:rPr>
          <w:lang/>
        </w:rPr>
        <w:t>47</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"_Toc4172934"</w:instrText>
      </w:r>
      <w:r>
        <w:rPr>
          <w:rStyle w:val="10"/>
          <w:lang/>
        </w:rPr>
        <w:instrText xml:space="preserve"> </w:instrText>
      </w:r>
      <w:r>
        <w:rPr>
          <w:rStyle w:val="10"/>
          <w:lang/>
        </w:rPr>
        <w:fldChar w:fldCharType="separate"/>
      </w:r>
      <w:r>
        <w:rPr>
          <w:rStyle w:val="10"/>
          <w:b/>
          <w:bCs/>
          <w:lang/>
        </w:rPr>
        <w:t xml:space="preserve">8.2 </w:t>
      </w:r>
      <w:r>
        <w:rPr>
          <w:rStyle w:val="10"/>
          <w:rFonts w:hint="eastAsia"/>
          <w:b/>
          <w:bCs/>
          <w:lang/>
        </w:rPr>
        <w:t>报告期末按行业分类的股票投资组合</w:t>
      </w:r>
      <w:r>
        <w:rPr>
          <w:lang/>
        </w:rPr>
        <w:tab/>
      </w:r>
      <w:r>
        <w:rPr>
          <w:lang/>
        </w:rPr>
        <w:fldChar w:fldCharType="begin"/>
      </w:r>
      <w:r>
        <w:rPr>
          <w:lang/>
        </w:rPr>
        <w:instrText xml:space="preserve"> PAGEREF _Toc4172934 \h </w:instrText>
      </w:r>
      <w:r>
        <w:rPr>
          <w:lang/>
        </w:rPr>
        <w:fldChar w:fldCharType="separate"/>
      </w:r>
      <w:r>
        <w:rPr>
          <w:lang/>
        </w:rPr>
        <w:t>48</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"_Toc4172935"</w:instrText>
      </w:r>
      <w:r>
        <w:rPr>
          <w:rStyle w:val="10"/>
          <w:lang/>
        </w:rPr>
        <w:instrText xml:space="preserve"> </w:instrText>
      </w:r>
      <w:r>
        <w:rPr>
          <w:rStyle w:val="10"/>
          <w:lang/>
        </w:rPr>
        <w:fldChar w:fldCharType="separate"/>
      </w:r>
      <w:r>
        <w:rPr>
          <w:rStyle w:val="10"/>
          <w:b/>
          <w:bCs/>
          <w:lang/>
        </w:rPr>
        <w:t xml:space="preserve">8.3 </w:t>
      </w:r>
      <w:r>
        <w:rPr>
          <w:rStyle w:val="10"/>
          <w:rFonts w:hint="eastAsia"/>
          <w:b/>
          <w:bCs/>
          <w:lang/>
        </w:rPr>
        <w:t>期末按公允价值占基金资产净值比例大小排序的所有股票投资明细</w:t>
      </w:r>
      <w:r>
        <w:rPr>
          <w:lang/>
        </w:rPr>
        <w:tab/>
      </w:r>
      <w:r>
        <w:rPr>
          <w:lang/>
        </w:rPr>
        <w:fldChar w:fldCharType="begin"/>
      </w:r>
      <w:r>
        <w:rPr>
          <w:lang/>
        </w:rPr>
        <w:instrText xml:space="preserve"> PAGEREF _Toc4172935 \h </w:instrText>
      </w:r>
      <w:r>
        <w:rPr>
          <w:lang/>
        </w:rPr>
        <w:fldChar w:fldCharType="separate"/>
      </w:r>
      <w:r>
        <w:rPr>
          <w:lang/>
        </w:rPr>
        <w:t>49</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"_Toc4172936"</w:instrText>
      </w:r>
      <w:r>
        <w:rPr>
          <w:rStyle w:val="10"/>
          <w:lang/>
        </w:rPr>
        <w:instrText xml:space="preserve"> </w:instrText>
      </w:r>
      <w:r>
        <w:rPr>
          <w:rStyle w:val="10"/>
          <w:lang/>
        </w:rPr>
        <w:fldChar w:fldCharType="separate"/>
      </w:r>
      <w:r>
        <w:rPr>
          <w:rStyle w:val="10"/>
          <w:b/>
          <w:bCs/>
          <w:lang/>
        </w:rPr>
        <w:t xml:space="preserve">8.4 </w:t>
      </w:r>
      <w:r>
        <w:rPr>
          <w:rStyle w:val="10"/>
          <w:rFonts w:hint="eastAsia"/>
          <w:b/>
          <w:bCs/>
          <w:lang/>
        </w:rPr>
        <w:t>报告期内股票投资组合的重大变动</w:t>
      </w:r>
      <w:r>
        <w:rPr>
          <w:lang/>
        </w:rPr>
        <w:tab/>
      </w:r>
      <w:r>
        <w:rPr>
          <w:lang/>
        </w:rPr>
        <w:fldChar w:fldCharType="begin"/>
      </w:r>
      <w:r>
        <w:rPr>
          <w:lang/>
        </w:rPr>
        <w:instrText xml:space="preserve"> PAGEREF _Toc4172936 \h </w:instrText>
      </w:r>
      <w:r>
        <w:rPr>
          <w:lang/>
        </w:rPr>
        <w:fldChar w:fldCharType="separate"/>
      </w:r>
      <w:r>
        <w:rPr>
          <w:lang/>
        </w:rPr>
        <w:t>50</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"_Toc4172937"</w:instrText>
      </w:r>
      <w:r>
        <w:rPr>
          <w:rStyle w:val="10"/>
          <w:lang/>
        </w:rPr>
        <w:instrText xml:space="preserve"> </w:instrText>
      </w:r>
      <w:r>
        <w:rPr>
          <w:rStyle w:val="10"/>
          <w:lang/>
        </w:rPr>
        <w:fldChar w:fldCharType="separate"/>
      </w:r>
      <w:r>
        <w:rPr>
          <w:rStyle w:val="10"/>
          <w:b/>
          <w:bCs/>
          <w:lang/>
        </w:rPr>
        <w:t xml:space="preserve">8.5 </w:t>
      </w:r>
      <w:r>
        <w:rPr>
          <w:rStyle w:val="10"/>
          <w:rFonts w:hint="eastAsia"/>
          <w:b/>
          <w:bCs/>
          <w:lang/>
        </w:rPr>
        <w:t>期末按债券品种分类的债券投资组合</w:t>
      </w:r>
      <w:r>
        <w:rPr>
          <w:lang/>
        </w:rPr>
        <w:tab/>
      </w:r>
      <w:r>
        <w:rPr>
          <w:lang/>
        </w:rPr>
        <w:fldChar w:fldCharType="begin"/>
      </w:r>
      <w:r>
        <w:rPr>
          <w:lang/>
        </w:rPr>
        <w:instrText xml:space="preserve"> PAGEREF _Toc4172937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"_Toc4172938"</w:instrText>
      </w:r>
      <w:r>
        <w:rPr>
          <w:rStyle w:val="10"/>
          <w:lang/>
        </w:rPr>
        <w:instrText xml:space="preserve"> </w:instrText>
      </w:r>
      <w:r>
        <w:rPr>
          <w:rStyle w:val="10"/>
          <w:lang/>
        </w:rPr>
        <w:fldChar w:fldCharType="separate"/>
      </w:r>
      <w:r>
        <w:rPr>
          <w:rStyle w:val="10"/>
          <w:b/>
          <w:bCs/>
          <w:lang/>
        </w:rPr>
        <w:t xml:space="preserve">8.6 </w:t>
      </w:r>
      <w:r>
        <w:rPr>
          <w:rStyle w:val="10"/>
          <w:rFonts w:hint="eastAsia"/>
          <w:b/>
          <w:bCs/>
          <w:lang/>
        </w:rPr>
        <w:t>期末按公允价值占基金资产净值比例大小排序的前五名债券投资明细</w:t>
      </w:r>
      <w:r>
        <w:rPr>
          <w:lang/>
        </w:rPr>
        <w:tab/>
      </w:r>
      <w:r>
        <w:rPr>
          <w:lang/>
        </w:rPr>
        <w:fldChar w:fldCharType="begin"/>
      </w:r>
      <w:r>
        <w:rPr>
          <w:lang/>
        </w:rPr>
        <w:instrText xml:space="preserve"> PAGEREF _Toc4172938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"_Toc4172939"</w:instrText>
      </w:r>
      <w:r>
        <w:rPr>
          <w:rStyle w:val="10"/>
          <w:lang/>
        </w:rPr>
        <w:instrText xml:space="preserve"> </w:instrText>
      </w:r>
      <w:r>
        <w:rPr>
          <w:rStyle w:val="10"/>
          <w:lang/>
        </w:rPr>
        <w:fldChar w:fldCharType="separate"/>
      </w:r>
      <w:r>
        <w:rPr>
          <w:rStyle w:val="10"/>
          <w:b/>
          <w:bCs/>
          <w:lang/>
        </w:rPr>
        <w:t xml:space="preserve">8.7 </w:t>
      </w:r>
      <w:r>
        <w:rPr>
          <w:rStyle w:val="10"/>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_Toc4172939 \h </w:instrText>
      </w:r>
      <w:r>
        <w:rPr>
          <w:lang/>
        </w:rPr>
        <w:fldChar w:fldCharType="separate"/>
      </w:r>
      <w:r>
        <w:rPr>
          <w:lang/>
        </w:rPr>
        <w:t>52</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"_Toc4172940"</w:instrText>
      </w:r>
      <w:r>
        <w:rPr>
          <w:rStyle w:val="10"/>
          <w:lang/>
        </w:rPr>
        <w:instrText xml:space="preserve"> </w:instrText>
      </w:r>
      <w:r>
        <w:rPr>
          <w:rStyle w:val="10"/>
          <w:lang/>
        </w:rPr>
        <w:fldChar w:fldCharType="separate"/>
      </w:r>
      <w:r>
        <w:rPr>
          <w:rStyle w:val="10"/>
          <w:b/>
          <w:bCs/>
          <w:lang/>
        </w:rPr>
        <w:t xml:space="preserve">8.8 </w:t>
      </w:r>
      <w:r>
        <w:rPr>
          <w:rStyle w:val="10"/>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_Toc4172940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"_Toc4172941"</w:instrText>
      </w:r>
      <w:r>
        <w:rPr>
          <w:rStyle w:val="10"/>
          <w:lang/>
        </w:rPr>
        <w:instrText xml:space="preserve"> </w:instrText>
      </w:r>
      <w:r>
        <w:rPr>
          <w:rStyle w:val="10"/>
          <w:lang/>
        </w:rPr>
        <w:fldChar w:fldCharType="separate"/>
      </w:r>
      <w:r>
        <w:rPr>
          <w:rStyle w:val="10"/>
          <w:b/>
          <w:bCs/>
          <w:lang/>
        </w:rPr>
        <w:t xml:space="preserve">8.9 </w:t>
      </w:r>
      <w:r>
        <w:rPr>
          <w:rStyle w:val="10"/>
          <w:rFonts w:hint="eastAsia"/>
          <w:b/>
          <w:bCs/>
          <w:lang/>
        </w:rPr>
        <w:t>期末按公允价值占基金资产净值比例大小排序的前五名权证投资明细</w:t>
      </w:r>
      <w:r>
        <w:rPr>
          <w:lang/>
        </w:rPr>
        <w:tab/>
      </w:r>
      <w:r>
        <w:rPr>
          <w:lang/>
        </w:rPr>
        <w:fldChar w:fldCharType="begin"/>
      </w:r>
      <w:r>
        <w:rPr>
          <w:lang/>
        </w:rPr>
        <w:instrText xml:space="preserve"> PAGEREF _Toc4172941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"_Toc4172942"</w:instrText>
      </w:r>
      <w:r>
        <w:rPr>
          <w:rStyle w:val="10"/>
          <w:lang/>
        </w:rPr>
        <w:instrText xml:space="preserve"> </w:instrText>
      </w:r>
      <w:r>
        <w:rPr>
          <w:rStyle w:val="10"/>
          <w:lang/>
        </w:rPr>
        <w:fldChar w:fldCharType="separate"/>
      </w:r>
      <w:r>
        <w:rPr>
          <w:rStyle w:val="10"/>
          <w:b/>
          <w:bCs/>
          <w:lang/>
        </w:rPr>
        <w:t xml:space="preserve">8.10 </w:t>
      </w:r>
      <w:r>
        <w:rPr>
          <w:rStyle w:val="10"/>
          <w:rFonts w:hint="eastAsia"/>
          <w:b/>
          <w:bCs/>
          <w:lang/>
        </w:rPr>
        <w:t>报告期末本基金投资的股指期货交易情况说明</w:t>
      </w:r>
      <w:r>
        <w:rPr>
          <w:lang/>
        </w:rPr>
        <w:tab/>
      </w:r>
      <w:r>
        <w:rPr>
          <w:lang/>
        </w:rPr>
        <w:fldChar w:fldCharType="begin"/>
      </w:r>
      <w:r>
        <w:rPr>
          <w:lang/>
        </w:rPr>
        <w:instrText xml:space="preserve"> PAGEREF _Toc4172942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"_Toc4172943"</w:instrText>
      </w:r>
      <w:r>
        <w:rPr>
          <w:rStyle w:val="10"/>
          <w:lang/>
        </w:rPr>
        <w:instrText xml:space="preserve"> </w:instrText>
      </w:r>
      <w:r>
        <w:rPr>
          <w:rStyle w:val="10"/>
          <w:lang/>
        </w:rPr>
        <w:fldChar w:fldCharType="separate"/>
      </w:r>
      <w:r>
        <w:rPr>
          <w:rStyle w:val="10"/>
          <w:b/>
          <w:bCs/>
          <w:lang/>
        </w:rPr>
        <w:t xml:space="preserve">8.11 </w:t>
      </w:r>
      <w:r>
        <w:rPr>
          <w:rStyle w:val="10"/>
          <w:rFonts w:hint="eastAsia"/>
          <w:b/>
          <w:bCs/>
          <w:lang/>
        </w:rPr>
        <w:t>报告期末本基金投资的国债期货交易情况说明</w:t>
      </w:r>
      <w:r>
        <w:rPr>
          <w:lang/>
        </w:rPr>
        <w:tab/>
      </w:r>
      <w:r>
        <w:rPr>
          <w:lang/>
        </w:rPr>
        <w:fldChar w:fldCharType="begin"/>
      </w:r>
      <w:r>
        <w:rPr>
          <w:lang/>
        </w:rPr>
        <w:instrText xml:space="preserve"> PAGEREF _Toc4172943 \h </w:instrText>
      </w:r>
      <w:r>
        <w:rPr>
          <w:lang/>
        </w:rPr>
        <w:fldChar w:fldCharType="separate"/>
      </w:r>
      <w:r>
        <w:rPr>
          <w:lang/>
        </w:rPr>
        <w:t>53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"_Toc4172944"</w:instrText>
      </w:r>
      <w:r>
        <w:rPr>
          <w:rStyle w:val="10"/>
          <w:lang/>
        </w:rPr>
        <w:instrText xml:space="preserve"> </w:instrText>
      </w:r>
      <w:r>
        <w:rPr>
          <w:rStyle w:val="10"/>
          <w:lang/>
        </w:rPr>
        <w:fldChar w:fldCharType="separate"/>
      </w:r>
      <w:r>
        <w:rPr>
          <w:rStyle w:val="10"/>
          <w:b/>
          <w:bCs/>
          <w:lang/>
        </w:rPr>
        <w:t xml:space="preserve">8.12 </w:t>
      </w:r>
      <w:r>
        <w:rPr>
          <w:rStyle w:val="10"/>
          <w:rFonts w:hint="eastAsia"/>
          <w:b/>
          <w:bCs/>
          <w:lang/>
        </w:rPr>
        <w:t>投资组合报告附注</w:t>
      </w:r>
      <w:r>
        <w:rPr>
          <w:lang/>
        </w:rPr>
        <w:tab/>
      </w:r>
      <w:r>
        <w:rPr>
          <w:lang/>
        </w:rPr>
        <w:fldChar w:fldCharType="begin"/>
      </w:r>
      <w:r>
        <w:rPr>
          <w:lang/>
        </w:rPr>
        <w:instrText xml:space="preserve"> PAGEREF _Toc4172944 \h </w:instrText>
      </w:r>
      <w:r>
        <w:rPr>
          <w:lang/>
        </w:rPr>
        <w:fldChar w:fldCharType="separate"/>
      </w:r>
      <w:r>
        <w:rPr>
          <w:lang/>
        </w:rPr>
        <w:t>53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"_Toc4172945"</w:instrText>
      </w:r>
      <w:r>
        <w:rPr>
          <w:rStyle w:val="10"/>
          <w:lang/>
        </w:rPr>
        <w:instrText xml:space="preserve"> </w:instrText>
      </w:r>
      <w:r>
        <w:rPr>
          <w:rStyle w:val="10"/>
          <w:lang/>
        </w:rPr>
        <w:fldChar w:fldCharType="separate"/>
      </w:r>
      <w:r>
        <w:rPr>
          <w:rStyle w:val="10"/>
          <w:b/>
          <w:lang/>
        </w:rPr>
        <w:t xml:space="preserve">§9  </w:t>
      </w:r>
      <w:r>
        <w:rPr>
          <w:rStyle w:val="10"/>
          <w:rFonts w:hint="eastAsia"/>
          <w:b/>
          <w:lang/>
        </w:rPr>
        <w:t>基金份额持有人信息</w:t>
      </w:r>
      <w:r>
        <w:rPr>
          <w:lang/>
        </w:rPr>
        <w:tab/>
      </w:r>
      <w:r>
        <w:rPr>
          <w:lang/>
        </w:rPr>
        <w:fldChar w:fldCharType="begin"/>
      </w:r>
      <w:r>
        <w:rPr>
          <w:lang/>
        </w:rPr>
        <w:instrText xml:space="preserve"> PAGEREF _Toc4172945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"_Toc4172946"</w:instrText>
      </w:r>
      <w:r>
        <w:rPr>
          <w:rStyle w:val="10"/>
          <w:lang/>
        </w:rPr>
        <w:instrText xml:space="preserve"> </w:instrText>
      </w:r>
      <w:r>
        <w:rPr>
          <w:rStyle w:val="10"/>
          <w:lang/>
        </w:rPr>
        <w:fldChar w:fldCharType="separate"/>
      </w:r>
      <w:r>
        <w:rPr>
          <w:rStyle w:val="10"/>
          <w:b/>
          <w:bCs/>
          <w:lang/>
        </w:rPr>
        <w:t xml:space="preserve">9.1 </w:t>
      </w:r>
      <w:r>
        <w:rPr>
          <w:rStyle w:val="10"/>
          <w:rFonts w:hint="eastAsia"/>
          <w:b/>
          <w:bCs/>
          <w:lang/>
        </w:rPr>
        <w:t>期末基金份额持有人户数及持有人结构</w:t>
      </w:r>
      <w:r>
        <w:rPr>
          <w:lang/>
        </w:rPr>
        <w:tab/>
      </w:r>
      <w:r>
        <w:rPr>
          <w:lang/>
        </w:rPr>
        <w:fldChar w:fldCharType="begin"/>
      </w:r>
      <w:r>
        <w:rPr>
          <w:lang/>
        </w:rPr>
        <w:instrText xml:space="preserve"> PAGEREF _Toc4172946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"_Toc4172947"</w:instrText>
      </w:r>
      <w:r>
        <w:rPr>
          <w:rStyle w:val="10"/>
          <w:lang/>
        </w:rPr>
        <w:instrText xml:space="preserve"> </w:instrText>
      </w:r>
      <w:r>
        <w:rPr>
          <w:rStyle w:val="10"/>
          <w:lang/>
        </w:rPr>
        <w:fldChar w:fldCharType="separate"/>
      </w:r>
      <w:r>
        <w:rPr>
          <w:rStyle w:val="10"/>
          <w:b/>
          <w:lang/>
        </w:rPr>
        <w:t xml:space="preserve">9.2 </w:t>
      </w:r>
      <w:r>
        <w:rPr>
          <w:rStyle w:val="10"/>
          <w:rFonts w:hint="eastAsia"/>
          <w:b/>
          <w:lang/>
        </w:rPr>
        <w:t>期末基金管理人的从业人员持有本基金的情况</w:t>
      </w:r>
      <w:r>
        <w:rPr>
          <w:lang/>
        </w:rPr>
        <w:tab/>
      </w:r>
      <w:r>
        <w:rPr>
          <w:lang/>
        </w:rPr>
        <w:fldChar w:fldCharType="begin"/>
      </w:r>
      <w:r>
        <w:rPr>
          <w:lang/>
        </w:rPr>
        <w:instrText xml:space="preserve"> PAGEREF _Toc4172947 \h </w:instrText>
      </w:r>
      <w:r>
        <w:rPr>
          <w:lang/>
        </w:rPr>
        <w:fldChar w:fldCharType="separate"/>
      </w:r>
      <w:r>
        <w:rPr>
          <w:lang/>
        </w:rPr>
        <w:t>54</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"_Toc4172948"</w:instrText>
      </w:r>
      <w:r>
        <w:rPr>
          <w:rStyle w:val="10"/>
          <w:lang/>
        </w:rPr>
        <w:instrText xml:space="preserve"> </w:instrText>
      </w:r>
      <w:r>
        <w:rPr>
          <w:rStyle w:val="10"/>
          <w:lang/>
        </w:rPr>
        <w:fldChar w:fldCharType="separate"/>
      </w:r>
      <w:r>
        <w:rPr>
          <w:rStyle w:val="10"/>
          <w:b/>
          <w:bCs/>
          <w:lang/>
        </w:rPr>
        <w:t xml:space="preserve">9.3 </w:t>
      </w:r>
      <w:r>
        <w:rPr>
          <w:rStyle w:val="10"/>
          <w:rFonts w:hint="eastAsia"/>
          <w:b/>
          <w:bCs/>
          <w:lang/>
        </w:rPr>
        <w:t>期末基金管理人的从业人员持有本开放式基金份额总量区间情况</w:t>
      </w:r>
      <w:r>
        <w:rPr>
          <w:lang/>
        </w:rPr>
        <w:tab/>
      </w:r>
      <w:r>
        <w:rPr>
          <w:lang/>
        </w:rPr>
        <w:fldChar w:fldCharType="begin"/>
      </w:r>
      <w:r>
        <w:rPr>
          <w:lang/>
        </w:rPr>
        <w:instrText xml:space="preserve"> PAGEREF _Toc4172948 \h </w:instrText>
      </w:r>
      <w:r>
        <w:rPr>
          <w:lang/>
        </w:rPr>
        <w:fldChar w:fldCharType="separate"/>
      </w:r>
      <w:r>
        <w:rPr>
          <w:lang/>
        </w:rPr>
        <w:t>54</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"_Toc4172949"</w:instrText>
      </w:r>
      <w:r>
        <w:rPr>
          <w:rStyle w:val="10"/>
          <w:lang/>
        </w:rPr>
        <w:instrText xml:space="preserve"> </w:instrText>
      </w:r>
      <w:r>
        <w:rPr>
          <w:rStyle w:val="10"/>
          <w:lang/>
        </w:rPr>
        <w:fldChar w:fldCharType="separate"/>
      </w:r>
      <w:r>
        <w:rPr>
          <w:rStyle w:val="10"/>
          <w:b/>
          <w:lang/>
        </w:rPr>
        <w:t xml:space="preserve">§10  </w:t>
      </w:r>
      <w:r>
        <w:rPr>
          <w:rStyle w:val="10"/>
          <w:rFonts w:hint="eastAsia"/>
          <w:b/>
          <w:lang/>
        </w:rPr>
        <w:t>开放式基金份额变动</w:t>
      </w:r>
      <w:r>
        <w:rPr>
          <w:lang/>
        </w:rPr>
        <w:tab/>
      </w:r>
      <w:r>
        <w:rPr>
          <w:lang/>
        </w:rPr>
        <w:fldChar w:fldCharType="begin"/>
      </w:r>
      <w:r>
        <w:rPr>
          <w:lang/>
        </w:rPr>
        <w:instrText xml:space="preserve"> PAGEREF _Toc4172949 \h </w:instrText>
      </w:r>
      <w:r>
        <w:rPr>
          <w:lang/>
        </w:rPr>
        <w:fldChar w:fldCharType="separate"/>
      </w:r>
      <w:r>
        <w:rPr>
          <w:lang/>
        </w:rPr>
        <w:t>55</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"_Toc4172950"</w:instrText>
      </w:r>
      <w:r>
        <w:rPr>
          <w:rStyle w:val="10"/>
          <w:lang/>
        </w:rPr>
        <w:instrText xml:space="preserve"> </w:instrText>
      </w:r>
      <w:r>
        <w:rPr>
          <w:rStyle w:val="10"/>
          <w:lang/>
        </w:rPr>
        <w:fldChar w:fldCharType="separate"/>
      </w:r>
      <w:r>
        <w:rPr>
          <w:rStyle w:val="10"/>
          <w:b/>
          <w:lang/>
        </w:rPr>
        <w:t xml:space="preserve">§11  </w:t>
      </w:r>
      <w:r>
        <w:rPr>
          <w:rStyle w:val="10"/>
          <w:rFonts w:hint="eastAsia"/>
          <w:b/>
          <w:lang/>
        </w:rPr>
        <w:t>重大事件揭示</w:t>
      </w:r>
      <w:r>
        <w:rPr>
          <w:lang/>
        </w:rPr>
        <w:tab/>
      </w:r>
      <w:r>
        <w:rPr>
          <w:lang/>
        </w:rPr>
        <w:fldChar w:fldCharType="begin"/>
      </w:r>
      <w:r>
        <w:rPr>
          <w:lang/>
        </w:rPr>
        <w:instrText xml:space="preserve"> PAGEREF _Toc4172950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"_Toc4172951"</w:instrText>
      </w:r>
      <w:r>
        <w:rPr>
          <w:rStyle w:val="10"/>
          <w:lang/>
        </w:rPr>
        <w:instrText xml:space="preserve"> </w:instrText>
      </w:r>
      <w:r>
        <w:rPr>
          <w:rStyle w:val="10"/>
          <w:lang/>
        </w:rPr>
        <w:fldChar w:fldCharType="separate"/>
      </w:r>
      <w:r>
        <w:rPr>
          <w:rStyle w:val="10"/>
          <w:b/>
          <w:bCs/>
          <w:lang/>
        </w:rPr>
        <w:t xml:space="preserve">11.1 </w:t>
      </w:r>
      <w:r>
        <w:rPr>
          <w:rStyle w:val="10"/>
          <w:rFonts w:hint="eastAsia"/>
          <w:b/>
          <w:bCs/>
          <w:lang/>
        </w:rPr>
        <w:t>基金份额持有人大会决议</w:t>
      </w:r>
      <w:r>
        <w:rPr>
          <w:lang/>
        </w:rPr>
        <w:tab/>
      </w:r>
      <w:r>
        <w:rPr>
          <w:lang/>
        </w:rPr>
        <w:fldChar w:fldCharType="begin"/>
      </w:r>
      <w:r>
        <w:rPr>
          <w:lang/>
        </w:rPr>
        <w:instrText xml:space="preserve"> PAGEREF _Toc4172951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"_Toc4172952"</w:instrText>
      </w:r>
      <w:r>
        <w:rPr>
          <w:rStyle w:val="10"/>
          <w:lang/>
        </w:rPr>
        <w:instrText xml:space="preserve"> </w:instrText>
      </w:r>
      <w:r>
        <w:rPr>
          <w:rStyle w:val="10"/>
          <w:lang/>
        </w:rPr>
        <w:fldChar w:fldCharType="separate"/>
      </w:r>
      <w:r>
        <w:rPr>
          <w:rStyle w:val="10"/>
          <w:b/>
          <w:bCs/>
          <w:lang/>
        </w:rPr>
        <w:t xml:space="preserve">11.2 </w:t>
      </w:r>
      <w:r>
        <w:rPr>
          <w:rStyle w:val="10"/>
          <w:rFonts w:hint="eastAsia"/>
          <w:b/>
          <w:bCs/>
          <w:lang/>
        </w:rPr>
        <w:t>基金管理人、基金托管人的专门基金托管部门的重大人事变动</w:t>
      </w:r>
      <w:r>
        <w:rPr>
          <w:lang/>
        </w:rPr>
        <w:tab/>
      </w:r>
      <w:r>
        <w:rPr>
          <w:lang/>
        </w:rPr>
        <w:fldChar w:fldCharType="begin"/>
      </w:r>
      <w:r>
        <w:rPr>
          <w:lang/>
        </w:rPr>
        <w:instrText xml:space="preserve"> PAGEREF _Toc4172952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"_Toc4172953"</w:instrText>
      </w:r>
      <w:r>
        <w:rPr>
          <w:rStyle w:val="10"/>
          <w:lang/>
        </w:rPr>
        <w:instrText xml:space="preserve"> </w:instrText>
      </w:r>
      <w:r>
        <w:rPr>
          <w:rStyle w:val="10"/>
          <w:lang/>
        </w:rPr>
        <w:fldChar w:fldCharType="separate"/>
      </w:r>
      <w:r>
        <w:rPr>
          <w:rStyle w:val="10"/>
          <w:b/>
          <w:bCs/>
          <w:lang/>
        </w:rPr>
        <w:t xml:space="preserve">11.3 </w:t>
      </w:r>
      <w:r>
        <w:rPr>
          <w:rStyle w:val="10"/>
          <w:rFonts w:hint="eastAsia"/>
          <w:b/>
          <w:bCs/>
          <w:lang/>
        </w:rPr>
        <w:t>涉及基金管理人、基金财产、基金托管业务的诉讼</w:t>
      </w:r>
      <w:r>
        <w:rPr>
          <w:lang/>
        </w:rPr>
        <w:tab/>
      </w:r>
      <w:r>
        <w:rPr>
          <w:lang/>
        </w:rPr>
        <w:fldChar w:fldCharType="begin"/>
      </w:r>
      <w:r>
        <w:rPr>
          <w:lang/>
        </w:rPr>
        <w:instrText xml:space="preserve"> PAGEREF _Toc4172953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"_Toc4172954"</w:instrText>
      </w:r>
      <w:r>
        <w:rPr>
          <w:rStyle w:val="10"/>
          <w:lang/>
        </w:rPr>
        <w:instrText xml:space="preserve"> </w:instrText>
      </w:r>
      <w:r>
        <w:rPr>
          <w:rStyle w:val="10"/>
          <w:lang/>
        </w:rPr>
        <w:fldChar w:fldCharType="separate"/>
      </w:r>
      <w:r>
        <w:rPr>
          <w:rStyle w:val="10"/>
          <w:b/>
          <w:bCs/>
          <w:lang/>
        </w:rPr>
        <w:t xml:space="preserve">11.4 </w:t>
      </w:r>
      <w:r>
        <w:rPr>
          <w:rStyle w:val="10"/>
          <w:rFonts w:hint="eastAsia"/>
          <w:b/>
          <w:bCs/>
          <w:lang/>
        </w:rPr>
        <w:t>基金投资策略的改变</w:t>
      </w:r>
      <w:r>
        <w:rPr>
          <w:lang/>
        </w:rPr>
        <w:tab/>
      </w:r>
      <w:r>
        <w:rPr>
          <w:lang/>
        </w:rPr>
        <w:fldChar w:fldCharType="begin"/>
      </w:r>
      <w:r>
        <w:rPr>
          <w:lang/>
        </w:rPr>
        <w:instrText xml:space="preserve"> PAGEREF _Toc4172954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"_Toc4172955"</w:instrText>
      </w:r>
      <w:r>
        <w:rPr>
          <w:rStyle w:val="10"/>
          <w:lang/>
        </w:rPr>
        <w:instrText xml:space="preserve"> </w:instrText>
      </w:r>
      <w:r>
        <w:rPr>
          <w:rStyle w:val="10"/>
          <w:lang/>
        </w:rPr>
        <w:fldChar w:fldCharType="separate"/>
      </w:r>
      <w:r>
        <w:rPr>
          <w:rStyle w:val="10"/>
          <w:b/>
          <w:bCs/>
          <w:lang/>
        </w:rPr>
        <w:t xml:space="preserve">11.5 </w:t>
      </w:r>
      <w:r>
        <w:rPr>
          <w:rStyle w:val="10"/>
          <w:rFonts w:hint="eastAsia"/>
          <w:b/>
          <w:bCs/>
          <w:lang/>
        </w:rPr>
        <w:t>为基金进行审计的会计师事务所情况</w:t>
      </w:r>
      <w:r>
        <w:rPr>
          <w:lang/>
        </w:rPr>
        <w:tab/>
      </w:r>
      <w:r>
        <w:rPr>
          <w:lang/>
        </w:rPr>
        <w:fldChar w:fldCharType="begin"/>
      </w:r>
      <w:r>
        <w:rPr>
          <w:lang/>
        </w:rPr>
        <w:instrText xml:space="preserve"> PAGEREF _Toc4172955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"_Toc4172956"</w:instrText>
      </w:r>
      <w:r>
        <w:rPr>
          <w:rStyle w:val="10"/>
          <w:lang/>
        </w:rPr>
        <w:instrText xml:space="preserve"> </w:instrText>
      </w:r>
      <w:r>
        <w:rPr>
          <w:rStyle w:val="10"/>
          <w:lang/>
        </w:rPr>
        <w:fldChar w:fldCharType="separate"/>
      </w:r>
      <w:r>
        <w:rPr>
          <w:rStyle w:val="10"/>
          <w:b/>
          <w:bCs/>
          <w:lang/>
        </w:rPr>
        <w:t xml:space="preserve">11.6 </w:t>
      </w:r>
      <w:r>
        <w:rPr>
          <w:rStyle w:val="10"/>
          <w:rFonts w:hint="eastAsia"/>
          <w:b/>
          <w:bCs/>
          <w:lang/>
        </w:rPr>
        <w:t>管理人、托管人及其高级管理人员受稽查或处罚等情况</w:t>
      </w:r>
      <w:r>
        <w:rPr>
          <w:lang/>
        </w:rPr>
        <w:tab/>
      </w:r>
      <w:r>
        <w:rPr>
          <w:lang/>
        </w:rPr>
        <w:fldChar w:fldCharType="begin"/>
      </w:r>
      <w:r>
        <w:rPr>
          <w:lang/>
        </w:rPr>
        <w:instrText xml:space="preserve"> PAGEREF _Toc4172956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"_Toc4172957"</w:instrText>
      </w:r>
      <w:r>
        <w:rPr>
          <w:rStyle w:val="10"/>
          <w:lang/>
        </w:rPr>
        <w:instrText xml:space="preserve"> </w:instrText>
      </w:r>
      <w:r>
        <w:rPr>
          <w:rStyle w:val="10"/>
          <w:lang/>
        </w:rPr>
        <w:fldChar w:fldCharType="separate"/>
      </w:r>
      <w:r>
        <w:rPr>
          <w:rStyle w:val="10"/>
          <w:b/>
          <w:bCs/>
          <w:lang/>
        </w:rPr>
        <w:t xml:space="preserve">11.7 </w:t>
      </w:r>
      <w:r>
        <w:rPr>
          <w:rStyle w:val="10"/>
          <w:rFonts w:hint="eastAsia"/>
          <w:b/>
          <w:bCs/>
          <w:lang/>
        </w:rPr>
        <w:t>基金租用证券公司交易单元的有关情况</w:t>
      </w:r>
      <w:r>
        <w:rPr>
          <w:lang/>
        </w:rPr>
        <w:tab/>
      </w:r>
      <w:r>
        <w:rPr>
          <w:lang/>
        </w:rPr>
        <w:fldChar w:fldCharType="begin"/>
      </w:r>
      <w:r>
        <w:rPr>
          <w:lang/>
        </w:rPr>
        <w:instrText xml:space="preserve"> PAGEREF _Toc4172957 \h </w:instrText>
      </w:r>
      <w:r>
        <w:rPr>
          <w:lang/>
        </w:rPr>
        <w:fldChar w:fldCharType="separate"/>
      </w:r>
      <w:r>
        <w:rPr>
          <w:lang/>
        </w:rPr>
        <w:t>55</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"_Toc4172958"</w:instrText>
      </w:r>
      <w:r>
        <w:rPr>
          <w:rStyle w:val="10"/>
          <w:lang/>
        </w:rPr>
        <w:instrText xml:space="preserve"> </w:instrText>
      </w:r>
      <w:r>
        <w:rPr>
          <w:rStyle w:val="10"/>
          <w:lang/>
        </w:rPr>
        <w:fldChar w:fldCharType="separate"/>
      </w:r>
      <w:r>
        <w:rPr>
          <w:rStyle w:val="10"/>
          <w:b/>
          <w:bCs/>
          <w:lang/>
        </w:rPr>
        <w:t xml:space="preserve">11.8 </w:t>
      </w:r>
      <w:r>
        <w:rPr>
          <w:rStyle w:val="10"/>
          <w:rFonts w:hint="eastAsia"/>
          <w:b/>
          <w:bCs/>
          <w:lang/>
        </w:rPr>
        <w:t>其他重大事件</w:t>
      </w:r>
      <w:r>
        <w:rPr>
          <w:lang/>
        </w:rPr>
        <w:tab/>
      </w:r>
      <w:r>
        <w:rPr>
          <w:lang/>
        </w:rPr>
        <w:fldChar w:fldCharType="begin"/>
      </w:r>
      <w:r>
        <w:rPr>
          <w:lang/>
        </w:rPr>
        <w:instrText xml:space="preserve"> PAGEREF _Toc4172958 \h </w:instrText>
      </w:r>
      <w:r>
        <w:rPr>
          <w:lang/>
        </w:rPr>
        <w:fldChar w:fldCharType="separate"/>
      </w:r>
      <w:r>
        <w:rPr>
          <w:lang/>
        </w:rPr>
        <w:t>59</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"_Toc4172959"</w:instrText>
      </w:r>
      <w:r>
        <w:rPr>
          <w:rStyle w:val="10"/>
          <w:lang/>
        </w:rPr>
        <w:instrText xml:space="preserve"> </w:instrText>
      </w:r>
      <w:r>
        <w:rPr>
          <w:rStyle w:val="10"/>
          <w:lang/>
        </w:rPr>
        <w:fldChar w:fldCharType="separate"/>
      </w:r>
      <w:r>
        <w:rPr>
          <w:rStyle w:val="10"/>
          <w:b/>
          <w:lang/>
        </w:rPr>
        <w:t xml:space="preserve">§12  </w:t>
      </w:r>
      <w:r>
        <w:rPr>
          <w:rStyle w:val="10"/>
          <w:rFonts w:hint="eastAsia"/>
          <w:b/>
          <w:lang/>
        </w:rPr>
        <w:t>影响投资者决策的其他重要信息</w:t>
      </w:r>
      <w:r>
        <w:rPr>
          <w:lang/>
        </w:rPr>
        <w:tab/>
      </w:r>
      <w:r>
        <w:rPr>
          <w:lang/>
        </w:rPr>
        <w:fldChar w:fldCharType="begin"/>
      </w:r>
      <w:r>
        <w:rPr>
          <w:lang/>
        </w:rPr>
        <w:instrText xml:space="preserve"> PAGEREF _Toc4172959 \h </w:instrText>
      </w:r>
      <w:r>
        <w:rPr>
          <w:lang/>
        </w:rPr>
        <w:fldChar w:fldCharType="separate"/>
      </w:r>
      <w:r>
        <w:rPr>
          <w:lang/>
        </w:rPr>
        <w:t>63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"_Toc4172960"</w:instrText>
      </w:r>
      <w:r>
        <w:rPr>
          <w:rStyle w:val="10"/>
          <w:lang/>
        </w:rPr>
        <w:instrText xml:space="preserve"> </w:instrText>
      </w:r>
      <w:r>
        <w:rPr>
          <w:rStyle w:val="10"/>
          <w:lang/>
        </w:rPr>
        <w:fldChar w:fldCharType="separate"/>
      </w:r>
      <w:r>
        <w:rPr>
          <w:rStyle w:val="10"/>
          <w:b/>
          <w:bCs/>
          <w:lang/>
        </w:rPr>
        <w:t xml:space="preserve">12.1 </w:t>
      </w:r>
      <w:r>
        <w:rPr>
          <w:rStyle w:val="10"/>
          <w:rFonts w:hint="eastAsia"/>
          <w:b/>
          <w:bCs/>
          <w:lang/>
        </w:rPr>
        <w:t>报告期内单一投资者持有基金份额比例达到或超过</w:t>
      </w:r>
      <w:r>
        <w:rPr>
          <w:rStyle w:val="10"/>
          <w:b/>
          <w:bCs/>
          <w:lang/>
        </w:rPr>
        <w:t>20%</w:t>
      </w:r>
      <w:r>
        <w:rPr>
          <w:rStyle w:val="10"/>
          <w:rFonts w:hint="eastAsia"/>
          <w:b/>
          <w:bCs/>
          <w:lang/>
        </w:rPr>
        <w:t>的情况</w:t>
      </w:r>
      <w:r>
        <w:rPr>
          <w:lang/>
        </w:rPr>
        <w:tab/>
      </w:r>
      <w:r>
        <w:rPr>
          <w:lang/>
        </w:rPr>
        <w:fldChar w:fldCharType="begin"/>
      </w:r>
      <w:r>
        <w:rPr>
          <w:lang/>
        </w:rPr>
        <w:instrText xml:space="preserve"> PAGEREF _Toc4172960 \h </w:instrText>
      </w:r>
      <w:r>
        <w:rPr>
          <w:lang/>
        </w:rPr>
        <w:fldChar w:fldCharType="separate"/>
      </w:r>
      <w:r>
        <w:rPr>
          <w:lang/>
        </w:rPr>
        <w:t>63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"_Toc4172961"</w:instrText>
      </w:r>
      <w:r>
        <w:rPr>
          <w:rStyle w:val="10"/>
          <w:lang/>
        </w:rPr>
        <w:instrText xml:space="preserve"> </w:instrText>
      </w:r>
      <w:r>
        <w:rPr>
          <w:rStyle w:val="10"/>
          <w:lang/>
        </w:rPr>
        <w:fldChar w:fldCharType="separate"/>
      </w:r>
      <w:r>
        <w:rPr>
          <w:rStyle w:val="10"/>
          <w:b/>
          <w:bCs/>
          <w:lang/>
        </w:rPr>
        <w:t xml:space="preserve">12.2 </w:t>
      </w:r>
      <w:r>
        <w:rPr>
          <w:rStyle w:val="10"/>
          <w:rFonts w:hint="eastAsia"/>
          <w:b/>
          <w:bCs/>
          <w:lang/>
        </w:rPr>
        <w:t>影响投资者决策的其他重要信息</w:t>
      </w:r>
      <w:r>
        <w:rPr>
          <w:lang/>
        </w:rPr>
        <w:tab/>
      </w:r>
      <w:r>
        <w:rPr>
          <w:lang/>
        </w:rPr>
        <w:fldChar w:fldCharType="begin"/>
      </w:r>
      <w:r>
        <w:rPr>
          <w:lang/>
        </w:rPr>
        <w:instrText xml:space="preserve"> PAGEREF _Toc4172961 \h </w:instrText>
      </w:r>
      <w:r>
        <w:rPr>
          <w:lang/>
        </w:rPr>
        <w:fldChar w:fldCharType="separate"/>
      </w:r>
      <w:r>
        <w:rPr>
          <w:lang/>
        </w:rPr>
        <w:t>63</w:t>
      </w:r>
      <w:r>
        <w:rPr>
          <w:lang/>
        </w:rPr>
        <w:fldChar w:fldCharType="end"/>
      </w:r>
      <w:r>
        <w:rPr>
          <w:rStyle w:val="10"/>
          <w:lang/>
        </w:rPr>
        <w:fldChar w:fldCharType="end"/>
      </w:r>
    </w:p>
    <w:p>
      <w:pPr>
        <w:pStyle w:val="4"/>
        <w:tabs>
          <w:tab w:val="right" w:leader="dot" w:pos="9080"/>
        </w:tabs>
        <w:rPr>
          <w:lang/>
        </w:rPr>
      </w:pPr>
      <w:r>
        <w:rPr>
          <w:rStyle w:val="10"/>
          <w:lang/>
        </w:rPr>
        <w:fldChar w:fldCharType="begin"/>
      </w:r>
      <w:r>
        <w:rPr>
          <w:rStyle w:val="10"/>
          <w:lang/>
        </w:rPr>
        <w:instrText xml:space="preserve"> </w:instrText>
      </w:r>
      <w:r>
        <w:rPr>
          <w:lang/>
        </w:rPr>
        <w:instrText xml:space="preserve">HYPERLINK \l "_Toc4172962"</w:instrText>
      </w:r>
      <w:r>
        <w:rPr>
          <w:rStyle w:val="10"/>
          <w:lang/>
        </w:rPr>
        <w:instrText xml:space="preserve"> </w:instrText>
      </w:r>
      <w:r>
        <w:rPr>
          <w:rStyle w:val="10"/>
          <w:lang/>
        </w:rPr>
        <w:fldChar w:fldCharType="separate"/>
      </w:r>
      <w:r>
        <w:rPr>
          <w:rStyle w:val="10"/>
          <w:b/>
          <w:lang/>
        </w:rPr>
        <w:t xml:space="preserve">§13  </w:t>
      </w:r>
      <w:r>
        <w:rPr>
          <w:rStyle w:val="10"/>
          <w:rFonts w:hint="eastAsia"/>
          <w:b/>
          <w:lang/>
        </w:rPr>
        <w:t>备查文件目录</w:t>
      </w:r>
      <w:r>
        <w:rPr>
          <w:lang/>
        </w:rPr>
        <w:tab/>
      </w:r>
      <w:r>
        <w:rPr>
          <w:lang/>
        </w:rPr>
        <w:fldChar w:fldCharType="begin"/>
      </w:r>
      <w:r>
        <w:rPr>
          <w:lang/>
        </w:rPr>
        <w:instrText xml:space="preserve"> PAGEREF _Toc4172962 \h </w:instrText>
      </w:r>
      <w:r>
        <w:rPr>
          <w:lang/>
        </w:rPr>
        <w:fldChar w:fldCharType="separate"/>
      </w:r>
      <w:r>
        <w:rPr>
          <w:lang/>
        </w:rPr>
        <w:t>63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"_Toc4172963"</w:instrText>
      </w:r>
      <w:r>
        <w:rPr>
          <w:rStyle w:val="10"/>
          <w:lang/>
        </w:rPr>
        <w:instrText xml:space="preserve"> </w:instrText>
      </w:r>
      <w:r>
        <w:rPr>
          <w:rStyle w:val="10"/>
          <w:lang/>
        </w:rPr>
        <w:fldChar w:fldCharType="separate"/>
      </w:r>
      <w:r>
        <w:rPr>
          <w:rStyle w:val="10"/>
          <w:b/>
          <w:bCs/>
          <w:lang/>
        </w:rPr>
        <w:t xml:space="preserve">13.1 </w:t>
      </w:r>
      <w:r>
        <w:rPr>
          <w:rStyle w:val="10"/>
          <w:rFonts w:hint="eastAsia"/>
          <w:b/>
          <w:bCs/>
          <w:lang/>
        </w:rPr>
        <w:t>备查文件目录</w:t>
      </w:r>
      <w:r>
        <w:rPr>
          <w:lang/>
        </w:rPr>
        <w:tab/>
      </w:r>
      <w:r>
        <w:rPr>
          <w:lang/>
        </w:rPr>
        <w:fldChar w:fldCharType="begin"/>
      </w:r>
      <w:r>
        <w:rPr>
          <w:lang/>
        </w:rPr>
        <w:instrText xml:space="preserve"> PAGEREF _Toc4172963 \h </w:instrText>
      </w:r>
      <w:r>
        <w:rPr>
          <w:lang/>
        </w:rPr>
        <w:fldChar w:fldCharType="separate"/>
      </w:r>
      <w:r>
        <w:rPr>
          <w:lang/>
        </w:rPr>
        <w:t>63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"_Toc4172964"</w:instrText>
      </w:r>
      <w:r>
        <w:rPr>
          <w:rStyle w:val="10"/>
          <w:lang/>
        </w:rPr>
        <w:instrText xml:space="preserve"> </w:instrText>
      </w:r>
      <w:r>
        <w:rPr>
          <w:rStyle w:val="10"/>
          <w:lang/>
        </w:rPr>
        <w:fldChar w:fldCharType="separate"/>
      </w:r>
      <w:r>
        <w:rPr>
          <w:rStyle w:val="10"/>
          <w:b/>
          <w:bCs/>
          <w:lang/>
        </w:rPr>
        <w:t xml:space="preserve">13.2 </w:t>
      </w:r>
      <w:r>
        <w:rPr>
          <w:rStyle w:val="10"/>
          <w:rFonts w:hint="eastAsia"/>
          <w:b/>
          <w:bCs/>
          <w:lang/>
        </w:rPr>
        <w:t>存放地点</w:t>
      </w:r>
      <w:r>
        <w:rPr>
          <w:lang/>
        </w:rPr>
        <w:tab/>
      </w:r>
      <w:r>
        <w:rPr>
          <w:lang/>
        </w:rPr>
        <w:fldChar w:fldCharType="begin"/>
      </w:r>
      <w:r>
        <w:rPr>
          <w:lang/>
        </w:rPr>
        <w:instrText xml:space="preserve"> PAGEREF _Toc4172964 \h </w:instrText>
      </w:r>
      <w:r>
        <w:rPr>
          <w:lang/>
        </w:rPr>
        <w:fldChar w:fldCharType="separate"/>
      </w:r>
      <w:r>
        <w:rPr>
          <w:lang/>
        </w:rPr>
        <w:t>63</w:t>
      </w:r>
      <w:r>
        <w:rPr>
          <w:lang/>
        </w:rPr>
        <w:fldChar w:fldCharType="end"/>
      </w:r>
      <w:r>
        <w:rPr>
          <w:rStyle w:val="10"/>
          <w:lang/>
        </w:rPr>
        <w:fldChar w:fldCharType="end"/>
      </w:r>
    </w:p>
    <w:p>
      <w:pPr>
        <w:pStyle w:val="5"/>
        <w:tabs>
          <w:tab w:val="right" w:leader="dot" w:pos="9080"/>
        </w:tabs>
        <w:rPr>
          <w:lang/>
        </w:rPr>
      </w:pPr>
      <w:r>
        <w:rPr>
          <w:rStyle w:val="10"/>
          <w:lang/>
        </w:rPr>
        <w:fldChar w:fldCharType="begin"/>
      </w:r>
      <w:r>
        <w:rPr>
          <w:rStyle w:val="10"/>
          <w:lang/>
        </w:rPr>
        <w:instrText xml:space="preserve"> </w:instrText>
      </w:r>
      <w:r>
        <w:rPr>
          <w:lang/>
        </w:rPr>
        <w:instrText xml:space="preserve">HYPERLINK \l "_Toc4172965"</w:instrText>
      </w:r>
      <w:r>
        <w:rPr>
          <w:rStyle w:val="10"/>
          <w:lang/>
        </w:rPr>
        <w:instrText xml:space="preserve"> </w:instrText>
      </w:r>
      <w:r>
        <w:rPr>
          <w:rStyle w:val="10"/>
          <w:lang/>
        </w:rPr>
        <w:fldChar w:fldCharType="separate"/>
      </w:r>
      <w:r>
        <w:rPr>
          <w:rStyle w:val="10"/>
          <w:b/>
          <w:bCs/>
          <w:lang/>
        </w:rPr>
        <w:t xml:space="preserve">13.3 </w:t>
      </w:r>
      <w:r>
        <w:rPr>
          <w:rStyle w:val="10"/>
          <w:rFonts w:hint="eastAsia"/>
          <w:b/>
          <w:bCs/>
          <w:lang/>
        </w:rPr>
        <w:t>查阅方式</w:t>
      </w:r>
      <w:r>
        <w:rPr>
          <w:lang/>
        </w:rPr>
        <w:tab/>
      </w:r>
      <w:r>
        <w:rPr>
          <w:lang/>
        </w:rPr>
        <w:fldChar w:fldCharType="begin"/>
      </w:r>
      <w:r>
        <w:rPr>
          <w:lang/>
        </w:rPr>
        <w:instrText xml:space="preserve"> PAGEREF _Toc4172965 \h </w:instrText>
      </w:r>
      <w:r>
        <w:rPr>
          <w:lang/>
        </w:rPr>
        <w:fldChar w:fldCharType="separate"/>
      </w:r>
      <w:r>
        <w:rPr>
          <w:lang/>
        </w:rPr>
        <w:t>63</w:t>
      </w:r>
      <w:r>
        <w:rPr>
          <w:lang/>
        </w:rPr>
        <w:fldChar w:fldCharType="end"/>
      </w:r>
      <w:r>
        <w:rPr>
          <w:rStyle w:val="10"/>
          <w:lang/>
        </w:rPr>
        <w:fldChar w:fldCharType="end"/>
      </w:r>
    </w:p>
    <w:p>
      <w:pPr>
        <w:pStyle w:val="12"/>
        <w:rPr>
          <w:rFonts w:hint="eastAsia"/>
        </w:rPr>
      </w:pPr>
      <w:r>
        <w:rPr>
          <w:rFonts w:ascii="Times New Roman" w:hAnsi="Times New Roman"/>
        </w:rPr>
        <w:fldChar w:fldCharType="end"/>
      </w:r>
      <w:r>
        <w:rPr>
          <w:rFonts w:ascii="Times New Roman" w:hAnsi="Times New Roman"/>
        </w:rPr>
        <w:br w:type="page"/>
      </w:r>
      <w:bookmarkStart w:id="3" w:name="_Toc4172900"/>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3"/>
        <w:rPr>
          <w:rFonts w:hint="eastAsia"/>
        </w:rPr>
      </w:pPr>
      <w:bookmarkStart w:id="4" w:name="_Toc4172901"/>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3249"/>
        <w:gridCol w:w="5871"/>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创金合信沪港深研究精选灵活配置混合型证券投资基金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创金沪港深精选混合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基金主代码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001662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基金运作方式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2015年08月24日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基金托管人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报告期末基金份额总额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389,590,510.82份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基金合同存续期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不定期</w:t>
            </w:r>
          </w:p>
        </w:tc>
      </w:tr>
    </w:tbl>
    <w:p>
      <w:pPr>
        <w:widowControl/>
        <w:jc w:val="left"/>
        <w:rPr>
          <w:rFonts w:hint="eastAsia" w:ascii="宋体" w:hAnsi="宋体" w:cs="宋体"/>
          <w:kern w:val="0"/>
          <w:sz w:val="24"/>
          <w:szCs w:val="24"/>
        </w:rPr>
      </w:pPr>
    </w:p>
    <w:p>
      <w:pPr>
        <w:pStyle w:val="13"/>
        <w:rPr>
          <w:rFonts w:hint="eastAsia"/>
        </w:rPr>
      </w:pPr>
      <w:bookmarkStart w:id="5" w:name="_Toc4172902"/>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积极进行资产配置，深入挖掘受益于国家经济增长和转型过程中涌现出来的持续成长性良好的和业绩稳定增长的优秀企业进行积极投资，充分分享中国经济增长和优化资产配置的成果，在有效控制风险的前提下，力争为基金份额持有人提供长期稳定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采取灵活的资产配置体系，通过对宏观经济环境、经济增长前景、通货膨胀水平、各类别资产的风险收益特征水平进行综合分析，并结合市场趋势、投资期限、预期收益目标，灵活动态地调整固定收益类资产和权益类资产的比例，以规避或控制市场系统性风险，从而实现长期稳健增长的投资目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沪深300指数收益率×40%+恒生指数收益率×20%+中债总指数（全价）收益率×40%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spacing w:before="0"/>
              <w:ind w:left="0" w:firstLine="480"/>
              <w:rPr>
                <w:rFonts w:hint="eastAsia"/>
              </w:rPr>
            </w:pPr>
            <w:r>
              <w:rPr>
                <w:rFonts w:hint="eastAsia"/>
              </w:rPr>
              <w:t>本基金是混合型证券投资基金，属于证券投资基金中的中等风险品种，本基金的预期收益和预期风险高于货币市场基金、债券型基金，低于股票型基金。</w:t>
            </w:r>
          </w:p>
        </w:tc>
      </w:tr>
    </w:tbl>
    <w:p>
      <w:pPr>
        <w:widowControl/>
        <w:jc w:val="left"/>
        <w:rPr>
          <w:rFonts w:hint="eastAsia" w:ascii="宋体" w:hAnsi="宋体" w:cs="宋体"/>
          <w:kern w:val="0"/>
          <w:sz w:val="24"/>
          <w:szCs w:val="24"/>
        </w:rPr>
      </w:pPr>
    </w:p>
    <w:p>
      <w:pPr>
        <w:pStyle w:val="13"/>
        <w:rPr>
          <w:rFonts w:hint="eastAsia"/>
        </w:rPr>
      </w:pPr>
      <w:bookmarkStart w:id="6" w:name="_Toc4172903"/>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010-66105799</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custody@icbc.com.cn</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010-66105798</w:t>
            </w:r>
          </w:p>
        </w:tc>
      </w:tr>
      <w:tr>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3"/>
        <w:rPr>
          <w:rFonts w:hint="eastAsia"/>
        </w:rPr>
      </w:pPr>
      <w:bookmarkStart w:id="7" w:name="_Toc4172904"/>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8" w:name="_Toc4172905"/>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2"/>
        <w:rPr>
          <w:rFonts w:hint="eastAsia"/>
        </w:rPr>
      </w:pPr>
      <w:bookmarkStart w:id="9" w:name="_Toc4172906"/>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3"/>
        <w:rPr>
          <w:rFonts w:hint="eastAsia"/>
        </w:rPr>
      </w:pPr>
      <w:bookmarkStart w:id="10" w:name="_Toc4172907"/>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111"/>
        <w:gridCol w:w="1978"/>
        <w:gridCol w:w="1978"/>
        <w:gridCol w:w="1978"/>
      </w:tblGrid>
      <w:tr>
        <w:tblPrEx>
          <w:tblCellMar>
            <w:top w:w="0" w:type="dxa"/>
            <w:left w:w="108" w:type="dxa"/>
            <w:bottom w:w="0" w:type="dxa"/>
            <w:right w:w="108" w:type="dxa"/>
          </w:tblCellMar>
        </w:tblPrEx>
        <w:trPr>
          <w:wBefore w:w="0" w:type="auto"/>
        </w:trPr>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3.1.1 期间数据和指标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-57,061,656.35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92,335,586.92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1,668,038.33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11,168,899.46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3.1.2 期末数据和指标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-38,897,533.04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7,804,960.39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350,692,977.78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4"/>
              <w:wordWrap w:val="0"/>
              <w:rPr>
                <w:rFonts w:hint="eastAsia"/>
              </w:rPr>
            </w:pPr>
            <w:r>
              <w:rPr>
                <w:rFonts w:hint="eastAsia"/>
                <w:b/>
                <w:bCs/>
              </w:rPr>
              <w:t>3.1.3 累计期末指标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7.00%</w:t>
            </w:r>
          </w:p>
        </w:tc>
      </w:tr>
    </w:tbl>
    <w:p>
      <w:pPr>
        <w:pStyle w:val="19"/>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3"/>
        <w:rPr>
          <w:rFonts w:hint="eastAsia"/>
        </w:rPr>
      </w:pPr>
      <w:bookmarkStart w:id="11" w:name="_Toc4172908"/>
      <w:r>
        <w:rPr>
          <w:rFonts w:hint="eastAsia"/>
          <w:b/>
          <w:bCs/>
        </w:rPr>
        <w:t>3.2 基金净值表现</w:t>
      </w:r>
      <w:bookmarkEnd w:id="11"/>
    </w:p>
    <w:p>
      <w:pPr>
        <w:pStyle w:val="14"/>
        <w:rPr>
          <w:rFonts w:hint="eastAsia"/>
        </w:rPr>
      </w:pPr>
      <w:r>
        <w:rPr>
          <w:rFonts w:hint="eastAsia"/>
          <w:b/>
          <w:bCs/>
        </w:rPr>
        <w:t>3.2.1 基金份额净值增长率及其与同期业绩比较基准收益率的比较</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0.14%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0.44%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0.31%</w:t>
            </w:r>
          </w:p>
        </w:tc>
      </w:tr>
    </w:tbl>
    <w:p>
      <w:pPr>
        <w:widowControl/>
        <w:jc w:val="left"/>
        <w:rPr>
          <w:rFonts w:hint="eastAsia" w:ascii="宋体" w:hAnsi="宋体" w:cs="宋体"/>
          <w:kern w:val="0"/>
          <w:sz w:val="24"/>
          <w:szCs w:val="24"/>
        </w:rPr>
      </w:pPr>
    </w:p>
    <w:p>
      <w:pPr>
        <w:pStyle w:val="14"/>
        <w:rPr>
          <w:rFonts w:hint="eastAsia"/>
        </w:rPr>
      </w:pPr>
      <w:r>
        <w:rPr>
          <w:rFonts w:hint="eastAsia"/>
          <w:b/>
          <w:bCs/>
        </w:rPr>
        <w:t>3.2.2 自基金合同生效以来基金份额累计净值增长率变动及其与同期业绩比较基准收益率变动的比较</w:t>
      </w:r>
    </w:p>
    <w:p>
      <w:pPr>
        <w:pStyle w:val="16"/>
        <w:rPr>
          <w:rFonts w:hint="eastAsia"/>
        </w:rPr>
      </w:pPr>
      <w:r>
        <w:rPr>
          <w:rFonts w:hAnsi="Calibri"/>
          <w:color w:val="000000"/>
          <w:lang/>
        </w:rPr>
        <w:pict>
          <v:shape id="_x0000_i1025" o:spt="75" alt="D:\fcsc\HSFA\Bin\Bin\MOD\TMP\CN_50990000_001662_FB010010_20190002_1.jpg" type="#_x0000_t75" style="height:286.5pt;width:441pt;" filled="f" stroked="f" coordsize="21600,21600">
            <v:path/>
            <v:fill on="f" focussize="0,0"/>
            <v:stroke on="f"/>
            <v:imagedata r:id="rId7" grayscale="f" bilevel="f" o:title="CN_50990000_001662_FB010010_20190002_1"/>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r>
        <w:rPr>
          <w:rFonts w:hint="eastAsia"/>
          <w:b/>
          <w:bCs/>
        </w:rPr>
        <w:t>3.2.3 自基金合同生效以来基金每年净值增长率及其与同期业绩比较基准收益率的比较</w:t>
      </w:r>
    </w:p>
    <w:p>
      <w:pPr>
        <w:pStyle w:val="16"/>
        <w:rPr>
          <w:rFonts w:hint="eastAsia"/>
        </w:rPr>
      </w:pPr>
      <w:r>
        <w:rPr>
          <w:rFonts w:hAnsi="Calibri"/>
          <w:color w:val="000000"/>
          <w:lang/>
        </w:rPr>
        <w:pict>
          <v:shape id="_x0000_i1026" o:spt="75" alt="D:\fcsc\HSFA\Bin\Bin\MOD\TMP\CN_50990000_001662_FB010010_20190002_3.jpg" type="#_x0000_t75" style="height:286.5pt;width:441pt;" filled="f" stroked="f" coordsize="21600,21600">
            <v:path/>
            <v:fill on="f" focussize="0,0"/>
            <v:stroke on="f"/>
            <v:imagedata r:id="rId8" grayscale="f" bilevel="f" o:title="CN_50990000_00166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3"/>
        <w:rPr>
          <w:rFonts w:hint="eastAsia"/>
        </w:rPr>
      </w:pPr>
      <w:bookmarkStart w:id="12" w:name="_Toc4172909"/>
      <w:r>
        <w:rPr>
          <w:rFonts w:hint="eastAsia" w:hAnsi="Calibri"/>
          <w:b/>
          <w:color w:val="000000"/>
        </w:rPr>
        <w:t>3.3 过去三年基金的利润分配情况</w:t>
      </w:r>
      <w:bookmarkEnd w:id="12"/>
    </w:p>
    <w:p>
      <w:pPr>
        <w:pStyle w:val="19"/>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12"/>
        <w:rPr>
          <w:rFonts w:hint="eastAsia"/>
        </w:rPr>
      </w:pPr>
      <w:bookmarkStart w:id="13" w:name="_Toc4172910"/>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3"/>
        <w:rPr>
          <w:rFonts w:hint="eastAsia"/>
        </w:rPr>
      </w:pPr>
      <w:bookmarkStart w:id="14" w:name="_Toc4172911"/>
      <w:r>
        <w:rPr>
          <w:rFonts w:hint="eastAsia"/>
          <w:b/>
          <w:bCs/>
        </w:rPr>
        <w:t>4.1 基金管理人及基金经理情况</w:t>
      </w:r>
      <w:bookmarkEnd w:id="14"/>
    </w:p>
    <w:p>
      <w:pPr>
        <w:pStyle w:val="14"/>
        <w:rPr>
          <w:rFonts w:hint="eastAsia"/>
        </w:rPr>
      </w:pPr>
      <w:r>
        <w:rPr>
          <w:rFonts w:hint="eastAsia"/>
          <w:b/>
          <w:bCs/>
        </w:rPr>
        <w:t>4.1.1 基金管理人及其管理基金的经验</w:t>
      </w:r>
    </w:p>
    <w:p>
      <w:pPr>
        <w:pStyle w:val="19"/>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19"/>
        <w:spacing w:before="0"/>
        <w:ind w:left="0" w:firstLine="480"/>
        <w:rPr>
          <w:rFonts w:hint="eastAsia"/>
        </w:rPr>
      </w:pPr>
      <w:r>
        <w:rPr>
          <w:rFonts w:hint="eastAsia"/>
        </w:rPr>
        <w:t>公司始终坚持"客户利益至上"，致力于为客户实现长期稳定的投资回报，做客户投资理财的亲密伙伴。</w:t>
      </w:r>
    </w:p>
    <w:p>
      <w:pPr>
        <w:pStyle w:val="19"/>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4"/>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本基金基金经理、投资一部总监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2015-08-24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陈玉辉先生，中国国籍，经济学硕士，2003年6月加入新疆证券有限责任公司，从事石化行业研究；2005年度获中央电视台、中国证券报联合评选的首届"全国十佳证券分析师"。2006年1月加入东方证券股份有限公司研究所，任化工行业研究员。2008年3月加入招商基金管理有限公司，历任研究部副总监、总监，并于2012年11月14日至2015年4月10日担任招商大盘蓝筹股票型证券投资基金的基金经理。2015年7月任创金合信基金管理有限公司投资一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胡尧盛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2017-12-12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胡尧盛先生，中国国籍，江西财经大学金融学硕士，2013年7月加入国元咨询服务（深圳）有限公司，任研究部研究员，负责港股市场消费品行业研究分析工作。2015年6月加入创金合信基金管理有限公司任研究部研究员，现任基金经理。</w:t>
            </w:r>
          </w:p>
        </w:tc>
      </w:tr>
    </w:tbl>
    <w:p>
      <w:pPr>
        <w:pStyle w:val="19"/>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3"/>
        <w:rPr>
          <w:rFonts w:hint="eastAsia"/>
        </w:rPr>
      </w:pPr>
      <w:bookmarkStart w:id="15" w:name="_Toc4172912"/>
      <w:r>
        <w:rPr>
          <w:rFonts w:hint="eastAsia" w:hAnsi="Calibri"/>
          <w:b/>
          <w:color w:val="000000"/>
        </w:rPr>
        <w:t>4.2 管理人对报告期内本基金运作遵规守信情况的说明</w:t>
      </w:r>
      <w:bookmarkEnd w:id="15"/>
    </w:p>
    <w:p>
      <w:pPr>
        <w:pStyle w:val="19"/>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3"/>
        <w:rPr>
          <w:rFonts w:hint="eastAsia"/>
        </w:rPr>
      </w:pPr>
      <w:bookmarkStart w:id="16" w:name="_Toc4172913"/>
      <w:r>
        <w:rPr>
          <w:rFonts w:hint="eastAsia" w:hAnsi="Calibri"/>
          <w:b/>
          <w:color w:val="000000"/>
        </w:rPr>
        <w:t>4.3 管理人对报告期内公平交易情况的专项说明</w:t>
      </w:r>
      <w:bookmarkEnd w:id="16"/>
    </w:p>
    <w:p>
      <w:pPr>
        <w:pStyle w:val="14"/>
        <w:rPr>
          <w:rFonts w:hint="eastAsia"/>
        </w:rPr>
      </w:pPr>
      <w:r>
        <w:rPr>
          <w:rFonts w:hint="eastAsia" w:hAnsi="Calibri"/>
          <w:b/>
          <w:color w:val="000000"/>
        </w:rPr>
        <w:t>4.3.1 公平交易制度和控制方法</w:t>
      </w:r>
    </w:p>
    <w:p>
      <w:pPr>
        <w:pStyle w:val="19"/>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19"/>
        <w:spacing w:before="0"/>
        <w:ind w:left="0" w:firstLine="480"/>
        <w:rPr>
          <w:rFonts w:hint="eastAsia" w:hAnsi="Calibri"/>
          <w:color w:val="000000"/>
        </w:rPr>
      </w:pPr>
      <w:r>
        <w:rPr>
          <w:rFonts w:hint="eastAsia" w:hAnsi="Calibri"/>
          <w:color w:val="000000"/>
        </w:rPr>
        <w:t>1、授权、研究分析与投资决策的内部控制</w:t>
      </w:r>
    </w:p>
    <w:p>
      <w:pPr>
        <w:pStyle w:val="19"/>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19"/>
        <w:spacing w:before="0"/>
        <w:ind w:left="0" w:firstLine="480"/>
        <w:rPr>
          <w:rFonts w:hint="eastAsia" w:hAnsi="Calibri"/>
          <w:color w:val="000000"/>
        </w:rPr>
      </w:pPr>
      <w:r>
        <w:rPr>
          <w:rFonts w:hint="eastAsia" w:hAnsi="Calibri"/>
          <w:color w:val="000000"/>
        </w:rPr>
        <w:t>2、交易执行的内部控制</w:t>
      </w:r>
    </w:p>
    <w:p>
      <w:pPr>
        <w:pStyle w:val="19"/>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19"/>
        <w:spacing w:before="0"/>
        <w:ind w:left="0" w:firstLine="480"/>
        <w:rPr>
          <w:rFonts w:hint="eastAsia" w:hAnsi="Calibri"/>
          <w:color w:val="000000"/>
        </w:rPr>
      </w:pPr>
      <w:r>
        <w:rPr>
          <w:rFonts w:hint="eastAsia" w:hAnsi="Calibri"/>
          <w:color w:val="000000"/>
        </w:rPr>
        <w:t>3、交易指令分配的控制</w:t>
      </w:r>
    </w:p>
    <w:p>
      <w:pPr>
        <w:pStyle w:val="19"/>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19"/>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19"/>
        <w:spacing w:before="0"/>
        <w:ind w:left="0" w:firstLine="480"/>
        <w:rPr>
          <w:rFonts w:hint="eastAsia" w:hAnsi="Calibri"/>
          <w:color w:val="000000"/>
        </w:rPr>
      </w:pPr>
      <w:r>
        <w:rPr>
          <w:rFonts w:hint="eastAsia" w:hAnsi="Calibri"/>
          <w:color w:val="000000"/>
        </w:rPr>
        <w:t>4、公平交易监控</w:t>
      </w:r>
    </w:p>
    <w:p>
      <w:pPr>
        <w:pStyle w:val="19"/>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4.3.2 公平交易制度的执行情况</w:t>
      </w:r>
    </w:p>
    <w:p>
      <w:pPr>
        <w:pStyle w:val="19"/>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4.3.3 异常交易行为的专项说明</w:t>
      </w:r>
    </w:p>
    <w:p>
      <w:pPr>
        <w:pStyle w:val="19"/>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3"/>
        <w:rPr>
          <w:rFonts w:hint="eastAsia"/>
        </w:rPr>
      </w:pPr>
      <w:bookmarkStart w:id="17" w:name="_Toc4172914"/>
      <w:r>
        <w:rPr>
          <w:rFonts w:hint="eastAsia" w:hAnsi="Calibri"/>
          <w:b/>
          <w:color w:val="000000"/>
        </w:rPr>
        <w:t>4.4 管理人对报告期内基金的投资策略和业绩表现的说明</w:t>
      </w:r>
      <w:bookmarkEnd w:id="17"/>
    </w:p>
    <w:p>
      <w:pPr>
        <w:pStyle w:val="14"/>
        <w:rPr>
          <w:rFonts w:hint="eastAsia"/>
        </w:rPr>
      </w:pPr>
      <w:r>
        <w:rPr>
          <w:rFonts w:hint="eastAsia" w:hAnsi="Calibri"/>
          <w:b/>
          <w:color w:val="000000"/>
        </w:rPr>
        <w:t>4.4.1 报告期内基金投资策略和运作分析</w:t>
      </w:r>
    </w:p>
    <w:p>
      <w:pPr>
        <w:pStyle w:val="19"/>
        <w:spacing w:before="0"/>
        <w:ind w:left="0" w:firstLine="480"/>
        <w:rPr>
          <w:rFonts w:hint="eastAsia"/>
        </w:rPr>
      </w:pPr>
      <w:r>
        <w:rPr>
          <w:rFonts w:hint="eastAsia" w:hAnsi="Calibri"/>
          <w:color w:val="000000"/>
        </w:rPr>
        <w:t>2018年市场呈现普跌走势，上证50、沪深300、中证2000、创业板指等代表性大中小市值风格年度跌幅均达到20%以上，中小板指数跌幅达到38%。如上一年度策略所述，2018年保持了相对防御的仓位和配置策略，基金组合全年维持了低市净率、低市值、国企股风格配置。</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4.4.2 报告期内基金的业绩表现</w:t>
      </w:r>
    </w:p>
    <w:p>
      <w:pPr>
        <w:pStyle w:val="19"/>
        <w:spacing w:before="0"/>
        <w:ind w:left="0" w:firstLine="480"/>
        <w:rPr>
          <w:rFonts w:hint="eastAsia"/>
        </w:rPr>
      </w:pPr>
      <w:r>
        <w:rPr>
          <w:rFonts w:hint="eastAsia" w:hAnsi="Calibri"/>
          <w:color w:val="000000"/>
        </w:rPr>
        <w:t>截至报告期末创金沪港深精选混合基金份额净值为0.900元，本报告期内，基金份额净值增长率为-18.26%，同期业绩比较基准收益率为-10.94%。</w:t>
      </w:r>
    </w:p>
    <w:p>
      <w:pPr>
        <w:widowControl/>
        <w:jc w:val="left"/>
        <w:rPr>
          <w:rFonts w:hint="eastAsia" w:ascii="宋体" w:hAnsi="宋体" w:cs="宋体"/>
          <w:kern w:val="0"/>
          <w:sz w:val="24"/>
          <w:szCs w:val="24"/>
        </w:rPr>
      </w:pPr>
    </w:p>
    <w:p>
      <w:pPr>
        <w:pStyle w:val="13"/>
        <w:rPr>
          <w:rFonts w:hint="eastAsia"/>
        </w:rPr>
      </w:pPr>
      <w:bookmarkStart w:id="18" w:name="_Toc4172915"/>
      <w:r>
        <w:rPr>
          <w:rFonts w:hint="eastAsia" w:hAnsi="Calibri"/>
          <w:b/>
          <w:color w:val="000000"/>
        </w:rPr>
        <w:t>4.5 管理人对宏观经济、证券市场及行业走势的简要展望</w:t>
      </w:r>
      <w:bookmarkEnd w:id="18"/>
    </w:p>
    <w:p>
      <w:pPr>
        <w:pStyle w:val="19"/>
        <w:spacing w:before="0"/>
        <w:ind w:left="0" w:firstLine="480"/>
        <w:rPr>
          <w:rFonts w:hint="eastAsia" w:hAnsi="Calibri"/>
          <w:color w:val="000000"/>
        </w:rPr>
      </w:pPr>
      <w:r>
        <w:rPr>
          <w:rFonts w:hint="eastAsia" w:hAnsi="Calibri"/>
          <w:color w:val="000000"/>
        </w:rPr>
        <w:t>作为三年去杠杆任务的第一年，股票市场2018年提前反映了各领域信用扩张透支和未来的信用内、外生紧缩在实体领域的预期。随着未来两年去杠杆金融政策的深化，实体各领域将陆续确认周期性波动的影响。在以房地产为首的各类资产价格跟随股票市场出现显著下跌前，信用周期仍将处于收缩初始阶段，在此之前应当警惕未来可能出现的资产价格连锁反应，等待信用周期性波动预期兑现和其它资产领域靴子陆续落地。</w:t>
      </w:r>
    </w:p>
    <w:p>
      <w:pPr>
        <w:pStyle w:val="19"/>
        <w:spacing w:before="0"/>
        <w:ind w:left="0" w:firstLine="480"/>
        <w:rPr>
          <w:rFonts w:hint="eastAsia"/>
        </w:rPr>
      </w:pPr>
      <w:r>
        <w:rPr>
          <w:rFonts w:hint="eastAsia" w:hAnsi="Calibri"/>
          <w:color w:val="000000"/>
        </w:rPr>
        <w:t>在国内三年去杠杆宏观政策和国际美元加息缩表、贸易环境恶化影响下，市场出现整体性机会的概率较小，可能阶段性出现局部板块、主题性活跃行情。未来投资中仍然坚持底线思维，将风险和回撤控制放在重要位置，预防市场趋势陷阱、估值陷阱和流动性陷阱。以相对低仓位控制系统性风险和预留逢低买入的仓位机会，组合策略上采取大/小市值、高/低贝塔结合的哑铃型策略，个股方面坚持"三低"选股策略，采取逢低买入向下风险小、低估值、低涨幅个股的类看涨期权补仓策略，重点关注国家关于国企尽快降杠杆政策导向下国企改革个性化基本面反转机会。</w:t>
      </w:r>
    </w:p>
    <w:p>
      <w:pPr>
        <w:widowControl/>
        <w:jc w:val="left"/>
        <w:rPr>
          <w:rFonts w:hint="eastAsia" w:ascii="宋体" w:hAnsi="宋体" w:cs="宋体"/>
          <w:kern w:val="0"/>
          <w:sz w:val="24"/>
          <w:szCs w:val="24"/>
        </w:rPr>
      </w:pPr>
    </w:p>
    <w:p>
      <w:pPr>
        <w:pStyle w:val="13"/>
        <w:rPr>
          <w:rFonts w:hint="eastAsia"/>
        </w:rPr>
      </w:pPr>
      <w:bookmarkStart w:id="19" w:name="_Toc4172916"/>
      <w:r>
        <w:rPr>
          <w:rFonts w:hint="eastAsia" w:hAnsi="Calibri"/>
          <w:b/>
          <w:color w:val="000000"/>
        </w:rPr>
        <w:t>4.6 管理人内部有关本基金的监察稽核工作情况</w:t>
      </w:r>
      <w:bookmarkEnd w:id="19"/>
    </w:p>
    <w:p>
      <w:pPr>
        <w:pStyle w:val="19"/>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19"/>
        <w:spacing w:before="0"/>
        <w:ind w:left="0" w:firstLine="480"/>
        <w:rPr>
          <w:rFonts w:hint="eastAsia"/>
        </w:rPr>
      </w:pPr>
      <w:r>
        <w:rPr>
          <w:rFonts w:hint="eastAsia"/>
        </w:rPr>
        <w:t>本报告期内，本基金管理人的主要内部监察稽核工作如下：</w:t>
      </w:r>
    </w:p>
    <w:p>
      <w:pPr>
        <w:pStyle w:val="19"/>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19"/>
        <w:spacing w:before="0"/>
        <w:ind w:left="0" w:firstLine="480"/>
        <w:rPr>
          <w:rFonts w:hint="eastAsia"/>
        </w:rPr>
      </w:pPr>
      <w:r>
        <w:rPr>
          <w:rFonts w:hint="eastAsia"/>
        </w:rPr>
        <w:t>（2）开展公司专项稽核工作，了解合规风险现状、发现薄弱环节，并持续督导改进；</w:t>
      </w:r>
    </w:p>
    <w:p>
      <w:pPr>
        <w:pStyle w:val="19"/>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19"/>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19"/>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19"/>
        <w:spacing w:before="0"/>
        <w:ind w:left="0" w:firstLine="480"/>
        <w:rPr>
          <w:rFonts w:hint="eastAsia"/>
        </w:rPr>
      </w:pPr>
      <w:r>
        <w:rPr>
          <w:rFonts w:hint="eastAsia"/>
        </w:rPr>
        <w:t>（6）加强关联交易管理。修订《关联交易管理制度》，履行关联交易决策审批程序；</w:t>
      </w:r>
    </w:p>
    <w:p>
      <w:pPr>
        <w:pStyle w:val="19"/>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19"/>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19"/>
        <w:spacing w:before="0"/>
        <w:ind w:left="0" w:firstLine="480"/>
        <w:rPr>
          <w:rFonts w:hint="eastAsia"/>
        </w:rPr>
      </w:pPr>
      <w:r>
        <w:rPr>
          <w:rFonts w:hint="eastAsia"/>
        </w:rPr>
        <w:t>（9）建立员工投资行为管理机制，规范员工的证券投资行为。</w:t>
      </w:r>
    </w:p>
    <w:p>
      <w:pPr>
        <w:pStyle w:val="19"/>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3"/>
        <w:rPr>
          <w:rFonts w:hint="eastAsia"/>
        </w:rPr>
      </w:pPr>
      <w:bookmarkStart w:id="20" w:name="_Toc4172917"/>
      <w:r>
        <w:rPr>
          <w:rFonts w:hint="eastAsia" w:hAnsi="Calibri"/>
          <w:b/>
          <w:color w:val="000000"/>
        </w:rPr>
        <w:t>4.7 管理人对报告期内基金估值程序等事项的说明</w:t>
      </w:r>
      <w:bookmarkEnd w:id="20"/>
    </w:p>
    <w:p>
      <w:pPr>
        <w:pStyle w:val="19"/>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19"/>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3"/>
        <w:rPr>
          <w:rFonts w:hint="eastAsia"/>
        </w:rPr>
      </w:pPr>
      <w:bookmarkStart w:id="21" w:name="_Toc4172918"/>
      <w:r>
        <w:rPr>
          <w:rFonts w:hint="eastAsia"/>
          <w:b/>
          <w:bCs/>
        </w:rPr>
        <w:t>4.8 管理人对报告期内基金利润分配情况的说明</w:t>
      </w:r>
      <w:bookmarkEnd w:id="21"/>
    </w:p>
    <w:p>
      <w:pPr>
        <w:pStyle w:val="19"/>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3"/>
        <w:rPr>
          <w:rFonts w:hint="eastAsia"/>
        </w:rPr>
      </w:pPr>
      <w:bookmarkStart w:id="22" w:name="_Toc4172919"/>
      <w:r>
        <w:rPr>
          <w:rFonts w:hint="eastAsia"/>
          <w:b/>
          <w:bCs/>
        </w:rPr>
        <w:t>4.9 报告期内管理人对本基金持有人数或基金资产净值预警情形的说明</w:t>
      </w:r>
      <w:bookmarkEnd w:id="22"/>
    </w:p>
    <w:p>
      <w:pPr>
        <w:pStyle w:val="19"/>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2"/>
        <w:rPr>
          <w:rFonts w:hint="eastAsia"/>
        </w:rPr>
      </w:pPr>
      <w:bookmarkStart w:id="23" w:name="_Toc4172920"/>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3"/>
        <w:rPr>
          <w:rFonts w:hint="eastAsia"/>
        </w:rPr>
      </w:pPr>
      <w:bookmarkStart w:id="24" w:name="_Toc4172921"/>
      <w:r>
        <w:rPr>
          <w:rFonts w:hint="eastAsia"/>
          <w:b/>
          <w:bCs/>
        </w:rPr>
        <w:t>5.1 报告期内本基金托管人遵规守信情况声明</w:t>
      </w:r>
      <w:bookmarkEnd w:id="24"/>
    </w:p>
    <w:p>
      <w:pPr>
        <w:pStyle w:val="19"/>
        <w:spacing w:before="0"/>
        <w:ind w:left="0" w:firstLine="480"/>
        <w:rPr>
          <w:rFonts w:hint="eastAsia"/>
        </w:rPr>
      </w:pPr>
      <w:r>
        <w:rPr>
          <w:rFonts w:hint="eastAsia"/>
        </w:rPr>
        <w:t>本报告期内，本基金托管人在对创金合信沪港深研究精选灵活配置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3"/>
        <w:rPr>
          <w:rFonts w:hint="eastAsia"/>
        </w:rPr>
      </w:pPr>
      <w:bookmarkStart w:id="25" w:name="_Toc4172922"/>
      <w:r>
        <w:rPr>
          <w:rFonts w:hint="eastAsia"/>
          <w:b/>
          <w:bCs/>
        </w:rPr>
        <w:t>5.2 托管人对报告期内本基金投资运作遵规守信、净值计算、利润分配等情况的说明</w:t>
      </w:r>
      <w:bookmarkEnd w:id="25"/>
    </w:p>
    <w:p>
      <w:pPr>
        <w:pStyle w:val="19"/>
        <w:spacing w:before="0"/>
        <w:ind w:left="0" w:firstLine="480"/>
        <w:rPr>
          <w:rFonts w:hint="eastAsia"/>
        </w:rPr>
      </w:pPr>
      <w:r>
        <w:rPr>
          <w:rFonts w:hint="eastAsia"/>
        </w:rPr>
        <w:t>本报告期内，创金合信沪港深研究精选灵活配置混合型证券投资基金的管理人--创金合信基金管理有限公司在创金合信沪港深研究精选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沪港深研究精选灵活配置混合型证券投资基金未进行利润分配。</w:t>
      </w:r>
    </w:p>
    <w:p>
      <w:pPr>
        <w:widowControl/>
        <w:jc w:val="left"/>
        <w:rPr>
          <w:rFonts w:hint="eastAsia" w:ascii="宋体" w:hAnsi="宋体" w:cs="宋体"/>
          <w:kern w:val="0"/>
          <w:sz w:val="24"/>
          <w:szCs w:val="24"/>
        </w:rPr>
      </w:pPr>
    </w:p>
    <w:p>
      <w:pPr>
        <w:pStyle w:val="13"/>
        <w:rPr>
          <w:rFonts w:hint="eastAsia"/>
        </w:rPr>
      </w:pPr>
      <w:bookmarkStart w:id="26" w:name="_Toc4172923"/>
      <w:r>
        <w:rPr>
          <w:rFonts w:hint="eastAsia"/>
          <w:b/>
          <w:bCs/>
        </w:rPr>
        <w:t>5.3 托管人对本年度报告中财务信息等内容的真实、准确和完整发表意见</w:t>
      </w:r>
      <w:bookmarkEnd w:id="26"/>
    </w:p>
    <w:p>
      <w:pPr>
        <w:pStyle w:val="19"/>
        <w:spacing w:before="0"/>
        <w:ind w:left="0" w:firstLine="480"/>
        <w:rPr>
          <w:rFonts w:hint="eastAsia"/>
        </w:rPr>
      </w:pPr>
      <w:r>
        <w:rPr>
          <w:rFonts w:hint="eastAsia"/>
        </w:rPr>
        <w:t>本托管人依法对创金合信基金管理有限公司编制和披露的创金合信沪港深研究精选灵活配置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2"/>
        <w:rPr>
          <w:rFonts w:hint="eastAsia"/>
        </w:rPr>
      </w:pPr>
      <w:bookmarkStart w:id="27" w:name="_Toc4172924"/>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3"/>
        <w:rPr>
          <w:rFonts w:hint="eastAsia"/>
        </w:rPr>
      </w:pPr>
      <w:bookmarkStart w:id="28" w:name="_Toc4172925"/>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普华永道中天审字(2019)第24797号</w:t>
            </w:r>
          </w:p>
        </w:tc>
      </w:tr>
    </w:tbl>
    <w:p>
      <w:pPr>
        <w:widowControl/>
        <w:jc w:val="left"/>
        <w:rPr>
          <w:rFonts w:hint="eastAsia" w:ascii="宋体" w:hAnsi="宋体" w:cs="宋体"/>
          <w:kern w:val="0"/>
          <w:sz w:val="24"/>
          <w:szCs w:val="24"/>
        </w:rPr>
      </w:pPr>
    </w:p>
    <w:p>
      <w:pPr>
        <w:pStyle w:val="13"/>
        <w:rPr>
          <w:rFonts w:hint="eastAsia"/>
        </w:rPr>
      </w:pPr>
      <w:bookmarkStart w:id="29" w:name="_Toc4172926"/>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创金合信沪港深研究精选灵活配置混合型证券投资基金全体基金份额持有人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 我们审计的内容 我们审计了创金合信沪港深研究精选灵活配置混合型证券投资基金  (以下简称“ 创金合信沪港深精选混合基金 ”)的财务报表，包括2018年12月31日的资产负债表，2018年度的利润表和所有者权益(基金净值)变动表以及财务报表注。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港深精选混合基金  2018年12月31日的财务状况以及 2018年度  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按照中国注册会计师职业道德守则，我们独立于创金合信沪港深精选混合基金，并履行了职业道德方面的其他责任。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创金合信沪港深精选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港深精选混合基金的持续经营能力，披露与持续经营相关的事项(如适用)，并运用持续经营假设，除非基金管理人管理层计划清算创金合信沪港深精选混合基金、终止运营或别无其他现实的选择。 基金管理人治理层负责监督创金合信沪港深精选混合基金的财务报告过程。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港深精选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港深精选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2"/>
        <w:rPr>
          <w:rFonts w:hint="eastAsia"/>
        </w:rPr>
      </w:pPr>
      <w:bookmarkStart w:id="30" w:name="_Toc4172927"/>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3"/>
        <w:rPr>
          <w:rFonts w:hint="eastAsia"/>
        </w:rPr>
      </w:pPr>
      <w:bookmarkStart w:id="31" w:name="_Toc4172928"/>
      <w:r>
        <w:rPr>
          <w:rFonts w:hint="eastAsia"/>
          <w:b/>
          <w:bCs/>
        </w:rPr>
        <w:t>7.1 资产负债表</w:t>
      </w:r>
      <w:bookmarkEnd w:id="31"/>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 </w:t>
            </w:r>
          </w:p>
          <w:p>
            <w:pPr>
              <w:pStyle w:val="17"/>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 </w:t>
            </w:r>
          </w:p>
          <w:p>
            <w:pPr>
              <w:pStyle w:val="17"/>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41,537,981.21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8,872,727.39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21,551,902.31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51,475.78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194,920.56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100,157,678.94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267,330.33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32,979.25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167,708.66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351,690,185.28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 </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 </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9,656,898.55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223,152.13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1,544,214.57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460,481.76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982,141.71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163,690.32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56,145.19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180,680.98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997,207.50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12,814,058.05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389,590,510.82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-38,897,533.04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350,692,977.78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351,690,185.28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767,515,901.64</w:t>
            </w:r>
          </w:p>
        </w:tc>
      </w:tr>
    </w:tbl>
    <w:p>
      <w:pPr>
        <w:pStyle w:val="19"/>
        <w:rPr>
          <w:rFonts w:hint="eastAsia"/>
        </w:rPr>
      </w:pPr>
      <w:r>
        <w:rPr>
          <w:rFonts w:hint="eastAsia"/>
        </w:rPr>
        <w:t>注：报告截止日2018年12月31日，基金份额净值0.900元，基金份额总额389,590,510.82份。</w:t>
      </w:r>
    </w:p>
    <w:p>
      <w:pPr>
        <w:widowControl/>
        <w:jc w:val="left"/>
        <w:rPr>
          <w:rFonts w:hint="eastAsia" w:ascii="宋体" w:hAnsi="宋体" w:cs="宋体"/>
          <w:kern w:val="0"/>
          <w:sz w:val="24"/>
          <w:szCs w:val="24"/>
        </w:rPr>
      </w:pPr>
    </w:p>
    <w:p>
      <w:pPr>
        <w:pStyle w:val="13"/>
        <w:rPr>
          <w:rFonts w:hint="eastAsia"/>
        </w:rPr>
      </w:pPr>
      <w:bookmarkStart w:id="32" w:name="_Toc4172929"/>
      <w:r>
        <w:rPr>
          <w:rFonts w:hint="eastAsia"/>
          <w:b/>
          <w:bCs/>
        </w:rPr>
        <w:t>7.2 利润表</w:t>
      </w:r>
      <w:bookmarkEnd w:id="32"/>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-86,727,855.44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19,306,009.21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5,053,436.18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9,740,476.23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633,523.43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973,252.07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4,419,912.75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8,767,224.16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-52,859,617.08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98,042,735.10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-55,510,559.44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91,546,598.94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2,650,942.36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-39,399,330.01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477,655.47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4,026,660.22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9,733,130.92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19,474,284.63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7,348,993.65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14,361,605.35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1,224,832.32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2,393,600.93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978,903.95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160,308.00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r>
    </w:tbl>
    <w:p>
      <w:pPr>
        <w:widowControl/>
        <w:jc w:val="left"/>
        <w:rPr>
          <w:rFonts w:hint="eastAsia" w:ascii="宋体" w:hAnsi="宋体" w:cs="宋体"/>
          <w:kern w:val="0"/>
          <w:sz w:val="24"/>
          <w:szCs w:val="24"/>
        </w:rPr>
      </w:pPr>
    </w:p>
    <w:p>
      <w:pPr>
        <w:pStyle w:val="13"/>
        <w:rPr>
          <w:rFonts w:hint="eastAsia"/>
        </w:rPr>
      </w:pPr>
      <w:bookmarkStart w:id="33" w:name="_Toc4172930"/>
      <w:r>
        <w:rPr>
          <w:rFonts w:hint="eastAsia"/>
          <w:b/>
          <w:bCs/>
        </w:rPr>
        <w:t>7.3 所有者权益（基金净值）变动表</w:t>
      </w:r>
      <w:bookmarkEnd w:id="33"/>
    </w:p>
    <w:p>
      <w:pPr>
        <w:pStyle w:val="16"/>
        <w:rPr>
          <w:rFonts w:hint="eastAsia"/>
        </w:rPr>
      </w:pPr>
      <w:r>
        <w:rPr>
          <w:rFonts w:hint="eastAsia"/>
        </w:rPr>
        <w:t>会计主体：创金合信沪港深研究精选灵活配置混合型证券投资基金</w:t>
      </w:r>
    </w:p>
    <w:p>
      <w:pPr>
        <w:pStyle w:val="16"/>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 </w:t>
            </w:r>
          </w:p>
          <w:p>
            <w:pPr>
              <w:pStyle w:val="17"/>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-295,741,873.91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-11,806,005.54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-307,547,879.45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65,605,332.87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2,452,540.71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68,057,873.58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-361,347,206.78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-14,258,546.25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-375,605,753.03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389,590,510.82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-38,897,533.04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350,692,977.78</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 </w:t>
            </w:r>
          </w:p>
          <w:p>
            <w:pPr>
              <w:pStyle w:val="17"/>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233,089,922.59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16,335,429.66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249,425,352.25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-168,275.42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452,242,462.14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53,202,304.62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505,444,766.76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1,592,853,164.24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202,890,247.54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1,795,743,411.78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-1,140,610,702.10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-149,687,942.92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-1,290,298,645.02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754,701,843.59</w:t>
            </w:r>
          </w:p>
        </w:tc>
      </w:tr>
    </w:tbl>
    <w:p>
      <w:pPr>
        <w:pStyle w:val="16"/>
        <w:rPr>
          <w:rFonts w:hint="eastAsia"/>
        </w:rPr>
      </w:pPr>
      <w:r>
        <w:rPr>
          <w:rFonts w:hint="eastAsia"/>
        </w:rPr>
        <w:t>报表附注为财务报表的组成部分。</w:t>
      </w:r>
    </w:p>
    <w:p>
      <w:pPr>
        <w:pStyle w:val="16"/>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6"/>
              <w:wordWrap w:val="0"/>
              <w:rPr>
                <w:rFonts w:hint="eastAsia"/>
              </w:rPr>
            </w:pPr>
            <w:r>
              <w:rPr>
                <w:rFonts w:hint="eastAsia" w:hAnsi="Calibri"/>
                <w:color w:val="000000"/>
              </w:rPr>
              <w:t>苏彦祝</w:t>
            </w:r>
          </w:p>
          <w:p>
            <w:pPr>
              <w:pStyle w:val="16"/>
              <w:wordWrap w:val="0"/>
              <w:rPr>
                <w:rFonts w:hint="eastAsia"/>
              </w:rPr>
            </w:pPr>
            <w:r>
              <w:rPr>
                <w:rFonts w:hint="eastAsia"/>
              </w:rPr>
              <w:t>—————————</w:t>
            </w:r>
          </w:p>
          <w:p>
            <w:pPr>
              <w:pStyle w:val="16"/>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6"/>
              <w:wordWrap w:val="0"/>
              <w:rPr>
                <w:rFonts w:hint="eastAsia"/>
              </w:rPr>
            </w:pPr>
            <w:r>
              <w:rPr>
                <w:rFonts w:hint="eastAsia"/>
              </w:rPr>
              <w:t>黄越岷</w:t>
            </w:r>
          </w:p>
          <w:p>
            <w:pPr>
              <w:pStyle w:val="16"/>
              <w:wordWrap w:val="0"/>
              <w:rPr>
                <w:rFonts w:hint="eastAsia"/>
              </w:rPr>
            </w:pPr>
            <w:r>
              <w:rPr>
                <w:rFonts w:hint="eastAsia"/>
              </w:rPr>
              <w:t>—————————</w:t>
            </w:r>
          </w:p>
          <w:p>
            <w:pPr>
              <w:pStyle w:val="16"/>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6"/>
              <w:wordWrap w:val="0"/>
              <w:rPr>
                <w:rFonts w:hint="eastAsia"/>
              </w:rPr>
            </w:pPr>
            <w:r>
              <w:rPr>
                <w:rFonts w:hint="eastAsia"/>
              </w:rPr>
              <w:t>安兆国</w:t>
            </w:r>
          </w:p>
          <w:p>
            <w:pPr>
              <w:pStyle w:val="16"/>
              <w:wordWrap w:val="0"/>
              <w:rPr>
                <w:rFonts w:hint="eastAsia"/>
              </w:rPr>
            </w:pPr>
            <w:r>
              <w:rPr>
                <w:rFonts w:hint="eastAsia"/>
              </w:rPr>
              <w:t>—————————</w:t>
            </w:r>
          </w:p>
          <w:p>
            <w:pPr>
              <w:pStyle w:val="16"/>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3"/>
        <w:rPr>
          <w:rFonts w:hint="eastAsia"/>
        </w:rPr>
      </w:pPr>
      <w:bookmarkStart w:id="34" w:name="_Toc4172931"/>
      <w:r>
        <w:rPr>
          <w:rFonts w:hint="eastAsia"/>
          <w:b/>
          <w:bCs/>
        </w:rPr>
        <w:t>7.4 报表附注</w:t>
      </w:r>
      <w:bookmarkEnd w:id="34"/>
    </w:p>
    <w:p>
      <w:pPr>
        <w:pStyle w:val="14"/>
        <w:rPr>
          <w:rFonts w:hint="eastAsia"/>
        </w:rPr>
      </w:pPr>
      <w:r>
        <w:rPr>
          <w:rFonts w:hint="eastAsia"/>
          <w:b/>
          <w:bCs/>
        </w:rPr>
        <w:t>7.4.1 基金基本情况</w:t>
      </w:r>
    </w:p>
    <w:p>
      <w:pPr>
        <w:pStyle w:val="19"/>
        <w:spacing w:before="0"/>
        <w:ind w:left="0" w:firstLine="480"/>
        <w:rPr>
          <w:rFonts w:hint="eastAsia"/>
        </w:rPr>
      </w:pPr>
      <w:r>
        <w:rPr>
          <w:rFonts w:hint="eastAsia"/>
        </w:rPr>
        <w:t>创金合信沪港深研究精选灵活配置混合型证券投资基金(以下简称"本基金")经中国证券监督管理委员会(以下简称"中国证监会")证监许可[2015]第1477号《关于准予创金合信沪港深研究精选灵活配置混合型证券投资基金注册的批复》核准，由创金合信基金管理有限公司依照《中华人民共和国证券投资基金法》和《创金合信沪港深研究精选灵活配置混合型证券投资基金基金合同》负责公开募集。本基金为契约型开放式，存续期限不定，首次设立募集不包括认购资金利息共募集人民币303,724,280.18 元，业经普华永道中天会计师事务所(特殊普通合伙) 普华永道中天验字(2015)第987号验资报告予以验证。经向中国证监会备案，《创金合信沪港深研究精选灵活配置混合型证券投资基金基金合同》于2015年8月24日正式生效，基金合同生效日的基金份额总额为303,868,723.06份基金份额，其中认购资金利息折合144,442.88份基金份额。本基金的基金管理人为创金合信基金管理有限公司，基金托管人为中国工商银行股份有限公司(以下简称"中国工商银行")。</w:t>
      </w:r>
    </w:p>
    <w:p>
      <w:pPr>
        <w:pStyle w:val="19"/>
        <w:spacing w:before="0"/>
        <w:ind w:left="0" w:firstLine="480"/>
        <w:rPr>
          <w:rFonts w:hint="eastAsia"/>
        </w:rPr>
      </w:pPr>
      <w:r>
        <w:rPr>
          <w:rFonts w:hint="eastAsia"/>
        </w:rPr>
        <w:t>根据《中华人民共和国证券投资基金法》和《创金合信沪港深研究精选灵活配置混合型证券投资基金基金合同》的有关规定，本基金的投资范围为具有良好流动性的金融工具，包括国内依法发行上市的股票(包括中小板、创业板及其他经中国证监会核准上市的股票)、沪港通机制下允许投资的香港联合交易所上市的股票(以下简称"港股通标的股票")、权证、股指期货、债券、中期票据、中小企业私募债券、资产支持证券、货币市场工具、债券回购、银行存款以及法律法规或中国证监会允许基金投资的其他金融工具。本基金的业绩比较基准为：沪深300 指数收益率×40%＋恒生指数收益率×20%＋中债总指数(全价)收益率×40%。</w:t>
      </w:r>
    </w:p>
    <w:p>
      <w:pPr>
        <w:widowControl/>
        <w:jc w:val="left"/>
        <w:rPr>
          <w:rFonts w:hint="eastAsia" w:ascii="宋体" w:hAnsi="宋体" w:cs="宋体"/>
          <w:kern w:val="0"/>
          <w:sz w:val="24"/>
          <w:szCs w:val="24"/>
        </w:rPr>
      </w:pPr>
    </w:p>
    <w:p>
      <w:pPr>
        <w:pStyle w:val="14"/>
        <w:rPr>
          <w:rFonts w:hint="eastAsia"/>
        </w:rPr>
      </w:pPr>
      <w:r>
        <w:rPr>
          <w:rFonts w:hint="eastAsia"/>
          <w:b/>
          <w:bCs/>
        </w:rPr>
        <w:t>7.4.2 会计报表的编制基础</w:t>
      </w:r>
    </w:p>
    <w:p>
      <w:pPr>
        <w:pStyle w:val="19"/>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港深研究精选灵活配置混合型证券投资基金基金合同》和在财务报表附注7.4.4所列示的中国证监会、中国基金业协会发布的有关规定及允许的基金行业实务操作编制。</w:t>
      </w:r>
    </w:p>
    <w:p>
      <w:pPr>
        <w:pStyle w:val="19"/>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4"/>
        <w:rPr>
          <w:rFonts w:hint="eastAsia"/>
        </w:rPr>
      </w:pPr>
      <w:r>
        <w:rPr>
          <w:rFonts w:hint="eastAsia"/>
          <w:b/>
          <w:bCs/>
        </w:rPr>
        <w:t>7.4.3 遵循企业会计准则及其他有关规定的声明</w:t>
      </w:r>
    </w:p>
    <w:p>
      <w:pPr>
        <w:pStyle w:val="19"/>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4"/>
        <w:rPr>
          <w:rFonts w:hint="eastAsia"/>
        </w:rPr>
      </w:pPr>
      <w:r>
        <w:rPr>
          <w:rFonts w:hint="eastAsia"/>
          <w:b/>
          <w:bCs/>
        </w:rPr>
        <w:t>7.4.4 重要会计政策和会计估计</w:t>
      </w:r>
    </w:p>
    <w:p>
      <w:pPr>
        <w:pStyle w:val="14"/>
        <w:rPr>
          <w:rFonts w:hint="eastAsia"/>
        </w:rPr>
      </w:pPr>
      <w:r>
        <w:rPr>
          <w:rFonts w:hint="eastAsia"/>
          <w:b/>
          <w:bCs/>
        </w:rPr>
        <w:t>7.4.4.1 会计年度</w:t>
      </w:r>
    </w:p>
    <w:p>
      <w:pPr>
        <w:pStyle w:val="19"/>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4"/>
        <w:rPr>
          <w:rFonts w:hint="eastAsia"/>
        </w:rPr>
      </w:pPr>
      <w:r>
        <w:rPr>
          <w:rFonts w:hint="eastAsia"/>
          <w:b/>
          <w:bCs/>
        </w:rPr>
        <w:t>7.4.4.2 记账本位币</w:t>
      </w:r>
    </w:p>
    <w:p>
      <w:pPr>
        <w:pStyle w:val="19"/>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4"/>
        <w:rPr>
          <w:rFonts w:hint="eastAsia"/>
        </w:rPr>
      </w:pPr>
      <w:r>
        <w:rPr>
          <w:rFonts w:hint="eastAsia"/>
          <w:b/>
          <w:bCs/>
        </w:rPr>
        <w:t>7.4.4.3 金融资产和金融负债的分类</w:t>
      </w:r>
    </w:p>
    <w:p>
      <w:pPr>
        <w:pStyle w:val="19"/>
        <w:spacing w:before="0"/>
        <w:ind w:left="0" w:firstLine="480"/>
        <w:rPr>
          <w:rFonts w:hint="eastAsia"/>
        </w:rPr>
      </w:pPr>
      <w:r>
        <w:rPr>
          <w:rFonts w:hint="eastAsia"/>
        </w:rPr>
        <w:t>(1) 金融资产的分类</w:t>
      </w:r>
    </w:p>
    <w:p>
      <w:pPr>
        <w:pStyle w:val="19"/>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19"/>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19"/>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19"/>
        <w:spacing w:before="0"/>
        <w:ind w:left="0" w:firstLine="480"/>
        <w:rPr>
          <w:rFonts w:hint="eastAsia"/>
        </w:rPr>
      </w:pPr>
      <w:r>
        <w:rPr>
          <w:rFonts w:hint="eastAsia"/>
        </w:rPr>
        <w:t>(2) 金融负债的分类</w:t>
      </w:r>
    </w:p>
    <w:p>
      <w:pPr>
        <w:pStyle w:val="19"/>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4"/>
        <w:rPr>
          <w:rFonts w:hint="eastAsia"/>
        </w:rPr>
      </w:pPr>
      <w:r>
        <w:rPr>
          <w:rFonts w:hint="eastAsia"/>
          <w:b/>
          <w:bCs/>
        </w:rPr>
        <w:t>7.4.4.4 金融资产和金融负债的初始确认、后续计量和终止确认</w:t>
      </w:r>
    </w:p>
    <w:p>
      <w:pPr>
        <w:pStyle w:val="19"/>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19"/>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19"/>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19"/>
        <w:spacing w:before="0"/>
        <w:ind w:left="0" w:firstLine="480"/>
        <w:rPr>
          <w:rFonts w:hint="eastAsia"/>
        </w:rPr>
      </w:pPr>
      <w:r>
        <w:rPr>
          <w:rFonts w:hint="eastAsia"/>
        </w:rPr>
        <w:t>金融资产终止确认时，其账面价值与收到的对价的差额，计入当期损益。</w:t>
      </w:r>
    </w:p>
    <w:p>
      <w:pPr>
        <w:pStyle w:val="19"/>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4"/>
        <w:rPr>
          <w:rFonts w:hint="eastAsia"/>
        </w:rPr>
      </w:pPr>
      <w:r>
        <w:rPr>
          <w:rFonts w:hint="eastAsia"/>
          <w:b/>
          <w:bCs/>
        </w:rPr>
        <w:t>7.4.4.5 金融资产和金融负债的估值原则</w:t>
      </w:r>
    </w:p>
    <w:p>
      <w:pPr>
        <w:pStyle w:val="19"/>
        <w:spacing w:before="0"/>
        <w:ind w:left="0" w:firstLine="480"/>
        <w:rPr>
          <w:rFonts w:hint="eastAsia"/>
        </w:rPr>
      </w:pPr>
      <w:r>
        <w:rPr>
          <w:rFonts w:hint="eastAsia"/>
        </w:rPr>
        <w:t>本基金持有的股票投资、债券投资和衍生工具按如下原则确定公允价值并进行估值：</w:t>
      </w:r>
    </w:p>
    <w:p>
      <w:pPr>
        <w:pStyle w:val="19"/>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19"/>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19"/>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4"/>
        <w:rPr>
          <w:rFonts w:hint="eastAsia"/>
        </w:rPr>
      </w:pPr>
      <w:r>
        <w:rPr>
          <w:rFonts w:hint="eastAsia"/>
          <w:b/>
          <w:bCs/>
        </w:rPr>
        <w:t>7.4.4.6 金融资产和金融负债的抵销</w:t>
      </w:r>
    </w:p>
    <w:p>
      <w:pPr>
        <w:pStyle w:val="19"/>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4"/>
        <w:rPr>
          <w:rFonts w:hint="eastAsia"/>
        </w:rPr>
      </w:pPr>
      <w:r>
        <w:rPr>
          <w:rFonts w:hint="eastAsia"/>
          <w:b/>
          <w:bCs/>
        </w:rPr>
        <w:t>7.4.4.7 实收基金</w:t>
      </w:r>
    </w:p>
    <w:p>
      <w:pPr>
        <w:pStyle w:val="19"/>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4"/>
        <w:rPr>
          <w:rFonts w:hint="eastAsia"/>
        </w:rPr>
      </w:pPr>
      <w:r>
        <w:rPr>
          <w:rFonts w:hint="eastAsia"/>
          <w:b/>
          <w:bCs/>
        </w:rPr>
        <w:t>7.4.4.8 损益平准金</w:t>
      </w:r>
    </w:p>
    <w:p>
      <w:pPr>
        <w:pStyle w:val="19"/>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4"/>
        <w:rPr>
          <w:rFonts w:hint="eastAsia"/>
        </w:rPr>
      </w:pPr>
      <w:r>
        <w:rPr>
          <w:rFonts w:hint="eastAsia"/>
          <w:b/>
          <w:bCs/>
        </w:rPr>
        <w:t>7.4.4.9 收入/（损失）的确认和计量</w:t>
      </w:r>
    </w:p>
    <w:p>
      <w:pPr>
        <w:pStyle w:val="19"/>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19"/>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19"/>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7.4.4.10 费用的确认和计量</w:t>
      </w:r>
    </w:p>
    <w:p>
      <w:pPr>
        <w:pStyle w:val="19"/>
        <w:spacing w:before="0"/>
        <w:ind w:left="0" w:firstLine="480"/>
        <w:rPr>
          <w:rFonts w:hint="eastAsia"/>
        </w:rPr>
      </w:pPr>
      <w:r>
        <w:rPr>
          <w:rFonts w:hint="eastAsia"/>
        </w:rPr>
        <w:t>本基金的管理人报酬和托管费在费用涵盖期间按基金合同约定的费率和计算方法逐日确认。</w:t>
      </w:r>
    </w:p>
    <w:p>
      <w:pPr>
        <w:pStyle w:val="19"/>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4"/>
        <w:rPr>
          <w:rFonts w:hint="eastAsia"/>
        </w:rPr>
      </w:pPr>
      <w:r>
        <w:rPr>
          <w:rFonts w:hint="eastAsia"/>
          <w:b/>
          <w:bCs/>
        </w:rPr>
        <w:t>7.4.4.11 基金的收益分配政策</w:t>
      </w:r>
    </w:p>
    <w:p>
      <w:pPr>
        <w:pStyle w:val="19"/>
        <w:spacing w:before="0"/>
        <w:ind w:left="0" w:firstLine="480"/>
        <w:rPr>
          <w:rFonts w:hint="eastAsia"/>
        </w:rPr>
      </w:pPr>
      <w:r>
        <w:rPr>
          <w:rFonts w:hint="eastAsia"/>
        </w:rPr>
        <w:t>本基金的收益分配政策为：(1) 在符合有关基金分红条件的前提下，本基金每年收益分配次数最多为6次，每次收益分配比例不得低于该次可供分配利润的30%；若《基金合同》生效不满3个月可不进行收益分配。(2)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每一基金份额享有同等分配权。(5) 法律法规或监管机关另有规定的，从其规定。</w:t>
      </w:r>
    </w:p>
    <w:p>
      <w:pPr>
        <w:widowControl/>
        <w:jc w:val="left"/>
        <w:rPr>
          <w:rFonts w:hint="eastAsia" w:ascii="宋体" w:hAnsi="宋体" w:cs="宋体"/>
          <w:kern w:val="0"/>
          <w:sz w:val="24"/>
          <w:szCs w:val="24"/>
        </w:rPr>
      </w:pPr>
    </w:p>
    <w:p>
      <w:pPr>
        <w:pStyle w:val="14"/>
        <w:rPr>
          <w:rFonts w:hint="eastAsia"/>
        </w:rPr>
      </w:pPr>
      <w:r>
        <w:rPr>
          <w:rFonts w:hint="eastAsia"/>
          <w:b/>
          <w:bCs/>
        </w:rPr>
        <w:t>7.4.4.12 外币交易</w:t>
      </w:r>
    </w:p>
    <w:p>
      <w:pPr>
        <w:pStyle w:val="19"/>
        <w:spacing w:before="0"/>
        <w:ind w:left="0" w:firstLine="480"/>
        <w:rPr>
          <w:rFonts w:hint="eastAsia"/>
        </w:rPr>
      </w:pPr>
      <w:r>
        <w:rPr>
          <w:rFonts w:hint="eastAsia"/>
        </w:rPr>
        <w:t>外币交易按交易发生日的即期汇率将外币金额折算为人民币入账。</w:t>
      </w:r>
    </w:p>
    <w:p>
      <w:pPr>
        <w:pStyle w:val="19"/>
        <w:spacing w:before="0"/>
        <w:ind w:left="0" w:firstLine="480"/>
        <w:rPr>
          <w:rFonts w:hint="eastAsia"/>
        </w:rPr>
      </w:pPr>
      <w:r>
        <w:rPr>
          <w:rFonts w:hint="eastAsia"/>
        </w:rPr>
        <w:t>以公允价值计量的外币非货币性项目，于估值日采用估值日的即期汇率折算为人民币，所产生的折算差额直接计入公允价值变动损益科目。</w:t>
      </w:r>
    </w:p>
    <w:p>
      <w:pPr>
        <w:widowControl/>
        <w:jc w:val="left"/>
        <w:rPr>
          <w:rFonts w:hint="eastAsia" w:ascii="宋体" w:hAnsi="宋体" w:cs="宋体"/>
          <w:kern w:val="0"/>
          <w:sz w:val="24"/>
          <w:szCs w:val="24"/>
        </w:rPr>
      </w:pPr>
    </w:p>
    <w:p>
      <w:pPr>
        <w:pStyle w:val="14"/>
        <w:rPr>
          <w:rFonts w:hint="eastAsia"/>
        </w:rPr>
      </w:pPr>
      <w:r>
        <w:rPr>
          <w:rFonts w:hint="eastAsia"/>
          <w:b/>
          <w:bCs/>
        </w:rPr>
        <w:t>7.4.4.13 分部报告</w:t>
      </w:r>
    </w:p>
    <w:p>
      <w:pPr>
        <w:pStyle w:val="19"/>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19"/>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4"/>
        <w:rPr>
          <w:rFonts w:hint="eastAsia"/>
        </w:rPr>
      </w:pPr>
      <w:r>
        <w:rPr>
          <w:rFonts w:hint="eastAsia"/>
          <w:b/>
          <w:bCs/>
        </w:rPr>
        <w:t>7.4.4.14 其他重要的会计政策和会计估计</w:t>
      </w:r>
    </w:p>
    <w:p>
      <w:pPr>
        <w:pStyle w:val="19"/>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19"/>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widowControl/>
        <w:jc w:val="left"/>
        <w:rPr>
          <w:rFonts w:hint="eastAsia" w:ascii="宋体" w:hAnsi="宋体" w:cs="宋体"/>
          <w:kern w:val="0"/>
          <w:sz w:val="24"/>
          <w:szCs w:val="24"/>
        </w:rPr>
      </w:pPr>
    </w:p>
    <w:p>
      <w:pPr>
        <w:pStyle w:val="14"/>
        <w:rPr>
          <w:rFonts w:hint="eastAsia"/>
        </w:rPr>
      </w:pPr>
      <w:r>
        <w:rPr>
          <w:rFonts w:hint="eastAsia"/>
          <w:b/>
          <w:bCs/>
        </w:rPr>
        <w:t>7.4.5 会计政策和会计估计变更以及差错更正的说明</w:t>
      </w:r>
    </w:p>
    <w:p>
      <w:pPr>
        <w:pStyle w:val="14"/>
        <w:rPr>
          <w:rFonts w:hint="eastAsia"/>
        </w:rPr>
      </w:pPr>
      <w:r>
        <w:rPr>
          <w:rFonts w:hint="eastAsia"/>
          <w:b/>
          <w:bCs/>
        </w:rPr>
        <w:t>7.4.5.1 会计政策变更的说明</w:t>
      </w:r>
    </w:p>
    <w:p>
      <w:pPr>
        <w:pStyle w:val="19"/>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4"/>
        <w:rPr>
          <w:rFonts w:hint="eastAsia"/>
        </w:rPr>
      </w:pPr>
      <w:r>
        <w:rPr>
          <w:rFonts w:hint="eastAsia"/>
          <w:b/>
          <w:bCs/>
        </w:rPr>
        <w:t>7.4.5.2 会计估计变更的说明</w:t>
      </w:r>
    </w:p>
    <w:p>
      <w:pPr>
        <w:pStyle w:val="19"/>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4"/>
        <w:rPr>
          <w:rFonts w:hint="eastAsia"/>
        </w:rPr>
      </w:pPr>
      <w:r>
        <w:rPr>
          <w:rFonts w:hint="eastAsia"/>
          <w:b/>
          <w:bCs/>
        </w:rPr>
        <w:t>7.4.5.3 差错更正的说明</w:t>
      </w:r>
    </w:p>
    <w:p>
      <w:pPr>
        <w:pStyle w:val="19"/>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4"/>
        <w:rPr>
          <w:rFonts w:hint="eastAsia"/>
        </w:rPr>
      </w:pPr>
      <w:r>
        <w:rPr>
          <w:rFonts w:hint="eastAsia"/>
          <w:b/>
          <w:bCs/>
        </w:rPr>
        <w:t>7.4.6 税项</w:t>
      </w:r>
    </w:p>
    <w:p>
      <w:pPr>
        <w:pStyle w:val="19"/>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[2014]81号《财政部国家税务总局证监会关于沪港股票市场交易互联互通机制试点有关税收政策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127号《财政部国家税务总局证监会关于深港股票市场交易互联互通机制试点有关税收政策的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19"/>
        <w:spacing w:before="0"/>
        <w:ind w:left="0" w:firstLine="480"/>
        <w:rPr>
          <w:rFonts w:hint="eastAsia"/>
        </w:rPr>
      </w:pPr>
      <w:r>
        <w:rPr>
          <w:rFonts w:hint="eastAsia"/>
        </w:rPr>
        <w:t xml:space="preserve">(1)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 </w:t>
      </w:r>
    </w:p>
    <w:p>
      <w:pPr>
        <w:pStyle w:val="19"/>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19"/>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19"/>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19"/>
        <w:spacing w:before="0"/>
        <w:ind w:left="0" w:firstLine="480"/>
        <w:rPr>
          <w:rFonts w:hint="eastAsia"/>
        </w:rPr>
      </w:pPr>
      <w:r>
        <w:rPr>
          <w:rFonts w:hint="eastAsia"/>
        </w:rPr>
        <w:t>对基金通过沪港通投资香港联交所上市H股取得的股息红利，H股公司应向中国证券登记结算有限责任公司(以下简称"中国结算")提出申请，由中国结算向H股公司提供内地个人投资者名册，H股公司按照20%的税率代扣个人所得税。基金通过沪港通投资香港联交所上市的非H股取得的股息红利，由中国结算按照20%的税率代扣个人所得税。</w:t>
      </w:r>
    </w:p>
    <w:p>
      <w:pPr>
        <w:pStyle w:val="19"/>
        <w:spacing w:before="0"/>
        <w:ind w:left="0" w:firstLine="480"/>
        <w:rPr>
          <w:rFonts w:hint="eastAsia"/>
        </w:rPr>
      </w:pPr>
      <w:r>
        <w:rPr>
          <w:rFonts w:hint="eastAsia"/>
        </w:rPr>
        <w:t>(4) 基金卖出股票按0.1%的税率缴纳股票交易印花税，买入股票不征收股票交易印花税。基金通过沪港通买卖、继承、赠与联交所上市股票，按照香港特别行政区现行税法规定缴纳印花税。</w:t>
      </w:r>
    </w:p>
    <w:p>
      <w:pPr>
        <w:pStyle w:val="19"/>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4"/>
        <w:rPr>
          <w:rFonts w:hint="eastAsia"/>
        </w:rPr>
      </w:pPr>
      <w:r>
        <w:rPr>
          <w:rFonts w:hint="eastAsia"/>
          <w:b/>
          <w:bCs/>
        </w:rPr>
        <w:t>7.4.7 重要财务报表项目的说明</w:t>
      </w:r>
    </w:p>
    <w:p>
      <w:pPr>
        <w:pStyle w:val="14"/>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41,537,981.21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41,537,981.21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r>
    </w:tbl>
    <w:p>
      <w:pPr>
        <w:widowControl/>
        <w:jc w:val="left"/>
        <w:rPr>
          <w:rFonts w:hint="eastAsia" w:ascii="宋体" w:hAnsi="宋体" w:cs="宋体"/>
          <w:kern w:val="0"/>
          <w:sz w:val="24"/>
          <w:szCs w:val="24"/>
        </w:rPr>
      </w:pPr>
    </w:p>
    <w:p>
      <w:pPr>
        <w:pStyle w:val="14"/>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324,888,480.42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-123,842,364.77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324,888,480.42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-123,842,364.77</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576,057,942.04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-84,443,034.76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576,057,942.04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491,614,907.28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-84,443,034.76</w:t>
            </w:r>
          </w:p>
        </w:tc>
      </w:tr>
    </w:tbl>
    <w:p>
      <w:pPr>
        <w:widowControl/>
        <w:jc w:val="left"/>
        <w:rPr>
          <w:rFonts w:hint="eastAsia" w:ascii="宋体" w:hAnsi="宋体" w:cs="宋体"/>
          <w:kern w:val="0"/>
          <w:sz w:val="24"/>
          <w:szCs w:val="24"/>
        </w:rPr>
      </w:pPr>
    </w:p>
    <w:p>
      <w:pPr>
        <w:pStyle w:val="14"/>
        <w:rPr>
          <w:rFonts w:hint="eastAsia"/>
        </w:rPr>
      </w:pPr>
      <w:r>
        <w:rPr>
          <w:rFonts w:hint="eastAsia"/>
          <w:b/>
          <w:bCs/>
        </w:rPr>
        <w:t>7.4.7.3 衍生金融资产/负债</w:t>
      </w:r>
    </w:p>
    <w:p>
      <w:pPr>
        <w:pStyle w:val="19"/>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4"/>
        <w:rPr>
          <w:rFonts w:hint="eastAsia"/>
        </w:rPr>
      </w:pPr>
      <w:r>
        <w:rPr>
          <w:rFonts w:hint="eastAsia"/>
          <w:b/>
          <w:bCs/>
        </w:rPr>
        <w:t>7.4.7.4 买入返售金融资产</w:t>
      </w:r>
    </w:p>
    <w:p>
      <w:pPr>
        <w:pStyle w:val="14"/>
        <w:rPr>
          <w:rFonts w:hint="eastAsia"/>
        </w:rPr>
      </w:pPr>
      <w:r>
        <w:rPr>
          <w:rFonts w:hint="eastAsia"/>
          <w:b/>
          <w:bCs/>
        </w:rPr>
        <w:t>7.4.7.4.1 各项买入返售金融资产期末余额</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185"/>
        <w:gridCol w:w="39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7.4.7.4.2 期末买断式逆回购交易中取得的债券</w:t>
      </w:r>
    </w:p>
    <w:p>
      <w:pPr>
        <w:pStyle w:val="19"/>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4"/>
        <w:rPr>
          <w:rFonts w:hint="eastAsia"/>
        </w:rPr>
      </w:pPr>
      <w:r>
        <w:rPr>
          <w:rFonts w:hint="eastAsia"/>
          <w:b/>
          <w:bCs/>
        </w:rPr>
        <w:t>7.4.7.5 应收利息</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10,165.84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14,019.82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4,391.97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10,668.24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-23,356.16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-85,775.49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-60,990.96</w:t>
            </w:r>
          </w:p>
        </w:tc>
      </w:tr>
    </w:tbl>
    <w:p>
      <w:pPr>
        <w:widowControl/>
        <w:jc w:val="left"/>
        <w:rPr>
          <w:rFonts w:hint="eastAsia" w:ascii="宋体" w:hAnsi="宋体" w:cs="宋体"/>
          <w:kern w:val="0"/>
          <w:sz w:val="24"/>
          <w:szCs w:val="24"/>
        </w:rPr>
      </w:pPr>
    </w:p>
    <w:p>
      <w:pPr>
        <w:pStyle w:val="14"/>
        <w:rPr>
          <w:rFonts w:hint="eastAsia"/>
        </w:rPr>
      </w:pPr>
      <w:r>
        <w:rPr>
          <w:rFonts w:hint="eastAsia"/>
          <w:b/>
          <w:bCs/>
        </w:rPr>
        <w:t>7.4.7.6 其他资产</w:t>
      </w:r>
    </w:p>
    <w:p>
      <w:pPr>
        <w:pStyle w:val="19"/>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4"/>
        <w:rPr>
          <w:rFonts w:hint="eastAsia"/>
        </w:rPr>
      </w:pPr>
      <w:r>
        <w:rPr>
          <w:rFonts w:hint="eastAsia"/>
          <w:b/>
          <w:bCs/>
        </w:rPr>
        <w:t>7.4.7.7 应付交易费用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56,145.19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56,145.19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301,656.99</w:t>
            </w:r>
          </w:p>
        </w:tc>
      </w:tr>
    </w:tbl>
    <w:p>
      <w:pPr>
        <w:widowControl/>
        <w:jc w:val="left"/>
        <w:rPr>
          <w:rFonts w:hint="eastAsia" w:ascii="宋体" w:hAnsi="宋体" w:cs="宋体"/>
          <w:kern w:val="0"/>
          <w:sz w:val="24"/>
          <w:szCs w:val="24"/>
        </w:rPr>
      </w:pPr>
    </w:p>
    <w:p>
      <w:pPr>
        <w:pStyle w:val="14"/>
        <w:rPr>
          <w:rFonts w:hint="eastAsia"/>
        </w:rPr>
      </w:pPr>
      <w:r>
        <w:rPr>
          <w:rFonts w:hint="eastAsia"/>
          <w:b/>
          <w:bCs/>
        </w:rPr>
        <w:t>7.4.7.8 其他负债</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5,456.11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179,999.80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159,999.80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180,680.98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165,455.91</w:t>
            </w:r>
          </w:p>
        </w:tc>
      </w:tr>
    </w:tbl>
    <w:p>
      <w:pPr>
        <w:widowControl/>
        <w:jc w:val="left"/>
        <w:rPr>
          <w:rFonts w:hint="eastAsia" w:ascii="宋体" w:hAnsi="宋体" w:cs="宋体"/>
          <w:kern w:val="0"/>
          <w:sz w:val="24"/>
          <w:szCs w:val="24"/>
        </w:rPr>
      </w:pPr>
    </w:p>
    <w:p>
      <w:pPr>
        <w:pStyle w:val="14"/>
        <w:rPr>
          <w:rFonts w:hint="eastAsia"/>
        </w:rPr>
      </w:pPr>
      <w:r>
        <w:rPr>
          <w:rFonts w:hint="eastAsia"/>
          <w:b/>
          <w:bCs/>
        </w:rPr>
        <w:t>7.4.7.9 实收基金</w:t>
      </w:r>
    </w:p>
    <w:p>
      <w:pPr>
        <w:pStyle w:val="18"/>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65,605,332.87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65,605,332.87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-361,347,206.78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-361,347,206.78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389,590,510.82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389,590,510.82</w:t>
            </w:r>
          </w:p>
        </w:tc>
      </w:tr>
    </w:tbl>
    <w:p>
      <w:pPr>
        <w:pStyle w:val="19"/>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4"/>
        <w:rPr>
          <w:rFonts w:hint="eastAsia"/>
        </w:rPr>
      </w:pPr>
      <w:r>
        <w:rPr>
          <w:rFonts w:hint="eastAsia"/>
          <w:b/>
          <w:bCs/>
        </w:rPr>
        <w:t>7.4.7.10 未分配利润</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99,778,392.10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-30,408,933.24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69,369,458.86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-57,061,656.35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-39,399,330.01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-96,460,986.36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-32,753,086.04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20,947,080.50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-11,806,005.54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7,785,900.98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-5,333,360.27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2,452,540.71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-40,538,987.02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26,280,440.77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-14,258,546.25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9,963,649.71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-48,861,182.75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-38,897,533.04</w:t>
            </w:r>
          </w:p>
        </w:tc>
      </w:tr>
    </w:tbl>
    <w:p>
      <w:pPr>
        <w:widowControl/>
        <w:jc w:val="left"/>
        <w:rPr>
          <w:rFonts w:hint="eastAsia" w:ascii="宋体" w:hAnsi="宋体" w:cs="宋体"/>
          <w:kern w:val="0"/>
          <w:sz w:val="24"/>
          <w:szCs w:val="24"/>
        </w:rPr>
      </w:pPr>
    </w:p>
    <w:p>
      <w:pPr>
        <w:pStyle w:val="14"/>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409,022.53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627,598.75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222,449.99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342,316.67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2,050.91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633,523.43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973,252.07</w:t>
            </w:r>
          </w:p>
        </w:tc>
      </w:tr>
    </w:tbl>
    <w:p>
      <w:pPr>
        <w:widowControl/>
        <w:jc w:val="left"/>
        <w:rPr>
          <w:rFonts w:hint="eastAsia" w:ascii="宋体" w:hAnsi="宋体" w:cs="宋体"/>
          <w:kern w:val="0"/>
          <w:sz w:val="24"/>
          <w:szCs w:val="24"/>
        </w:rPr>
      </w:pPr>
    </w:p>
    <w:p>
      <w:pPr>
        <w:pStyle w:val="14"/>
        <w:rPr>
          <w:rFonts w:hint="eastAsia"/>
        </w:rPr>
      </w:pPr>
      <w:r>
        <w:rPr>
          <w:rFonts w:hint="eastAsia"/>
          <w:b/>
          <w:bCs/>
        </w:rPr>
        <w:t>7.4.7.12 股票投资收益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461,834,802.33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882,426,842.59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517,345,361.77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790,880,243.65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-55,510,559.44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91,546,598.94</w:t>
            </w:r>
          </w:p>
        </w:tc>
      </w:tr>
    </w:tbl>
    <w:p>
      <w:pPr>
        <w:widowControl/>
        <w:jc w:val="left"/>
        <w:rPr>
          <w:rFonts w:hint="eastAsia" w:ascii="宋体" w:hAnsi="宋体" w:cs="宋体"/>
          <w:kern w:val="0"/>
          <w:sz w:val="24"/>
          <w:szCs w:val="24"/>
        </w:rPr>
      </w:pPr>
    </w:p>
    <w:p>
      <w:pPr>
        <w:pStyle w:val="14"/>
        <w:rPr>
          <w:rFonts w:hint="eastAsia"/>
        </w:rPr>
      </w:pPr>
      <w:r>
        <w:rPr>
          <w:rFonts w:hint="eastAsia"/>
          <w:b/>
          <w:bCs/>
        </w:rPr>
        <w:t>7.4.7.13 债券投资收益</w:t>
      </w:r>
    </w:p>
    <w:p>
      <w:pPr>
        <w:pStyle w:val="19"/>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4"/>
        <w:rPr>
          <w:rFonts w:hint="eastAsia"/>
        </w:rPr>
      </w:pPr>
      <w:r>
        <w:rPr>
          <w:rFonts w:hint="eastAsia"/>
          <w:b/>
          <w:bCs/>
        </w:rPr>
        <w:t>7.4.7.14 衍生工具收益</w:t>
      </w:r>
    </w:p>
    <w:p>
      <w:pPr>
        <w:pStyle w:val="19"/>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4"/>
        <w:rPr>
          <w:rFonts w:hint="eastAsia"/>
        </w:rPr>
      </w:pPr>
      <w:r>
        <w:rPr>
          <w:rFonts w:hint="eastAsia"/>
          <w:b/>
          <w:bCs/>
        </w:rPr>
        <w:t>7.4.7.15 股利收益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2,650,942.36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2,650,942.36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6,496,136.16</w:t>
            </w:r>
          </w:p>
        </w:tc>
      </w:tr>
    </w:tbl>
    <w:p>
      <w:pPr>
        <w:widowControl/>
        <w:jc w:val="left"/>
        <w:rPr>
          <w:rFonts w:hint="eastAsia" w:ascii="宋体" w:hAnsi="宋体" w:cs="宋体"/>
          <w:kern w:val="0"/>
          <w:sz w:val="24"/>
          <w:szCs w:val="24"/>
        </w:rPr>
      </w:pPr>
    </w:p>
    <w:p>
      <w:pPr>
        <w:pStyle w:val="14"/>
        <w:rPr>
          <w:rFonts w:hint="eastAsia"/>
        </w:rPr>
      </w:pPr>
      <w:r>
        <w:rPr>
          <w:rFonts w:hint="eastAsia"/>
          <w:b/>
          <w:bCs/>
        </w:rPr>
        <w:t>7.4.7.16 公允价值变动收益</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-39,399,330.01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-39,399,330.01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-39,399,330.01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-92,503,862.34</w:t>
            </w:r>
          </w:p>
        </w:tc>
      </w:tr>
    </w:tbl>
    <w:p>
      <w:pPr>
        <w:widowControl/>
        <w:jc w:val="left"/>
        <w:rPr>
          <w:rFonts w:hint="eastAsia" w:ascii="宋体" w:hAnsi="宋体" w:cs="宋体"/>
          <w:kern w:val="0"/>
          <w:sz w:val="24"/>
          <w:szCs w:val="24"/>
        </w:rPr>
      </w:pPr>
    </w:p>
    <w:p>
      <w:pPr>
        <w:pStyle w:val="14"/>
        <w:rPr>
          <w:rFonts w:hint="eastAsia"/>
        </w:rPr>
      </w:pPr>
      <w:r>
        <w:rPr>
          <w:rFonts w:hint="eastAsia"/>
          <w:b/>
          <w:bCs/>
        </w:rPr>
        <w:t>7.4.7.17 其他收入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411,094.99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4,016,510.99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66,560.48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10,149.23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477,655.47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4,026,660.22</w:t>
            </w:r>
          </w:p>
        </w:tc>
      </w:tr>
    </w:tbl>
    <w:p>
      <w:pPr>
        <w:widowControl/>
        <w:jc w:val="left"/>
        <w:rPr>
          <w:rFonts w:hint="eastAsia" w:ascii="宋体" w:hAnsi="宋体" w:cs="宋体"/>
          <w:kern w:val="0"/>
          <w:sz w:val="24"/>
          <w:szCs w:val="24"/>
        </w:rPr>
      </w:pPr>
    </w:p>
    <w:p>
      <w:pPr>
        <w:pStyle w:val="14"/>
        <w:rPr>
          <w:rFonts w:hint="eastAsia"/>
        </w:rPr>
      </w:pPr>
      <w:r>
        <w:rPr>
          <w:rFonts w:hint="eastAsia"/>
          <w:b/>
          <w:bCs/>
        </w:rPr>
        <w:t>7.4.7.18 交易费用</w:t>
      </w:r>
    </w:p>
    <w:p>
      <w:pPr>
        <w:pStyle w:val="18"/>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978,903.95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978,903.95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2,558,770.35</w:t>
            </w:r>
          </w:p>
        </w:tc>
      </w:tr>
    </w:tbl>
    <w:p>
      <w:pPr>
        <w:widowControl/>
        <w:jc w:val="left"/>
        <w:rPr>
          <w:rFonts w:hint="eastAsia" w:ascii="宋体" w:hAnsi="宋体" w:cs="宋体"/>
          <w:kern w:val="0"/>
          <w:sz w:val="24"/>
          <w:szCs w:val="24"/>
        </w:rPr>
      </w:pPr>
    </w:p>
    <w:p>
      <w:pPr>
        <w:pStyle w:val="14"/>
        <w:rPr>
          <w:rFonts w:hint="eastAsia"/>
        </w:rPr>
      </w:pPr>
      <w:r>
        <w:rPr>
          <w:rFonts w:hint="eastAsia"/>
          <w:b/>
          <w:bCs/>
        </w:rPr>
        <w:t>7.4.7.19 其他费用</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160,308.00</w:t>
            </w:r>
          </w:p>
        </w:tc>
      </w:tr>
    </w:tbl>
    <w:p>
      <w:pPr>
        <w:widowControl/>
        <w:jc w:val="left"/>
        <w:rPr>
          <w:rFonts w:hint="eastAsia" w:ascii="宋体" w:hAnsi="宋体" w:cs="宋体"/>
          <w:kern w:val="0"/>
          <w:sz w:val="24"/>
          <w:szCs w:val="24"/>
        </w:rPr>
      </w:pPr>
    </w:p>
    <w:p>
      <w:pPr>
        <w:pStyle w:val="14"/>
        <w:rPr>
          <w:rFonts w:hint="eastAsia"/>
        </w:rPr>
      </w:pPr>
      <w:r>
        <w:rPr>
          <w:rFonts w:hint="eastAsia"/>
          <w:b/>
          <w:bCs/>
        </w:rPr>
        <w:t>7.4.8 或有事项、资产负债表日后事项的说明</w:t>
      </w:r>
    </w:p>
    <w:p>
      <w:pPr>
        <w:pStyle w:val="14"/>
        <w:rPr>
          <w:rFonts w:hint="eastAsia"/>
        </w:rPr>
      </w:pPr>
      <w:r>
        <w:rPr>
          <w:rFonts w:hint="eastAsia"/>
          <w:b/>
          <w:bCs/>
        </w:rPr>
        <w:t>7.4.8.1 或有事项</w:t>
      </w:r>
    </w:p>
    <w:p>
      <w:pPr>
        <w:pStyle w:val="19"/>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4"/>
        <w:rPr>
          <w:rFonts w:hint="eastAsia"/>
        </w:rPr>
      </w:pPr>
      <w:r>
        <w:rPr>
          <w:rFonts w:hint="eastAsia"/>
          <w:b/>
          <w:bCs/>
        </w:rPr>
        <w:t>7.4.8.2 资产负债表日后事项</w:t>
      </w:r>
    </w:p>
    <w:p>
      <w:pPr>
        <w:pStyle w:val="19"/>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4"/>
        <w:rPr>
          <w:b/>
          <w:bCs/>
        </w:rPr>
      </w:pPr>
      <w:r>
        <w:rPr>
          <w:rFonts w:hint="eastAsia"/>
          <w:b/>
          <w:bCs/>
        </w:rPr>
        <w:t>7.4.9 关联方关系</w:t>
      </w:r>
    </w:p>
    <w:p>
      <w:pPr>
        <w:pStyle w:val="14"/>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4"/>
      </w:pPr>
      <w:r>
        <w:rPr>
          <w:rFonts w:hint="eastAsia"/>
        </w:rPr>
        <w:t>本报告期不存在重大关联方发生变化的情况。</w:t>
      </w:r>
    </w:p>
    <w:p>
      <w:pPr>
        <w:pStyle w:val="14"/>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基金管理人的股东</w:t>
            </w:r>
          </w:p>
        </w:tc>
      </w:tr>
    </w:tbl>
    <w:p>
      <w:pPr>
        <w:pStyle w:val="19"/>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4"/>
        <w:rPr>
          <w:rFonts w:hint="eastAsia"/>
        </w:rPr>
      </w:pPr>
      <w:r>
        <w:rPr>
          <w:rFonts w:hint="eastAsia"/>
          <w:b/>
          <w:bCs/>
        </w:rPr>
        <w:t>7.4.10 本报告期及上年度可比期间的关联方交易</w:t>
      </w:r>
    </w:p>
    <w:p>
      <w:pPr>
        <w:pStyle w:val="14"/>
        <w:rPr>
          <w:rFonts w:hint="eastAsia"/>
        </w:rPr>
      </w:pPr>
      <w:r>
        <w:rPr>
          <w:rFonts w:hint="eastAsia"/>
          <w:b/>
          <w:bCs/>
        </w:rPr>
        <w:t>7.4.10.1 通过关联方交易单元进行的交易</w:t>
      </w:r>
    </w:p>
    <w:p>
      <w:pPr>
        <w:pStyle w:val="14"/>
        <w:rPr>
          <w:rFonts w:hint="eastAsia"/>
        </w:rPr>
      </w:pPr>
      <w:r>
        <w:rPr>
          <w:rFonts w:hint="eastAsia"/>
          <w:b/>
          <w:bCs/>
        </w:rPr>
        <w:t>7.4.10.1.1 股票交易</w:t>
      </w:r>
    </w:p>
    <w:p>
      <w:pPr>
        <w:pStyle w:val="19"/>
        <w:rPr>
          <w:rFonts w:hint="eastAsia"/>
        </w:rPr>
      </w:pPr>
      <w:r>
        <w:rPr>
          <w:rFonts w:hint="eastAsia"/>
        </w:rPr>
        <w:t>本基金于本报告期及上年度可比期间均未通过关联方交易单元进行股票交易。</w:t>
      </w:r>
    </w:p>
    <w:p>
      <w:pPr>
        <w:widowControl/>
        <w:jc w:val="left"/>
        <w:rPr>
          <w:rFonts w:hint="eastAsia" w:ascii="宋体" w:hAnsi="宋体" w:cs="宋体"/>
          <w:kern w:val="0"/>
          <w:sz w:val="24"/>
          <w:szCs w:val="24"/>
        </w:rPr>
      </w:pPr>
    </w:p>
    <w:p>
      <w:pPr>
        <w:pStyle w:val="14"/>
        <w:rPr>
          <w:rFonts w:hint="eastAsia"/>
        </w:rPr>
      </w:pPr>
      <w:r>
        <w:rPr>
          <w:rFonts w:hint="eastAsia"/>
          <w:b/>
          <w:bCs/>
        </w:rPr>
        <w:t>7.4.10.1.2 权证交易</w:t>
      </w:r>
    </w:p>
    <w:p>
      <w:pPr>
        <w:pStyle w:val="19"/>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4"/>
        <w:rPr>
          <w:rFonts w:hint="eastAsia"/>
        </w:rPr>
      </w:pPr>
      <w:r>
        <w:rPr>
          <w:rFonts w:hint="eastAsia"/>
          <w:b/>
          <w:bCs/>
        </w:rPr>
        <w:t>7.4.10.1.3 应支付关联方的佣金</w:t>
      </w:r>
    </w:p>
    <w:p>
      <w:pPr>
        <w:pStyle w:val="19"/>
        <w:rPr>
          <w:rFonts w:hint="eastAsia"/>
        </w:rPr>
      </w:pPr>
      <w:r>
        <w:rPr>
          <w:rFonts w:hint="eastAsia"/>
        </w:rPr>
        <w:t>本基金于本报告期末及上年度末均无应支付关联方的佣金。</w:t>
      </w:r>
    </w:p>
    <w:p>
      <w:pPr>
        <w:widowControl/>
        <w:jc w:val="left"/>
        <w:rPr>
          <w:rFonts w:hint="eastAsia" w:ascii="宋体" w:hAnsi="宋体" w:cs="宋体"/>
          <w:kern w:val="0"/>
          <w:sz w:val="24"/>
          <w:szCs w:val="24"/>
        </w:rPr>
      </w:pPr>
    </w:p>
    <w:p>
      <w:pPr>
        <w:pStyle w:val="14"/>
        <w:rPr>
          <w:rFonts w:hint="eastAsia"/>
        </w:rPr>
      </w:pPr>
      <w:r>
        <w:rPr>
          <w:rFonts w:hint="eastAsia"/>
          <w:b/>
          <w:bCs/>
        </w:rPr>
        <w:t>7.4.10.2 关联方报酬</w:t>
      </w:r>
    </w:p>
    <w:p>
      <w:pPr>
        <w:pStyle w:val="14"/>
        <w:rPr>
          <w:rFonts w:hint="eastAsia"/>
        </w:rPr>
      </w:pPr>
      <w:r>
        <w:rPr>
          <w:rFonts w:hint="eastAsia"/>
          <w:b/>
          <w:bCs/>
        </w:rPr>
        <w:t>7.4.10.2.1 基金管理费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7,348,993.65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14,361,605.35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4,427,637.11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8,728,153.08</w:t>
            </w:r>
          </w:p>
        </w:tc>
      </w:tr>
    </w:tbl>
    <w:p>
      <w:pPr>
        <w:pStyle w:val="19"/>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5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7.4.10.2.2 基金托管费</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1,224,832.32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2,393,600.93</w:t>
            </w:r>
          </w:p>
        </w:tc>
      </w:tr>
    </w:tbl>
    <w:p>
      <w:pPr>
        <w:pStyle w:val="19"/>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4"/>
        <w:rPr>
          <w:rFonts w:hint="eastAsia"/>
        </w:rPr>
      </w:pPr>
      <w:r>
        <w:rPr>
          <w:rFonts w:hint="eastAsia"/>
          <w:b/>
          <w:bCs/>
        </w:rPr>
        <w:t>7.4.10.3 与关联方进行银行间同业市场的债券(含回购)交易</w:t>
      </w:r>
    </w:p>
    <w:p>
      <w:pPr>
        <w:pStyle w:val="19"/>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4"/>
        <w:rPr>
          <w:rFonts w:hint="eastAsia"/>
        </w:rPr>
      </w:pPr>
      <w:r>
        <w:rPr>
          <w:rFonts w:hint="eastAsia"/>
          <w:b/>
          <w:bCs/>
        </w:rPr>
        <w:t>7.4.10.4 各关联方投资本基金的情况</w:t>
      </w:r>
    </w:p>
    <w:p>
      <w:pPr>
        <w:pStyle w:val="14"/>
        <w:rPr>
          <w:rFonts w:hint="eastAsia"/>
        </w:rPr>
      </w:pPr>
      <w:r>
        <w:rPr>
          <w:rFonts w:hint="eastAsia"/>
          <w:b/>
          <w:bCs/>
        </w:rPr>
        <w:t>7.4.10.4.1 报告期内基金管理人运用固有资金投资本基金的情况</w:t>
      </w:r>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基金合同生效日（2015年08月24日）持有的基金份额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10,010,250.00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1.46%</w:t>
            </w:r>
          </w:p>
        </w:tc>
      </w:tr>
    </w:tbl>
    <w:p>
      <w:pPr>
        <w:widowControl/>
        <w:jc w:val="left"/>
        <w:rPr>
          <w:rFonts w:hint="eastAsia" w:ascii="宋体" w:hAnsi="宋体" w:cs="宋体"/>
          <w:kern w:val="0"/>
          <w:sz w:val="24"/>
          <w:szCs w:val="24"/>
        </w:rPr>
      </w:pPr>
    </w:p>
    <w:p>
      <w:pPr>
        <w:pStyle w:val="14"/>
        <w:rPr>
          <w:rFonts w:hint="eastAsia"/>
        </w:rPr>
      </w:pPr>
      <w:r>
        <w:rPr>
          <w:rFonts w:hint="eastAsia"/>
          <w:b/>
          <w:bCs/>
        </w:rPr>
        <w:t>7.4.10.4.2 报告期末除基金管理人之外的其他关联方投资本基金的情况</w:t>
      </w:r>
    </w:p>
    <w:p>
      <w:pPr>
        <w:pStyle w:val="19"/>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4"/>
        <w:rPr>
          <w:rFonts w:hint="eastAsia"/>
        </w:rPr>
      </w:pPr>
      <w:r>
        <w:rPr>
          <w:rFonts w:hint="eastAsia"/>
          <w:b/>
          <w:bCs/>
        </w:rPr>
        <w:t>7.4.10.5 由关联方保管的银行存款余额及当期产生的利息收入</w:t>
      </w:r>
    </w:p>
    <w:p>
      <w:pPr>
        <w:pStyle w:val="18"/>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w:t>
            </w:r>
          </w:p>
          <w:p>
            <w:pPr>
              <w:pStyle w:val="17"/>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上年度可比期间</w:t>
            </w:r>
          </w:p>
          <w:p>
            <w:pPr>
              <w:pStyle w:val="17"/>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41,537,981.21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409,022.53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63,780,123.46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627,598.75</w:t>
            </w:r>
          </w:p>
        </w:tc>
      </w:tr>
    </w:tbl>
    <w:p>
      <w:pPr>
        <w:pStyle w:val="19"/>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4"/>
        <w:rPr>
          <w:rFonts w:hint="eastAsia"/>
        </w:rPr>
      </w:pPr>
      <w:r>
        <w:rPr>
          <w:rFonts w:hint="eastAsia"/>
          <w:b/>
          <w:bCs/>
        </w:rPr>
        <w:t>7.4.10.6 本基金在承销期内参与关联方承销证券的情况</w:t>
      </w:r>
    </w:p>
    <w:p>
      <w:pPr>
        <w:pStyle w:val="19"/>
        <w:rPr>
          <w:rFonts w:hint="eastAsia"/>
        </w:rPr>
      </w:pPr>
      <w:r>
        <w:rPr>
          <w:rFonts w:hint="eastAsia"/>
        </w:rPr>
        <w:t>本基金本报告期及上年度可比期间均未在承销期内参与关联方承销的证券。</w:t>
      </w:r>
    </w:p>
    <w:p>
      <w:pPr>
        <w:widowControl/>
        <w:jc w:val="left"/>
        <w:rPr>
          <w:rFonts w:hint="eastAsia" w:ascii="宋体" w:hAnsi="宋体" w:cs="宋体"/>
          <w:kern w:val="0"/>
          <w:sz w:val="24"/>
          <w:szCs w:val="24"/>
        </w:rPr>
      </w:pPr>
    </w:p>
    <w:p>
      <w:pPr>
        <w:pStyle w:val="14"/>
        <w:rPr>
          <w:rFonts w:hint="eastAsia"/>
        </w:rPr>
      </w:pPr>
      <w:r>
        <w:rPr>
          <w:rFonts w:hint="eastAsia"/>
          <w:b/>
          <w:bCs/>
        </w:rPr>
        <w:t>7.4.10.7 其他关联交易事项的说明</w:t>
      </w:r>
    </w:p>
    <w:p>
      <w:pPr>
        <w:pStyle w:val="19"/>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4"/>
        <w:rPr>
          <w:rFonts w:hint="eastAsia"/>
        </w:rPr>
      </w:pPr>
      <w:r>
        <w:rPr>
          <w:rFonts w:hint="eastAsia"/>
          <w:b/>
          <w:bCs/>
        </w:rPr>
        <w:t>7.4.11 利润分配情况--非货币市场基金</w:t>
      </w:r>
    </w:p>
    <w:p>
      <w:pPr>
        <w:pStyle w:val="19"/>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4"/>
        <w:rPr>
          <w:rFonts w:hint="eastAsia"/>
        </w:rPr>
      </w:pPr>
      <w:r>
        <w:rPr>
          <w:rFonts w:hint="eastAsia"/>
          <w:b/>
          <w:bCs/>
        </w:rPr>
        <w:t>7.4.12 期末（2018年12月31日）本基金持有的流通受限证券</w:t>
      </w:r>
    </w:p>
    <w:p>
      <w:pPr>
        <w:pStyle w:val="14"/>
        <w:rPr>
          <w:rFonts w:hint="eastAsia"/>
        </w:rPr>
      </w:pPr>
      <w:r>
        <w:rPr>
          <w:rFonts w:hint="eastAsia"/>
          <w:b/>
          <w:bCs/>
        </w:rPr>
        <w:t>7.4.12.1 因认购新发/增发证券而于期末持有的流通受限证券</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r>
        <w:rPr>
          <w:rFonts w:hint="eastAsia"/>
          <w:b/>
          <w:bCs/>
        </w:rPr>
        <w:t>7.4.12.2 期末持有的暂时停牌等流通受限股票</w:t>
      </w:r>
    </w:p>
    <w:p>
      <w:pPr>
        <w:pStyle w:val="19"/>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4"/>
        <w:rPr>
          <w:rFonts w:hint="eastAsia"/>
        </w:rPr>
      </w:pPr>
      <w:r>
        <w:rPr>
          <w:rFonts w:hint="eastAsia"/>
          <w:b/>
          <w:bCs/>
        </w:rPr>
        <w:t>7.4.12.3 期末债券正回购交易中作为抵押的债券</w:t>
      </w:r>
    </w:p>
    <w:p>
      <w:pPr>
        <w:pStyle w:val="14"/>
        <w:rPr>
          <w:rFonts w:hint="eastAsia"/>
        </w:rPr>
      </w:pPr>
      <w:r>
        <w:rPr>
          <w:rFonts w:hint="eastAsia"/>
          <w:b/>
          <w:bCs/>
        </w:rPr>
        <w:t>7.4.12.3.1 银行间市场债券正回购</w:t>
      </w:r>
    </w:p>
    <w:p>
      <w:pPr>
        <w:pStyle w:val="19"/>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7.4.12.3.2 交易所市场债券正回购</w:t>
      </w:r>
    </w:p>
    <w:p>
      <w:pPr>
        <w:pStyle w:val="19"/>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4"/>
        <w:rPr>
          <w:rFonts w:hint="eastAsia"/>
        </w:rPr>
      </w:pPr>
      <w:r>
        <w:rPr>
          <w:rFonts w:hint="eastAsia"/>
          <w:b/>
          <w:bCs/>
        </w:rPr>
        <w:t>7.4.13 金融工具风险及管理</w:t>
      </w:r>
    </w:p>
    <w:p>
      <w:pPr>
        <w:pStyle w:val="14"/>
        <w:rPr>
          <w:rFonts w:hint="eastAsia"/>
        </w:rPr>
      </w:pPr>
      <w:r>
        <w:rPr>
          <w:rFonts w:hint="eastAsia"/>
          <w:b/>
          <w:bCs/>
        </w:rPr>
        <w:t>7.4.13.1 风险管理政策和组织架构</w:t>
      </w:r>
    </w:p>
    <w:p>
      <w:pPr>
        <w:pStyle w:val="19"/>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19"/>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4"/>
        <w:rPr>
          <w:rFonts w:hint="eastAsia"/>
        </w:rPr>
      </w:pPr>
      <w:r>
        <w:rPr>
          <w:rFonts w:hint="eastAsia"/>
          <w:b/>
          <w:bCs/>
        </w:rPr>
        <w:t>7.4.13.2 信用风险</w:t>
      </w:r>
    </w:p>
    <w:p>
      <w:pPr>
        <w:pStyle w:val="19"/>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19"/>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19"/>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19"/>
        <w:spacing w:before="0"/>
        <w:ind w:left="0" w:firstLine="480"/>
        <w:rPr>
          <w:rFonts w:hint="eastAsia"/>
        </w:rPr>
      </w:pPr>
      <w:r>
        <w:rPr>
          <w:rFonts w:hint="eastAsia"/>
        </w:rPr>
        <w:t>本基金债券投资的信用评级情况按《中国人民银行信用评级管理指导意见》设定的标准统计及汇总。</w:t>
      </w:r>
    </w:p>
    <w:p>
      <w:pPr>
        <w:pStyle w:val="19"/>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4"/>
        <w:rPr>
          <w:rFonts w:hint="eastAsia"/>
        </w:rPr>
      </w:pPr>
      <w:r>
        <w:rPr>
          <w:rFonts w:hint="eastAsia"/>
          <w:b/>
          <w:bCs/>
        </w:rPr>
        <w:t>7.4.13.3 流动性风险</w:t>
      </w:r>
    </w:p>
    <w:p>
      <w:pPr>
        <w:pStyle w:val="19"/>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19"/>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19"/>
        <w:spacing w:before="0"/>
        <w:ind w:left="0" w:firstLine="480"/>
        <w:rPr>
          <w:rFonts w:hint="eastAsia"/>
        </w:rPr>
      </w:pPr>
      <w:r>
        <w:rPr>
          <w:rFonts w:hint="eastAsia"/>
        </w:rPr>
        <w:t>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4"/>
        <w:rPr>
          <w:rFonts w:hint="eastAsia"/>
        </w:rPr>
      </w:pPr>
      <w:r>
        <w:rPr>
          <w:rFonts w:hint="eastAsia"/>
          <w:b/>
          <w:bCs/>
        </w:rPr>
        <w:t>7.4.13.3.1 报告期内本基金组合资产的流动性风险分析</w:t>
      </w:r>
    </w:p>
    <w:p>
      <w:pPr>
        <w:pStyle w:val="19"/>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19"/>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19"/>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0.01%。</w:t>
      </w:r>
    </w:p>
    <w:p>
      <w:pPr>
        <w:pStyle w:val="19"/>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 342,724,609.25元，超过经确认的当日净赎回金额。</w:t>
      </w:r>
    </w:p>
    <w:p>
      <w:pPr>
        <w:pStyle w:val="19"/>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19"/>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4"/>
        <w:rPr>
          <w:rFonts w:hint="eastAsia"/>
        </w:rPr>
      </w:pPr>
      <w:r>
        <w:rPr>
          <w:rFonts w:hint="eastAsia"/>
          <w:b/>
          <w:bCs/>
        </w:rPr>
        <w:t>7.4.13.4 市场风险</w:t>
      </w:r>
    </w:p>
    <w:p>
      <w:pPr>
        <w:pStyle w:val="19"/>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4"/>
        <w:rPr>
          <w:rFonts w:hint="eastAsia"/>
        </w:rPr>
      </w:pPr>
      <w:r>
        <w:rPr>
          <w:rFonts w:hint="eastAsia"/>
          <w:b/>
          <w:bCs/>
        </w:rPr>
        <w:t>7.4.13.4.1 利率风险</w:t>
      </w:r>
    </w:p>
    <w:p>
      <w:pPr>
        <w:pStyle w:val="19"/>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19"/>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19"/>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4"/>
        <w:rPr>
          <w:rFonts w:hint="eastAsia"/>
        </w:rPr>
      </w:pPr>
      <w:r>
        <w:rPr>
          <w:rFonts w:hint="eastAsia"/>
          <w:b/>
          <w:bCs/>
        </w:rPr>
        <w:t>7.4.13.4.1.1 利率风险敞口</w:t>
      </w:r>
    </w:p>
    <w:p>
      <w:pPr>
        <w:pStyle w:val="18"/>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2079"/>
        <w:gridCol w:w="1472"/>
        <w:gridCol w:w="1472"/>
        <w:gridCol w:w="2079"/>
        <w:gridCol w:w="207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41,537,981.21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41,537,981.21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8,872,727.39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8,872,727.39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51,475.78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51,475.78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201,046,115.65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201,046,115.65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100,157,678.94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100,157,678.94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-8,772.94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32,979.25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32,979.25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50,462,184.38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301,228,000.90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351,690,185.28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0.44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223,152.13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223,152.13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460,481.76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460,481.76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76,747.00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76,747.00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56,145.19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56,145.19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180,680.98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180,680.98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997,207.50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997,207.50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50,462,184.38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300,230,793.40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350,692,977.78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63,780,123.46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63,780,123.46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21,551,902.31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21,551,902.31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194,920.56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194,920.56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491,614,907.28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190,000,000.00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190,000,000.00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267,330.33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267,330.33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-60,990.96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-60,990.96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167,708.66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167,708.66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275,526,946.33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491,988,955.31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767,515,901.64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9,656,898.55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9,656,898.55</w:t>
            </w:r>
          </w:p>
        </w:tc>
      </w:tr>
      <w:tr>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1,544,214.57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1,544,214.57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982,141.71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982,141.71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163,690.32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163,690.32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301,656.99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301,656.99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165,455.91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165,455.91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12,814,058.05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12,814,058.05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275,526,946.33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479,174,897.26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754,701,843.59</w:t>
            </w:r>
          </w:p>
        </w:tc>
      </w:tr>
    </w:tbl>
    <w:p>
      <w:pPr>
        <w:pStyle w:val="19"/>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4"/>
        <w:rPr>
          <w:rFonts w:hint="eastAsia"/>
        </w:rPr>
      </w:pPr>
      <w:r>
        <w:rPr>
          <w:rFonts w:hint="eastAsia"/>
          <w:b/>
          <w:bCs/>
        </w:rPr>
        <w:t>7.4.13.4.1.2 利率风险的敏感性分析</w:t>
      </w:r>
    </w:p>
    <w:p>
      <w:pPr>
        <w:pStyle w:val="19"/>
        <w:rPr>
          <w:rFonts w:hint="eastAsia"/>
        </w:rPr>
      </w:pPr>
      <w:r>
        <w:rPr>
          <w:rFonts w:hint="eastAsia"/>
        </w:rPr>
        <w:t>于2018年12月31日，本基金未持有交易性债券投资(2017年12月31日：同)，因此市场利率的变动对于本基金资产净值无重大影响(2017年12月31日：同)。</w:t>
      </w:r>
    </w:p>
    <w:p>
      <w:pPr>
        <w:widowControl/>
        <w:jc w:val="left"/>
        <w:rPr>
          <w:rFonts w:hint="eastAsia" w:ascii="宋体" w:hAnsi="宋体" w:cs="宋体"/>
          <w:kern w:val="0"/>
          <w:sz w:val="24"/>
          <w:szCs w:val="24"/>
        </w:rPr>
      </w:pPr>
    </w:p>
    <w:p>
      <w:pPr>
        <w:pStyle w:val="14"/>
        <w:rPr>
          <w:rFonts w:hint="eastAsia"/>
        </w:rPr>
      </w:pPr>
      <w:r>
        <w:rPr>
          <w:rFonts w:hint="eastAsia"/>
          <w:b/>
          <w:bCs/>
        </w:rPr>
        <w:t>7.4.13.4.2 外汇风险</w:t>
      </w:r>
    </w:p>
    <w:p>
      <w:pPr>
        <w:pStyle w:val="19"/>
        <w:spacing w:before="0"/>
        <w:ind w:left="0" w:firstLine="480"/>
        <w:rPr>
          <w:rFonts w:hint="eastAsia"/>
        </w:rPr>
      </w:pPr>
      <w:r>
        <w:rPr>
          <w:rFonts w:hint="eastAsia"/>
        </w:rPr>
        <w:t xml:space="preserve">外汇风险是指金融工具的公允价值或未来现金流量因外汇汇率变动而发生波动的风险。本基金持有不以记账本位币计价的资产，因此存在相应的外汇风险。本基金管理人每日对本基金的外汇头寸进行监控。 </w:t>
      </w:r>
    </w:p>
    <w:p>
      <w:pPr>
        <w:pStyle w:val="19"/>
        <w:spacing w:before="0"/>
        <w:ind w:left="0" w:firstLine="480"/>
        <w:rPr>
          <w:rFonts w:hint="eastAsia"/>
        </w:rPr>
      </w:pPr>
      <w:r>
        <w:rPr>
          <w:rFonts w:hint="eastAsia"/>
        </w:rPr>
        <w:t>截至2018年12月31日，港股通交易性金融资产合计为1,992,829.28元，资产负债表外汇风险敞口净额为1,992,829.28元。上年度末（2017年12月31日），港股通交易性金融资产合计为2,187,158.52元，资产负债表外汇风险敞口净额为2,187,158.52元。</w:t>
      </w:r>
    </w:p>
    <w:p>
      <w:pPr>
        <w:pStyle w:val="19"/>
        <w:spacing w:before="0"/>
        <w:ind w:left="0" w:firstLine="480"/>
        <w:rPr>
          <w:rFonts w:hint="eastAsia"/>
        </w:rPr>
      </w:pPr>
      <w:r>
        <w:rPr>
          <w:rFonts w:hint="eastAsia"/>
        </w:rPr>
        <w:t>在假设除汇率外其他市场变量保持不变情况下，本期末（2018年12月31日），若所有外币相对于人民币升值5%，则基金资产净值上升约 99,641.46元，若所有外币相对于人民币贬值5%，则基金资产净值下降约 99,641.46元。在假设除汇率外其他市场变量保持不变情况下，上年度末（2017年12月31日），若所有外币相对于人民币升值5%，则基金资产净值上升约 109,357.93元，若所有外币相对于人民币贬值5%，则基金资产净值下降约 109,357.93元。</w:t>
      </w:r>
    </w:p>
    <w:p>
      <w:pPr>
        <w:pStyle w:val="14"/>
        <w:rPr>
          <w:rFonts w:hint="eastAsia"/>
        </w:rPr>
      </w:pPr>
      <w:r>
        <w:rPr>
          <w:rFonts w:hint="eastAsia"/>
          <w:b/>
          <w:bCs/>
        </w:rPr>
        <w:t>7.4.13.4.2.1 外汇风险敞口</w:t>
      </w:r>
    </w:p>
    <w:tbl>
      <w:tblPr>
        <w:tblStyle w:val="7"/>
        <w:tblW w:w="0" w:type="auto"/>
        <w:tblInd w:w="108" w:type="dxa"/>
        <w:tblLayout w:type="autofit"/>
        <w:tblCellMar>
          <w:top w:w="0" w:type="dxa"/>
          <w:left w:w="108" w:type="dxa"/>
          <w:bottom w:w="0" w:type="dxa"/>
          <w:right w:w="108" w:type="dxa"/>
        </w:tblCellMar>
      </w:tblPr>
      <w:tblGrid>
        <w:gridCol w:w="9194"/>
      </w:tblGrid>
      <w:tr>
        <w:tblPrEx>
          <w:tblCellMar>
            <w:top w:w="0" w:type="dxa"/>
            <w:left w:w="108" w:type="dxa"/>
            <w:bottom w:w="0" w:type="dxa"/>
            <w:right w:w="108" w:type="dxa"/>
          </w:tblCellMar>
        </w:tblPrEx>
        <w:trPr>
          <w:wBefore w:w="0" w:type="auto"/>
        </w:trPr>
        <w:tc>
          <w:tcPr>
            <w:tcW w:w="0" w:type="auto"/>
            <w:noWrap w:val="0"/>
            <w:vAlign w:val="center"/>
          </w:tcPr>
          <w:p>
            <w:pPr>
              <w:pStyle w:val="18"/>
              <w:rPr>
                <w:rFonts w:hint="eastAsia"/>
              </w:rPr>
            </w:pPr>
            <w:r>
              <w:rPr>
                <w:rFonts w:hint="eastAsia" w:hAnsi="Calibri"/>
                <w:color w:val="000000"/>
              </w:rPr>
              <w:t>单位：人民币元</w:t>
            </w:r>
          </w:p>
          <w:tbl>
            <w:tblPr>
              <w:tblStyle w:val="7"/>
              <w:tblW w:w="8850" w:type="dxa"/>
              <w:tblInd w:w="108" w:type="dxa"/>
              <w:tblLayout w:type="autofit"/>
              <w:tblCellMar>
                <w:top w:w="0" w:type="dxa"/>
                <w:left w:w="108" w:type="dxa"/>
                <w:bottom w:w="0" w:type="dxa"/>
                <w:right w:w="108" w:type="dxa"/>
              </w:tblCellMar>
            </w:tblPr>
            <w:tblGrid>
              <w:gridCol w:w="3184"/>
              <w:gridCol w:w="1162"/>
              <w:gridCol w:w="1671"/>
              <w:gridCol w:w="1162"/>
              <w:gridCol w:w="1671"/>
            </w:tblGrid>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项目</w:t>
                  </w:r>
                </w:p>
              </w:tc>
              <w:tc>
                <w:tcPr>
                  <w:tcW w:w="4440"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美元折合人民币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港币折合人民币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其他币种折合人民币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以外币计价的资产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1,992,829.28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1,992,829.28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资产合计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1,992,829.28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1,992,829.28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以外币计价的负债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负债合计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资产负债表外汇风险敞口净额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1,992,828.84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1,992,828.84</w:t>
                  </w:r>
                </w:p>
              </w:tc>
            </w:tr>
            <w:tr>
              <w:tblPrEx>
                <w:tblCellMar>
                  <w:top w:w="0" w:type="dxa"/>
                  <w:left w:w="108" w:type="dxa"/>
                  <w:bottom w:w="0" w:type="dxa"/>
                  <w:right w:w="108" w:type="dxa"/>
                </w:tblCellMar>
              </w:tblPrEx>
              <w:trPr>
                <w:wBefore w:w="0" w:type="auto"/>
              </w:trPr>
              <w:tc>
                <w:tcPr>
                  <w:tcW w:w="144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4440"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美元折合人民币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港币折合人民币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其他币种折合人民币</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以外币计价的资产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2,187,158.52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2,187,158.52</w:t>
                  </w:r>
                </w:p>
              </w:tc>
            </w:tr>
            <w:tr>
              <w:tblPrEx>
                <w:tblCellMar>
                  <w:top w:w="0" w:type="dxa"/>
                  <w:left w:w="108" w:type="dxa"/>
                  <w:bottom w:w="0" w:type="dxa"/>
                  <w:right w:w="108" w:type="dxa"/>
                </w:tblCellMar>
              </w:tblPrEx>
              <w:trPr>
                <w:wBefore w:w="0" w:type="auto"/>
              </w:trPr>
              <w:tc>
                <w:tcPr>
                  <w:tcW w:w="0" w:type="auto"/>
                  <w:noWrap w:val="0"/>
                  <w:vAlign w:val="center"/>
                </w:tcPr>
                <w:p>
                  <w:pPr>
                    <w:pStyle w:val="16"/>
                    <w:rPr>
                      <w:rFonts w:hint="eastAsia"/>
                    </w:rPr>
                  </w:pPr>
                  <w:r>
                    <w:rPr>
                      <w:rFonts w:hint="eastAsia" w:hAnsi="Calibri"/>
                      <w:color w:val="000000"/>
                    </w:rPr>
                    <w:t>资产合计</w:t>
                  </w:r>
                </w:p>
              </w:tc>
              <w:tc>
                <w:tcPr>
                  <w:tcW w:w="0" w:type="auto"/>
                  <w:noWrap w:val="0"/>
                  <w:vAlign w:val="center"/>
                </w:tcPr>
                <w:p>
                  <w:pPr>
                    <w:pStyle w:val="18"/>
                    <w:rPr>
                      <w:rFonts w:hint="eastAsia"/>
                    </w:rPr>
                  </w:pPr>
                  <w:r>
                    <w:rPr>
                      <w:rFonts w:hint="eastAsia" w:hAnsi="Calibri"/>
                      <w:color w:val="000000"/>
                    </w:rPr>
                    <w:t>-</w:t>
                  </w:r>
                </w:p>
              </w:tc>
              <w:tc>
                <w:tcPr>
                  <w:tcW w:w="0" w:type="auto"/>
                  <w:noWrap w:val="0"/>
                  <w:vAlign w:val="center"/>
                </w:tcPr>
                <w:p>
                  <w:pPr>
                    <w:pStyle w:val="18"/>
                    <w:rPr>
                      <w:rFonts w:hint="eastAsia"/>
                    </w:rPr>
                  </w:pPr>
                  <w:r>
                    <w:rPr>
                      <w:rFonts w:hint="eastAsia" w:hAnsi="Calibri"/>
                      <w:color w:val="000000"/>
                    </w:rPr>
                    <w:t>2,187,158.52</w:t>
                  </w:r>
                </w:p>
              </w:tc>
              <w:tc>
                <w:tcPr>
                  <w:tcW w:w="0" w:type="auto"/>
                  <w:noWrap w:val="0"/>
                  <w:vAlign w:val="center"/>
                </w:tcPr>
                <w:p>
                  <w:pPr>
                    <w:pStyle w:val="18"/>
                    <w:rPr>
                      <w:rFonts w:hint="eastAsia"/>
                    </w:rPr>
                  </w:pPr>
                  <w:r>
                    <w:rPr>
                      <w:rFonts w:hint="eastAsia" w:hAnsi="Calibri"/>
                      <w:color w:val="000000"/>
                    </w:rPr>
                    <w:t>-</w:t>
                  </w:r>
                </w:p>
              </w:tc>
              <w:tc>
                <w:tcPr>
                  <w:tcW w:w="0" w:type="auto"/>
                  <w:noWrap w:val="0"/>
                  <w:vAlign w:val="center"/>
                </w:tcPr>
                <w:p>
                  <w:pPr>
                    <w:pStyle w:val="18"/>
                    <w:rPr>
                      <w:rFonts w:hint="eastAsia"/>
                    </w:rPr>
                  </w:pPr>
                  <w:r>
                    <w:rPr>
                      <w:rFonts w:hint="eastAsia" w:hAnsi="Calibri"/>
                      <w:color w:val="000000"/>
                    </w:rPr>
                    <w:t>2,187,158.52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以外币计价的负债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负债合计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资产负债表外汇风险敞口净额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2,187,158.04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2,187,158.04</w:t>
                  </w:r>
                </w:p>
              </w:tc>
            </w:tr>
          </w:tbl>
          <w:p>
            <w:pPr>
              <w:widowControl/>
              <w:jc w:val="left"/>
              <w:rPr>
                <w:rFonts w:hint="eastAsia" w:ascii="宋体" w:hAnsi="宋体" w:cs="宋体"/>
                <w:kern w:val="0"/>
                <w:sz w:val="24"/>
                <w:szCs w:val="24"/>
              </w:rPr>
            </w:pPr>
          </w:p>
        </w:tc>
      </w:tr>
    </w:tbl>
    <w:p>
      <w:pPr>
        <w:widowControl/>
        <w:jc w:val="left"/>
        <w:rPr>
          <w:rFonts w:ascii="宋体" w:hAnsi="宋体" w:cs="宋体"/>
          <w:kern w:val="0"/>
          <w:sz w:val="24"/>
          <w:szCs w:val="24"/>
        </w:rPr>
      </w:pPr>
    </w:p>
    <w:p>
      <w:pPr>
        <w:pStyle w:val="14"/>
        <w:rPr>
          <w:rFonts w:hint="eastAsia"/>
        </w:rPr>
      </w:pPr>
      <w:r>
        <w:rPr>
          <w:rFonts w:hint="eastAsia"/>
          <w:b/>
          <w:bCs/>
        </w:rPr>
        <w:t>7.4.13.4.3 其他价格风险</w:t>
      </w:r>
    </w:p>
    <w:p>
      <w:pPr>
        <w:pStyle w:val="19"/>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19"/>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4"/>
        <w:rPr>
          <w:rFonts w:hint="eastAsia"/>
        </w:rPr>
      </w:pPr>
      <w:r>
        <w:rPr>
          <w:rFonts w:hint="eastAsia"/>
          <w:b/>
          <w:bCs/>
        </w:rPr>
        <w:t>7.4.13.4.3.1 其他价格风险敞口</w:t>
      </w:r>
    </w:p>
    <w:p>
      <w:pPr>
        <w:pStyle w:val="21"/>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p>
            <w:pPr>
              <w:pStyle w:val="17"/>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p>
            <w:pPr>
              <w:pStyle w:val="17"/>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201,046,115.65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201,046,115.65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491,614,907.28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65.14</w:t>
            </w:r>
          </w:p>
        </w:tc>
      </w:tr>
    </w:tbl>
    <w:p>
      <w:pPr>
        <w:widowControl/>
        <w:jc w:val="left"/>
        <w:rPr>
          <w:rFonts w:hint="eastAsia" w:ascii="宋体" w:hAnsi="宋体" w:cs="宋体"/>
          <w:kern w:val="0"/>
          <w:sz w:val="24"/>
          <w:szCs w:val="24"/>
        </w:rPr>
      </w:pPr>
    </w:p>
    <w:p>
      <w:pPr>
        <w:pStyle w:val="14"/>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本期末</w:t>
            </w:r>
          </w:p>
          <w:p>
            <w:pPr>
              <w:pStyle w:val="17"/>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上年度末</w:t>
            </w:r>
          </w:p>
          <w:p>
            <w:pPr>
              <w:pStyle w:val="17"/>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9,141,403.23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17,525,404.43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-9,141,403.23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-17,525,404.43</w:t>
            </w:r>
          </w:p>
        </w:tc>
      </w:tr>
    </w:tbl>
    <w:p>
      <w:pPr>
        <w:pStyle w:val="19"/>
        <w:rPr>
          <w:rFonts w:hint="eastAsia"/>
        </w:rPr>
      </w:pPr>
      <w:r>
        <w:rPr>
          <w:rFonts w:hint="eastAsia"/>
        </w:rPr>
        <w:t>本基金的业绩比较基准=沪深300 指数收益率×40%＋恒生指数收益率×20%＋中债总指数(全价)收益率×40%</w:t>
      </w:r>
    </w:p>
    <w:p>
      <w:pPr>
        <w:widowControl/>
        <w:jc w:val="left"/>
        <w:rPr>
          <w:rFonts w:hint="eastAsia" w:ascii="宋体" w:hAnsi="宋体" w:cs="宋体"/>
          <w:kern w:val="0"/>
          <w:sz w:val="24"/>
          <w:szCs w:val="24"/>
        </w:rPr>
      </w:pPr>
    </w:p>
    <w:p>
      <w:pPr>
        <w:pStyle w:val="14"/>
        <w:rPr>
          <w:rFonts w:hint="eastAsia"/>
        </w:rPr>
      </w:pPr>
      <w:r>
        <w:rPr>
          <w:rFonts w:hint="eastAsia"/>
          <w:b/>
          <w:bCs/>
        </w:rPr>
        <w:t>7.4.14 有助于理解和分析会计报表需要说明的其他事项</w:t>
      </w:r>
    </w:p>
    <w:p>
      <w:pPr>
        <w:pStyle w:val="19"/>
        <w:spacing w:before="0"/>
        <w:ind w:left="0" w:firstLine="480"/>
        <w:rPr>
          <w:rFonts w:hint="eastAsia"/>
        </w:rPr>
      </w:pPr>
      <w:r>
        <w:rPr>
          <w:rFonts w:hint="eastAsia"/>
        </w:rPr>
        <w:t>(1)公允价值</w:t>
      </w:r>
    </w:p>
    <w:p>
      <w:pPr>
        <w:pStyle w:val="19"/>
        <w:spacing w:before="0"/>
        <w:ind w:left="0" w:firstLine="480"/>
        <w:rPr>
          <w:rFonts w:hint="eastAsia"/>
        </w:rPr>
      </w:pPr>
      <w:r>
        <w:rPr>
          <w:rFonts w:hint="eastAsia"/>
        </w:rPr>
        <w:t>(a)金融工具公允价值计量的方法</w:t>
      </w:r>
    </w:p>
    <w:p>
      <w:pPr>
        <w:pStyle w:val="19"/>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19"/>
        <w:spacing w:before="0"/>
        <w:ind w:left="0" w:firstLine="480"/>
        <w:rPr>
          <w:rFonts w:hint="eastAsia"/>
        </w:rPr>
      </w:pPr>
      <w:r>
        <w:rPr>
          <w:rFonts w:hint="eastAsia"/>
        </w:rPr>
        <w:t>第一层次：相同资产或负债在活跃市场上未经调整的报价。</w:t>
      </w:r>
    </w:p>
    <w:p>
      <w:pPr>
        <w:pStyle w:val="19"/>
        <w:spacing w:before="0"/>
        <w:ind w:left="0" w:firstLine="480"/>
        <w:rPr>
          <w:rFonts w:hint="eastAsia"/>
        </w:rPr>
      </w:pPr>
      <w:r>
        <w:rPr>
          <w:rFonts w:hint="eastAsia"/>
        </w:rPr>
        <w:t>第二层次：除第一层次输入值外相关资产或负债直接或间接可观察的输入值。</w:t>
      </w:r>
    </w:p>
    <w:p>
      <w:pPr>
        <w:pStyle w:val="19"/>
        <w:spacing w:before="0"/>
        <w:ind w:left="0" w:firstLine="480"/>
        <w:rPr>
          <w:rFonts w:hint="eastAsia"/>
        </w:rPr>
      </w:pPr>
      <w:r>
        <w:rPr>
          <w:rFonts w:hint="eastAsia"/>
        </w:rPr>
        <w:t>第三层次：相关资产或负债的不可观察输入值。</w:t>
      </w:r>
    </w:p>
    <w:p>
      <w:pPr>
        <w:pStyle w:val="19"/>
        <w:spacing w:before="0"/>
        <w:ind w:left="0" w:firstLine="480"/>
        <w:rPr>
          <w:rFonts w:hint="eastAsia"/>
        </w:rPr>
      </w:pPr>
      <w:r>
        <w:rPr>
          <w:rFonts w:hint="eastAsia"/>
        </w:rPr>
        <w:t>(b)持续的以公允价值计量的金融工具</w:t>
      </w:r>
    </w:p>
    <w:p>
      <w:pPr>
        <w:pStyle w:val="19"/>
        <w:spacing w:before="0"/>
        <w:ind w:left="0" w:firstLine="480"/>
        <w:rPr>
          <w:rFonts w:hint="eastAsia"/>
        </w:rPr>
      </w:pPr>
      <w:r>
        <w:rPr>
          <w:rFonts w:hint="eastAsia"/>
        </w:rPr>
        <w:t>(i)各层次金融工具公允价值</w:t>
      </w:r>
    </w:p>
    <w:p>
      <w:pPr>
        <w:pStyle w:val="19"/>
        <w:spacing w:before="0"/>
        <w:ind w:left="0" w:firstLine="480"/>
        <w:rPr>
          <w:rFonts w:hint="eastAsia"/>
        </w:rPr>
      </w:pPr>
      <w:r>
        <w:rPr>
          <w:rFonts w:hint="eastAsia"/>
        </w:rPr>
        <w:t>于2018年12月31日，本基金持有的以公允价值计量且其变动计入当期损益的金融资产中属于第一层次的余额为200,995,969.85元，属于第二层次的余额为50,145.80元，无属于第三层次的余额(2017年12月31日：第一层次461,927,917.93元，第二层次29,686,989.35元，无第三层次)。</w:t>
      </w:r>
    </w:p>
    <w:p>
      <w:pPr>
        <w:pStyle w:val="19"/>
        <w:spacing w:before="0"/>
        <w:ind w:left="0" w:firstLine="480"/>
        <w:rPr>
          <w:rFonts w:hint="eastAsia"/>
        </w:rPr>
      </w:pPr>
      <w:r>
        <w:rPr>
          <w:rFonts w:hint="eastAsia"/>
        </w:rPr>
        <w:t>(ii)公允价值所属层次间的重大变动</w:t>
      </w:r>
    </w:p>
    <w:p>
      <w:pPr>
        <w:pStyle w:val="19"/>
        <w:spacing w:before="0"/>
        <w:ind w:left="0" w:firstLine="480"/>
        <w:rPr>
          <w:rFonts w:hint="eastAsia"/>
        </w:rPr>
      </w:pPr>
      <w:r>
        <w:rPr>
          <w:rFonts w:hint="eastAsia"/>
        </w:rPr>
        <w:t>本基金以导致各层次之间转换的事项发生日为确认各层次之间转换的时点。</w:t>
      </w:r>
    </w:p>
    <w:p>
      <w:pPr>
        <w:pStyle w:val="19"/>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19"/>
        <w:spacing w:before="0"/>
        <w:ind w:left="0" w:firstLine="480"/>
        <w:rPr>
          <w:rFonts w:hint="eastAsia"/>
        </w:rPr>
      </w:pPr>
      <w:r>
        <w:rPr>
          <w:rFonts w:hint="eastAsia"/>
        </w:rPr>
        <w:t>(iii)第三层次公允价值余额和本期变动金额</w:t>
      </w:r>
    </w:p>
    <w:p>
      <w:pPr>
        <w:pStyle w:val="19"/>
        <w:spacing w:before="0"/>
        <w:ind w:left="0" w:firstLine="480"/>
        <w:rPr>
          <w:rFonts w:hint="eastAsia"/>
        </w:rPr>
      </w:pPr>
      <w:r>
        <w:rPr>
          <w:rFonts w:hint="eastAsia"/>
        </w:rPr>
        <w:t>无。</w:t>
      </w:r>
    </w:p>
    <w:p>
      <w:pPr>
        <w:pStyle w:val="19"/>
        <w:spacing w:before="0"/>
        <w:ind w:left="0" w:firstLine="480"/>
        <w:rPr>
          <w:rFonts w:hint="eastAsia"/>
        </w:rPr>
      </w:pPr>
      <w:r>
        <w:rPr>
          <w:rFonts w:hint="eastAsia"/>
        </w:rPr>
        <w:t>(c)非持续的以公允价值计量的金融工具</w:t>
      </w:r>
    </w:p>
    <w:p>
      <w:pPr>
        <w:pStyle w:val="19"/>
        <w:spacing w:before="0"/>
        <w:ind w:left="0" w:firstLine="480"/>
        <w:rPr>
          <w:rFonts w:hint="eastAsia"/>
        </w:rPr>
      </w:pPr>
      <w:r>
        <w:rPr>
          <w:rFonts w:hint="eastAsia"/>
        </w:rPr>
        <w:t>于2018年12月31日，本基金未持有非持续的以公允价值计量的金融资产(2017年12月31日：同)。</w:t>
      </w:r>
    </w:p>
    <w:p>
      <w:pPr>
        <w:pStyle w:val="19"/>
        <w:spacing w:before="0"/>
        <w:ind w:left="0" w:firstLine="480"/>
        <w:rPr>
          <w:rFonts w:hint="eastAsia"/>
        </w:rPr>
      </w:pPr>
      <w:r>
        <w:rPr>
          <w:rFonts w:hint="eastAsia"/>
        </w:rPr>
        <w:t>(d)不以公允价值计量的金融工具</w:t>
      </w:r>
    </w:p>
    <w:p>
      <w:pPr>
        <w:pStyle w:val="19"/>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19"/>
        <w:spacing w:before="0"/>
        <w:ind w:left="0" w:firstLine="480"/>
        <w:rPr>
          <w:rFonts w:hint="eastAsia"/>
        </w:rPr>
      </w:pPr>
      <w:r>
        <w:rPr>
          <w:rFonts w:hint="eastAsia"/>
        </w:rPr>
        <w:t>(2)其他</w:t>
      </w:r>
    </w:p>
    <w:p>
      <w:pPr>
        <w:pStyle w:val="19"/>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2"/>
        <w:rPr>
          <w:rFonts w:hint="eastAsia"/>
        </w:rPr>
      </w:pPr>
      <w:bookmarkStart w:id="35" w:name="_Toc4172932"/>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3"/>
        <w:rPr>
          <w:rFonts w:hint="eastAsia"/>
        </w:rPr>
      </w:pPr>
      <w:bookmarkStart w:id="36" w:name="_Toc4172933"/>
      <w:r>
        <w:rPr>
          <w:rFonts w:hint="eastAsia"/>
          <w:b/>
          <w:bCs/>
        </w:rPr>
        <w:t>8.1 期末基金资产组合情况</w:t>
      </w:r>
      <w:bookmarkEnd w:id="36"/>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201,046,115.65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57.17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50,410,708.60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100,233,361.03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28.50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351,690,185.28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100.00</w:t>
            </w:r>
          </w:p>
        </w:tc>
      </w:tr>
    </w:tbl>
    <w:p>
      <w:pPr>
        <w:pStyle w:val="19"/>
        <w:rPr>
          <w:rFonts w:hint="eastAsia"/>
        </w:rPr>
      </w:pPr>
      <w:r>
        <w:rPr>
          <w:rFonts w:hint="eastAsia"/>
        </w:rPr>
        <w:t>注：本基金本报告期末通过沪港通交易机制投资的港股公允价值为1,992,829.28元，占净值比为0.57%。</w:t>
      </w:r>
    </w:p>
    <w:p>
      <w:pPr>
        <w:widowControl/>
        <w:jc w:val="left"/>
        <w:rPr>
          <w:rFonts w:hint="eastAsia" w:ascii="宋体" w:hAnsi="宋体" w:cs="宋体"/>
          <w:kern w:val="0"/>
          <w:sz w:val="24"/>
          <w:szCs w:val="24"/>
        </w:rPr>
      </w:pPr>
    </w:p>
    <w:p>
      <w:pPr>
        <w:pStyle w:val="13"/>
        <w:rPr>
          <w:rFonts w:hint="eastAsia"/>
        </w:rPr>
      </w:pPr>
      <w:bookmarkStart w:id="37" w:name="_Toc4172934"/>
      <w:r>
        <w:rPr>
          <w:rFonts w:hint="eastAsia"/>
          <w:b/>
          <w:bCs/>
        </w:rPr>
        <w:t>8.2 报告期末按行业分类的股票投资组合</w:t>
      </w:r>
      <w:bookmarkEnd w:id="37"/>
    </w:p>
    <w:p>
      <w:pPr>
        <w:pStyle w:val="14"/>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85,256,086.33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23,663,237.09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18,336,730.65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24,245,021.12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29,421,988.50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18,130,222.68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199,053,286.37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56.76</w:t>
            </w:r>
          </w:p>
        </w:tc>
      </w:tr>
    </w:tbl>
    <w:p>
      <w:pPr>
        <w:pStyle w:val="19"/>
        <w:rPr>
          <w:rFonts w:hint="eastAsia"/>
        </w:rPr>
      </w:pPr>
      <w:r>
        <w:rPr>
          <w:rFonts w:hint="eastAsia"/>
        </w:rPr>
        <w:t>注：1、以上分类采用全球行业分类标准(GICS)。</w:t>
      </w:r>
      <w:r>
        <w:rPr>
          <w:rFonts w:hint="eastAsia"/>
        </w:rPr>
        <w:br w:type="textWrapping"/>
      </w:r>
      <w:r>
        <w:rPr>
          <w:rFonts w:hint="eastAsia"/>
        </w:rPr>
        <w:t>2、由于四舍五入的原因市值占基金资产净值的比例分项之和与合计可能有尾差。</w:t>
      </w:r>
    </w:p>
    <w:p>
      <w:pPr>
        <w:widowControl/>
        <w:jc w:val="left"/>
        <w:rPr>
          <w:rFonts w:hint="eastAsia" w:ascii="宋体" w:hAnsi="宋体" w:cs="宋体"/>
          <w:kern w:val="0"/>
          <w:sz w:val="24"/>
          <w:szCs w:val="24"/>
        </w:rPr>
      </w:pPr>
    </w:p>
    <w:p>
      <w:pPr>
        <w:pStyle w:val="14"/>
        <w:rPr>
          <w:rFonts w:hint="eastAsia"/>
        </w:rPr>
      </w:pPr>
      <w:r>
        <w:rPr>
          <w:rFonts w:hint="eastAsia" w:hAnsi="Calibri"/>
          <w:b/>
          <w:color w:val="000000"/>
        </w:rPr>
        <w:t>8.2.2 报告期末按行业分类的港股通投资股票投资组合</w:t>
      </w:r>
    </w:p>
    <w:tbl>
      <w:tblPr>
        <w:tblStyle w:val="7"/>
        <w:tblW w:w="9120" w:type="dxa"/>
        <w:tblInd w:w="108" w:type="dxa"/>
        <w:tblLayout w:type="autofit"/>
        <w:tblCellMar>
          <w:top w:w="0" w:type="dxa"/>
          <w:left w:w="108" w:type="dxa"/>
          <w:bottom w:w="0" w:type="dxa"/>
          <w:right w:w="108" w:type="dxa"/>
        </w:tblCellMar>
      </w:tblPr>
      <w:tblGrid>
        <w:gridCol w:w="3040"/>
        <w:gridCol w:w="3040"/>
        <w:gridCol w:w="30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行业类别</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公允价值(人民币)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724,266.92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1,063,181.08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工业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205,381.28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1,992,829.28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0.57</w:t>
            </w:r>
          </w:p>
        </w:tc>
      </w:tr>
    </w:tbl>
    <w:p>
      <w:pPr>
        <w:pStyle w:val="13"/>
        <w:rPr>
          <w:rFonts w:hint="eastAsia"/>
        </w:rPr>
      </w:pPr>
      <w:bookmarkStart w:id="38" w:name="_Toc4172935"/>
      <w:r>
        <w:rPr>
          <w:rFonts w:hint="eastAsia"/>
          <w:b/>
          <w:bCs/>
        </w:rPr>
        <w:t>8.3 期末按公允价值占基金资产净值比例大小排序的所有股票投资明细</w:t>
      </w:r>
      <w:bookmarkEnd w:id="38"/>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6,040,526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25,491,019.72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5,876,537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20,979,237.09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18,130,222.68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4,487,032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14,179,021.12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1,968,802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13,368,165.58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2,393,742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10,125,528.66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10,066,000.00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沈阳化工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2,333,739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8,494,809.96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博闻科技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1,367,456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8,300,457.92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1,588,259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7,973,060.18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7,864,800.00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北京城乡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988,671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6,871,263.45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6,688,500.00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长虹美菱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1,490,809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4,412,794.64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1,188,840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4,398,708.00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528,348.60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728,880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3,600,667.20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2,802,884.70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红星发展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2,784,065.76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1,600,326.97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452,644.92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H06818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中国光大银行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236,924.48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H00525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205,381.28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新疆众和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36,817.44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3"/>
        <w:rPr>
          <w:rFonts w:hint="eastAsia"/>
        </w:rPr>
      </w:pPr>
      <w:bookmarkStart w:id="39" w:name="_Toc4172936"/>
      <w:r>
        <w:rPr>
          <w:rFonts w:hint="eastAsia"/>
          <w:b/>
          <w:bCs/>
        </w:rPr>
        <w:t>8.4 报告期内股票投资组合的重大变动</w:t>
      </w:r>
      <w:bookmarkEnd w:id="39"/>
    </w:p>
    <w:p>
      <w:pPr>
        <w:pStyle w:val="14"/>
        <w:rPr>
          <w:rFonts w:hint="eastAsia"/>
        </w:rPr>
      </w:pPr>
      <w:r>
        <w:rPr>
          <w:rFonts w:hint="eastAsia"/>
          <w:b/>
          <w:bCs/>
        </w:rPr>
        <w:t>8.4.1 累计买入金额超出期初基金资产净值2%或前20名的股票明细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30,989,492.50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24,160,217.26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23,699,825.35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22,658,308.18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18,352,143.30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16,770,896.00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15,493,354.29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建设银行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10,760,694.00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长虹美菱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10,549,326.99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9,178,879.00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北京城乡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8,587,922.64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8,509,159.03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8,440,500.00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7,366,543.00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7,008,000.00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6,112,000.00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4,665,000.00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3,749,635.00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0.47</w:t>
            </w:r>
          </w:p>
        </w:tc>
      </w:tr>
    </w:tbl>
    <w:p>
      <w:pPr>
        <w:pStyle w:val="19"/>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8.4.2 累计卖出金额超出期初基金资产净值2%或前20名的股票明细</w:t>
      </w:r>
    </w:p>
    <w:p>
      <w:pPr>
        <w:pStyle w:val="18"/>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44,976,023.17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44,461,153.13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38,899,378.36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38,523,330.46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27,796,483.60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特变电工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26,780,843.91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23,329,194.28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鲁银投资</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21,472,420.21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20,845,982.00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18,406,086.52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兰太实业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14,272,701.88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钱江生化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13,147,874.00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长城电工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12,786,736.00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12,695,365.03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四川美丰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12,659,824.00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12,447,956.77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天富能源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9,871,501.30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湖南海利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8,759,902.00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7,588,118.31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7,308,767.00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0.97</w:t>
            </w:r>
          </w:p>
        </w:tc>
      </w:tr>
    </w:tbl>
    <w:p>
      <w:pPr>
        <w:pStyle w:val="19"/>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4"/>
        <w:rPr>
          <w:rFonts w:hint="eastAsia"/>
        </w:rPr>
      </w:pPr>
      <w:r>
        <w:rPr>
          <w:rFonts w:hint="eastAsia"/>
          <w:b/>
          <w:bCs/>
        </w:rPr>
        <w:t>8.4.3 买入股票的成本总额及卖出股票的收入总额</w:t>
      </w:r>
    </w:p>
    <w:p>
      <w:pPr>
        <w:pStyle w:val="18"/>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266,175,900.15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461,834,802.33</w:t>
            </w:r>
          </w:p>
        </w:tc>
      </w:tr>
    </w:tbl>
    <w:p>
      <w:pPr>
        <w:pStyle w:val="19"/>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3"/>
        <w:rPr>
          <w:rFonts w:hint="eastAsia"/>
        </w:rPr>
      </w:pPr>
      <w:bookmarkStart w:id="40" w:name="_Toc4172937"/>
      <w:r>
        <w:rPr>
          <w:rFonts w:hint="eastAsia"/>
          <w:b/>
          <w:bCs/>
        </w:rPr>
        <w:t>8.5 期末按债券品种分类的债券投资组合</w:t>
      </w:r>
      <w:bookmarkEnd w:id="40"/>
    </w:p>
    <w:p>
      <w:pPr>
        <w:pStyle w:val="19"/>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3"/>
        <w:rPr>
          <w:rFonts w:hint="eastAsia"/>
        </w:rPr>
      </w:pPr>
      <w:bookmarkStart w:id="41" w:name="_Toc4172938"/>
      <w:r>
        <w:rPr>
          <w:rFonts w:hint="eastAsia"/>
          <w:b/>
          <w:bCs/>
        </w:rPr>
        <w:t>8.6 期末按公允价值占基金资产净值比例大小排序的前五名债券投资明细</w:t>
      </w:r>
      <w:bookmarkEnd w:id="41"/>
    </w:p>
    <w:p>
      <w:pPr>
        <w:pStyle w:val="19"/>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3"/>
        <w:rPr>
          <w:rFonts w:hint="eastAsia"/>
        </w:rPr>
      </w:pPr>
      <w:bookmarkStart w:id="42" w:name="_Toc4172939"/>
      <w:r>
        <w:rPr>
          <w:rFonts w:hint="eastAsia"/>
          <w:b/>
          <w:bCs/>
        </w:rPr>
        <w:t>8.7 期末按公允价值占基金资产净值比例大小排序的所有资产支持证券投资明细</w:t>
      </w:r>
      <w:bookmarkEnd w:id="42"/>
    </w:p>
    <w:p>
      <w:pPr>
        <w:pStyle w:val="19"/>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3"/>
        <w:rPr>
          <w:rFonts w:hint="eastAsia"/>
        </w:rPr>
      </w:pPr>
      <w:bookmarkStart w:id="43" w:name="_Toc4172940"/>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本基金本报告期末未持有贵金属。</w:t>
      </w:r>
    </w:p>
    <w:p>
      <w:pPr>
        <w:widowControl/>
        <w:jc w:val="left"/>
        <w:rPr>
          <w:rFonts w:hint="eastAsia" w:ascii="宋体" w:hAnsi="宋体" w:cs="宋体"/>
          <w:kern w:val="0"/>
          <w:sz w:val="24"/>
          <w:szCs w:val="24"/>
        </w:rPr>
      </w:pPr>
    </w:p>
    <w:p>
      <w:pPr>
        <w:pStyle w:val="13"/>
        <w:rPr>
          <w:rFonts w:hint="eastAsia"/>
        </w:rPr>
      </w:pPr>
      <w:bookmarkStart w:id="44" w:name="_Toc4172941"/>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本基金本报告期末未持有权证。</w:t>
      </w:r>
    </w:p>
    <w:p>
      <w:pPr>
        <w:widowControl/>
        <w:jc w:val="left"/>
        <w:rPr>
          <w:rFonts w:hint="eastAsia" w:ascii="宋体" w:hAnsi="宋体" w:cs="宋体"/>
          <w:kern w:val="0"/>
          <w:sz w:val="24"/>
          <w:szCs w:val="24"/>
        </w:rPr>
      </w:pPr>
    </w:p>
    <w:p>
      <w:pPr>
        <w:pStyle w:val="13"/>
        <w:rPr>
          <w:rFonts w:hint="eastAsia"/>
        </w:rPr>
      </w:pPr>
      <w:bookmarkStart w:id="45" w:name="_Toc4172942"/>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9"/>
      </w:pPr>
      <w:r>
        <w:rPr>
          <w:rFonts w:hint="eastAsia"/>
        </w:rPr>
        <w:t>本基金本报告期未投资股指期货。</w:t>
      </w:r>
    </w:p>
    <w:p>
      <w:pPr>
        <w:widowControl/>
        <w:jc w:val="left"/>
        <w:rPr>
          <w:rFonts w:hint="eastAsia" w:ascii="宋体" w:hAnsi="宋体" w:cs="宋体"/>
          <w:kern w:val="0"/>
          <w:sz w:val="24"/>
          <w:szCs w:val="24"/>
        </w:rPr>
      </w:pPr>
    </w:p>
    <w:p>
      <w:pPr>
        <w:pStyle w:val="13"/>
        <w:rPr>
          <w:rFonts w:hint="eastAsia"/>
        </w:rPr>
      </w:pPr>
      <w:bookmarkStart w:id="46" w:name="_Toc4172943"/>
      <w:r>
        <w:rPr>
          <w:rFonts w:hint="eastAsia"/>
          <w:b/>
          <w:bCs/>
        </w:rPr>
        <w:t>8.11 报告期末本基金投资的国债期货交易情况说明</w:t>
      </w:r>
      <w:bookmarkEnd w:id="46"/>
    </w:p>
    <w:p>
      <w:pPr>
        <w:pStyle w:val="19"/>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3"/>
        <w:rPr>
          <w:rFonts w:hint="eastAsia"/>
        </w:rPr>
      </w:pPr>
      <w:bookmarkStart w:id="47" w:name="_Toc4172944"/>
      <w:r>
        <w:rPr>
          <w:rFonts w:hint="eastAsia"/>
          <w:b/>
          <w:bCs/>
        </w:rPr>
        <w:t>8.12 投资组合报告附注</w:t>
      </w:r>
      <w:bookmarkEnd w:id="47"/>
    </w:p>
    <w:p>
      <w:pPr>
        <w:pStyle w:val="14"/>
        <w:rPr>
          <w:rFonts w:hint="eastAsia"/>
        </w:rPr>
      </w:pPr>
      <w:r>
        <w:rPr>
          <w:rFonts w:hint="eastAsia"/>
          <w:b/>
          <w:bCs/>
        </w:rPr>
        <w:t xml:space="preserve">8.12.1 四川美丰化工股份有限公司（以下简称"公司"）于2018年12月1日公告收到子公司四川美丰化工科技有限责任公司（以下简称"美丰科技"）转来绵阳市环境保护局的《行政处罚决定书》，因违反环保法律规定被处共计20万元罚款的行政处罚。.美丰科技已按照绵阳市环保局要求完成整改，并通过绵阳市环保局复查，生产经营正常。 本基金投研人员分析认为，该事件发生后该公司经营状况正常，作为央企中国石化下属专业化工子公司，环保处罚和整改属于化工企业日常经营易发问题，此次事件处罚和整改对公司经营和业绩影响无显著直接影响。该公司作为化肥和车用环保特种尿素行业龙头之一，目前估值处于历史相对底部，维持持有评级。本基金基金经理依据基金合同和公司投资管理制度，在投资授权范围内，经正常投资决策程序对四川美丰进行了投资。 </w:t>
      </w:r>
    </w:p>
    <w:p>
      <w:pPr>
        <w:widowControl/>
        <w:jc w:val="left"/>
        <w:rPr>
          <w:rFonts w:hint="eastAsia" w:ascii="宋体" w:hAnsi="宋体" w:cs="宋体"/>
          <w:kern w:val="0"/>
          <w:sz w:val="24"/>
          <w:szCs w:val="24"/>
        </w:rPr>
      </w:pPr>
    </w:p>
    <w:p>
      <w:pPr>
        <w:pStyle w:val="14"/>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4"/>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51,475.78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100,157,678.94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-8,772.94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32,979.25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100,233,361.03</w:t>
            </w:r>
          </w:p>
        </w:tc>
      </w:tr>
    </w:tbl>
    <w:p>
      <w:pPr>
        <w:widowControl/>
        <w:jc w:val="left"/>
        <w:rPr>
          <w:rFonts w:hint="eastAsia" w:ascii="宋体" w:hAnsi="宋体" w:cs="宋体"/>
          <w:kern w:val="0"/>
          <w:sz w:val="24"/>
          <w:szCs w:val="24"/>
        </w:rPr>
      </w:pPr>
    </w:p>
    <w:p>
      <w:pPr>
        <w:pStyle w:val="14"/>
        <w:rPr>
          <w:rFonts w:hint="eastAsia"/>
        </w:rPr>
      </w:pPr>
      <w:r>
        <w:rPr>
          <w:rFonts w:hint="eastAsia"/>
          <w:b/>
          <w:bCs/>
        </w:rPr>
        <w:t>8.12.4 期末持有的处于转股期的可转换债券明细</w:t>
      </w:r>
    </w:p>
    <w:p>
      <w:pPr>
        <w:pStyle w:val="19"/>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4"/>
        <w:rPr>
          <w:rFonts w:hint="eastAsia"/>
        </w:rPr>
      </w:pPr>
      <w:r>
        <w:rPr>
          <w:rFonts w:hint="eastAsia"/>
          <w:b/>
          <w:bCs/>
        </w:rPr>
        <w:t>8.12.5 期末前十名股票中存在流通受限情况的说明</w:t>
      </w:r>
    </w:p>
    <w:p>
      <w:pPr>
        <w:pStyle w:val="19"/>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2"/>
        <w:rPr>
          <w:rFonts w:hint="eastAsia"/>
        </w:rPr>
      </w:pPr>
      <w:bookmarkStart w:id="48" w:name="_Toc4172945"/>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3"/>
        <w:rPr>
          <w:rFonts w:hint="eastAsia"/>
        </w:rPr>
      </w:pPr>
      <w:bookmarkStart w:id="49" w:name="_Toc4172946"/>
      <w:r>
        <w:rPr>
          <w:rFonts w:hint="eastAsia"/>
          <w:b/>
          <w:bCs/>
        </w:rPr>
        <w:t>9.1 期末基金份额持有人户数及持有人结构</w:t>
      </w:r>
      <w:bookmarkEnd w:id="49"/>
    </w:p>
    <w:p>
      <w:pPr>
        <w:pStyle w:val="18"/>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904"/>
        <w:gridCol w:w="2261"/>
        <w:gridCol w:w="1809"/>
        <w:gridCol w:w="1131"/>
        <w:gridCol w:w="1809"/>
        <w:gridCol w:w="1131"/>
      </w:tblGrid>
      <w:tr>
        <w:tblPrEx>
          <w:tblCellMar>
            <w:top w:w="0" w:type="dxa"/>
            <w:left w:w="108" w:type="dxa"/>
            <w:bottom w:w="0" w:type="dxa"/>
            <w:right w:w="108" w:type="dxa"/>
          </w:tblCellMar>
        </w:tblPrEx>
        <w:trPr>
          <w:wBefore w:w="0" w:type="auto"/>
        </w:trPr>
        <w:tc>
          <w:tcPr>
            <w:tcW w:w="4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户均持有的基金份额</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机构投资者</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c>
          <w:tcPr>
            <w:tcW w:w="8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19,224.80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298,265.93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389,292,244.89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99.92%</w:t>
            </w:r>
          </w:p>
        </w:tc>
      </w:tr>
    </w:tbl>
    <w:p>
      <w:pPr>
        <w:widowControl/>
        <w:jc w:val="left"/>
        <w:rPr>
          <w:rFonts w:hint="eastAsia" w:ascii="宋体" w:hAnsi="宋体" w:cs="宋体"/>
          <w:kern w:val="0"/>
          <w:sz w:val="24"/>
          <w:szCs w:val="24"/>
        </w:rPr>
      </w:pPr>
    </w:p>
    <w:p>
      <w:pPr>
        <w:pStyle w:val="13"/>
        <w:rPr>
          <w:rFonts w:hint="eastAsia"/>
        </w:rPr>
      </w:pPr>
      <w:bookmarkStart w:id="50" w:name="_Toc4172947"/>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4116"/>
        <w:gridCol w:w="2336"/>
        <w:gridCol w:w="259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1,197,480.75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r>
    </w:tbl>
    <w:p>
      <w:pPr>
        <w:widowControl/>
        <w:jc w:val="left"/>
        <w:rPr>
          <w:rFonts w:hint="eastAsia" w:ascii="宋体" w:hAnsi="宋体" w:cs="宋体"/>
          <w:kern w:val="0"/>
          <w:sz w:val="24"/>
          <w:szCs w:val="24"/>
        </w:rPr>
      </w:pPr>
    </w:p>
    <w:p>
      <w:pPr>
        <w:pStyle w:val="13"/>
        <w:rPr>
          <w:rFonts w:hint="eastAsia"/>
        </w:rPr>
      </w:pPr>
      <w:bookmarkStart w:id="51" w:name="_Toc4172948"/>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4522"/>
        <w:gridCol w:w="4523"/>
      </w:tblGrid>
      <w:tr>
        <w:tblPrEx>
          <w:tblCellMar>
            <w:top w:w="0" w:type="dxa"/>
            <w:left w:w="108" w:type="dxa"/>
            <w:bottom w:w="0" w:type="dxa"/>
            <w:right w:w="108" w:type="dxa"/>
          </w:tblCellMar>
        </w:tblPrEx>
        <w:trPr>
          <w:wBefore w:w="0" w:type="auto"/>
        </w:trPr>
        <w:tc>
          <w:tcPr>
            <w:tcW w:w="2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2"/>
        <w:rPr>
          <w:rFonts w:hint="eastAsia"/>
        </w:rPr>
      </w:pPr>
      <w:bookmarkStart w:id="52" w:name="_Toc4172949"/>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0" w:type="auto"/>
        <w:tblInd w:w="108" w:type="dxa"/>
        <w:tblLayout w:type="autofit"/>
        <w:tblCellMar>
          <w:top w:w="0" w:type="dxa"/>
          <w:left w:w="108" w:type="dxa"/>
          <w:bottom w:w="0" w:type="dxa"/>
          <w:right w:w="108" w:type="dxa"/>
        </w:tblCellMar>
      </w:tblPr>
      <w:tblGrid>
        <w:gridCol w:w="6138"/>
        <w:gridCol w:w="2890"/>
      </w:tblGrid>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基金合同生效日(2015年08月24日)基金份额总额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303,868,723.06</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本报告期期初基金份额总额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685,332,384.73</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本报告期基金总申购份额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65,605,332.87</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减：本报告期基金总赎回份额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361,347,206.78</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本报告期基金拆分变动份额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6138" w:type="dxa"/>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rPr>
              <w:t>本报告期期末基金份额总额</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389,590,510.82</w:t>
            </w:r>
          </w:p>
        </w:tc>
      </w:tr>
    </w:tbl>
    <w:p>
      <w:pPr>
        <w:widowControl/>
        <w:jc w:val="left"/>
        <w:rPr>
          <w:rFonts w:hint="eastAsia" w:ascii="宋体" w:hAnsi="宋体" w:cs="宋体"/>
          <w:kern w:val="0"/>
          <w:sz w:val="24"/>
          <w:szCs w:val="24"/>
        </w:rPr>
      </w:pPr>
    </w:p>
    <w:p>
      <w:pPr>
        <w:pStyle w:val="12"/>
        <w:rPr>
          <w:rFonts w:hint="eastAsia"/>
        </w:rPr>
      </w:pPr>
      <w:bookmarkStart w:id="53" w:name="_Toc4172950"/>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3"/>
        <w:rPr>
          <w:rFonts w:hint="eastAsia"/>
        </w:rPr>
      </w:pPr>
      <w:bookmarkStart w:id="54" w:name="_Toc4172951"/>
      <w:r>
        <w:rPr>
          <w:rFonts w:hint="eastAsia"/>
          <w:b/>
          <w:bCs/>
        </w:rPr>
        <w:t>11.1 基金份额持有人大会决议</w:t>
      </w:r>
      <w:bookmarkEnd w:id="54"/>
    </w:p>
    <w:p>
      <w:pPr>
        <w:pStyle w:val="19"/>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3"/>
        <w:rPr>
          <w:rFonts w:hint="eastAsia"/>
        </w:rPr>
      </w:pPr>
      <w:bookmarkStart w:id="55" w:name="_Toc4172952"/>
      <w:r>
        <w:rPr>
          <w:rFonts w:hint="eastAsia"/>
          <w:b/>
          <w:bCs/>
        </w:rPr>
        <w:t>11.2 基金管理人、基金托管人的专门基金托管部门的重大人事变动</w:t>
      </w:r>
      <w:bookmarkEnd w:id="55"/>
    </w:p>
    <w:p>
      <w:pPr>
        <w:pStyle w:val="19"/>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3"/>
        <w:rPr>
          <w:rFonts w:hint="eastAsia"/>
        </w:rPr>
      </w:pPr>
      <w:bookmarkStart w:id="56" w:name="_Toc4172953"/>
      <w:r>
        <w:rPr>
          <w:rFonts w:hint="eastAsia"/>
          <w:b/>
          <w:bCs/>
        </w:rPr>
        <w:t>11.3 涉及基金管理人、基金财产、基金托管业务的诉讼</w:t>
      </w:r>
      <w:bookmarkEnd w:id="56"/>
    </w:p>
    <w:p>
      <w:pPr>
        <w:pStyle w:val="19"/>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3"/>
        <w:rPr>
          <w:rFonts w:hint="eastAsia"/>
        </w:rPr>
      </w:pPr>
      <w:bookmarkStart w:id="57" w:name="_Toc4172954"/>
      <w:r>
        <w:rPr>
          <w:rFonts w:hint="eastAsia"/>
          <w:b/>
          <w:bCs/>
        </w:rPr>
        <w:t>11.4 基金投资策略的改变</w:t>
      </w:r>
      <w:bookmarkEnd w:id="57"/>
    </w:p>
    <w:p>
      <w:pPr>
        <w:pStyle w:val="19"/>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3"/>
        <w:rPr>
          <w:rFonts w:hint="eastAsia"/>
        </w:rPr>
      </w:pPr>
      <w:bookmarkStart w:id="58" w:name="_Toc4172955"/>
      <w:r>
        <w:rPr>
          <w:rFonts w:hint="eastAsia"/>
          <w:b/>
          <w:bCs/>
        </w:rPr>
        <w:t>11.5 为基金进行审计的会计师事务所情况</w:t>
      </w:r>
      <w:bookmarkEnd w:id="58"/>
    </w:p>
    <w:p>
      <w:pPr>
        <w:pStyle w:val="19"/>
        <w:spacing w:before="0"/>
        <w:ind w:left="0" w:firstLine="480"/>
        <w:rPr>
          <w:rFonts w:hint="eastAsia"/>
        </w:rPr>
      </w:pPr>
      <w:r>
        <w:rPr>
          <w:rFonts w:hint="eastAsia"/>
        </w:rPr>
        <w:t>本报告期内本基金未更换会计师事务所,本年度支付给普华永道中天会计师事务所(特殊普通合伙)审计费用80,000.00元,该审计机构连续提供审计服务的年限为4年。</w:t>
      </w:r>
    </w:p>
    <w:p>
      <w:pPr>
        <w:widowControl/>
        <w:jc w:val="left"/>
        <w:rPr>
          <w:rFonts w:hint="eastAsia" w:ascii="宋体" w:hAnsi="宋体" w:cs="宋体"/>
          <w:kern w:val="0"/>
          <w:sz w:val="24"/>
          <w:szCs w:val="24"/>
        </w:rPr>
      </w:pPr>
    </w:p>
    <w:p>
      <w:pPr>
        <w:pStyle w:val="13"/>
        <w:rPr>
          <w:rFonts w:hint="eastAsia"/>
        </w:rPr>
      </w:pPr>
      <w:bookmarkStart w:id="59" w:name="_Toc4172956"/>
      <w:r>
        <w:rPr>
          <w:rFonts w:hint="eastAsia"/>
          <w:b/>
          <w:bCs/>
        </w:rPr>
        <w:t>11.6 管理人、托管人及其高级管理人员受稽查或处罚等情况</w:t>
      </w:r>
      <w:bookmarkEnd w:id="59"/>
    </w:p>
    <w:p>
      <w:pPr>
        <w:pStyle w:val="19"/>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3"/>
        <w:rPr>
          <w:rFonts w:hint="eastAsia"/>
        </w:rPr>
      </w:pPr>
      <w:bookmarkStart w:id="60" w:name="_Toc4172957"/>
      <w:r>
        <w:rPr>
          <w:rFonts w:hint="eastAsia"/>
          <w:b/>
          <w:bCs/>
        </w:rPr>
        <w:t>11.7 基金租用证券公司交易单元的有关情况</w:t>
      </w:r>
      <w:bookmarkEnd w:id="60"/>
    </w:p>
    <w:p>
      <w:pPr>
        <w:pStyle w:val="14"/>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21,926,042.18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9,456.81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40,831,293.37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29,588.63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79,288,852.67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33,869.57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99,201.42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53,662,399.81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17,719.15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7,533,502.14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3,238.69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21,635,547.46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15,463.48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8,147,215.29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5,863.65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19,748,727.00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8,582.91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38,355,522.85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16,431.88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3,209,903.73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1,371.04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22,929,823.89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16,739.42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267,380,078.85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36.91%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194,383.87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42.94%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5,270,747.96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2,273.07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134,299,765.25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18.54%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97,585.06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21.56%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w:t>
            </w:r>
          </w:p>
        </w:tc>
      </w:tr>
    </w:tbl>
    <w:p>
      <w:pPr>
        <w:pStyle w:val="19"/>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4"/>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975,000,000.00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3,245,000,000.00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2,605,000,000.00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2,540,000,000.00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1,895,000,000.00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720,000,000.00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3,450,000,000.00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360,000,000.00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8,200,000,000.00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3"/>
        <w:rPr>
          <w:rFonts w:hint="eastAsia"/>
        </w:rPr>
      </w:pPr>
      <w:bookmarkStart w:id="61" w:name="_Toc4172958"/>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创金合信基金管理有限公司关于创金合信沪港深研究精选灵活配置混合型证券投资基金修订基金合同、托管协议部分条款的公告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2018-07-20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2018-09-28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创金合信沪港深研究精选灵活配置混合型证券投资基金2018年第3季度报告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6"/>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2"/>
        <w:rPr>
          <w:rFonts w:hint="eastAsia"/>
        </w:rPr>
      </w:pPr>
      <w:bookmarkStart w:id="62" w:name="_Toc4172959"/>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3"/>
        <w:rPr>
          <w:rFonts w:hint="eastAsia"/>
        </w:rPr>
      </w:pPr>
      <w:bookmarkStart w:id="63" w:name="_Toc4172960"/>
      <w:r>
        <w:rPr>
          <w:rFonts w:hint="eastAsia"/>
          <w:b/>
          <w:bCs/>
        </w:rPr>
        <w:t>12.1 报告期内单一投资者持有基金份额比例达到或超过20%的情况</w:t>
      </w:r>
      <w:bookmarkEnd w:id="63"/>
    </w:p>
    <w:p>
      <w:pPr>
        <w:pStyle w:val="19"/>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3"/>
        <w:rPr>
          <w:rFonts w:hint="eastAsia"/>
        </w:rPr>
      </w:pPr>
      <w:bookmarkStart w:id="64" w:name="_Toc4172961"/>
      <w:r>
        <w:rPr>
          <w:rFonts w:hint="eastAsia"/>
          <w:b/>
          <w:bCs/>
        </w:rPr>
        <w:t>12.2 影响投资者决策的其他重要信息</w:t>
      </w:r>
      <w:bookmarkEnd w:id="64"/>
    </w:p>
    <w:p>
      <w:pPr>
        <w:pStyle w:val="16"/>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2"/>
        <w:rPr>
          <w:rFonts w:hint="eastAsia"/>
        </w:rPr>
      </w:pPr>
      <w:bookmarkStart w:id="65" w:name="_Toc4172962"/>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3"/>
        <w:rPr>
          <w:rFonts w:hint="eastAsia"/>
        </w:rPr>
      </w:pPr>
      <w:bookmarkStart w:id="66" w:name="_Toc4172963"/>
      <w:r>
        <w:rPr>
          <w:rFonts w:hint="eastAsia"/>
          <w:b/>
          <w:bCs/>
        </w:rPr>
        <w:t>13.1 备查文件目录</w:t>
      </w:r>
      <w:bookmarkEnd w:id="66"/>
    </w:p>
    <w:p>
      <w:pPr>
        <w:pStyle w:val="19"/>
        <w:spacing w:before="0"/>
        <w:ind w:left="0" w:firstLine="480"/>
        <w:rPr>
          <w:rFonts w:hint="eastAsia"/>
        </w:rPr>
      </w:pPr>
      <w:r>
        <w:rPr>
          <w:rFonts w:hint="eastAsia"/>
        </w:rPr>
        <w:t>1、《创金合信沪港深研究精选灵活配置混合型证券投资基金基金合同》；</w:t>
      </w:r>
    </w:p>
    <w:p>
      <w:pPr>
        <w:pStyle w:val="19"/>
        <w:spacing w:before="0"/>
        <w:ind w:left="0" w:firstLine="480"/>
        <w:rPr>
          <w:rFonts w:hint="eastAsia"/>
        </w:rPr>
      </w:pPr>
      <w:r>
        <w:rPr>
          <w:rFonts w:hint="eastAsia"/>
        </w:rPr>
        <w:t>2、《创金合信沪港深研究精选灵活配置混合型证券投资基金托管协议》；</w:t>
      </w:r>
    </w:p>
    <w:p>
      <w:pPr>
        <w:pStyle w:val="19"/>
        <w:spacing w:before="0"/>
        <w:ind w:left="0" w:firstLine="480"/>
        <w:rPr>
          <w:rFonts w:hint="eastAsia"/>
        </w:rPr>
      </w:pPr>
      <w:r>
        <w:rPr>
          <w:rFonts w:hint="eastAsia"/>
        </w:rPr>
        <w:t>3、创金合信沪港深研究精选灵活配置混合型证券投资基金2018年年度报告。</w:t>
      </w:r>
    </w:p>
    <w:p>
      <w:pPr>
        <w:widowControl/>
        <w:jc w:val="left"/>
        <w:rPr>
          <w:rFonts w:hint="eastAsia" w:ascii="宋体" w:hAnsi="宋体" w:cs="宋体"/>
          <w:kern w:val="0"/>
          <w:sz w:val="24"/>
          <w:szCs w:val="24"/>
        </w:rPr>
      </w:pPr>
    </w:p>
    <w:p>
      <w:pPr>
        <w:pStyle w:val="13"/>
        <w:rPr>
          <w:rFonts w:hint="eastAsia"/>
        </w:rPr>
      </w:pPr>
      <w:bookmarkStart w:id="67" w:name="_Toc4172964"/>
      <w:r>
        <w:rPr>
          <w:rFonts w:hint="eastAsia"/>
          <w:b/>
          <w:bCs/>
        </w:rPr>
        <w:t>13.2 存放地点</w:t>
      </w:r>
      <w:bookmarkEnd w:id="67"/>
    </w:p>
    <w:p>
      <w:pPr>
        <w:pStyle w:val="19"/>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3"/>
        <w:rPr>
          <w:rFonts w:hint="eastAsia"/>
        </w:rPr>
      </w:pPr>
      <w:bookmarkStart w:id="68" w:name="_Toc4172965"/>
      <w:r>
        <w:rPr>
          <w:rFonts w:hint="eastAsia"/>
          <w:b/>
          <w:bCs/>
        </w:rPr>
        <w:t>13.3 查阅方式</w:t>
      </w:r>
      <w:bookmarkEnd w:id="68"/>
    </w:p>
    <w:p>
      <w:pPr>
        <w:pStyle w:val="19"/>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8"/>
        <w:rPr>
          <w:rFonts w:hint="eastAsia"/>
        </w:rPr>
      </w:pPr>
      <w:r>
        <w:rPr>
          <w:rFonts w:hint="eastAsia" w:hAnsi="Calibri"/>
          <w:b/>
          <w:bCs/>
          <w:color w:val="000000"/>
        </w:rPr>
        <w:t>创金合信基金管理有限公司</w:t>
      </w:r>
    </w:p>
    <w:p>
      <w:pPr>
        <w:pStyle w:val="18"/>
        <w:rPr>
          <w:rFonts w:hint="eastAsia"/>
        </w:rPr>
      </w:pPr>
      <w:r>
        <w:rPr>
          <w:rFonts w:hint="eastAsia" w:hAnsi="Calibri"/>
          <w:b/>
          <w:bCs/>
          <w:color w:val="000000"/>
        </w:rPr>
        <w:t>二〇一九年三月二十九日</w:t>
      </w:r>
    </w:p>
    <w:p>
      <w:pPr>
        <w:pStyle w:val="23"/>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26</w:t>
    </w:r>
    <w:r>
      <w:rPr>
        <w:rStyle w:val="9"/>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创金合信沪港深研究精选灵活配置混合型证券投资基金2018年年度报告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7D49"/>
    <w:rsid w:val="00094F57"/>
    <w:rsid w:val="000A29CC"/>
    <w:rsid w:val="00485B4C"/>
    <w:rsid w:val="00BE7FCB"/>
    <w:rsid w:val="00C569E1"/>
    <w:rsid w:val="00D07760"/>
    <w:rsid w:val="00E6717D"/>
    <w:rsid w:val="00EB7D49"/>
    <w:rsid w:val="00FE34ED"/>
    <w:rsid w:val="01E52B3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5"/>
    <w:unhideWhenUsed/>
    <w:uiPriority w:val="99"/>
    <w:pPr>
      <w:tabs>
        <w:tab w:val="center" w:pos="4153"/>
        <w:tab w:val="right" w:pos="8306"/>
      </w:tabs>
      <w:snapToGrid w:val="0"/>
      <w:jc w:val="left"/>
    </w:pPr>
    <w:rPr>
      <w:sz w:val="18"/>
      <w:szCs w:val="18"/>
    </w:rPr>
  </w:style>
  <w:style w:type="paragraph" w:styleId="3">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page number"/>
    <w:semiHidden/>
    <w:unhideWhenUsed/>
    <w:uiPriority w:val="99"/>
  </w:style>
  <w:style w:type="character" w:styleId="10">
    <w:name w:val="Hyperlink"/>
    <w:unhideWhenUsed/>
    <w:uiPriority w:val="99"/>
    <w:rPr>
      <w:color w:val="0563C1"/>
      <w:u w:val="single"/>
    </w:rPr>
  </w:style>
  <w:style w:type="paragraph" w:customStyle="1" w:styleId="11">
    <w:name w:val="msonormal1"/>
    <w:qFormat/>
    <w:uiPriority w:val="0"/>
    <w:pPr>
      <w:widowControl w:val="0"/>
      <w:jc w:val="both"/>
    </w:pPr>
    <w:rPr>
      <w:kern w:val="2"/>
      <w:sz w:val="21"/>
      <w:szCs w:val="22"/>
      <w:lang w:val="en-US" w:eastAsia="zh-CN" w:bidi="ar-SA"/>
    </w:rPr>
  </w:style>
  <w:style w:type="paragraph" w:customStyle="1" w:styleId="12">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3">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4">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5">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6">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7">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8">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19">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0">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1">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3">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4">
    <w:name w:val="页眉 Char"/>
    <w:link w:val="3"/>
    <w:locked/>
    <w:uiPriority w:val="99"/>
    <w:rPr>
      <w:rFonts w:hint="default" w:ascii="Times New Roman" w:hAnsi="Times New Roman" w:cs="Times New Roman"/>
      <w:sz w:val="18"/>
      <w:szCs w:val="18"/>
    </w:rPr>
  </w:style>
  <w:style w:type="character" w:customStyle="1" w:styleId="25">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7466</Words>
  <Characters>42562</Characters>
  <Lines>354</Lines>
  <Paragraphs>99</Paragraphs>
  <TotalTime>0</TotalTime>
  <ScaleCrop>false</ScaleCrop>
  <LinksUpToDate>false</LinksUpToDate>
  <CharactersWithSpaces>49929</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2019-03-22T10:46:00Z</dcterms:created>
  <dc:creator>石怡翔</dc:creator>
  <cp:lastModifiedBy>Administrator</cp:lastModifiedBy>
  <dcterms:modified xsi:type="dcterms:W3CDTF">2019-12-26T14:04:29Z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