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eastAsia="Times New Roman"/>
          <w:color w:val="000000"/>
          <w:kern w:val="0"/>
          <w:sz w:val="24"/>
        </w:rPr>
      </w:pPr>
      <w:bookmarkStart w:id="65" w:name="_GoBack"/>
      <w:bookmarkEnd w:id="65"/>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创金合信聚财保本混合型证券投资基金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基金托管人：招商银行股份有限公司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eastAsia="Times New Roman"/>
          <w:kern w:val="0"/>
          <w:sz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eastAsia="Times New Roman"/>
          <w:b/>
          <w:color w:val="000000"/>
          <w:kern w:val="0"/>
          <w:sz w:val="24"/>
        </w:rPr>
      </w:pPr>
      <w:bookmarkStart w:id="0" w:name="_Toc477939569"/>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1" w:name="_Toc477939570"/>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基金托管人招商银行股份有限公司根据本基金合同规定，于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2" w:name="_Toc477939571"/>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80"/>
        </w:tabs>
        <w:spacing w:beforeLines="0" w:afterLines="0"/>
        <w:rPr>
          <w:rFonts w:hint="default" w:eastAsia="Times New Roman"/>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"_Toc477939569"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eastAsia="Times New Roman"/>
          <w:sz w:val="21"/>
          <w:lang/>
        </w:rPr>
        <w:tab/>
      </w:r>
      <w:r>
        <w:rPr>
          <w:rFonts w:hint="default"/>
          <w:sz w:val="21"/>
          <w:lang/>
        </w:rPr>
        <w:fldChar w:fldCharType="begin"/>
      </w:r>
      <w:r>
        <w:rPr>
          <w:rFonts w:hint="default"/>
          <w:sz w:val="21"/>
          <w:lang/>
        </w:rPr>
        <w:instrText xml:space="preserve"> PAGEREF _Toc477939569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eastAsia="Times New Roman"/>
          <w:sz w:val="21"/>
          <w:lang/>
        </w:rPr>
        <w:tab/>
      </w:r>
      <w:r>
        <w:rPr>
          <w:rFonts w:hint="default"/>
          <w:sz w:val="21"/>
          <w:lang/>
        </w:rPr>
        <w:fldChar w:fldCharType="begin"/>
      </w:r>
      <w:r>
        <w:rPr>
          <w:rFonts w:hint="default"/>
          <w:sz w:val="21"/>
          <w:lang/>
        </w:rPr>
        <w:instrText xml:space="preserve"> PAGEREF _Toc477939570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eastAsia="Times New Roman"/>
          <w:sz w:val="21"/>
          <w:lang/>
        </w:rPr>
        <w:tab/>
      </w:r>
      <w:r>
        <w:rPr>
          <w:rFonts w:hint="default"/>
          <w:sz w:val="21"/>
          <w:lang/>
        </w:rPr>
        <w:fldChar w:fldCharType="begin"/>
      </w:r>
      <w:r>
        <w:rPr>
          <w:rFonts w:hint="default"/>
          <w:sz w:val="21"/>
          <w:lang/>
        </w:rPr>
        <w:instrText xml:space="preserve"> PAGEREF _Toc477939571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eastAsia="Times New Roman"/>
          <w:sz w:val="21"/>
          <w:lang/>
        </w:rPr>
        <w:tab/>
      </w:r>
      <w:r>
        <w:rPr>
          <w:rFonts w:hint="default"/>
          <w:sz w:val="21"/>
          <w:lang/>
        </w:rPr>
        <w:fldChar w:fldCharType="begin"/>
      </w:r>
      <w:r>
        <w:rPr>
          <w:rFonts w:hint="default"/>
          <w:sz w:val="21"/>
          <w:lang/>
        </w:rPr>
        <w:instrText xml:space="preserve"> PAGEREF _Toc477939572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eastAsia="Times New Roman"/>
          <w:sz w:val="21"/>
          <w:lang/>
        </w:rPr>
        <w:tab/>
      </w:r>
      <w:r>
        <w:rPr>
          <w:rFonts w:hint="default"/>
          <w:sz w:val="21"/>
          <w:lang/>
        </w:rPr>
        <w:fldChar w:fldCharType="begin"/>
      </w:r>
      <w:r>
        <w:rPr>
          <w:rFonts w:hint="default"/>
          <w:sz w:val="21"/>
          <w:lang/>
        </w:rPr>
        <w:instrText xml:space="preserve"> PAGEREF _Toc477939573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eastAsia="Times New Roman"/>
          <w:sz w:val="21"/>
          <w:lang/>
        </w:rPr>
        <w:tab/>
      </w:r>
      <w:r>
        <w:rPr>
          <w:rFonts w:hint="default"/>
          <w:sz w:val="21"/>
          <w:lang/>
        </w:rPr>
        <w:fldChar w:fldCharType="begin"/>
      </w:r>
      <w:r>
        <w:rPr>
          <w:rFonts w:hint="default"/>
          <w:sz w:val="21"/>
          <w:lang/>
        </w:rPr>
        <w:instrText xml:space="preserve"> PAGEREF _Toc477939574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eastAsia="Times New Roman"/>
          <w:sz w:val="21"/>
          <w:lang/>
        </w:rPr>
        <w:tab/>
      </w:r>
      <w:r>
        <w:rPr>
          <w:rFonts w:hint="default"/>
          <w:sz w:val="21"/>
          <w:lang/>
        </w:rPr>
        <w:fldChar w:fldCharType="begin"/>
      </w:r>
      <w:r>
        <w:rPr>
          <w:rFonts w:hint="default"/>
          <w:sz w:val="21"/>
          <w:lang/>
        </w:rPr>
        <w:instrText xml:space="preserve"> PAGEREF _Toc477939575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eastAsia="Times New Roman"/>
          <w:sz w:val="21"/>
          <w:lang/>
        </w:rPr>
        <w:tab/>
      </w:r>
      <w:r>
        <w:rPr>
          <w:rFonts w:hint="default"/>
          <w:sz w:val="21"/>
          <w:lang/>
        </w:rPr>
        <w:fldChar w:fldCharType="begin"/>
      </w:r>
      <w:r>
        <w:rPr>
          <w:rFonts w:hint="default"/>
          <w:sz w:val="21"/>
          <w:lang/>
        </w:rPr>
        <w:instrText xml:space="preserve"> PAGEREF _Toc477939576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eastAsia="Times New Roman"/>
          <w:sz w:val="21"/>
          <w:lang/>
        </w:rPr>
        <w:tab/>
      </w:r>
      <w:r>
        <w:rPr>
          <w:rFonts w:hint="default"/>
          <w:sz w:val="21"/>
          <w:lang/>
        </w:rPr>
        <w:fldChar w:fldCharType="begin"/>
      </w:r>
      <w:r>
        <w:rPr>
          <w:rFonts w:hint="default"/>
          <w:sz w:val="21"/>
          <w:lang/>
        </w:rPr>
        <w:instrText xml:space="preserve"> PAGEREF _Toc477939577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_Toc477939578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"_Toc477939579"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eastAsia="Times New Roman"/>
          <w:sz w:val="21"/>
          <w:lang/>
        </w:rPr>
        <w:tab/>
      </w:r>
      <w:r>
        <w:rPr>
          <w:rFonts w:hint="default"/>
          <w:sz w:val="21"/>
          <w:lang/>
        </w:rPr>
        <w:fldChar w:fldCharType="begin"/>
      </w:r>
      <w:r>
        <w:rPr>
          <w:rFonts w:hint="default"/>
          <w:sz w:val="21"/>
          <w:lang/>
        </w:rPr>
        <w:instrText xml:space="preserve"> PAGEREF _Toc477939579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eastAsia="Times New Roman"/>
          <w:sz w:val="21"/>
          <w:lang/>
        </w:rPr>
        <w:tab/>
      </w:r>
      <w:r>
        <w:rPr>
          <w:rFonts w:hint="default"/>
          <w:sz w:val="21"/>
          <w:lang/>
        </w:rPr>
        <w:fldChar w:fldCharType="begin"/>
      </w:r>
      <w:r>
        <w:rPr>
          <w:rFonts w:hint="default"/>
          <w:sz w:val="21"/>
          <w:lang/>
        </w:rPr>
        <w:instrText xml:space="preserve"> PAGEREF _Toc477939580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3.3 </w:t>
      </w:r>
      <w:r>
        <w:rPr>
          <w:rStyle w:val="10"/>
          <w:rFonts w:hint="eastAsia" w:ascii="Times New Roman" w:hAnsi="Times New Roman" w:eastAsia="宋体"/>
          <w:b/>
          <w:kern w:val="0"/>
          <w:sz w:val="21"/>
          <w:lang/>
        </w:rPr>
        <w:t>过去三年基金的利润分配情况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_Toc477939581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eastAsia="Times New Roman"/>
          <w:sz w:val="21"/>
          <w:lang/>
        </w:rPr>
        <w:tab/>
      </w:r>
      <w:r>
        <w:rPr>
          <w:rFonts w:hint="default"/>
          <w:sz w:val="21"/>
          <w:lang/>
        </w:rPr>
        <w:fldChar w:fldCharType="begin"/>
      </w:r>
      <w:r>
        <w:rPr>
          <w:rFonts w:hint="default"/>
          <w:sz w:val="21"/>
          <w:lang/>
        </w:rPr>
        <w:instrText xml:space="preserve"> PAGEREF _Toc477939582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eastAsia="Times New Roman"/>
          <w:sz w:val="21"/>
          <w:lang/>
        </w:rPr>
        <w:tab/>
      </w:r>
      <w:r>
        <w:rPr>
          <w:rFonts w:hint="default"/>
          <w:sz w:val="21"/>
          <w:lang/>
        </w:rPr>
        <w:fldChar w:fldCharType="begin"/>
      </w:r>
      <w:r>
        <w:rPr>
          <w:rFonts w:hint="default"/>
          <w:sz w:val="21"/>
          <w:lang/>
        </w:rPr>
        <w:instrText xml:space="preserve"> PAGEREF _Toc477939583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_Toc477939584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eastAsia="Times New Roman"/>
          <w:sz w:val="21"/>
          <w:lang/>
        </w:rPr>
        <w:tab/>
      </w:r>
      <w:r>
        <w:rPr>
          <w:rFonts w:hint="default"/>
          <w:sz w:val="21"/>
          <w:lang/>
        </w:rPr>
        <w:fldChar w:fldCharType="begin"/>
      </w:r>
      <w:r>
        <w:rPr>
          <w:rFonts w:hint="default"/>
          <w:sz w:val="21"/>
          <w:lang/>
        </w:rPr>
        <w:instrText xml:space="preserve"> PAGEREF _Toc477939585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管理人对报告期内基金的投资策略和业绩表现的说明</w:t>
      </w:r>
      <w:r>
        <w:rPr>
          <w:rFonts w:hint="default" w:eastAsia="Times New Roman"/>
          <w:sz w:val="21"/>
          <w:lang/>
        </w:rPr>
        <w:tab/>
      </w:r>
      <w:r>
        <w:rPr>
          <w:rFonts w:hint="default"/>
          <w:sz w:val="21"/>
          <w:lang/>
        </w:rPr>
        <w:fldChar w:fldCharType="begin"/>
      </w:r>
      <w:r>
        <w:rPr>
          <w:rFonts w:hint="default"/>
          <w:sz w:val="21"/>
          <w:lang/>
        </w:rPr>
        <w:instrText xml:space="preserve"> PAGEREF _Toc477939586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eastAsia="Times New Roman"/>
          <w:sz w:val="21"/>
          <w:lang/>
        </w:rPr>
        <w:tab/>
      </w:r>
      <w:r>
        <w:rPr>
          <w:rFonts w:hint="default"/>
          <w:sz w:val="21"/>
          <w:lang/>
        </w:rPr>
        <w:fldChar w:fldCharType="begin"/>
      </w:r>
      <w:r>
        <w:rPr>
          <w:rFonts w:hint="default"/>
          <w:sz w:val="21"/>
          <w:lang/>
        </w:rPr>
        <w:instrText xml:space="preserve"> PAGEREF _Toc477939587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eastAsia="Times New Roman"/>
          <w:sz w:val="21"/>
          <w:lang/>
        </w:rPr>
        <w:tab/>
      </w:r>
      <w:r>
        <w:rPr>
          <w:rFonts w:hint="default"/>
          <w:sz w:val="21"/>
          <w:lang/>
        </w:rPr>
        <w:fldChar w:fldCharType="begin"/>
      </w:r>
      <w:r>
        <w:rPr>
          <w:rFonts w:hint="default"/>
          <w:sz w:val="21"/>
          <w:lang/>
        </w:rPr>
        <w:instrText xml:space="preserve"> PAGEREF _Toc477939588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"_Toc477939589"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eastAsia="Times New Roman"/>
          <w:sz w:val="21"/>
          <w:lang/>
        </w:rPr>
        <w:tab/>
      </w:r>
      <w:r>
        <w:rPr>
          <w:rFonts w:hint="default"/>
          <w:sz w:val="21"/>
          <w:lang/>
        </w:rPr>
        <w:fldChar w:fldCharType="begin"/>
      </w:r>
      <w:r>
        <w:rPr>
          <w:rFonts w:hint="default"/>
          <w:sz w:val="21"/>
          <w:lang/>
        </w:rPr>
        <w:instrText xml:space="preserve"> PAGEREF _Toc477939589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_Toc477939590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eastAsia="Times New Roman"/>
          <w:sz w:val="21"/>
          <w:lang/>
        </w:rPr>
        <w:tab/>
      </w:r>
      <w:r>
        <w:rPr>
          <w:rFonts w:hint="default"/>
          <w:sz w:val="21"/>
          <w:lang/>
        </w:rPr>
        <w:fldChar w:fldCharType="begin"/>
      </w:r>
      <w:r>
        <w:rPr>
          <w:rFonts w:hint="default"/>
          <w:sz w:val="21"/>
          <w:lang/>
        </w:rPr>
        <w:instrText xml:space="preserve"> PAGEREF _Toc477939591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eastAsia="Times New Roman"/>
          <w:sz w:val="21"/>
          <w:lang/>
        </w:rPr>
        <w:tab/>
      </w:r>
      <w:r>
        <w:rPr>
          <w:rFonts w:hint="default"/>
          <w:sz w:val="21"/>
          <w:lang/>
        </w:rPr>
        <w:fldChar w:fldCharType="begin"/>
      </w:r>
      <w:r>
        <w:rPr>
          <w:rFonts w:hint="default"/>
          <w:sz w:val="21"/>
          <w:lang/>
        </w:rPr>
        <w:instrText xml:space="preserve"> PAGEREF _Toc477939592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_Toc477939593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eastAsia="Times New Roman"/>
          <w:sz w:val="21"/>
          <w:lang/>
        </w:rPr>
        <w:tab/>
      </w:r>
      <w:r>
        <w:rPr>
          <w:rFonts w:hint="default"/>
          <w:sz w:val="21"/>
          <w:lang/>
        </w:rPr>
        <w:fldChar w:fldCharType="begin"/>
      </w:r>
      <w:r>
        <w:rPr>
          <w:rFonts w:hint="default"/>
          <w:sz w:val="21"/>
          <w:lang/>
        </w:rPr>
        <w:instrText xml:space="preserve"> PAGEREF _Toc477939594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eastAsia="Times New Roman"/>
          <w:sz w:val="21"/>
          <w:lang/>
        </w:rPr>
        <w:tab/>
      </w:r>
      <w:r>
        <w:rPr>
          <w:rFonts w:hint="default"/>
          <w:sz w:val="21"/>
          <w:lang/>
        </w:rPr>
        <w:fldChar w:fldCharType="begin"/>
      </w:r>
      <w:r>
        <w:rPr>
          <w:rFonts w:hint="default"/>
          <w:sz w:val="21"/>
          <w:lang/>
        </w:rPr>
        <w:instrText xml:space="preserve"> PAGEREF _Toc477939595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eastAsia="Times New Roman"/>
          <w:sz w:val="21"/>
          <w:lang/>
        </w:rPr>
        <w:tab/>
      </w:r>
      <w:r>
        <w:rPr>
          <w:rFonts w:hint="default"/>
          <w:sz w:val="21"/>
          <w:lang/>
        </w:rPr>
        <w:fldChar w:fldCharType="begin"/>
      </w:r>
      <w:r>
        <w:rPr>
          <w:rFonts w:hint="default"/>
          <w:sz w:val="21"/>
          <w:lang/>
        </w:rPr>
        <w:instrText xml:space="preserve"> PAGEREF _Toc477939596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eastAsia="Times New Roman"/>
          <w:sz w:val="21"/>
          <w:lang/>
        </w:rPr>
        <w:tab/>
      </w:r>
      <w:r>
        <w:rPr>
          <w:rFonts w:hint="default"/>
          <w:sz w:val="21"/>
          <w:lang/>
        </w:rPr>
        <w:fldChar w:fldCharType="begin"/>
      </w:r>
      <w:r>
        <w:rPr>
          <w:rFonts w:hint="default"/>
          <w:sz w:val="21"/>
          <w:lang/>
        </w:rPr>
        <w:instrText xml:space="preserve"> PAGEREF _Toc477939597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eastAsia="Times New Roman"/>
          <w:sz w:val="21"/>
          <w:lang/>
        </w:rPr>
        <w:tab/>
      </w:r>
      <w:r>
        <w:rPr>
          <w:rFonts w:hint="default"/>
          <w:sz w:val="21"/>
          <w:lang/>
        </w:rPr>
        <w:fldChar w:fldCharType="begin"/>
      </w:r>
      <w:r>
        <w:rPr>
          <w:rFonts w:hint="default"/>
          <w:sz w:val="21"/>
          <w:lang/>
        </w:rPr>
        <w:instrText xml:space="preserve"> PAGEREF _Toc477939598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"_Toc477939599"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eastAsia="Times New Roman"/>
          <w:sz w:val="21"/>
          <w:lang/>
        </w:rPr>
        <w:tab/>
      </w:r>
      <w:r>
        <w:rPr>
          <w:rFonts w:hint="default"/>
          <w:sz w:val="21"/>
          <w:lang/>
        </w:rPr>
        <w:fldChar w:fldCharType="begin"/>
      </w:r>
      <w:r>
        <w:rPr>
          <w:rFonts w:hint="default"/>
          <w:sz w:val="21"/>
          <w:lang/>
        </w:rPr>
        <w:instrText xml:space="preserve"> PAGEREF _Toc477939599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eastAsia="Times New Roman"/>
          <w:sz w:val="21"/>
          <w:lang/>
        </w:rPr>
        <w:tab/>
      </w:r>
      <w:r>
        <w:rPr>
          <w:rFonts w:hint="default"/>
          <w:sz w:val="21"/>
          <w:lang/>
        </w:rPr>
        <w:fldChar w:fldCharType="begin"/>
      </w:r>
      <w:r>
        <w:rPr>
          <w:rFonts w:hint="default"/>
          <w:sz w:val="21"/>
          <w:lang/>
        </w:rPr>
        <w:instrText xml:space="preserve"> PAGEREF _Toc477939600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eastAsia="Times New Roman"/>
          <w:sz w:val="21"/>
          <w:lang/>
        </w:rPr>
        <w:tab/>
      </w:r>
      <w:r>
        <w:rPr>
          <w:rFonts w:hint="default"/>
          <w:sz w:val="21"/>
          <w:lang/>
        </w:rPr>
        <w:fldChar w:fldCharType="begin"/>
      </w:r>
      <w:r>
        <w:rPr>
          <w:rFonts w:hint="default"/>
          <w:sz w:val="21"/>
          <w:lang/>
        </w:rPr>
        <w:instrText xml:space="preserve"> PAGEREF _Toc477939601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eastAsia="Times New Roman"/>
          <w:sz w:val="21"/>
          <w:lang/>
        </w:rPr>
        <w:tab/>
      </w:r>
      <w:r>
        <w:rPr>
          <w:rFonts w:hint="default"/>
          <w:sz w:val="21"/>
          <w:lang/>
        </w:rPr>
        <w:fldChar w:fldCharType="begin"/>
      </w:r>
      <w:r>
        <w:rPr>
          <w:rFonts w:hint="default"/>
          <w:sz w:val="21"/>
          <w:lang/>
        </w:rPr>
        <w:instrText xml:space="preserve"> PAGEREF _Toc477939602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eastAsia="Times New Roman"/>
          <w:sz w:val="21"/>
          <w:lang/>
        </w:rPr>
        <w:tab/>
      </w:r>
      <w:r>
        <w:rPr>
          <w:rFonts w:hint="default"/>
          <w:sz w:val="21"/>
          <w:lang/>
        </w:rPr>
        <w:fldChar w:fldCharType="begin"/>
      </w:r>
      <w:r>
        <w:rPr>
          <w:rFonts w:hint="default"/>
          <w:sz w:val="21"/>
          <w:lang/>
        </w:rPr>
        <w:instrText xml:space="preserve"> PAGEREF _Toc477939603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eastAsia="Times New Roman"/>
          <w:sz w:val="21"/>
          <w:lang/>
        </w:rPr>
        <w:tab/>
      </w:r>
      <w:r>
        <w:rPr>
          <w:rFonts w:hint="default"/>
          <w:sz w:val="21"/>
          <w:lang/>
        </w:rPr>
        <w:fldChar w:fldCharType="begin"/>
      </w:r>
      <w:r>
        <w:rPr>
          <w:rFonts w:hint="default"/>
          <w:sz w:val="21"/>
          <w:lang/>
        </w:rPr>
        <w:instrText xml:space="preserve"> PAGEREF _Toc477939604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8.2.1 </w:t>
      </w:r>
      <w:r>
        <w:rPr>
          <w:rStyle w:val="10"/>
          <w:rFonts w:hint="eastAsia" w:ascii="Times New Roman" w:hAnsi="Times New Roman" w:eastAsia="宋体"/>
          <w:b/>
          <w:kern w:val="0"/>
          <w:sz w:val="21"/>
          <w:lang/>
        </w:rPr>
        <w:t>报告期末按行业分类的境内股票投资组合</w:t>
      </w:r>
      <w:r>
        <w:rPr>
          <w:rFonts w:hint="default" w:eastAsia="Times New Roman"/>
          <w:sz w:val="21"/>
          <w:lang/>
        </w:rPr>
        <w:tab/>
      </w:r>
      <w:r>
        <w:rPr>
          <w:rFonts w:hint="default"/>
          <w:sz w:val="21"/>
          <w:lang/>
        </w:rPr>
        <w:fldChar w:fldCharType="begin"/>
      </w:r>
      <w:r>
        <w:rPr>
          <w:rFonts w:hint="default"/>
          <w:sz w:val="21"/>
          <w:lang/>
        </w:rPr>
        <w:instrText xml:space="preserve"> PAGEREF _Toc477939605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eastAsia="Times New Roman"/>
          <w:sz w:val="21"/>
          <w:lang/>
        </w:rPr>
        <w:tab/>
      </w:r>
      <w:r>
        <w:rPr>
          <w:rFonts w:hint="default"/>
          <w:sz w:val="21"/>
          <w:lang/>
        </w:rPr>
        <w:fldChar w:fldCharType="begin"/>
      </w:r>
      <w:r>
        <w:rPr>
          <w:rFonts w:hint="default"/>
          <w:sz w:val="21"/>
          <w:lang/>
        </w:rPr>
        <w:instrText xml:space="preserve"> PAGEREF _Toc477939606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eastAsia="Times New Roman"/>
          <w:sz w:val="21"/>
          <w:lang/>
        </w:rPr>
        <w:tab/>
      </w:r>
      <w:r>
        <w:rPr>
          <w:rFonts w:hint="default"/>
          <w:sz w:val="21"/>
          <w:lang/>
        </w:rPr>
        <w:fldChar w:fldCharType="begin"/>
      </w:r>
      <w:r>
        <w:rPr>
          <w:rFonts w:hint="default"/>
          <w:sz w:val="21"/>
          <w:lang/>
        </w:rPr>
        <w:instrText xml:space="preserve"> PAGEREF _Toc477939607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eastAsia="Times New Roman"/>
          <w:sz w:val="21"/>
          <w:lang/>
        </w:rPr>
        <w:tab/>
      </w:r>
      <w:r>
        <w:rPr>
          <w:rFonts w:hint="default"/>
          <w:sz w:val="21"/>
          <w:lang/>
        </w:rPr>
        <w:fldChar w:fldCharType="begin"/>
      </w:r>
      <w:r>
        <w:rPr>
          <w:rFonts w:hint="default"/>
          <w:sz w:val="21"/>
          <w:lang/>
        </w:rPr>
        <w:instrText xml:space="preserve"> PAGEREF _Toc477939608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"_Toc477939609"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_Toc477939609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_Toc477939610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eastAsia="Times New Roman"/>
          <w:sz w:val="21"/>
          <w:lang/>
        </w:rPr>
        <w:tab/>
      </w:r>
      <w:r>
        <w:rPr>
          <w:rFonts w:hint="default"/>
          <w:sz w:val="21"/>
          <w:lang/>
        </w:rPr>
        <w:fldChar w:fldCharType="begin"/>
      </w:r>
      <w:r>
        <w:rPr>
          <w:rFonts w:hint="default"/>
          <w:sz w:val="21"/>
          <w:lang/>
        </w:rPr>
        <w:instrText xml:space="preserve"> PAGEREF _Toc477939611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eastAsia="Times New Roman"/>
          <w:sz w:val="21"/>
          <w:lang/>
        </w:rPr>
        <w:tab/>
      </w:r>
      <w:r>
        <w:rPr>
          <w:rFonts w:hint="default"/>
          <w:sz w:val="21"/>
          <w:lang/>
        </w:rPr>
        <w:fldChar w:fldCharType="begin"/>
      </w:r>
      <w:r>
        <w:rPr>
          <w:rFonts w:hint="default"/>
          <w:sz w:val="21"/>
          <w:lang/>
        </w:rPr>
        <w:instrText xml:space="preserve"> PAGEREF _Toc477939612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_Toc477939613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_Toc477939614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eastAsia="Times New Roman"/>
          <w:sz w:val="21"/>
          <w:lang/>
        </w:rPr>
        <w:tab/>
      </w:r>
      <w:r>
        <w:rPr>
          <w:rFonts w:hint="default"/>
          <w:sz w:val="21"/>
          <w:lang/>
        </w:rPr>
        <w:fldChar w:fldCharType="begin"/>
      </w:r>
      <w:r>
        <w:rPr>
          <w:rFonts w:hint="default"/>
          <w:sz w:val="21"/>
          <w:lang/>
        </w:rPr>
        <w:instrText xml:space="preserve"> PAGEREF _Toc477939615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eastAsia="Times New Roman"/>
          <w:sz w:val="21"/>
          <w:lang/>
        </w:rPr>
        <w:tab/>
      </w:r>
      <w:r>
        <w:rPr>
          <w:rFonts w:hint="default"/>
          <w:sz w:val="21"/>
          <w:lang/>
        </w:rPr>
        <w:fldChar w:fldCharType="begin"/>
      </w:r>
      <w:r>
        <w:rPr>
          <w:rFonts w:hint="default"/>
          <w:sz w:val="21"/>
          <w:lang/>
        </w:rPr>
        <w:instrText xml:space="preserve"> PAGEREF _Toc477939616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eastAsia="Times New Roman"/>
          <w:sz w:val="21"/>
          <w:lang/>
        </w:rPr>
        <w:tab/>
      </w:r>
      <w:r>
        <w:rPr>
          <w:rFonts w:hint="default"/>
          <w:sz w:val="21"/>
          <w:lang/>
        </w:rPr>
        <w:fldChar w:fldCharType="begin"/>
      </w:r>
      <w:r>
        <w:rPr>
          <w:rFonts w:hint="default"/>
          <w:sz w:val="21"/>
          <w:lang/>
        </w:rPr>
        <w:instrText xml:space="preserve"> PAGEREF _Toc477939617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eastAsia="Times New Roman"/>
          <w:sz w:val="21"/>
          <w:lang/>
        </w:rPr>
        <w:tab/>
      </w:r>
      <w:r>
        <w:rPr>
          <w:rFonts w:hint="default"/>
          <w:sz w:val="21"/>
          <w:lang/>
        </w:rPr>
        <w:fldChar w:fldCharType="begin"/>
      </w:r>
      <w:r>
        <w:rPr>
          <w:rFonts w:hint="default"/>
          <w:sz w:val="21"/>
          <w:lang/>
        </w:rPr>
        <w:instrText xml:space="preserve"> PAGEREF _Toc477939618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"_Toc477939619"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eastAsia="Times New Roman"/>
          <w:sz w:val="21"/>
          <w:lang/>
        </w:rPr>
        <w:tab/>
      </w:r>
      <w:r>
        <w:rPr>
          <w:rFonts w:hint="default"/>
          <w:sz w:val="21"/>
          <w:lang/>
        </w:rPr>
        <w:fldChar w:fldCharType="begin"/>
      </w:r>
      <w:r>
        <w:rPr>
          <w:rFonts w:hint="default"/>
          <w:sz w:val="21"/>
          <w:lang/>
        </w:rPr>
        <w:instrText xml:space="preserve"> PAGEREF _Toc477939619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eastAsia="Times New Roman"/>
          <w:sz w:val="21"/>
          <w:lang/>
        </w:rPr>
        <w:tab/>
      </w:r>
      <w:r>
        <w:rPr>
          <w:rFonts w:hint="default"/>
          <w:sz w:val="21"/>
          <w:lang/>
        </w:rPr>
        <w:fldChar w:fldCharType="begin"/>
      </w:r>
      <w:r>
        <w:rPr>
          <w:rFonts w:hint="default"/>
          <w:sz w:val="21"/>
          <w:lang/>
        </w:rPr>
        <w:instrText xml:space="preserve"> PAGEREF _Toc477939620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eastAsia="Times New Roman"/>
          <w:sz w:val="21"/>
          <w:lang/>
        </w:rPr>
        <w:tab/>
      </w:r>
      <w:r>
        <w:rPr>
          <w:rFonts w:hint="default"/>
          <w:sz w:val="21"/>
          <w:lang/>
        </w:rPr>
        <w:fldChar w:fldCharType="begin"/>
      </w:r>
      <w:r>
        <w:rPr>
          <w:rFonts w:hint="default"/>
          <w:sz w:val="21"/>
          <w:lang/>
        </w:rPr>
        <w:instrText xml:space="preserve"> PAGEREF _Toc477939621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eastAsia="Times New Roman"/>
          <w:sz w:val="21"/>
          <w:lang/>
        </w:rPr>
        <w:tab/>
      </w:r>
      <w:r>
        <w:rPr>
          <w:rFonts w:hint="default"/>
          <w:sz w:val="21"/>
          <w:lang/>
        </w:rPr>
        <w:fldChar w:fldCharType="begin"/>
      </w:r>
      <w:r>
        <w:rPr>
          <w:rFonts w:hint="default"/>
          <w:sz w:val="21"/>
          <w:lang/>
        </w:rPr>
        <w:instrText xml:space="preserve"> PAGEREF _Toc477939622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eastAsia="Times New Roman"/>
          <w:sz w:val="21"/>
          <w:lang/>
        </w:rPr>
        <w:tab/>
      </w:r>
      <w:r>
        <w:rPr>
          <w:rFonts w:hint="default"/>
          <w:sz w:val="21"/>
          <w:lang/>
        </w:rPr>
        <w:fldChar w:fldCharType="begin"/>
      </w:r>
      <w:r>
        <w:rPr>
          <w:rFonts w:hint="default"/>
          <w:sz w:val="21"/>
          <w:lang/>
        </w:rPr>
        <w:instrText xml:space="preserve"> PAGEREF _Toc477939623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eastAsia="Times New Roman"/>
          <w:sz w:val="21"/>
          <w:lang/>
        </w:rPr>
        <w:tab/>
      </w:r>
      <w:r>
        <w:rPr>
          <w:rFonts w:hint="default"/>
          <w:sz w:val="21"/>
          <w:lang/>
        </w:rPr>
        <w:fldChar w:fldCharType="begin"/>
      </w:r>
      <w:r>
        <w:rPr>
          <w:rFonts w:hint="default"/>
          <w:sz w:val="21"/>
          <w:lang/>
        </w:rPr>
        <w:instrText xml:space="preserve"> PAGEREF _Toc477939624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eastAsia="Times New Roman"/>
          <w:sz w:val="21"/>
          <w:lang/>
        </w:rPr>
        <w:tab/>
      </w:r>
      <w:r>
        <w:rPr>
          <w:rFonts w:hint="default"/>
          <w:sz w:val="21"/>
          <w:lang/>
        </w:rPr>
        <w:fldChar w:fldCharType="begin"/>
      </w:r>
      <w:r>
        <w:rPr>
          <w:rFonts w:hint="default"/>
          <w:sz w:val="21"/>
          <w:lang/>
        </w:rPr>
        <w:instrText xml:space="preserve"> PAGEREF _Toc477939625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eastAsia="Times New Roman"/>
          <w:sz w:val="21"/>
          <w:lang/>
        </w:rPr>
        <w:tab/>
      </w:r>
      <w:r>
        <w:rPr>
          <w:rFonts w:hint="default"/>
          <w:sz w:val="21"/>
          <w:lang/>
        </w:rPr>
        <w:fldChar w:fldCharType="begin"/>
      </w:r>
      <w:r>
        <w:rPr>
          <w:rFonts w:hint="default"/>
          <w:sz w:val="21"/>
          <w:lang/>
        </w:rPr>
        <w:instrText xml:space="preserve"> PAGEREF _Toc477939626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eastAsia="Times New Roman"/>
          <w:sz w:val="21"/>
          <w:lang/>
        </w:rPr>
        <w:tab/>
      </w:r>
      <w:r>
        <w:rPr>
          <w:rFonts w:hint="default"/>
          <w:sz w:val="21"/>
          <w:lang/>
        </w:rPr>
        <w:fldChar w:fldCharType="begin"/>
      </w:r>
      <w:r>
        <w:rPr>
          <w:rFonts w:hint="default"/>
          <w:sz w:val="21"/>
          <w:lang/>
        </w:rPr>
        <w:instrText xml:space="preserve"> PAGEREF _Toc477939627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eastAsia="Times New Roman"/>
          <w:sz w:val="21"/>
          <w:lang/>
        </w:rPr>
        <w:tab/>
      </w:r>
      <w:r>
        <w:rPr>
          <w:rFonts w:hint="default"/>
          <w:sz w:val="21"/>
          <w:lang/>
        </w:rPr>
        <w:fldChar w:fldCharType="begin"/>
      </w:r>
      <w:r>
        <w:rPr>
          <w:rFonts w:hint="default"/>
          <w:sz w:val="21"/>
          <w:lang/>
        </w:rPr>
        <w:instrText xml:space="preserve"> PAGEREF _Toc477939628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"_Toc477939629"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eastAsia="Times New Roman"/>
          <w:sz w:val="21"/>
          <w:lang/>
        </w:rPr>
        <w:tab/>
      </w:r>
      <w:r>
        <w:rPr>
          <w:rFonts w:hint="default"/>
          <w:sz w:val="21"/>
          <w:lang/>
        </w:rPr>
        <w:fldChar w:fldCharType="begin"/>
      </w:r>
      <w:r>
        <w:rPr>
          <w:rFonts w:hint="default"/>
          <w:sz w:val="21"/>
          <w:lang/>
        </w:rPr>
        <w:instrText xml:space="preserve"> PAGEREF _Toc477939629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"_Toc477939630"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eastAsia="Times New Roman"/>
          <w:sz w:val="21"/>
          <w:lang/>
        </w:rPr>
        <w:tab/>
      </w:r>
      <w:r>
        <w:rPr>
          <w:rFonts w:hint="default"/>
          <w:sz w:val="21"/>
          <w:lang/>
        </w:rPr>
        <w:fldChar w:fldCharType="begin"/>
      </w:r>
      <w:r>
        <w:rPr>
          <w:rFonts w:hint="default"/>
          <w:sz w:val="21"/>
          <w:lang/>
        </w:rPr>
        <w:instrText xml:space="preserve"> PAGEREF _Toc477939630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"_Toc477939631"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_Toc477939631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"_Toc477939632"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_Toc477939632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"_Toc477939633"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eastAsia="Times New Roman"/>
          <w:sz w:val="21"/>
          <w:lang/>
        </w:rPr>
        <w:tab/>
      </w:r>
      <w:r>
        <w:rPr>
          <w:rFonts w:hint="default"/>
          <w:sz w:val="21"/>
          <w:lang/>
        </w:rPr>
        <w:fldChar w:fldCharType="begin"/>
      </w:r>
      <w:r>
        <w:rPr>
          <w:rFonts w:hint="default"/>
          <w:sz w:val="21"/>
          <w:lang/>
        </w:rPr>
        <w:instrText xml:space="preserve"> PAGEREF _Toc477939633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"_Toc477939634"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eastAsia="Times New Roman"/>
          <w:sz w:val="21"/>
          <w:lang/>
        </w:rPr>
        <w:tab/>
      </w:r>
      <w:r>
        <w:rPr>
          <w:rFonts w:hint="default"/>
          <w:sz w:val="21"/>
          <w:lang/>
        </w:rPr>
        <w:fldChar w:fldCharType="begin"/>
      </w:r>
      <w:r>
        <w:rPr>
          <w:rFonts w:hint="default"/>
          <w:sz w:val="21"/>
          <w:lang/>
        </w:rPr>
        <w:instrText xml:space="preserve"> PAGEREF _Toc477939634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ascii="Times New Roman" w:eastAsia="Times New Roman"/>
          <w:b/>
          <w:color w:val="000000"/>
          <w:kern w:val="0"/>
          <w:sz w:val="24"/>
        </w:rPr>
      </w:pPr>
      <w:r>
        <w:rPr>
          <w:rFonts w:hint="default" w:eastAsia="Times New Roman"/>
          <w:sz w:val="21"/>
          <w:lang/>
        </w:rPr>
        <w:fldChar w:fldCharType="end"/>
      </w:r>
    </w:p>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 w:name="_Toc477939572"/>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 w:name="_Toc477939573"/>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基金简称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基金主代码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基金运作方式</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契约型开放式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招商银行股份有限公司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报告期末基金份额总额</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280,328,286.75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基金合同存续期</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不定期</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 w:name="_Toc477939574"/>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本基金采取恒定比例组合保险策略，通过动态调整资产组合，在确保保本周期内本金安全的前提下，力争实现基金资产的稳定增值。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通过对宏观经济以及债券市场中长期发展趋势的客观判断，合理配置风险收益较优的企业债、公司债，以及可转换债等，加以对国家债券等高流动性品种的投资，灵活运用组合久期调整、收益率曲线调整、信用利差和相对价值等策略。在保证基金流动性的前提下，积极把握投资机会，适当参与权益市场的机会，获取各类债券的超额投资收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（一年期银行定期存款税后收益率</w:t>
            </w:r>
            <w:r>
              <w:rPr>
                <w:rFonts w:hint="default" w:ascii="Times New Roman" w:hAnsi="Times New Roman"/>
                <w:color w:val="000000"/>
                <w:kern w:val="0"/>
                <w:sz w:val="24"/>
              </w:rPr>
              <w:t>+1%</w:t>
            </w:r>
            <w:r>
              <w:rPr>
                <w:rFonts w:hint="eastAsia" w:ascii="Times New Roman" w:hAnsi="Times New Roman"/>
                <w:color w:val="000000"/>
                <w:kern w:val="0"/>
                <w:sz w:val="24"/>
              </w:rPr>
              <w:t>）×</w:t>
            </w:r>
            <w:r>
              <w:rPr>
                <w:rFonts w:hint="default" w:ascii="Times New Roman" w:hAnsi="Times New Roman"/>
                <w:color w:val="000000"/>
                <w:kern w:val="0"/>
                <w:sz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本基金为保本混合型基金，属证券投资基金中的低风险品种，其预期风险与预期收益率低于股票型基金、非保本的混合型基金，高于货币市场基金和债券型基金。</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 w:name="_Toc477939575"/>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444"/>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招商银行股份有限公司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信息披露负责人</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梁绍锋</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张燕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联系电话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0755-83199084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电子邮箱</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yan_zhang@cmbchina.com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客户服务电话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传真</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0755-83195201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深圳市深南大道</w:t>
            </w:r>
            <w:r>
              <w:rPr>
                <w:rFonts w:hint="default" w:ascii="Times New Roman" w:hAnsi="Times New Roman"/>
                <w:color w:val="000000"/>
                <w:kern w:val="0"/>
                <w:sz w:val="24"/>
              </w:rPr>
              <w:t>7088</w:t>
            </w:r>
            <w:r>
              <w:rPr>
                <w:rFonts w:hint="eastAsia" w:ascii="Times New Roman" w:hAnsi="Times New Roman"/>
                <w:color w:val="000000"/>
                <w:kern w:val="0"/>
                <w:sz w:val="24"/>
              </w:rPr>
              <w:t>号招商银行大厦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办公地址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深圳市深南大道</w:t>
            </w:r>
            <w:r>
              <w:rPr>
                <w:rFonts w:hint="default" w:ascii="Times New Roman" w:hAnsi="Times New Roman"/>
                <w:color w:val="000000"/>
                <w:kern w:val="0"/>
                <w:sz w:val="24"/>
              </w:rPr>
              <w:t>7088</w:t>
            </w:r>
            <w:r>
              <w:rPr>
                <w:rFonts w:hint="eastAsia" w:ascii="Times New Roman" w:hAnsi="Times New Roman"/>
                <w:color w:val="000000"/>
                <w:kern w:val="0"/>
                <w:sz w:val="24"/>
              </w:rPr>
              <w:t>号招商银行大厦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邮政编码</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法定代表人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刘学民</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李建红</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7" w:name="_Toc477939576"/>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上海证券报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基金年度报告备置地点</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8" w:name="_Toc477939577"/>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5"/>
        <w:gridCol w:w="3251"/>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注册登记机构</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基金保证人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中国投融资担保有限公司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left"/>
              <w:rPr>
                <w:rFonts w:hint="default" w:ascii="Times New Roman" w:eastAsia="Times New Roman"/>
                <w:color w:val="000000"/>
                <w:kern w:val="0"/>
                <w:sz w:val="23"/>
              </w:rPr>
            </w:pP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9" w:name="_Toc477939578"/>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0" w:name="_Toc477939579"/>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13,924,814.43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3,431,671.14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4,220,124.47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0.0151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7,741,914.78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3,431,671.14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0.0276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288,070,201.53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283,850,077.06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、上述基金业绩指标不包括持有人认购或交易基金的各项费用</w:t>
      </w:r>
      <w:r>
        <w:rPr>
          <w:rFonts w:hint="default" w:ascii="Times New Roman" w:eastAsia="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eastAsia="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、期末可供分配利润是采用期末资产负债表中未分配利润与未分配利润中已实现部分的孰低数。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1" w:name="_Toc477939580"/>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过去一年</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6" o:spt="75" type="#_x0000_t75" style="height:211.1pt;width:441.7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7" o:spt="75" type="#_x0000_t75" style="height:211.1pt;width:439.2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2" w:name="_Toc477939581"/>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bookmarkEnd w:id="1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本基金自基金合同生效日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至本报告期末未发生利润分配。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13" w:name="_Toc477939582"/>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4" w:name="_Toc477939583"/>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4"/>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王一兵</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基金经理、固定收益部总监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王一兵先生，中国国籍，四川大学</w:t>
            </w:r>
            <w:r>
              <w:rPr>
                <w:rFonts w:hint="default" w:ascii="Times New Roman" w:hAnsi="Times New Roman"/>
                <w:color w:val="000000"/>
                <w:kern w:val="0"/>
                <w:sz w:val="24"/>
              </w:rPr>
              <w:t>MBA</w:t>
            </w:r>
            <w:r>
              <w:rPr>
                <w:rFonts w:hint="eastAsia" w:ascii="Times New Roman" w:hAnsi="Times New Roman"/>
                <w:color w:val="000000"/>
                <w:kern w:val="0"/>
                <w:sz w:val="24"/>
              </w:rPr>
              <w:t>。</w:t>
            </w:r>
            <w:r>
              <w:rPr>
                <w:rFonts w:hint="default" w:ascii="Times New Roman" w:hAnsi="Times New Roman"/>
                <w:color w:val="000000"/>
                <w:kern w:val="0"/>
                <w:sz w:val="24"/>
              </w:rPr>
              <w:t>1994</w:t>
            </w:r>
            <w:r>
              <w:rPr>
                <w:rFonts w:hint="eastAsia" w:ascii="Times New Roman" w:hAnsi="Times New Roman"/>
                <w:color w:val="000000"/>
                <w:kern w:val="0"/>
                <w:sz w:val="24"/>
              </w:rPr>
              <w:t>年即进入证券期货行业，作为公司出市代表任海南中商期货交易所红马甲。</w:t>
            </w:r>
            <w:r>
              <w:rPr>
                <w:rFonts w:hint="default" w:ascii="Times New Roman" w:hAnsi="Times New Roman"/>
                <w:color w:val="000000"/>
                <w:kern w:val="0"/>
                <w:sz w:val="24"/>
              </w:rPr>
              <w:t>1997</w:t>
            </w:r>
            <w:r>
              <w:rPr>
                <w:rFonts w:hint="eastAsia" w:ascii="Times New Roman" w:hAnsi="Times New Roman"/>
                <w:color w:val="000000"/>
                <w:kern w:val="0"/>
                <w:sz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张荣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张荣先生，中国国籍，北京大学金融学硕士，权益投资基金经理。投资中注重宏观研究，自上而下，把握行业趋势；</w:t>
            </w:r>
            <w:r>
              <w:rPr>
                <w:rFonts w:hint="default" w:ascii="Times New Roman" w:hAnsi="Times New Roman"/>
                <w:color w:val="000000"/>
                <w:kern w:val="0"/>
                <w:sz w:val="24"/>
              </w:rPr>
              <w:t>2004</w:t>
            </w:r>
            <w:r>
              <w:rPr>
                <w:rFonts w:hint="eastAsia" w:ascii="Times New Roman" w:hAnsi="Times New Roman"/>
                <w:color w:val="000000"/>
                <w:kern w:val="0"/>
                <w:sz w:val="24"/>
              </w:rPr>
              <w:t>年就职于深圳银监局从事银行监管工作，历任多家银行监管员。</w:t>
            </w:r>
            <w:r>
              <w:rPr>
                <w:rFonts w:hint="default" w:ascii="Times New Roman" w:hAnsi="Times New Roman"/>
                <w:color w:val="000000"/>
                <w:kern w:val="0"/>
                <w:sz w:val="24"/>
              </w:rPr>
              <w:t>2010</w:t>
            </w:r>
            <w:r>
              <w:rPr>
                <w:rFonts w:hint="eastAsia" w:ascii="Times New Roman" w:hAnsi="Times New Roman"/>
                <w:color w:val="000000"/>
                <w:kern w:val="0"/>
                <w:sz w:val="24"/>
              </w:rPr>
              <w:t>年加入第一创业证券资产管理部，历任金融行业研究主管、投资主办等职务。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月加入创金合信基金管理有限公司担任高级研究员</w:t>
            </w:r>
            <w:r>
              <w:rPr>
                <w:rFonts w:hint="default" w:ascii="Times New Roman" w:eastAsia="Times New Roman"/>
                <w:color w:val="000000"/>
                <w:kern w:val="0"/>
                <w:sz w:val="24"/>
              </w:rPr>
              <w:t>,</w:t>
            </w:r>
            <w:r>
              <w:rPr>
                <w:rFonts w:hint="eastAsia" w:ascii="Times New Roman" w:hAnsi="Times New Roman"/>
                <w:color w:val="000000"/>
                <w:kern w:val="0"/>
                <w:sz w:val="24"/>
              </w:rPr>
              <w:t>现任基金经理。</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5" w:name="_Toc477939584"/>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聚财保本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6" w:name="_Toc477939585"/>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7" w:name="_Toc477939586"/>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管理人对报告期内基金的投资策略和业绩表现的说明</w:t>
      </w:r>
      <w:bookmarkEnd w:id="1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年成为</w:t>
      </w:r>
      <w:r>
        <w:rPr>
          <w:rFonts w:hint="default" w:ascii="Times New Roman" w:hAnsi="Times New Roman"/>
          <w:color w:val="000000"/>
          <w:kern w:val="0"/>
          <w:sz w:val="24"/>
        </w:rPr>
        <w:t>2014</w:t>
      </w:r>
      <w:r>
        <w:rPr>
          <w:rFonts w:hint="eastAsia" w:ascii="Times New Roman" w:hAnsi="Times New Roman"/>
          <w:color w:val="000000"/>
          <w:kern w:val="0"/>
          <w:sz w:val="24"/>
        </w:rPr>
        <w:t>年以来债牛的末期，并在年底开始扭转走熊。主要变化因素在于：第一，</w:t>
      </w:r>
      <w:r>
        <w:rPr>
          <w:rFonts w:hint="default" w:ascii="Times New Roman" w:hAnsi="Times New Roman"/>
          <w:color w:val="000000"/>
          <w:kern w:val="0"/>
          <w:sz w:val="24"/>
        </w:rPr>
        <w:t>2016</w:t>
      </w:r>
      <w:r>
        <w:rPr>
          <w:rFonts w:hint="eastAsia" w:ascii="Times New Roman" w:hAnsi="Times New Roman"/>
          <w:color w:val="000000"/>
          <w:kern w:val="0"/>
          <w:sz w:val="24"/>
        </w:rPr>
        <w:t>年经济整体走平，步入</w:t>
      </w:r>
      <w:r>
        <w:rPr>
          <w:rFonts w:hint="default" w:ascii="Times New Roman" w:hAnsi="Times New Roman"/>
          <w:color w:val="000000"/>
          <w:kern w:val="0"/>
          <w:sz w:val="24"/>
        </w:rPr>
        <w:t>L</w:t>
      </w:r>
      <w:r>
        <w:rPr>
          <w:rFonts w:hint="eastAsia" w:ascii="Times New Roman" w:hAnsi="Times New Roman"/>
          <w:color w:val="000000"/>
          <w:kern w:val="0"/>
          <w:sz w:val="24"/>
        </w:rPr>
        <w:t>型的底部阶段，而同时大宗商品价格暴涨、以房价为首的资产价格暴涨；第二，</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hint="default" w:ascii="Times New Roman" w:hAnsi="Times New Roman"/>
          <w:color w:val="000000"/>
          <w:kern w:val="0"/>
          <w:sz w:val="24"/>
        </w:rPr>
        <w:t>MPA</w:t>
      </w:r>
      <w:r>
        <w:rPr>
          <w:rFonts w:hint="eastAsia" w:ascii="Times New Roman" w:hAnsi="Times New Roman"/>
          <w:color w:val="000000"/>
          <w:kern w:val="0"/>
          <w:sz w:val="24"/>
        </w:rPr>
        <w:t>考核等宏观审慎措施。在上述因素变化下，同时叠加了流动性危机，年底债市收益率大幅上行，幅度普遍在</w:t>
      </w:r>
      <w:r>
        <w:rPr>
          <w:rFonts w:hint="default" w:ascii="Times New Roman" w:hAnsi="Times New Roman"/>
          <w:color w:val="000000"/>
          <w:kern w:val="0"/>
          <w:sz w:val="24"/>
        </w:rPr>
        <w:t>100-150bp</w:t>
      </w:r>
      <w:r>
        <w:rPr>
          <w:rFonts w:hint="eastAsia" w:ascii="Times New Roman" w:hAnsi="Times New Roman"/>
          <w:color w:val="000000"/>
          <w:kern w:val="0"/>
          <w:sz w:val="24"/>
        </w:rPr>
        <w:t>。在债券市场极度紧张时期，央行及时释放流动性，守住系统性风险不发生的底线。</w:t>
      </w:r>
      <w:r>
        <w:rPr>
          <w:rFonts w:hint="default" w:ascii="Times New Roman" w:hAnsi="Times New Roman"/>
          <w:color w:val="000000"/>
          <w:kern w:val="0"/>
          <w:sz w:val="24"/>
        </w:rPr>
        <w:t>2016</w:t>
      </w:r>
      <w:r>
        <w:rPr>
          <w:rFonts w:hint="eastAsia" w:ascii="Times New Roman" w:hAnsi="Times New Roman"/>
          <w:color w:val="000000"/>
          <w:kern w:val="0"/>
          <w:sz w:val="24"/>
        </w:rPr>
        <w:t>年本基金采取稳健投资策略，在防范风险的同时为投资者赚取更好的收益。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年本基金净值增长率为</w:t>
      </w:r>
      <w:r>
        <w:rPr>
          <w:rFonts w:hint="default" w:ascii="Times New Roman" w:hAnsi="Times New Roman"/>
          <w:color w:val="000000"/>
          <w:kern w:val="0"/>
          <w:sz w:val="24"/>
        </w:rPr>
        <w:t>1.48%</w:t>
      </w:r>
      <w:r>
        <w:rPr>
          <w:rFonts w:hint="eastAsia" w:ascii="Times New Roman" w:hAnsi="Times New Roman"/>
          <w:color w:val="000000"/>
          <w:kern w:val="0"/>
          <w:sz w:val="24"/>
        </w:rPr>
        <w:t>，同期业绩比较基准增长率为</w:t>
      </w:r>
      <w:r>
        <w:rPr>
          <w:rFonts w:hint="default" w:ascii="Times New Roman" w:hAnsi="Times New Roman"/>
          <w:color w:val="000000"/>
          <w:kern w:val="0"/>
          <w:sz w:val="24"/>
        </w:rPr>
        <w:t>3.75%</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8" w:name="_Toc477939587"/>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hint="default" w:ascii="Times New Roman" w:hAnsi="Times New Roman"/>
          <w:color w:val="000000"/>
          <w:kern w:val="0"/>
          <w:sz w:val="24"/>
        </w:rPr>
        <w:t>MPA</w:t>
      </w:r>
      <w:r>
        <w:rPr>
          <w:rFonts w:hint="eastAsia" w:ascii="Times New Roman" w:hAnsi="Times New Roman"/>
          <w:color w:val="000000"/>
          <w:kern w:val="0"/>
          <w:sz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9" w:name="_Toc477939588"/>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0" w:name="_Toc477939589"/>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2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1" w:name="_Toc477939590"/>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本报告期内，本基金未进行利润分配，符合合同约定。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2" w:name="_Toc477939591"/>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2"/>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3" w:name="_Toc477939592"/>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托管人声明，在本报告期内，基金托管人</w:t>
      </w:r>
      <w:r>
        <w:rPr>
          <w:rFonts w:hint="default" w:ascii="Times New Roman" w:eastAsia="Times New Roman"/>
          <w:color w:val="000000"/>
          <w:kern w:val="0"/>
          <w:sz w:val="24"/>
        </w:rPr>
        <w:t>-</w:t>
      </w:r>
      <w:r>
        <w:rPr>
          <w:rFonts w:hint="eastAsia" w:ascii="Times New Roman" w:hAnsi="Times New Roman"/>
          <w:color w:val="000000"/>
          <w:kern w:val="0"/>
          <w:sz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4" w:name="_Toc477939593"/>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5" w:name="_Toc477939594"/>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本年度报告中财务指标、净值表现、财务会计报告、利润分配、投资组合报告等内容真实、准确和完整</w:t>
      </w:r>
      <w:r>
        <w:rPr>
          <w:rFonts w:hint="default" w:ascii="Times New Roman" w:eastAsia="Times New Roman"/>
          <w:color w:val="000000"/>
          <w:kern w:val="0"/>
          <w:sz w:val="24"/>
        </w:rPr>
        <w:t>,</w:t>
      </w:r>
      <w:r>
        <w:rPr>
          <w:rFonts w:hint="eastAsia" w:ascii="Times New Roman" w:hAnsi="Times New Roman"/>
          <w:color w:val="000000"/>
          <w:kern w:val="0"/>
          <w:sz w:val="24"/>
        </w:rPr>
        <w:t>不存在虚假记载、误导性陈述或者重大遗漏。</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6" w:name="_Toc477939595"/>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7" w:name="_Toc477939596"/>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普华永道中天审字</w:t>
            </w:r>
            <w:r>
              <w:rPr>
                <w:rFonts w:hint="default" w:ascii="Times New Roman" w:hAnsi="Times New Roman"/>
                <w:color w:val="000000"/>
                <w:kern w:val="0"/>
                <w:sz w:val="24"/>
              </w:rPr>
              <w:t>(2017)</w:t>
            </w:r>
            <w:r>
              <w:rPr>
                <w:rFonts w:hint="eastAsia" w:ascii="Times New Roman" w:hAnsi="Times New Roman"/>
                <w:color w:val="000000"/>
                <w:kern w:val="0"/>
                <w:sz w:val="24"/>
              </w:rPr>
              <w:t>第</w:t>
            </w:r>
            <w:r>
              <w:rPr>
                <w:rFonts w:hint="default" w:ascii="Times New Roman" w:hAnsi="Times New Roman"/>
                <w:color w:val="000000"/>
                <w:kern w:val="0"/>
                <w:sz w:val="24"/>
              </w:rPr>
              <w:t xml:space="preserve">  22090</w:t>
            </w:r>
            <w:r>
              <w:rPr>
                <w:rFonts w:hint="eastAsia" w:ascii="Times New Roman" w:hAnsi="Times New Roman"/>
                <w:color w:val="000000"/>
                <w:kern w:val="0"/>
                <w:sz w:val="24"/>
              </w:rPr>
              <w:t>号</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8" w:name="_Toc477939597"/>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我们审计了后附的创金合信聚财保本混合型证券投资基金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创金合信聚财保本混合基金</w:t>
            </w:r>
            <w:r>
              <w:rPr>
                <w:rFonts w:hint="default" w:ascii="Times New Roman" w:hAnsi="Times New Roman"/>
                <w:color w:val="000000"/>
                <w:kern w:val="0"/>
                <w:sz w:val="24"/>
              </w:rPr>
              <w:t>")</w:t>
            </w:r>
            <w:r>
              <w:rPr>
                <w:rFonts w:hint="eastAsia" w:ascii="Times New Roman" w:hAnsi="Times New Roman"/>
                <w:color w:val="000000"/>
                <w:kern w:val="0"/>
                <w:sz w:val="24"/>
              </w:rPr>
              <w:t>的财务报表，包括</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hAnsi="Times New Roman"/>
                <w:color w:val="000000"/>
                <w:kern w:val="0"/>
                <w:sz w:val="24"/>
              </w:rPr>
              <w:t>2016</w:t>
            </w:r>
            <w:r>
              <w:rPr>
                <w:rFonts w:hint="eastAsia" w:ascii="Times New Roman" w:hAnsi="Times New Roman"/>
                <w:color w:val="000000"/>
                <w:kern w:val="0"/>
                <w:sz w:val="24"/>
              </w:rPr>
              <w:t>年度和</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 xml:space="preserve">) </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日止期间的利润表和所有者权益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编制和公允列报财务报表是创金合信聚财保本混合基金的基金管理人创金合信基金管理有限公司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管理层的责任。这种责任包括：</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按照企业会计准则和中国证券监督管理委员会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发布的有关规定及允许的基金行业实务操作编制财务报表，并使其实现公允反映；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认为，上述创金合信聚财保本混合基金的财务报表在所有重大方面按照企业会计准则和在财务报表附注中所列示的中国证监会、中国基金业协会发布的有关规定及允许的基金行业实务操作编制，公允反映了创金合信聚财保本混合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年度和</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 xml:space="preserve">) </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注册会计师的姓名</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曹翠丽、边晓红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9" w:name="_Toc477939598"/>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9"/>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0" w:name="_Toc477939599"/>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30"/>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会计主体：创金合信聚财保本混合型证券投资基金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1083"/>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14,266,891.38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14,710,455.21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1,223,471.50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2,117,387.46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31,190.22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288,421,075.36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451,209,884.50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21,807,362.00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227,856,049.20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429,402,522.50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24,976,126.58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4,665,241.20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7,275,625.64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308,607,869.66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500,311,656.72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19,000,000.00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210,999,755.00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1,010,088.42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5,144,723.77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196,257.66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190,844.70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61,330.52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59,638.97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24,532.23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23,855.59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64,861.63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597.67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11,658.27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180,000.00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20,537,668.13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216,461,579.66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7,741,914.78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288,070,201.53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283,850,077.06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308,607,869.66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500,311,656.72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日，基金份额净值</w:t>
      </w:r>
      <w:r>
        <w:rPr>
          <w:rFonts w:hint="default" w:ascii="Times New Roman" w:hAnsi="Times New Roman"/>
          <w:color w:val="000000"/>
          <w:kern w:val="0"/>
          <w:sz w:val="21"/>
        </w:rPr>
        <w:t>1.028</w:t>
      </w:r>
      <w:r>
        <w:rPr>
          <w:rFonts w:hint="eastAsia" w:ascii="Times New Roman" w:hAnsi="Times New Roman"/>
          <w:color w:val="000000"/>
          <w:kern w:val="0"/>
          <w:sz w:val="21"/>
        </w:rPr>
        <w:t>元，基金份额总额</w:t>
      </w:r>
      <w:r>
        <w:rPr>
          <w:rFonts w:hint="default" w:ascii="Times New Roman" w:hAnsi="Times New Roman"/>
          <w:color w:val="000000"/>
          <w:kern w:val="0"/>
          <w:sz w:val="21"/>
        </w:rPr>
        <w:t>280,328,286.75</w:t>
      </w:r>
      <w:r>
        <w:rPr>
          <w:rFonts w:hint="eastAsia" w:ascii="Times New Roman" w:hAnsi="Times New Roman"/>
          <w:color w:val="000000"/>
          <w:kern w:val="0"/>
          <w:sz w:val="21"/>
        </w:rPr>
        <w:t>份。</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本财务报表的实际编制期间为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1</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日和</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11</w:t>
      </w:r>
      <w:r>
        <w:rPr>
          <w:rFonts w:hint="eastAsia" w:ascii="Times New Roman" w:hAnsi="Times New Roman"/>
          <w:color w:val="000000"/>
          <w:kern w:val="0"/>
          <w:sz w:val="21"/>
        </w:rPr>
        <w:t>月</w:t>
      </w:r>
      <w:r>
        <w:rPr>
          <w:rFonts w:hint="default" w:ascii="Times New Roman" w:hAnsi="Times New Roman"/>
          <w:color w:val="000000"/>
          <w:kern w:val="0"/>
          <w:sz w:val="21"/>
        </w:rPr>
        <w:t>16</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日止期间。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1" w:name="_Toc477939600"/>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会计主体：创金合信聚财保本混合型证券投资基金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083"/>
        <w:gridCol w:w="2168"/>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10,428,084.11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4,376,420.66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14,047,318.02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1,610,444.74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216,620.52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37,064.25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13,829,233.33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1,520,380.36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1,464.17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eastAsia="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6,085,456.05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2,675,856.75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4,720,868.96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941,366.21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1,228,350.33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1,734,490.54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136,236.76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-9,704,689.96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90,119.17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6,207,959.64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854,630.35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2,295,636.92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276,739.10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717,386.56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86,480.99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286,954.62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34,592.40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181,451.56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43,956.75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2,494,411.88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412,056.11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2,494,411.88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412,056.11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232,118.10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4,220,124.47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四、净利润（净亏损以“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4,220,124.47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2" w:name="_Toc477939601"/>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会计主体：创金合信聚财保本混合型证券投资基金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806"/>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283,850,077.06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4,220,124.47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4,220,124.47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7,741,914.78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288,070,201.53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283,850,077.06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3" w:name="_Toc477939602"/>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3"/>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本基金</w:t>
      </w:r>
      <w:r>
        <w:rPr>
          <w:rFonts w:hint="default" w:ascii="Times New Roman" w:hAnsi="Times New Roman"/>
          <w:color w:val="000000"/>
          <w:kern w:val="0"/>
          <w:sz w:val="24"/>
        </w:rPr>
        <w:t>")</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证监许可</w:t>
      </w:r>
      <w:r>
        <w:rPr>
          <w:rFonts w:hint="default" w:ascii="Times New Roman" w:hAnsi="Times New Roman"/>
          <w:color w:val="000000"/>
          <w:kern w:val="0"/>
          <w:sz w:val="24"/>
        </w:rPr>
        <w:t>[2015]2430</w:t>
      </w:r>
      <w:r>
        <w:rPr>
          <w:rFonts w:hint="eastAsia" w:ascii="Times New Roman" w:hAnsi="Times New Roman"/>
          <w:color w:val="000000"/>
          <w:kern w:val="0"/>
          <w:sz w:val="24"/>
        </w:rPr>
        <w:t>号《关于准予创金合信聚财保本混合型证券投资基金注册的批复》核准，由创金合信基金管理有限公司依照《中华人民共和国证券投资基金法》和《创金合信聚财保本混合型证券投资基金基金合同》负责公开募集。本基金为契约型开放式，存续期限不定，首次设立募集不包括认购资金利息共募集人民币</w:t>
      </w:r>
      <w:r>
        <w:rPr>
          <w:rFonts w:hint="default" w:ascii="Times New Roman" w:hAnsi="Times New Roman"/>
          <w:color w:val="000000"/>
          <w:kern w:val="0"/>
          <w:sz w:val="24"/>
        </w:rPr>
        <w:t>280,266,800.00</w:t>
      </w:r>
      <w:r>
        <w:rPr>
          <w:rFonts w:hint="eastAsia" w:ascii="Times New Roman" w:hAnsi="Times New Roman"/>
          <w:color w:val="000000"/>
          <w:kern w:val="0"/>
          <w:sz w:val="24"/>
        </w:rPr>
        <w:t>元，业经普华永道中天会计师事务所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普华永道中天验字</w:t>
      </w:r>
      <w:r>
        <w:rPr>
          <w:rFonts w:hint="default" w:ascii="Times New Roman" w:hAnsi="Times New Roman"/>
          <w:color w:val="000000"/>
          <w:kern w:val="0"/>
          <w:sz w:val="24"/>
        </w:rPr>
        <w:t>(2015)</w:t>
      </w:r>
      <w:r>
        <w:rPr>
          <w:rFonts w:hint="eastAsia" w:ascii="Times New Roman" w:hAnsi="Times New Roman"/>
          <w:color w:val="000000"/>
          <w:kern w:val="0"/>
          <w:sz w:val="24"/>
        </w:rPr>
        <w:t>第</w:t>
      </w:r>
      <w:r>
        <w:rPr>
          <w:rFonts w:hint="default" w:ascii="Times New Roman" w:hAnsi="Times New Roman"/>
          <w:color w:val="000000"/>
          <w:kern w:val="0"/>
          <w:sz w:val="24"/>
        </w:rPr>
        <w:t>1267</w:t>
      </w:r>
      <w:r>
        <w:rPr>
          <w:rFonts w:hint="eastAsia" w:ascii="Times New Roman" w:hAnsi="Times New Roman"/>
          <w:color w:val="000000"/>
          <w:kern w:val="0"/>
          <w:sz w:val="24"/>
        </w:rPr>
        <w:t>号验资报告予以验证。经向中国证监会备案，《创金合信聚财保本混合型证券投资基金基金合同》于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日正式生效，基金合同生效日的基金份额总额为</w:t>
      </w:r>
      <w:r>
        <w:rPr>
          <w:rFonts w:hint="default" w:ascii="Times New Roman" w:hAnsi="Times New Roman"/>
          <w:color w:val="000000"/>
          <w:kern w:val="0"/>
          <w:sz w:val="24"/>
        </w:rPr>
        <w:t>280,328,286.75</w:t>
      </w:r>
      <w:r>
        <w:rPr>
          <w:rFonts w:hint="eastAsia" w:ascii="Times New Roman" w:hAnsi="Times New Roman"/>
          <w:color w:val="000000"/>
          <w:kern w:val="0"/>
          <w:sz w:val="24"/>
        </w:rPr>
        <w:t>份基金份额，其中认购资金利息折合</w:t>
      </w:r>
      <w:r>
        <w:rPr>
          <w:rFonts w:hint="default" w:ascii="Times New Roman" w:hAnsi="Times New Roman"/>
          <w:color w:val="000000"/>
          <w:kern w:val="0"/>
          <w:sz w:val="24"/>
        </w:rPr>
        <w:t>61,486.75</w:t>
      </w:r>
      <w:r>
        <w:rPr>
          <w:rFonts w:hint="eastAsia" w:ascii="Times New Roman" w:hAnsi="Times New Roman"/>
          <w:color w:val="000000"/>
          <w:kern w:val="0"/>
          <w:sz w:val="24"/>
        </w:rPr>
        <w:t>份基金份额。本基金的基金管理人为创金合信基金管理有限公司，基金托管人为招商银行股份有限公司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招商银行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根据《中华人民共和国证券投资基金法》和《创金合信聚财保本混合型证券投资基金基金合同》的有关规定，本基金的投资范围为具有良好流动性的金融工具，包括包括国内依法发行上市的股票</w:t>
      </w:r>
      <w:r>
        <w:rPr>
          <w:rFonts w:hint="default" w:ascii="Times New Roman" w:hAnsi="Times New Roman"/>
          <w:color w:val="000000"/>
          <w:kern w:val="0"/>
          <w:sz w:val="24"/>
        </w:rPr>
        <w:t>(</w:t>
      </w:r>
      <w:r>
        <w:rPr>
          <w:rFonts w:hint="eastAsia" w:ascii="Times New Roman" w:hAnsi="Times New Roman"/>
          <w:color w:val="000000"/>
          <w:kern w:val="0"/>
          <w:sz w:val="24"/>
        </w:rPr>
        <w:t>包括中小板、创业板及其他经中国证监会核准上市的股票）、权证、股指期货、债券、中期票据、中小企业私募债券、资产支持证券、货币市场工具、债券回购、银行存款以及法律法规或中国证监会允许基金投资的其他金融工具</w:t>
      </w:r>
      <w:r>
        <w:rPr>
          <w:rFonts w:hint="default" w:ascii="Times New Roman" w:hAnsi="Times New Roman"/>
          <w:color w:val="000000"/>
          <w:kern w:val="0"/>
          <w:sz w:val="24"/>
        </w:rPr>
        <w:t>(</w:t>
      </w:r>
      <w:r>
        <w:rPr>
          <w:rFonts w:hint="eastAsia" w:ascii="Times New Roman" w:hAnsi="Times New Roman"/>
          <w:color w:val="000000"/>
          <w:kern w:val="0"/>
          <w:sz w:val="24"/>
        </w:rPr>
        <w:t>但须符合中国证监会相关规定</w:t>
      </w:r>
      <w:r>
        <w:rPr>
          <w:rFonts w:hint="default" w:ascii="Times New Roman" w:hAnsi="Times New Roman"/>
          <w:color w:val="000000"/>
          <w:kern w:val="0"/>
          <w:sz w:val="24"/>
        </w:rPr>
        <w:t>)</w:t>
      </w:r>
      <w:r>
        <w:rPr>
          <w:rFonts w:hint="eastAsia" w:ascii="Times New Roman" w:hAnsi="Times New Roman"/>
          <w:color w:val="000000"/>
          <w:kern w:val="0"/>
          <w:sz w:val="24"/>
        </w:rPr>
        <w:t>。本基金的业绩比较基准为：</w:t>
      </w:r>
      <w:r>
        <w:rPr>
          <w:rFonts w:hint="default" w:ascii="Times New Roman" w:hAnsi="Times New Roman"/>
          <w:color w:val="000000"/>
          <w:kern w:val="0"/>
          <w:sz w:val="24"/>
        </w:rPr>
        <w:t>(</w:t>
      </w:r>
      <w:r>
        <w:rPr>
          <w:rFonts w:hint="eastAsia" w:ascii="Times New Roman" w:hAnsi="Times New Roman"/>
          <w:color w:val="000000"/>
          <w:kern w:val="0"/>
          <w:sz w:val="24"/>
        </w:rPr>
        <w:t>一年期银行定期存款税后收益率</w:t>
      </w:r>
      <w:r>
        <w:rPr>
          <w:rFonts w:hint="default" w:ascii="Times New Roman" w:hAnsi="Times New Roman"/>
          <w:color w:val="000000"/>
          <w:kern w:val="0"/>
          <w:sz w:val="24"/>
        </w:rPr>
        <w:t>+1%)</w:t>
      </w:r>
      <w:r>
        <w:rPr>
          <w:rFonts w:hint="eastAsia" w:ascii="Times New Roman" w:hAnsi="Times New Roman"/>
          <w:color w:val="000000"/>
          <w:kern w:val="0"/>
          <w:sz w:val="24"/>
        </w:rPr>
        <w:t>×</w:t>
      </w:r>
      <w:r>
        <w:rPr>
          <w:rFonts w:hint="default" w:ascii="Times New Roman" w:hAnsi="Times New Roman"/>
          <w:color w:val="000000"/>
          <w:kern w:val="0"/>
          <w:sz w:val="24"/>
        </w:rPr>
        <w:t>1.5</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本基金的财务报表按照财政部于</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2</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日及以后期间颁布的《企业会计准则－基本准则》、各项具体会计准则及相关规定</w:t>
      </w:r>
      <w:r>
        <w:rPr>
          <w:rFonts w:hint="default" w:ascii="Times New Roman" w:hAnsi="Times New Roman"/>
          <w:color w:val="000000"/>
          <w:kern w:val="0"/>
          <w:sz w:val="24"/>
        </w:rPr>
        <w:t>(</w:t>
      </w:r>
      <w:r>
        <w:rPr>
          <w:rFonts w:hint="eastAsia" w:ascii="Times New Roman" w:hAnsi="Times New Roman"/>
          <w:color w:val="000000"/>
          <w:kern w:val="0"/>
          <w:sz w:val="24"/>
        </w:rPr>
        <w:t>以下合称</w:t>
      </w:r>
      <w:r>
        <w:rPr>
          <w:rFonts w:hint="default" w:ascii="Times New Roman" w:hAnsi="Times New Roman"/>
          <w:color w:val="000000"/>
          <w:kern w:val="0"/>
          <w:sz w:val="24"/>
        </w:rPr>
        <w:t>"</w:t>
      </w:r>
      <w:r>
        <w:rPr>
          <w:rFonts w:hint="eastAsia" w:ascii="Times New Roman" w:hAnsi="Times New Roman"/>
          <w:color w:val="000000"/>
          <w:kern w:val="0"/>
          <w:sz w:val="24"/>
        </w:rPr>
        <w:t>企业会计准则</w:t>
      </w:r>
      <w:r>
        <w:rPr>
          <w:rFonts w:hint="default" w:ascii="Times New Roman" w:hAnsi="Times New Roman"/>
          <w:color w:val="000000"/>
          <w:kern w:val="0"/>
          <w:sz w:val="24"/>
        </w:rPr>
        <w:t>")</w:t>
      </w:r>
      <w:r>
        <w:rPr>
          <w:rFonts w:hint="eastAsia" w:ascii="Times New Roman" w:hAnsi="Times New Roman"/>
          <w:color w:val="000000"/>
          <w:kern w:val="0"/>
          <w:sz w:val="24"/>
        </w:rPr>
        <w:t>、中国证监会颁布的《证券投资基金信息披露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颁布的《证券投资基金会计核算业务指引》、《创金合信聚财保本混合型证券投资基金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基金合同》和在财务报表附注</w:t>
      </w:r>
      <w:r>
        <w:rPr>
          <w:rFonts w:hint="default" w:ascii="Times New Roman" w:hAnsi="Times New Roman"/>
          <w:color w:val="000000"/>
          <w:kern w:val="0"/>
          <w:sz w:val="24"/>
        </w:rPr>
        <w:t>7.4.4</w:t>
      </w:r>
      <w:r>
        <w:rPr>
          <w:rFonts w:hint="eastAsia" w:ascii="Times New Roman" w:hAnsi="Times New Roman"/>
          <w:color w:val="000000"/>
          <w:kern w:val="0"/>
          <w:sz w:val="24"/>
        </w:rPr>
        <w:t>所列示的中国证监会、中国基金业协会发布的有关规定及允许的基金行业实务操作编制。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w:t>
      </w:r>
      <w:r>
        <w:rPr>
          <w:rFonts w:hint="default" w:ascii="Times New Roman" w:hAnsi="Times New Roman"/>
          <w:color w:val="000000"/>
          <w:kern w:val="0"/>
          <w:sz w:val="24"/>
        </w:rPr>
        <w:t>2016</w:t>
      </w:r>
      <w:r>
        <w:rPr>
          <w:rFonts w:hint="eastAsia" w:ascii="Times New Roman" w:hAnsi="Times New Roman"/>
          <w:color w:val="000000"/>
          <w:kern w:val="0"/>
          <w:sz w:val="24"/>
        </w:rPr>
        <w:t>年度和</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日止期间财务报表符合企业会计准则的要求，真实、完整地反映了本基金</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年度和</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日止期间的经营成果和基金净值变动情况等有关信息。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本基金会计年度为公历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日止。本财务报表的实际编制期间为</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日和</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w:t>
      </w:r>
      <w:r>
        <w:rPr>
          <w:rFonts w:hint="default" w:ascii="Times New Roman" w:hAnsi="Times New Roman"/>
          <w:color w:val="000000"/>
          <w:kern w:val="0"/>
          <w:sz w:val="24"/>
        </w:rPr>
        <w:t xml:space="preserve"> </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本基金的记账本位币为人民币。</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金融资产的分类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本基金目前以交易目的持有的股票投资、债券投资和衍生工具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金融资产满足下列条件之一的，予以终止确认：</w:t>
      </w:r>
      <w:r>
        <w:rPr>
          <w:rFonts w:hint="default" w:ascii="Times New Roman" w:hAnsi="Times New Roman"/>
          <w:color w:val="000000"/>
          <w:kern w:val="0"/>
          <w:sz w:val="24"/>
        </w:rPr>
        <w:t>(1)</w:t>
      </w:r>
      <w:r>
        <w:rPr>
          <w:rFonts w:hint="eastAsia" w:ascii="Times New Roman" w:hAnsi="Times New Roman"/>
          <w:color w:val="000000"/>
          <w:kern w:val="0"/>
          <w:sz w:val="24"/>
        </w:rPr>
        <w:t>收取该金融资产现金流量的合同权利终止；</w:t>
      </w:r>
      <w:r>
        <w:rPr>
          <w:rFonts w:hint="default" w:ascii="Times New Roman" w:hAnsi="Times New Roman"/>
          <w:color w:val="000000"/>
          <w:kern w:val="0"/>
          <w:sz w:val="24"/>
        </w:rPr>
        <w:t>(2)</w:t>
      </w:r>
      <w:r>
        <w:rPr>
          <w:rFonts w:hint="eastAsia" w:ascii="Times New Roman" w:hAnsi="Times New Roman"/>
          <w:color w:val="000000"/>
          <w:kern w:val="0"/>
          <w:sz w:val="24"/>
        </w:rPr>
        <w:t>该金融资产已转移，且本基金将金融资产所有权上几乎所有的风险和报酬转移给转入方；或者</w:t>
      </w:r>
      <w:r>
        <w:rPr>
          <w:rFonts w:hint="default" w:ascii="Times New Roman" w:hAnsi="Times New Roman"/>
          <w:color w:val="000000"/>
          <w:kern w:val="0"/>
          <w:sz w:val="24"/>
        </w:rPr>
        <w:t>(3)</w:t>
      </w:r>
      <w:r>
        <w:rPr>
          <w:rFonts w:hint="eastAsia" w:ascii="Times New Roman" w:hAnsi="Times New Roman"/>
          <w:color w:val="000000"/>
          <w:kern w:val="0"/>
          <w:sz w:val="24"/>
        </w:rPr>
        <w:t>该金融资产已转移，虽然本基金既没有转移也没有保留金融资产所有权上几乎所有的风险和报酬，但是放弃了对该金融资产控制。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金融资产终止确认时，其账面价值与收到的对价的差额，计入当期损益。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按如下原则确定公允价值并进行估值：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本基金持有的资产和承担的负债基本为金融资产和金融负债。当本基金</w:t>
      </w:r>
      <w:r>
        <w:rPr>
          <w:rFonts w:hint="default" w:ascii="Times New Roman" w:hAnsi="Times New Roman"/>
          <w:color w:val="000000"/>
          <w:kern w:val="0"/>
          <w:sz w:val="24"/>
        </w:rPr>
        <w:t>1)</w:t>
      </w:r>
      <w:r>
        <w:rPr>
          <w:rFonts w:hint="eastAsia" w:ascii="Times New Roman" w:hAnsi="Times New Roman"/>
          <w:color w:val="000000"/>
          <w:kern w:val="0"/>
          <w:sz w:val="24"/>
        </w:rPr>
        <w:t>具有抵销已确认金额的法定权利且该种法定权利现在是可执行的；且</w:t>
      </w:r>
      <w:r>
        <w:rPr>
          <w:rFonts w:hint="default" w:ascii="Times New Roman" w:hAnsi="Times New Roman"/>
          <w:color w:val="000000"/>
          <w:kern w:val="0"/>
          <w:sz w:val="24"/>
        </w:rPr>
        <w:t>2)</w:t>
      </w:r>
      <w:r>
        <w:rPr>
          <w:rFonts w:hint="eastAsia" w:ascii="Times New Roman" w:hAnsi="Times New Roman"/>
          <w:color w:val="000000"/>
          <w:kern w:val="0"/>
          <w:sz w:val="24"/>
        </w:rPr>
        <w:t>交易双方准备按净额结算时，金融资产与金融负债按抵销后的净额在资产负债表中列示。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hint="default" w:ascii="Times New Roman" w:hAnsi="Times New Roman"/>
          <w:color w:val="000000"/>
          <w:kern w:val="0"/>
          <w:sz w:val="24"/>
        </w:rPr>
        <w:t>/(</w:t>
      </w:r>
      <w:r>
        <w:rPr>
          <w:rFonts w:hint="eastAsia" w:ascii="Times New Roman" w:hAnsi="Times New Roman"/>
          <w:color w:val="000000"/>
          <w:kern w:val="0"/>
          <w:sz w:val="24"/>
        </w:rPr>
        <w:t>累计亏损</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应收款项在持有期间确认的利息收入按实际利率法计算，实际利率法与直线法差异较小的则按直线法计算。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本基金的管理人报酬、托管费和销售服务费在费用涵盖期间按基金合同约定的费率和计算方法逐日确认。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其他金融负债在持有期间确认的利息支出按实际利率法计算，实际利率法与直线法差异较小的则按直线法计算。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本基金的收益分配政策为：</w:t>
      </w:r>
      <w:r>
        <w:rPr>
          <w:rFonts w:hint="default" w:ascii="Times New Roman" w:hAnsi="Times New Roman"/>
          <w:color w:val="000000"/>
          <w:kern w:val="0"/>
          <w:sz w:val="24"/>
        </w:rPr>
        <w:t>(1)</w:t>
      </w:r>
      <w:r>
        <w:rPr>
          <w:rFonts w:hint="eastAsia" w:ascii="Times New Roman" w:hAnsi="Times New Roman"/>
          <w:color w:val="000000"/>
          <w:kern w:val="0"/>
          <w:sz w:val="24"/>
        </w:rPr>
        <w:t>在符合有关基金分红条件的前提下，本基金每年收益分配次数最多为</w:t>
      </w:r>
      <w:r>
        <w:rPr>
          <w:rFonts w:hint="default" w:ascii="Times New Roman" w:hAnsi="Times New Roman"/>
          <w:color w:val="000000"/>
          <w:kern w:val="0"/>
          <w:sz w:val="24"/>
        </w:rPr>
        <w:t>12</w:t>
      </w:r>
      <w:r>
        <w:rPr>
          <w:rFonts w:hint="eastAsia" w:ascii="Times New Roman" w:hAnsi="Times New Roman"/>
          <w:color w:val="000000"/>
          <w:kern w:val="0"/>
          <w:sz w:val="24"/>
        </w:rPr>
        <w:t>次，每次收益分配比例不得低于该次可供分配利润的</w:t>
      </w:r>
      <w:r>
        <w:rPr>
          <w:rFonts w:hint="default" w:ascii="Times New Roman" w:hAnsi="Times New Roman"/>
          <w:color w:val="000000"/>
          <w:kern w:val="0"/>
          <w:sz w:val="24"/>
        </w:rPr>
        <w:t>20%</w:t>
      </w:r>
      <w:r>
        <w:rPr>
          <w:rFonts w:hint="eastAsia" w:ascii="Times New Roman" w:hAnsi="Times New Roman"/>
          <w:color w:val="000000"/>
          <w:kern w:val="0"/>
          <w:sz w:val="24"/>
        </w:rPr>
        <w:t>，若《基金合同》生效不满</w:t>
      </w:r>
      <w:r>
        <w:rPr>
          <w:rFonts w:hint="default" w:ascii="Times New Roman" w:hAnsi="Times New Roman"/>
          <w:color w:val="000000"/>
          <w:kern w:val="0"/>
          <w:sz w:val="24"/>
        </w:rPr>
        <w:t>3</w:t>
      </w:r>
      <w:r>
        <w:rPr>
          <w:rFonts w:hint="eastAsia" w:ascii="Times New Roman" w:hAnsi="Times New Roman"/>
          <w:color w:val="000000"/>
          <w:kern w:val="0"/>
          <w:sz w:val="24"/>
        </w:rPr>
        <w:t>个月可不进行收益分配；</w:t>
      </w:r>
      <w:r>
        <w:rPr>
          <w:rFonts w:hint="default" w:ascii="Times New Roman" w:hAnsi="Times New Roman"/>
          <w:color w:val="000000"/>
          <w:kern w:val="0"/>
          <w:sz w:val="24"/>
        </w:rPr>
        <w:t>(2)</w:t>
      </w:r>
      <w:r>
        <w:rPr>
          <w:rFonts w:hint="eastAsia" w:ascii="Times New Roman" w:hAnsi="Times New Roman"/>
          <w:color w:val="000000"/>
          <w:kern w:val="0"/>
          <w:sz w:val="24"/>
        </w:rPr>
        <w:t>本基金收益分配方式：仅采取现金分红一种收益分配方式，不进行红利再投资；</w:t>
      </w:r>
      <w:r>
        <w:rPr>
          <w:rFonts w:hint="default" w:ascii="Times New Roman" w:hAnsi="Times New Roman"/>
          <w:color w:val="000000"/>
          <w:kern w:val="0"/>
          <w:sz w:val="24"/>
        </w:rPr>
        <w:t>(3)</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r>
        <w:rPr>
          <w:rFonts w:hint="default" w:ascii="Times New Roman" w:hAnsi="Times New Roman"/>
          <w:color w:val="000000"/>
          <w:kern w:val="0"/>
          <w:sz w:val="24"/>
        </w:rPr>
        <w:t>(4)</w:t>
      </w:r>
      <w:r>
        <w:rPr>
          <w:rFonts w:hint="eastAsia" w:ascii="Times New Roman" w:hAnsi="Times New Roman"/>
          <w:color w:val="000000"/>
          <w:kern w:val="0"/>
          <w:sz w:val="24"/>
        </w:rPr>
        <w:t>每一基金份额享有同等分配权；</w:t>
      </w:r>
      <w:r>
        <w:rPr>
          <w:rFonts w:hint="default" w:ascii="Times New Roman" w:hAnsi="Times New Roman"/>
          <w:color w:val="000000"/>
          <w:kern w:val="0"/>
          <w:sz w:val="24"/>
        </w:rPr>
        <w:t>(5)</w:t>
      </w:r>
      <w:r>
        <w:rPr>
          <w:rFonts w:hint="eastAsia" w:ascii="Times New Roman" w:hAnsi="Times New Roman"/>
          <w:color w:val="000000"/>
          <w:kern w:val="0"/>
          <w:sz w:val="24"/>
        </w:rPr>
        <w:t>法律法规或监管机关另有规定的，从其规定。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本基金以内部组织结构、管理要求、内部报告制度为依据确定经营分部，以经营分部为基础确定报告分部并披露分部信息。经营分部是指本基金内同时满足下列条件的组成部分：</w:t>
      </w:r>
      <w:r>
        <w:rPr>
          <w:rFonts w:hint="default" w:ascii="Times New Roman" w:hAnsi="Times New Roman"/>
          <w:color w:val="000000"/>
          <w:kern w:val="0"/>
          <w:sz w:val="24"/>
        </w:rPr>
        <w:t>(1)</w:t>
      </w:r>
      <w:r>
        <w:rPr>
          <w:rFonts w:hint="eastAsia" w:ascii="Times New Roman" w:hAnsi="Times New Roman"/>
          <w:color w:val="000000"/>
          <w:kern w:val="0"/>
          <w:sz w:val="24"/>
        </w:rPr>
        <w:t>该组成部分能够在日常活动中产生收入、发生费用；</w:t>
      </w:r>
      <w:r>
        <w:rPr>
          <w:rFonts w:hint="default" w:ascii="Times New Roman" w:hAnsi="Times New Roman"/>
          <w:color w:val="000000"/>
          <w:kern w:val="0"/>
          <w:sz w:val="24"/>
        </w:rPr>
        <w:t>(2)</w:t>
      </w:r>
      <w:r>
        <w:rPr>
          <w:rFonts w:hint="eastAsia" w:ascii="Times New Roman" w:hAnsi="Times New Roman"/>
          <w:color w:val="000000"/>
          <w:kern w:val="0"/>
          <w:sz w:val="24"/>
        </w:rPr>
        <w:t>本基金的基金管理人能够定期评价该组成部分的经营成果，以决定向其配置资源、评价其业绩；</w:t>
      </w:r>
      <w:r>
        <w:rPr>
          <w:rFonts w:hint="default" w:ascii="Times New Roman" w:hAnsi="Times New Roman"/>
          <w:color w:val="000000"/>
          <w:kern w:val="0"/>
          <w:sz w:val="24"/>
        </w:rPr>
        <w:t>(3)</w:t>
      </w:r>
      <w:r>
        <w:rPr>
          <w:rFonts w:hint="eastAsia" w:ascii="Times New Roman" w:hAnsi="Times New Roman"/>
          <w:color w:val="000000"/>
          <w:kern w:val="0"/>
          <w:sz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本基金目前以一个单一的经营分部运作，不需要披露分部信息。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对于证券交易所上市的股票和债券，若出现重大事项停牌或交易不活跃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[2008]38</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(AMAC)</w:t>
      </w:r>
      <w:r>
        <w:rPr>
          <w:rFonts w:hint="eastAsia" w:ascii="Times New Roman" w:hAnsi="Times New Roman"/>
          <w:color w:val="000000"/>
          <w:kern w:val="0"/>
          <w:sz w:val="24"/>
        </w:rPr>
        <w:t>基金行业股票估值指数的通知》提供的指数收益法等估值技术进行估值。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在银行间同业市场交易的债券品种，根据中国证监会证监会计字</w:t>
      </w:r>
      <w:r>
        <w:rPr>
          <w:rFonts w:hint="default" w:ascii="Times New Roman" w:hAnsi="Times New Roman"/>
          <w:color w:val="000000"/>
          <w:kern w:val="0"/>
          <w:sz w:val="24"/>
        </w:rPr>
        <w:t>[2007]21</w:t>
      </w:r>
      <w:r>
        <w:rPr>
          <w:rFonts w:hint="eastAsia" w:ascii="Times New Roman" w:hAnsi="Times New Roman"/>
          <w:color w:val="000000"/>
          <w:kern w:val="0"/>
          <w:sz w:val="24"/>
        </w:rPr>
        <w:t>号《关于证券投资基金执行</w:t>
      </w:r>
      <w:r>
        <w:rPr>
          <w:rFonts w:hint="default" w:ascii="Times New Roman" w:hAnsi="Times New Roman"/>
          <w:color w:val="000000"/>
          <w:kern w:val="0"/>
          <w:sz w:val="24"/>
        </w:rPr>
        <w:t>&lt;</w:t>
      </w:r>
      <w:r>
        <w:rPr>
          <w:rFonts w:hint="eastAsia" w:ascii="Times New Roman" w:hAnsi="Times New Roman"/>
          <w:color w:val="000000"/>
          <w:kern w:val="0"/>
          <w:sz w:val="24"/>
        </w:rPr>
        <w:t>企业会计准则</w:t>
      </w:r>
      <w:r>
        <w:rPr>
          <w:rFonts w:hint="default" w:ascii="Times New Roman" w:hAnsi="Times New Roman"/>
          <w:color w:val="000000"/>
          <w:kern w:val="0"/>
          <w:sz w:val="24"/>
        </w:rPr>
        <w:t>&gt;</w:t>
      </w:r>
      <w:r>
        <w:rPr>
          <w:rFonts w:hint="eastAsia" w:ascii="Times New Roman" w:hAnsi="Times New Roman"/>
          <w:color w:val="000000"/>
          <w:kern w:val="0"/>
          <w:sz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对于在证券交易所上市或挂牌转让的固定收益品种</w:t>
      </w:r>
      <w:r>
        <w:rPr>
          <w:rFonts w:hint="default" w:ascii="Times New Roman" w:hAnsi="Times New Roman"/>
          <w:color w:val="000000"/>
          <w:kern w:val="0"/>
          <w:sz w:val="24"/>
        </w:rPr>
        <w:t>(</w:t>
      </w:r>
      <w:r>
        <w:rPr>
          <w:rFonts w:hint="eastAsia" w:ascii="Times New Roman" w:hAnsi="Times New Roman"/>
          <w:color w:val="000000"/>
          <w:kern w:val="0"/>
          <w:sz w:val="24"/>
        </w:rPr>
        <w:t>可转换债券、资产支持证券和私募债券除外</w:t>
      </w:r>
      <w:r>
        <w:rPr>
          <w:rFonts w:hint="default" w:ascii="Times New Roman" w:hAnsi="Times New Roman"/>
          <w:color w:val="000000"/>
          <w:kern w:val="0"/>
          <w:sz w:val="24"/>
        </w:rPr>
        <w:t>)</w:t>
      </w:r>
      <w:r>
        <w:rPr>
          <w:rFonts w:hint="eastAsia" w:ascii="Times New Roman" w:hAnsi="Times New Roman"/>
          <w:color w:val="000000"/>
          <w:kern w:val="0"/>
          <w:sz w:val="24"/>
        </w:rPr>
        <w:t>，按照中证指数有限公司根据《中国证券投资基金业协会估值核算工作小组关于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季度固定收益品种的估值处理标准》所独立提供的债券估值结果确定公允价值。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本基金本报告期未发生会计政策变更。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本基金本报告期未发生会计估计变更。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本基金在本报告期间无须说明的会计差错更正。</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根据财政部、国家税务总局财税</w:t>
      </w:r>
      <w:r>
        <w:rPr>
          <w:rFonts w:hint="default" w:ascii="Times New Roman" w:hAnsi="Times New Roman"/>
          <w:color w:val="000000"/>
          <w:kern w:val="0"/>
          <w:sz w:val="24"/>
        </w:rPr>
        <w:t>[2004]78</w:t>
      </w:r>
      <w:r>
        <w:rPr>
          <w:rFonts w:hint="eastAsia" w:ascii="Times New Roman" w:hAnsi="Times New Roman"/>
          <w:color w:val="000000"/>
          <w:kern w:val="0"/>
          <w:sz w:val="24"/>
        </w:rPr>
        <w:t>号《财政部、国家税务总局关于证券投资基金税收政策的通知》、财税</w:t>
      </w:r>
      <w:r>
        <w:rPr>
          <w:rFonts w:hint="default" w:ascii="Times New Roman" w:hAnsi="Times New Roman"/>
          <w:color w:val="000000"/>
          <w:kern w:val="0"/>
          <w:sz w:val="24"/>
        </w:rPr>
        <w:t>[2008]1</w:t>
      </w:r>
      <w:r>
        <w:rPr>
          <w:rFonts w:hint="eastAsia" w:ascii="Times New Roman" w:hAnsi="Times New Roman"/>
          <w:color w:val="000000"/>
          <w:kern w:val="0"/>
          <w:sz w:val="24"/>
        </w:rPr>
        <w:t>号《关于企业所得税若干优惠政策的通知》、财税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号《关于实施上市公司股息红利差别化个人所得税政策有关问题的通知》、财税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号《关于上市公司股息红利差别化个人所得税政策有关问题的通知》、财税</w:t>
      </w:r>
      <w:r>
        <w:rPr>
          <w:rFonts w:hint="default" w:ascii="Times New Roman" w:hAnsi="Times New Roman"/>
          <w:color w:val="000000"/>
          <w:kern w:val="0"/>
          <w:sz w:val="24"/>
        </w:rPr>
        <w:t>[2016]36</w:t>
      </w:r>
      <w:r>
        <w:rPr>
          <w:rFonts w:hint="eastAsia" w:ascii="Times New Roman" w:hAnsi="Times New Roman"/>
          <w:color w:val="000000"/>
          <w:kern w:val="0"/>
          <w:sz w:val="24"/>
        </w:rPr>
        <w:t>号《关于全面推开营业税改征增值税试点的通知》、财税</w:t>
      </w:r>
      <w:r>
        <w:rPr>
          <w:rFonts w:hint="default" w:ascii="Times New Roman" w:hAnsi="Times New Roman"/>
          <w:color w:val="000000"/>
          <w:kern w:val="0"/>
          <w:sz w:val="24"/>
        </w:rPr>
        <w:t>[2016]46</w:t>
      </w:r>
      <w:r>
        <w:rPr>
          <w:rFonts w:hint="eastAsia" w:ascii="Times New Roman" w:hAnsi="Times New Roman"/>
          <w:color w:val="000000"/>
          <w:kern w:val="0"/>
          <w:sz w:val="24"/>
        </w:rPr>
        <w:t>号《关于进一步明确全面推开营改增试点金融业有关政策的通知》、财税</w:t>
      </w:r>
      <w:r>
        <w:rPr>
          <w:rFonts w:hint="default" w:ascii="Times New Roman" w:hAnsi="Times New Roman"/>
          <w:color w:val="000000"/>
          <w:kern w:val="0"/>
          <w:sz w:val="24"/>
        </w:rPr>
        <w:t>[2016]70</w:t>
      </w:r>
      <w:r>
        <w:rPr>
          <w:rFonts w:hint="eastAsia" w:ascii="Times New Roman" w:hAnsi="Times New Roman"/>
          <w:color w:val="000000"/>
          <w:kern w:val="0"/>
          <w:sz w:val="24"/>
        </w:rPr>
        <w:t>号《关于金融机构同业往来等增值税政策的补充通知》及其他相关财税法规和实务操作，主要税项列示如下：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日前，以发行基金方式募集资金不属于营业税征收范围，不征收营业税。对证券投资基金管理人运用基金买卖股票、债券的差价收入免征营业税。自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对基金取得的企业债券利息收入，应由发行债券的企业在向基金支付利息时代扣代缴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的个人所得税。对基金从上市公司取得的股息红利所得，持股期限在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年的，暂免征收个人所得税。对基金持有的上市公司限售股，解禁后取得的股息、红利收入，按照上述规定计算纳税，持股时间自解禁日起计算；解禁前取得的股息、红利收入继续暂减按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计入应纳税所得额。上述所得统一适用</w:t>
      </w:r>
      <w:r>
        <w:rPr>
          <w:rFonts w:hint="default" w:ascii="Times New Roman" w:hAnsi="Times New Roman"/>
          <w:color w:val="000000"/>
          <w:kern w:val="0"/>
          <w:sz w:val="24"/>
        </w:rPr>
        <w:t>20%</w:t>
      </w:r>
      <w:r>
        <w:rPr>
          <w:rFonts w:hint="eastAsia" w:ascii="Times New Roman" w:hAnsi="Times New Roman"/>
          <w:color w:val="000000"/>
          <w:kern w:val="0"/>
          <w:sz w:val="24"/>
        </w:rPr>
        <w:t>的税率计征个人所得税。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3250"/>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14,266,891.38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14,710,455.21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14,266,891.38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14,710,455.21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80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66,250,742.03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-5,685,715.87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57,813,812.12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56,857,049.20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-956,762.92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173,971,092.00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170,999,000.00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-2,972,092.00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231,784,904.12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227,856,049.20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-3,928,854.92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298,035,646.15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288,421,075.36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-9,614,570.79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 xml:space="preserve"> 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21,484,088.21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21,807,362.00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323,273.79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227,258,692.32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226,824,522.50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-434,169.82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202,376,984.80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202,578,000.00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201,015.20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429,635,677.12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429,402,522.50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-233,154.62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451,119,765.33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451,209,884.50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90,119.17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各项买入返售金融资产期末余额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本基金于本期末及上年度末均未持有买入返售金融资产。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7.4.7.4.2 </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本基金本期末未持有买断式逆回购交易中取得的债券。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应收活期存款利息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3,352.26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4,713.82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应收定期存款利息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应收其他存款利息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应收结算备付金利息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605.55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应收债券利息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4,661,267.99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7,269,852.74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应收买入返售证券利息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应收黄金合约拆借孳息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4,665,241.20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7,275,625.64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本基金本期末及上年度末均未持有其他资产。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62,486.56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27,023.36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2,375.07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64,861.63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31,103.36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应付券商交易单元保证金</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预提费用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本基金自</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11</w:t>
      </w:r>
      <w:r>
        <w:rPr>
          <w:rFonts w:hint="eastAsia" w:ascii="Times New Roman" w:hAnsi="Times New Roman"/>
          <w:color w:val="000000"/>
          <w:kern w:val="0"/>
          <w:sz w:val="21"/>
        </w:rPr>
        <w:t>月</w:t>
      </w:r>
      <w:r>
        <w:rPr>
          <w:rFonts w:hint="default" w:ascii="Times New Roman" w:hAnsi="Times New Roman"/>
          <w:color w:val="000000"/>
          <w:kern w:val="0"/>
          <w:sz w:val="21"/>
        </w:rPr>
        <w:t>6</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11</w:t>
      </w:r>
      <w:r>
        <w:rPr>
          <w:rFonts w:hint="eastAsia" w:ascii="Times New Roman" w:hAnsi="Times New Roman"/>
          <w:color w:val="000000"/>
          <w:kern w:val="0"/>
          <w:sz w:val="21"/>
        </w:rPr>
        <w:t>月</w:t>
      </w:r>
      <w:r>
        <w:rPr>
          <w:rFonts w:hint="default" w:ascii="Times New Roman" w:hAnsi="Times New Roman"/>
          <w:color w:val="000000"/>
          <w:kern w:val="0"/>
          <w:sz w:val="21"/>
        </w:rPr>
        <w:t>12</w:t>
      </w:r>
      <w:r>
        <w:rPr>
          <w:rFonts w:hint="eastAsia" w:ascii="Times New Roman" w:hAnsi="Times New Roman"/>
          <w:color w:val="000000"/>
          <w:kern w:val="0"/>
          <w:sz w:val="21"/>
        </w:rPr>
        <w:t>日止期间公开发售，共募集有效净认购资金</w:t>
      </w:r>
      <w:r>
        <w:rPr>
          <w:rFonts w:hint="default" w:ascii="Times New Roman" w:hAnsi="Times New Roman"/>
          <w:color w:val="000000"/>
          <w:kern w:val="0"/>
          <w:sz w:val="21"/>
        </w:rPr>
        <w:t>280,266,800.00</w:t>
      </w:r>
      <w:r>
        <w:rPr>
          <w:rFonts w:hint="eastAsia" w:ascii="Times New Roman" w:hAnsi="Times New Roman"/>
          <w:color w:val="000000"/>
          <w:kern w:val="0"/>
          <w:sz w:val="21"/>
        </w:rPr>
        <w:t>元。根据《创金合信聚财保本混合型证券投资基金招募说明书》的规定，本基金设立募集期内认购资金产生的利息收入</w:t>
      </w:r>
      <w:r>
        <w:rPr>
          <w:rFonts w:hint="default" w:ascii="Times New Roman" w:hAnsi="Times New Roman"/>
          <w:color w:val="000000"/>
          <w:kern w:val="0"/>
          <w:sz w:val="21"/>
        </w:rPr>
        <w:t>61,486.75</w:t>
      </w:r>
      <w:r>
        <w:rPr>
          <w:rFonts w:hint="eastAsia" w:ascii="Times New Roman" w:hAnsi="Times New Roman"/>
          <w:color w:val="000000"/>
          <w:kern w:val="0"/>
          <w:sz w:val="21"/>
        </w:rPr>
        <w:t>元，在本基金成立后折算为</w:t>
      </w:r>
      <w:r>
        <w:rPr>
          <w:rFonts w:hint="default" w:ascii="Times New Roman" w:hAnsi="Times New Roman"/>
          <w:color w:val="000000"/>
          <w:kern w:val="0"/>
          <w:sz w:val="21"/>
        </w:rPr>
        <w:t>61,486.75</w:t>
      </w:r>
      <w:r>
        <w:rPr>
          <w:rFonts w:hint="eastAsia" w:ascii="Times New Roman" w:hAnsi="Times New Roman"/>
          <w:color w:val="000000"/>
          <w:kern w:val="0"/>
          <w:sz w:val="21"/>
        </w:rPr>
        <w:t>份基金份额，划入基金份额持有人账户。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根据《创金合信聚财保本混合型证券投资基金基金合同》的相关规定，本基金于</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11</w:t>
      </w:r>
      <w:r>
        <w:rPr>
          <w:rFonts w:hint="eastAsia" w:ascii="Times New Roman" w:hAnsi="Times New Roman"/>
          <w:color w:val="000000"/>
          <w:kern w:val="0"/>
          <w:sz w:val="21"/>
        </w:rPr>
        <w:t>月</w:t>
      </w:r>
      <w:r>
        <w:rPr>
          <w:rFonts w:hint="default" w:ascii="Times New Roman" w:hAnsi="Times New Roman"/>
          <w:color w:val="000000"/>
          <w:kern w:val="0"/>
          <w:sz w:val="21"/>
        </w:rPr>
        <w:t>16</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2017</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16</w:t>
      </w:r>
      <w:r>
        <w:rPr>
          <w:rFonts w:hint="eastAsia" w:ascii="Times New Roman" w:hAnsi="Times New Roman"/>
          <w:color w:val="000000"/>
          <w:kern w:val="0"/>
          <w:sz w:val="21"/>
        </w:rPr>
        <w:t>日止期间暂不向投资人开放基金交易。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3,431,671.14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90,119.17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3,521,790.31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13,924,814.43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-9,704,689.96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4,220,124.47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17,356,485.57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-9,614,570.79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7,741,914.78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125,275.56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90,840.14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3,296.53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504.82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216,620.52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37,064.25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卖出股票成交总额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45,434,634.05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8,531,083.00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减：卖出股票成本总额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40,713,765.09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7,589,716.79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买卖股票差价收入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4,720,868.96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941,366.21</w:t>
            </w:r>
          </w:p>
        </w:tc>
      </w:tr>
    </w:tbl>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7.4.7.13.1 </w:t>
      </w:r>
      <w:r>
        <w:rPr>
          <w:rFonts w:hint="eastAsia" w:ascii="Times New Roman" w:hAnsi="Times New Roman"/>
          <w:b/>
          <w:color w:val="000000"/>
          <w:kern w:val="0"/>
          <w:sz w:val="24"/>
        </w:rPr>
        <w:t>债券投资收益项目构成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买卖债券（、债转股及债券到期兑付）差价收入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1,228,350.33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1,734,490.54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赎回差价收入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申购差价收入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1,228,350.33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1,734,490.54</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7.4.7.13.2 </w:t>
      </w:r>
      <w:r>
        <w:rPr>
          <w:rFonts w:hint="eastAsia" w:ascii="Times New Roman" w:hAnsi="Times New Roman"/>
          <w:b/>
          <w:color w:val="000000"/>
          <w:kern w:val="0"/>
          <w:sz w:val="24"/>
        </w:rPr>
        <w:t>债券投资收益</w:t>
      </w:r>
      <w:r>
        <w:rPr>
          <w:rFonts w:hint="default" w:ascii="Times New Roman" w:hAnsi="Times New Roman"/>
          <w:b/>
          <w:color w:val="000000"/>
          <w:kern w:val="0"/>
          <w:sz w:val="24"/>
        </w:rPr>
        <w:t>——</w:t>
      </w:r>
      <w:r>
        <w:rPr>
          <w:rFonts w:hint="eastAsia" w:ascii="Times New Roman" w:hAnsi="Times New Roman"/>
          <w:b/>
          <w:color w:val="000000"/>
          <w:kern w:val="0"/>
          <w:sz w:val="24"/>
        </w:rPr>
        <w:t>买卖债券差价收入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卖出债券（、债转股及债券到期兑付）成交总额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512,643,839.08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184,675,150.86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减：卖出债券（、债转股及债券到期兑付）成本总额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500,313,313.22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180,195,147.64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减：应收利息总额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11,102,175.53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2,745,512.68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买卖债券差价收入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1,228,350.33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1,734,490.54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本基金于本期及上年度可比期间均无衍生工具收益。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136,236.76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136,236.76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-9,704,689.96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90,119.17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-6,008,989.66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323,273.79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-3,695,700.30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-233,154.62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-9,704,689.96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90,119.17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本基金于本期及上年度可比期间均无其他收入。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176,141.56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40,606.75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181,451.56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43,956.75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帐户维护费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汇划手续费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24,218.10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查询服务费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232,118.10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805.00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截至资产负债表日，本基金并无须作披露的或有事项。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财政部、国家税务总局于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21</w:t>
      </w:r>
      <w:r>
        <w:rPr>
          <w:rFonts w:hint="eastAsia" w:ascii="Times New Roman" w:hAnsi="Times New Roman"/>
          <w:color w:val="000000"/>
          <w:kern w:val="0"/>
          <w:sz w:val="24"/>
        </w:rPr>
        <w:t>日颁布《关于明确金融房地产开发教育辅助服务等增值税政策的通知》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[2016]140</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，要求资管产品运营过程中发生的增值税应税行为，以资管产品管理人为增值税纳税人，自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6</w:t>
      </w:r>
      <w:r>
        <w:rPr>
          <w:rFonts w:hint="eastAsia" w:ascii="Times New Roman" w:hAnsi="Times New Roman"/>
          <w:color w:val="000000"/>
          <w:kern w:val="0"/>
          <w:sz w:val="24"/>
        </w:rPr>
        <w:t>日颁布的《关于资管产品增值税政策有关问题的补充通知》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[2017]2</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招商银行股份有限公司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“招商银行”</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深圳市金合信投资合伙企业</w:t>
            </w:r>
            <w:r>
              <w:rPr>
                <w:rFonts w:hint="default" w:ascii="Times New Roman" w:hAnsi="Times New Roman"/>
                <w:color w:val="000000"/>
                <w:kern w:val="0"/>
                <w:sz w:val="24"/>
              </w:rPr>
              <w:t>(</w:t>
            </w:r>
            <w:r>
              <w:rPr>
                <w:rFonts w:hint="eastAsia" w:ascii="Times New Roman" w:hAnsi="Times New Roman"/>
                <w:color w:val="000000"/>
                <w:kern w:val="0"/>
                <w:sz w:val="24"/>
              </w:rPr>
              <w:t>有限合伙</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占当期股票成交总额的比例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9,521,203.39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37,604,888.00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债券交易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占当期债券成交总额的比例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98,125,063.64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420,620,077.48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债券回购交易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占当期债券回购成交总额的比例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占当期债券回购成交总额的比例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8,324,612,000.00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74.53%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2,441,658,000.00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7.4.10.1.4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本基金于本期及上年度可比期间均未通过关联方交易单元进行权证交易。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7.4.10.1.5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2167"/>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6,855.21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27,023.36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27,023.36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 xml:space="preserve">1. </w:t>
      </w:r>
      <w:r>
        <w:rPr>
          <w:rFonts w:hint="eastAsia" w:ascii="Times New Roman" w:hAnsi="Times New Roman"/>
          <w:color w:val="000000"/>
          <w:kern w:val="0"/>
          <w:sz w:val="21"/>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该类佣金协议的服务范围还包括佣金收取方为本基金提供的证券投资研究成果和市场信息服务等。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2,295,636.92</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276,739.10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注：支付基金管理人创金合信基金管理有限公司的管理人报酬按前一日基金资产净值</w:t>
      </w:r>
      <w:r>
        <w:rPr>
          <w:rFonts w:hint="default" w:ascii="Times New Roman" w:hAnsi="Times New Roman"/>
          <w:color w:val="000000"/>
          <w:kern w:val="0"/>
          <w:sz w:val="21"/>
        </w:rPr>
        <w:t>0.80%</w:t>
      </w:r>
      <w:r>
        <w:rPr>
          <w:rFonts w:hint="eastAsia" w:ascii="Times New Roman" w:hAnsi="Times New Roman"/>
          <w:color w:val="000000"/>
          <w:kern w:val="0"/>
          <w:sz w:val="21"/>
        </w:rPr>
        <w:t>的年费率计提，逐日累计至每月月底，按月支付。其计算公式为：日管理人报酬＝前一日基金资产净值</w:t>
      </w:r>
      <w:r>
        <w:rPr>
          <w:rFonts w:hint="default" w:ascii="Times New Roman" w:hAnsi="Times New Roman"/>
          <w:color w:val="000000"/>
          <w:kern w:val="0"/>
          <w:sz w:val="21"/>
        </w:rPr>
        <w:t xml:space="preserve"> X 0.80%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717,386.56</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86,480.99</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注：支付基金托管人招商银行的托管费按前一日基金资产净值</w:t>
      </w:r>
      <w:r>
        <w:rPr>
          <w:rFonts w:hint="default" w:ascii="Times New Roman" w:hAnsi="Times New Roman"/>
          <w:color w:val="000000"/>
          <w:kern w:val="0"/>
          <w:sz w:val="21"/>
        </w:rPr>
        <w:t>0.25%</w:t>
      </w:r>
      <w:r>
        <w:rPr>
          <w:rFonts w:hint="eastAsia" w:ascii="Times New Roman" w:hAnsi="Times New Roman"/>
          <w:color w:val="000000"/>
          <w:kern w:val="0"/>
          <w:sz w:val="21"/>
        </w:rPr>
        <w:t>的年费率计提，逐日累计至每月月底，按月支付。其计算公式为：日托管费＝前一日基金资产净值</w:t>
      </w:r>
      <w:r>
        <w:rPr>
          <w:rFonts w:hint="default" w:ascii="Times New Roman" w:hAnsi="Times New Roman"/>
          <w:color w:val="000000"/>
          <w:kern w:val="0"/>
          <w:sz w:val="21"/>
        </w:rPr>
        <w:t xml:space="preserve"> X 0.25%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7.4.10.2.3 </w:t>
      </w:r>
      <w:r>
        <w:rPr>
          <w:rFonts w:hint="eastAsia" w:ascii="Times New Roman" w:hAnsi="Times New Roman"/>
          <w:b/>
          <w:color w:val="000000"/>
          <w:kern w:val="0"/>
          <w:sz w:val="24"/>
        </w:rPr>
        <w:t>销售服务费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获得销售服务费的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252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当期应支付的销售服务费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286,954.62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286,954.62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获得销售服务费的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当期应支付的销售服务费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34,592.40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34,592.40</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注：支付基金销售机构的销售服务费按前一日基金资产净值</w:t>
      </w:r>
      <w:r>
        <w:rPr>
          <w:rFonts w:hint="default" w:ascii="Times New Roman" w:hAnsi="Times New Roman"/>
          <w:color w:val="000000"/>
          <w:kern w:val="0"/>
          <w:sz w:val="21"/>
        </w:rPr>
        <w:t>0.1%</w:t>
      </w:r>
      <w:r>
        <w:rPr>
          <w:rFonts w:hint="eastAsia" w:ascii="Times New Roman" w:hAnsi="Times New Roman"/>
          <w:color w:val="000000"/>
          <w:kern w:val="0"/>
          <w:sz w:val="21"/>
        </w:rPr>
        <w:t>的年费率计提，逐日累计至每月月底，按月支付给创金合信基金管理有限公司，再由创金合信基金管理有限公司计算并支付给各基金销售机构。其计算公式为：日销售服务费＝基金前一日基金资产净值×</w:t>
      </w:r>
      <w:r>
        <w:rPr>
          <w:rFonts w:hint="default" w:ascii="Times New Roman" w:hAnsi="Times New Roman"/>
          <w:color w:val="000000"/>
          <w:kern w:val="0"/>
          <w:sz w:val="21"/>
        </w:rPr>
        <w:t xml:space="preserve"> 0.1%/ </w:t>
      </w:r>
      <w:r>
        <w:rPr>
          <w:rFonts w:hint="eastAsia" w:ascii="Times New Roman" w:hAnsi="Times New Roman"/>
          <w:color w:val="000000"/>
          <w:kern w:val="0"/>
          <w:sz w:val="21"/>
        </w:rPr>
        <w:t>当年天数。</w:t>
      </w:r>
      <w:r>
        <w:rPr>
          <w:rFonts w:hint="default" w:ascii="Times New Roman" w:hAnsi="Times New Roman"/>
          <w:color w:val="000000"/>
          <w:kern w:val="0"/>
          <w:sz w:val="21"/>
        </w:rPr>
        <w:t xml:space="preserve"> </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本基金于本期及上年度可比期间均未与关联方进行银行间同业市场的债券</w:t>
      </w:r>
      <w:r>
        <w:rPr>
          <w:rFonts w:hint="default" w:ascii="Times New Roman" w:hAnsi="Times New Roman"/>
          <w:color w:val="000000"/>
          <w:kern w:val="0"/>
          <w:sz w:val="24"/>
        </w:rPr>
        <w:t>(</w:t>
      </w:r>
      <w:r>
        <w:rPr>
          <w:rFonts w:hint="eastAsia" w:ascii="Times New Roman" w:hAnsi="Times New Roman"/>
          <w:color w:val="000000"/>
          <w:kern w:val="0"/>
          <w:sz w:val="24"/>
        </w:rPr>
        <w:t>含回购</w:t>
      </w:r>
      <w:r>
        <w:rPr>
          <w:rFonts w:hint="default" w:ascii="Times New Roman" w:hAnsi="Times New Roman"/>
          <w:color w:val="000000"/>
          <w:kern w:val="0"/>
          <w:sz w:val="24"/>
        </w:rPr>
        <w:t>)</w:t>
      </w:r>
      <w:r>
        <w:rPr>
          <w:rFonts w:hint="eastAsia" w:ascii="Times New Roman" w:hAnsi="Times New Roman"/>
          <w:color w:val="000000"/>
          <w:kern w:val="0"/>
          <w:sz w:val="24"/>
        </w:rPr>
        <w:t>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本基金本期及上年度可比期间均无基金管理人运用固有资金投资本基金的情况。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本基金本期及上年度可比期间均无除管理人之外的其他关联方投资本基金的情况。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招商银行活期存款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14,266,891.38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125,275.56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14,710,455.21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33,737.76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注：本基金的银行存款由基金托管人招商银行保管，按金融机构同业存款利率计息。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本基金于本期及上年度可比期间均未发生在承销期内参与关联方承销证券的情况。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本基金本期及上年度可比期间均无须作说明的其他关联交易事项。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1083"/>
        <w:gridCol w:w="723"/>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10"/>
            <w:tcBorders>
              <w:top w:val="single" w:color="000000" w:sz="8" w:space="0"/>
              <w:left w:val="single" w:color="000000" w:sz="8" w:space="0"/>
              <w:bottom w:val="single" w:color="000000" w:sz="8" w:space="0"/>
              <w:right w:val="single" w:color="000000" w:sz="8" w:space="0"/>
              <w:tl2br w:val="nil"/>
              <w:tr2bl w:val="nil"/>
            </w:tcBorders>
            <w:noWrap w:val="0"/>
            <w:vAlign w:val="bottom"/>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18"/>
              </w:rPr>
            </w:pPr>
            <w:r>
              <w:rPr>
                <w:rFonts w:hint="default" w:ascii="Times New Roman" w:hAnsi="Times New Roman"/>
                <w:color w:val="000000"/>
                <w:kern w:val="0"/>
                <w:sz w:val="18"/>
              </w:rPr>
              <w:t xml:space="preserve">7.4.12.1.1 </w:t>
            </w:r>
            <w:r>
              <w:rPr>
                <w:rFonts w:hint="eastAsia" w:ascii="Times New Roman" w:hAnsi="Times New Roman"/>
                <w:color w:val="000000"/>
                <w:kern w:val="0"/>
                <w:sz w:val="18"/>
              </w:rPr>
              <w:t>受限证券类别：股票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名称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认购日</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可流通日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流通受限类型</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价格</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美联新材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新股流通受限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002840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华统股份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新股流通受限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601375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中原证券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新股流通受限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26,695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106,780.00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106,780.00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300591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万里马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新股流通受限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2,396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002838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道恩股份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新股流通受限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722"/>
        <w:gridCol w:w="1084"/>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股票名称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停牌日期</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停牌原因</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复牌日期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开盘单价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600551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时代出版</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2016-11-28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重大资产重组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20.32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29,000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579,558.61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589,280.00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600859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王府井</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重大资产重组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84,744.74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81,400.00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000166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申万宏源</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6.25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2017-01-26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174,000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1,168,500.00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1,087,500.00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000887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中鼎股份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2016-11-18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重大资产重组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25.94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2017-02-15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23.99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271,700.00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285,340.00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002727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一心堂</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21.66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44,400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1,062,100.00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941,280.00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300100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双林股份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2016-11-07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重大资产重组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34.00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2017-01-25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30.60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17,000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581,400.00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578,000.00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300367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东方网力</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重大资产重组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20.04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574,800.00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480,960.00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日止，本基金从事证券交易所债券正回购交易形成的卖出回购证券款余额</w:t>
      </w:r>
      <w:r>
        <w:rPr>
          <w:rFonts w:hint="default" w:ascii="Times New Roman" w:hAnsi="Times New Roman"/>
          <w:color w:val="000000"/>
          <w:kern w:val="0"/>
          <w:sz w:val="24"/>
        </w:rPr>
        <w:t>19,000,000.00</w:t>
      </w:r>
      <w:r>
        <w:rPr>
          <w:rFonts w:hint="eastAsia" w:ascii="Times New Roman" w:hAnsi="Times New Roman"/>
          <w:color w:val="000000"/>
          <w:kern w:val="0"/>
          <w:sz w:val="24"/>
        </w:rPr>
        <w:t>元，于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日到期。该类交易要求本基金转入质押库的债券，按证券交易所规定的比例折算为标准券后，不低于债券回购交易的余额。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7.4.13.2</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7.4.13.2.1 </w:t>
      </w:r>
      <w:r>
        <w:rPr>
          <w:rFonts w:hint="eastAsia" w:ascii="Times New Roman" w:hAnsi="Times New Roman"/>
          <w:b/>
          <w:color w:val="000000"/>
          <w:kern w:val="0"/>
          <w:sz w:val="24"/>
        </w:rPr>
        <w:t>按短期信用评级列示的债券投资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短期信用评级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A-1</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60,374,000.00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A-1</w:t>
            </w:r>
            <w:r>
              <w:rPr>
                <w:rFonts w:hint="eastAsia" w:ascii="Times New Roman" w:hAnsi="Times New Roman"/>
                <w:color w:val="000000"/>
                <w:kern w:val="0"/>
                <w:sz w:val="24"/>
              </w:rPr>
              <w:t>以下</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29,733,000.00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80,242,000.00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29,733,000.00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140,616,000.00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7.4.13.2.2 </w:t>
      </w:r>
      <w:r>
        <w:rPr>
          <w:rFonts w:hint="eastAsia" w:ascii="Times New Roman" w:hAnsi="Times New Roman"/>
          <w:b/>
          <w:color w:val="000000"/>
          <w:kern w:val="0"/>
          <w:sz w:val="24"/>
        </w:rPr>
        <w:t>按长期信用评级列示的债券投资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长期信用评级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AAA</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186,064,308.20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183,699,994.10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AAA</w:t>
            </w:r>
            <w:r>
              <w:rPr>
                <w:rFonts w:hint="eastAsia" w:ascii="Times New Roman" w:hAnsi="Times New Roman"/>
                <w:color w:val="000000"/>
                <w:kern w:val="0"/>
                <w:sz w:val="24"/>
              </w:rPr>
              <w:t>以下</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11,979,756.80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105,086,528.40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78,984.20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198,123,049.20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288,786,522.50</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。本基金所持大部分证券在银行间同业市场交易，其余亦在证券交易所上市交易，因此除附注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14,266,891.38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14,266,891.38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1,223,471.50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1,223,471.50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31,190.22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31,190.22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204,399,384.20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15,825,308.20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7,631,356.80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288,421,075.36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4,665,241.20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4,665,241.20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219,920,937.30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15,825,308.20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7,631,356.80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65,230,267.36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308,607,869.66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1,010,088.42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1,010,088.42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196,257.66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196,257.66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61,330.52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61,330.52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24,532.23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24,532.23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64,861.63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64,861.63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1,537,668.13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20,537,668.13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200,920,937.30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15,825,308.20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7,631,356.80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63,692,599.23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288,070,201.53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14,710,455.21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14,710,455.21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2,117,387.46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2,117,387.46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22,177.33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243,424,199.80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185,978,322.70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21,807,362.00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451,209,884.50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24,976,126.58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24,976,126.58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7,275,625.64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7,275,625.64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260,274,219.80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185,978,322.70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54,059,114.22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500,311,656.72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210,999,755.00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210,999,755.00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5,144,723.77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5,144,723.77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190,844.70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190,844.70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59,638.97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59,638.97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23,855.59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23,855.59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31,103.36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11,658.27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11,658.27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210,999,755.00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5,461,824.66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216,461,579.66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49,274,464.80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185,978,322.70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48,597,289.56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283,850,077.06</w:t>
            </w:r>
          </w:p>
        </w:tc>
      </w:tr>
    </w:tbl>
    <w:p>
      <w:pPr>
        <w:autoSpaceDE w:val="0"/>
        <w:autoSpaceDN w:val="0"/>
        <w:adjustRightInd w:val="0"/>
        <w:spacing w:before="145"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2889"/>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假设</w:t>
            </w:r>
          </w:p>
        </w:tc>
        <w:tc>
          <w:tcPr>
            <w:tcW w:w="7946"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除市场利率以外的其他市场变量保持不变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nil"/>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05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nil"/>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市场利率上升</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-193,378.58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-1,336,569.03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市场利率下降</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193,976.7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1,347,196.74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本基金的基金管理人在构建和管理投资组合的过程中，采用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本基金通过投资组合的分散化降低其他价格风险。本基金投资组合中股票、权证等风险资产占基金资产的比例不高于</w:t>
      </w:r>
      <w:r>
        <w:rPr>
          <w:rFonts w:hint="default" w:ascii="Times New Roman" w:hAnsi="Times New Roman"/>
          <w:color w:val="000000"/>
          <w:kern w:val="0"/>
          <w:sz w:val="24"/>
        </w:rPr>
        <w:t>40%</w:t>
      </w:r>
      <w:r>
        <w:rPr>
          <w:rFonts w:hint="eastAsia" w:ascii="Times New Roman" w:hAnsi="Times New Roman"/>
          <w:color w:val="000000"/>
          <w:kern w:val="0"/>
          <w:sz w:val="24"/>
        </w:rPr>
        <w:t>，其中，基金持有全部权证的市值不超过基金资产净值的</w:t>
      </w:r>
      <w:r>
        <w:rPr>
          <w:rFonts w:hint="default" w:ascii="Times New Roman" w:hAnsi="Times New Roman"/>
          <w:color w:val="000000"/>
          <w:kern w:val="0"/>
          <w:sz w:val="24"/>
        </w:rPr>
        <w:t>3%</w:t>
      </w:r>
      <w:r>
        <w:rPr>
          <w:rFonts w:hint="eastAsia" w:ascii="Times New Roman" w:hAnsi="Times New Roman"/>
          <w:color w:val="000000"/>
          <w:kern w:val="0"/>
          <w:sz w:val="24"/>
        </w:rPr>
        <w:t>；债券、货币市场工具等固定收益资产占基金资产的比例不低于</w:t>
      </w:r>
      <w:r>
        <w:rPr>
          <w:rFonts w:hint="default" w:ascii="Times New Roman" w:hAnsi="Times New Roman"/>
          <w:color w:val="000000"/>
          <w:kern w:val="0"/>
          <w:sz w:val="24"/>
        </w:rPr>
        <w:t>60%</w:t>
      </w:r>
      <w:r>
        <w:rPr>
          <w:rFonts w:hint="eastAsia" w:ascii="Times New Roman" w:hAnsi="Times New Roman"/>
          <w:color w:val="000000"/>
          <w:kern w:val="0"/>
          <w:sz w:val="24"/>
        </w:rPr>
        <w:t>。在开放期，每个交易日日终在扣除股指期货合约需缴纳的交易保证金后，本基金持有现金或投资于到期日在一年以内的政府债券的比例合计不低于基金资产净值的</w:t>
      </w:r>
      <w:r>
        <w:rPr>
          <w:rFonts w:hint="default" w:ascii="Times New Roman" w:hAnsi="Times New Roman"/>
          <w:color w:val="000000"/>
          <w:kern w:val="0"/>
          <w:sz w:val="24"/>
        </w:rPr>
        <w:t>5%</w:t>
      </w:r>
      <w:r>
        <w:rPr>
          <w:rFonts w:hint="eastAsia" w:ascii="Times New Roman" w:hAnsi="Times New Roman"/>
          <w:color w:val="000000"/>
          <w:kern w:val="0"/>
          <w:sz w:val="24"/>
        </w:rPr>
        <w:t>，在保本周期内（保本周期到期日除外），本基金不受该比例的限制。此外，本基金的基金管理人每日对本基金所持有的证券价格实施监控，定期运用多种定量方法对基金进行风险度量，包括</w:t>
      </w:r>
      <w:r>
        <w:rPr>
          <w:rFonts w:hint="default" w:ascii="Times New Roman" w:hAnsi="Times New Roman"/>
          <w:color w:val="000000"/>
          <w:kern w:val="0"/>
          <w:sz w:val="24"/>
        </w:rPr>
        <w:t>VaR(Value at Risk)</w:t>
      </w:r>
      <w:r>
        <w:rPr>
          <w:rFonts w:hint="eastAsia" w:ascii="Times New Roman" w:hAnsi="Times New Roman"/>
          <w:color w:val="000000"/>
          <w:kern w:val="0"/>
          <w:sz w:val="24"/>
        </w:rPr>
        <w:t>指标等来测试本基金面临的潜在价格风险，及时可靠地对风险进行跟踪和控制。</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w:t>
            </w: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股票投资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21,807,362.00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基金投资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贵金属投资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衍生金融资产－权证投资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21,807,362.00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7.68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2889"/>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nil"/>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05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nil"/>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比较基准上涨</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4,239,551.83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1,210,308.59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比较基准下降</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-4,239,551.83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-1,210,308.59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(1) </w:t>
      </w:r>
      <w:r>
        <w:rPr>
          <w:rFonts w:hint="eastAsia" w:ascii="Times New Roman" w:hAnsi="Times New Roman"/>
          <w:color w:val="000000"/>
          <w:kern w:val="0"/>
          <w:sz w:val="24"/>
        </w:rPr>
        <w:t>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(a) </w:t>
      </w:r>
      <w:r>
        <w:rPr>
          <w:rFonts w:hint="eastAsia" w:ascii="Times New Roman" w:hAnsi="Times New Roman"/>
          <w:color w:val="000000"/>
          <w:kern w:val="0"/>
          <w:sz w:val="24"/>
        </w:rPr>
        <w:t>金融工具公允价值计量的方法</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(b) </w:t>
      </w:r>
      <w:r>
        <w:rPr>
          <w:rFonts w:hint="eastAsia" w:ascii="Times New Roman" w:hAnsi="Times New Roman"/>
          <w:color w:val="000000"/>
          <w:kern w:val="0"/>
          <w:sz w:val="24"/>
        </w:rPr>
        <w:t>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(i) </w:t>
      </w:r>
      <w:r>
        <w:rPr>
          <w:rFonts w:hint="eastAsia" w:ascii="Times New Roman" w:hAnsi="Times New Roman"/>
          <w:color w:val="000000"/>
          <w:kern w:val="0"/>
          <w:sz w:val="24"/>
        </w:rPr>
        <w:t>各层次金融工具公允价值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日，本基金持有的以公允价值计量且其变动计入当期损益的金融资产中属于第一层次的余额为</w:t>
      </w:r>
      <w:r>
        <w:rPr>
          <w:rFonts w:hint="default" w:ascii="Times New Roman" w:hAnsi="Times New Roman"/>
          <w:color w:val="000000"/>
          <w:kern w:val="0"/>
          <w:sz w:val="24"/>
        </w:rPr>
        <w:t>62,948,487.26</w:t>
      </w:r>
      <w:r>
        <w:rPr>
          <w:rFonts w:hint="eastAsia" w:ascii="Times New Roman" w:hAnsi="Times New Roman"/>
          <w:color w:val="000000"/>
          <w:kern w:val="0"/>
          <w:sz w:val="24"/>
        </w:rPr>
        <w:t>元，属于第二层次的余额为</w:t>
      </w:r>
      <w:r>
        <w:rPr>
          <w:rFonts w:hint="default" w:ascii="Times New Roman" w:hAnsi="Times New Roman"/>
          <w:color w:val="000000"/>
          <w:kern w:val="0"/>
          <w:sz w:val="24"/>
        </w:rPr>
        <w:t>225,472,588.10</w:t>
      </w:r>
      <w:r>
        <w:rPr>
          <w:rFonts w:hint="eastAsia" w:ascii="Times New Roman" w:hAnsi="Times New Roman"/>
          <w:color w:val="000000"/>
          <w:kern w:val="0"/>
          <w:sz w:val="24"/>
        </w:rPr>
        <w:t>元，无属于第三层次的余额</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日：第一层次</w:t>
      </w:r>
      <w:r>
        <w:rPr>
          <w:rFonts w:hint="default" w:ascii="Times New Roman" w:hAnsi="Times New Roman"/>
          <w:color w:val="000000"/>
          <w:kern w:val="0"/>
          <w:sz w:val="24"/>
        </w:rPr>
        <w:t xml:space="preserve">20,306,412.00 </w:t>
      </w:r>
      <w:r>
        <w:rPr>
          <w:rFonts w:hint="eastAsia" w:ascii="Times New Roman" w:hAnsi="Times New Roman"/>
          <w:color w:val="000000"/>
          <w:kern w:val="0"/>
          <w:sz w:val="24"/>
        </w:rPr>
        <w:t>元，第二层次</w:t>
      </w:r>
      <w:r>
        <w:rPr>
          <w:rFonts w:hint="default" w:ascii="Times New Roman" w:hAnsi="Times New Roman"/>
          <w:color w:val="000000"/>
          <w:kern w:val="0"/>
          <w:sz w:val="24"/>
        </w:rPr>
        <w:t xml:space="preserve">430,903,472.50 </w:t>
      </w:r>
      <w:r>
        <w:rPr>
          <w:rFonts w:hint="eastAsia" w:ascii="Times New Roman" w:hAnsi="Times New Roman"/>
          <w:color w:val="000000"/>
          <w:kern w:val="0"/>
          <w:sz w:val="24"/>
        </w:rPr>
        <w:t>元，无第三层次</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(ii) </w:t>
      </w:r>
      <w:r>
        <w:rPr>
          <w:rFonts w:hint="eastAsia" w:ascii="Times New Roman" w:hAnsi="Times New Roman"/>
          <w:color w:val="000000"/>
          <w:kern w:val="0"/>
          <w:sz w:val="24"/>
        </w:rPr>
        <w:t>公允价值所属层次间的重大变动</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(iii) </w:t>
      </w:r>
      <w:r>
        <w:rPr>
          <w:rFonts w:hint="eastAsia" w:ascii="Times New Roman" w:hAnsi="Times New Roman"/>
          <w:color w:val="000000"/>
          <w:kern w:val="0"/>
          <w:sz w:val="24"/>
        </w:rPr>
        <w:t>第三层次公允价值余额和本期变动金额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(c) </w:t>
      </w:r>
      <w:r>
        <w:rPr>
          <w:rFonts w:hint="eastAsia" w:ascii="Times New Roman" w:hAnsi="Times New Roman"/>
          <w:color w:val="000000"/>
          <w:kern w:val="0"/>
          <w:sz w:val="24"/>
        </w:rPr>
        <w:t>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日，本基金未持有非持续的以公允价值计量的金融工具</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(d) </w:t>
      </w:r>
      <w:r>
        <w:rPr>
          <w:rFonts w:hint="eastAsia" w:ascii="Times New Roman" w:hAnsi="Times New Roman"/>
          <w:color w:val="000000"/>
          <w:kern w:val="0"/>
          <w:sz w:val="24"/>
        </w:rPr>
        <w:t>不以公允价值计量的金融工具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(2) </w:t>
      </w:r>
      <w:r>
        <w:rPr>
          <w:rFonts w:hint="eastAsia" w:ascii="Times New Roman" w:hAnsi="Times New Roman"/>
          <w:color w:val="000000"/>
          <w:kern w:val="0"/>
          <w:sz w:val="24"/>
        </w:rPr>
        <w:t>除公允价值外，截至资产负债表日本基金无需要说明的其他重要事项。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4" w:name="_Toc477939603"/>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4"/>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5" w:name="_Toc477939604"/>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5"/>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权益投资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固定收益投资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227,856,049.20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其中：债券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227,856,049.20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金融衍生品投资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15,490,362.88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其他各项资产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4,696,431.42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308,607,869.66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974"/>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行业类别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公允价值（元）</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A</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农、林、牧、渔业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B</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采矿业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C</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制造业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38,953,532.16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D</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765,210.00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E</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建筑业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F</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批发和零售业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2,806,122.00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G</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交通运输、仓储和邮政业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住宿和餐饮业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I</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2,217,902.00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J</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11,268,220.00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K</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房地产业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573,180.00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L</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租赁和商务服务业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M</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科学研究和技术服务业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N</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561,750.00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O</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P</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教育</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454,880.00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Q</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卫生和社会工作</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459,170.00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R</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文化、体育和娱乐业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2,052,660.00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S</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综合</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452,400.00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60,565,026.16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6" w:name="_Toc477939606"/>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6"/>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601211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1,189,760.00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华兰生物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1,179,750.00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佛山照明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1,102,080.00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翰宇药业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1,096,780.00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000166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申万宏源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1,087,500.00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1,043,900.00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金正大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1,011,200.00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得润电子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1,002,933.00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厦门国贸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益佰制药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982,350.00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华泰证券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946,580.00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一心堂</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941,280.00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七</w:t>
            </w:r>
            <w:r>
              <w:rPr>
                <w:rFonts w:hint="default" w:ascii="Times New Roman" w:hAnsi="Times New Roman"/>
                <w:color w:val="000000"/>
                <w:kern w:val="0"/>
                <w:sz w:val="24"/>
              </w:rPr>
              <w:t xml:space="preserve"> </w:t>
            </w:r>
            <w:r>
              <w:rPr>
                <w:rFonts w:hint="eastAsia" w:ascii="Times New Roman" w:hAnsi="Times New Roman"/>
                <w:color w:val="000000"/>
                <w:kern w:val="0"/>
                <w:sz w:val="24"/>
              </w:rPr>
              <w:t>匹</w:t>
            </w:r>
            <w:r>
              <w:rPr>
                <w:rFonts w:hint="default" w:ascii="Times New Roman" w:hAnsi="Times New Roman"/>
                <w:color w:val="000000"/>
                <w:kern w:val="0"/>
                <w:sz w:val="24"/>
              </w:rPr>
              <w:t xml:space="preserve"> </w:t>
            </w:r>
            <w:r>
              <w:rPr>
                <w:rFonts w:hint="eastAsia" w:ascii="Times New Roman" w:hAnsi="Times New Roman"/>
                <w:color w:val="000000"/>
                <w:kern w:val="0"/>
                <w:sz w:val="24"/>
              </w:rPr>
              <w:t>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939,320.00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广电运通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70,650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938,232.00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渤海活塞</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859,420.00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金陵药业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784,740.00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尚荣医疗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780,472.00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森马服饰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770,250.00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昆药集团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770,070.00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中牧股份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鱼跃医疗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750,684.00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启迪古汉</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746,700.00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信雅达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746,102.00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复星医药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740,480.00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太极实业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732,450.00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沪电股份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731,340.00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宋城演艺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691,020.00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常山药业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677,820.00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洽洽食品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674,520.00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新华医疗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662,904.00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顺鑫农业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洋河股份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607,160.00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时代出版</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589,280.00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康恩贝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584,800.00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双林股份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雅戈尔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573,180.00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黄山旅游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兴业证券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558,450.00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海大集团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556,850.00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上海梅林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胜宏科技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548,400.00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中航资本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544,680.00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葵花药业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江淮汽车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531,760.00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东北证券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528,700.00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三环集团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524,040.00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522,560.00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云赛智联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514,620.00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美康生物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513,230.00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扬杰科技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511,680.00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东方财富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广发证券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505,800.00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中文传媒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福瑞股份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502,800.00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501,500.00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拓普集团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500,140.00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人福医药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498,750.00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亿纬锂能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496,400.00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均胜电子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496,350.00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494,780.00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西南证券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491,970.00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长江证券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491,040.00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601992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金隅股份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490,600.00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国投安信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483,910.00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通化东宝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482,460.00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东方网力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山西证券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601788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光大证券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479,700.00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宏发股份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479,250.00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国元证券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477,600.00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紫光国芯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474,336.00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瀚蓝环境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473,880.00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模塑科技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459,250.00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泰格医药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459,170.00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新南洋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454,880.00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阳光照明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454,860.00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宁波韵升</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452,870.00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鲁信创投</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452,400.00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长海股份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451,440.00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东吴证券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451,180.00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光环新网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449,280.00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华邦健康</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444,430.00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喜临门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439,200.00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石大胜华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437,140.00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603968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醋化股份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436,680.00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海澜之家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410,020.00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万东医疗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389,580.00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326,130.00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天富能源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中鼎股份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285,340.00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中新药业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279,040.00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生物股份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268,515.00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华录百纳</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267,360.00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誉衡药业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262,350.00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老百姓</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华东医药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259,452.00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汤臣倍健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250,740.00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广生堂</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248,584.00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海鸥卫浴</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247,250.00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天康生物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242,190.00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华天科技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235,560.00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莎普爱思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4,302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181,243.26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和佳股份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153,540.00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26,695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王府井</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奥康国际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华统股份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11,881.70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道恩股份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10,405.68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美联新材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9,355.80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万里马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7,355.72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7" w:name="_Toc477939607"/>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本期累计买入金额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1,752,878.95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000049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1,740,418.00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翰宇药业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1,731,100.00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得润电子</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1,289,000.00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002007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华兰生物</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1,179,300.00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长江证券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1,170,200.00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000166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申万宏源</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1,168,500.00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000541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佛山照明</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1,164,240.00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601211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1,152,000.00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厦门国贸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1,084,000.00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华泰证券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1,083,200.00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600074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保千里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1,077,400.00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常山药业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1,073,900.00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300347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泰格医药</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1,062,100.00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信雅达</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943,200.00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600960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渤海活塞</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911,800.00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广电运通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880,200.00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600177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雅戈尔</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868,850.00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亚太科技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863,200.00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金正大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863,200.00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注：本期累计买入金额按买卖成交金额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本期累计卖出金额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000049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2,133,068.00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亚太科技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1,190,800.00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985,430.00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601007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金陵饭店</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957,140.00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002065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东华软件</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919,386.00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300244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迪安诊断</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897,469.20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600467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好当家</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883,155.50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600074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保千里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880,269.00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华天酒店</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878,400.00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600718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东软集团</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874,400.00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000732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泰禾集团</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872,000.00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300298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三诺生物</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868,554.00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翰宇药业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762,000.00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601901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方正证券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699,930.00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长江证券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691,600.00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中国人寿</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672,300.00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九牧王</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603328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依顿电子</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636,900.00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常山药业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635,800.00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600873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梅花生物</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634,500.00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注：本期累计卖出金额按买卖成交金额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买入股票的成本（成交）总额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85,480,418.91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卖出股票的收入（成交）总额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45,434,634.05</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注：买入股票成本、卖出股票收入均按买卖成交金额填列，不考虑相关交易费用。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8" w:name="_Toc477939608"/>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8"/>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529"/>
        <w:gridCol w:w="2528"/>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债券品种</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国家债券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78,984.20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央行票据</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其中：政策性金融债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40,385,100.00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企业短期融资券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中期票据</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141,266,000.00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可转债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16,392,965.00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同业存单</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29,733,000.00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227,856,049.20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79.10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9" w:name="_Toc477939609"/>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39"/>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806"/>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111609445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浦发</w:t>
            </w:r>
            <w:r>
              <w:rPr>
                <w:rFonts w:hint="default" w:ascii="Times New Roman" w:hAnsi="Times New Roman"/>
                <w:color w:val="000000"/>
                <w:kern w:val="0"/>
                <w:sz w:val="24"/>
              </w:rPr>
              <w:t>CD445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29,733,000.00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122311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r>
              <w:rPr>
                <w:rFonts w:hint="eastAsia" w:ascii="Times New Roman" w:hAnsi="Times New Roman"/>
                <w:color w:val="000000"/>
                <w:kern w:val="0"/>
                <w:sz w:val="24"/>
              </w:rPr>
              <w:t>海通</w:t>
            </w:r>
            <w:r>
              <w:rPr>
                <w:rFonts w:hint="default" w:ascii="Times New Roman" w:hAnsi="Times New Roman"/>
                <w:color w:val="000000"/>
                <w:kern w:val="0"/>
                <w:sz w:val="24"/>
              </w:rPr>
              <w:t>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23,181,700.00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101456004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r>
              <w:rPr>
                <w:rFonts w:hint="eastAsia" w:ascii="Times New Roman" w:hAnsi="Times New Roman"/>
                <w:color w:val="000000"/>
                <w:kern w:val="0"/>
                <w:sz w:val="24"/>
              </w:rPr>
              <w:t>北车</w:t>
            </w:r>
            <w:r>
              <w:rPr>
                <w:rFonts w:hint="default" w:ascii="Times New Roman" w:hAnsi="Times New Roman"/>
                <w:color w:val="000000"/>
                <w:kern w:val="0"/>
                <w:sz w:val="24"/>
              </w:rPr>
              <w:t>MTN001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20,232,000.00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101454021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r>
              <w:rPr>
                <w:rFonts w:hint="eastAsia" w:ascii="Times New Roman" w:hAnsi="Times New Roman"/>
                <w:color w:val="000000"/>
                <w:kern w:val="0"/>
                <w:sz w:val="24"/>
              </w:rPr>
              <w:t>深高速</w:t>
            </w:r>
            <w:r>
              <w:rPr>
                <w:rFonts w:hint="default" w:ascii="Times New Roman" w:hAnsi="Times New Roman"/>
                <w:color w:val="000000"/>
                <w:kern w:val="0"/>
                <w:sz w:val="24"/>
              </w:rPr>
              <w:t>MTN001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20,224,000.00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1282043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r>
              <w:rPr>
                <w:rFonts w:hint="eastAsia" w:ascii="Times New Roman" w:hAnsi="Times New Roman"/>
                <w:color w:val="000000"/>
                <w:kern w:val="0"/>
                <w:sz w:val="24"/>
              </w:rPr>
              <w:t>沪建股</w:t>
            </w:r>
            <w:r>
              <w:rPr>
                <w:rFonts w:hint="default" w:ascii="Times New Roman" w:hAnsi="Times New Roman"/>
                <w:color w:val="000000"/>
                <w:kern w:val="0"/>
                <w:sz w:val="24"/>
              </w:rPr>
              <w:t>MTN1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20,184,000.00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0" w:name="_Toc477939610"/>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4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本基金本报告期末未持有资产支持证券。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1" w:name="_Toc477939611"/>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2" w:name="_Toc477939612"/>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3" w:name="_Toc477939613"/>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3"/>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b/>
          <w:color w:val="000000"/>
          <w:kern w:val="0"/>
          <w:sz w:val="24"/>
        </w:rPr>
        <w:t xml:space="preserve">    </w:t>
      </w:r>
      <w:r>
        <w:rPr>
          <w:rFonts w:hint="eastAsia" w:ascii="Times New Roman" w:hAnsi="Times New Roman"/>
          <w:color w:val="000000"/>
          <w:kern w:val="0"/>
          <w:sz w:val="24"/>
        </w:rPr>
        <w:t>本基金本报告期末未持有股指期货。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4" w:name="_Toc477939614"/>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b/>
          <w:color w:val="000000"/>
          <w:kern w:val="0"/>
          <w:sz w:val="24"/>
        </w:rPr>
        <w:t xml:space="preserve">    </w:t>
      </w:r>
      <w:r>
        <w:rPr>
          <w:rFonts w:hint="eastAsia" w:ascii="Times New Roman" w:hAnsi="Times New Roman"/>
          <w:color w:val="000000"/>
          <w:kern w:val="0"/>
          <w:sz w:val="24"/>
        </w:rPr>
        <w:t>本基金本报告期末未持有国债期货。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5" w:name="_Toc477939615"/>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5"/>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25</w:t>
      </w:r>
      <w:r>
        <w:rPr>
          <w:rFonts w:hint="eastAsia" w:ascii="Times New Roman" w:hAnsi="Times New Roman"/>
          <w:color w:val="000000"/>
          <w:kern w:val="0"/>
          <w:sz w:val="24"/>
        </w:rPr>
        <w:t>日，海通证券因两个营业部经营违规受到证监会处罚，没收加罚款金额合计约</w:t>
      </w:r>
      <w:r>
        <w:rPr>
          <w:rFonts w:hint="default" w:ascii="Times New Roman" w:hAnsi="Times New Roman"/>
          <w:color w:val="000000"/>
          <w:kern w:val="0"/>
          <w:sz w:val="24"/>
        </w:rPr>
        <w:t>1.15</w:t>
      </w:r>
      <w:r>
        <w:rPr>
          <w:rFonts w:hint="eastAsia" w:ascii="Times New Roman" w:hAnsi="Times New Roman"/>
          <w:color w:val="000000"/>
          <w:kern w:val="0"/>
          <w:sz w:val="24"/>
        </w:rPr>
        <w:t>亿元。</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本基金投研人员分析认为，在受到处罚后，海通证券公司改正态度积极，并迅速做出反应，查找不足，积极整改，该事件发生后该公司经营状况正常。另外，公司</w:t>
      </w:r>
      <w:r>
        <w:rPr>
          <w:rFonts w:hint="default" w:ascii="Times New Roman" w:hAnsi="Times New Roman"/>
          <w:color w:val="000000"/>
          <w:kern w:val="0"/>
          <w:sz w:val="24"/>
        </w:rPr>
        <w:t>2015</w:t>
      </w:r>
      <w:r>
        <w:rPr>
          <w:rFonts w:hint="eastAsia" w:ascii="Times New Roman" w:hAnsi="Times New Roman"/>
          <w:color w:val="000000"/>
          <w:kern w:val="0"/>
          <w:sz w:val="24"/>
        </w:rPr>
        <w:t>年营业利润为</w:t>
      </w:r>
      <w:r>
        <w:rPr>
          <w:rFonts w:hint="default" w:ascii="Times New Roman" w:hAnsi="Times New Roman"/>
          <w:color w:val="000000"/>
          <w:kern w:val="0"/>
          <w:sz w:val="24"/>
        </w:rPr>
        <w:t>211</w:t>
      </w:r>
      <w:r>
        <w:rPr>
          <w:rFonts w:hint="eastAsia" w:ascii="Times New Roman" w:hAnsi="Times New Roman"/>
          <w:color w:val="000000"/>
          <w:kern w:val="0"/>
          <w:sz w:val="24"/>
        </w:rPr>
        <w:t>亿元，股东权益为</w:t>
      </w:r>
      <w:r>
        <w:rPr>
          <w:rFonts w:hint="default" w:ascii="Times New Roman" w:hAnsi="Times New Roman"/>
          <w:color w:val="000000"/>
          <w:kern w:val="0"/>
          <w:sz w:val="24"/>
        </w:rPr>
        <w:t>1169</w:t>
      </w:r>
      <w:r>
        <w:rPr>
          <w:rFonts w:hint="eastAsia" w:ascii="Times New Roman" w:hAnsi="Times New Roman"/>
          <w:color w:val="000000"/>
          <w:kern w:val="0"/>
          <w:sz w:val="24"/>
        </w:rPr>
        <w:t>亿元，</w:t>
      </w:r>
      <w:r>
        <w:rPr>
          <w:rFonts w:hint="default" w:ascii="Times New Roman" w:hAnsi="Times New Roman"/>
          <w:color w:val="000000"/>
          <w:kern w:val="0"/>
          <w:sz w:val="24"/>
        </w:rPr>
        <w:t>1.15</w:t>
      </w:r>
      <w:r>
        <w:rPr>
          <w:rFonts w:hint="eastAsia" w:ascii="Times New Roman" w:hAnsi="Times New Roman"/>
          <w:color w:val="000000"/>
          <w:kern w:val="0"/>
          <w:sz w:val="24"/>
        </w:rPr>
        <w:t>亿元罚款对公司利润、股东权益的影响非常有限。该公司作为证券行业龙头之一，经营和财务状况良好，主体评级</w:t>
      </w:r>
      <w:r>
        <w:rPr>
          <w:rFonts w:hint="default" w:ascii="Times New Roman" w:hAnsi="Times New Roman"/>
          <w:color w:val="000000"/>
          <w:kern w:val="0"/>
          <w:sz w:val="24"/>
        </w:rPr>
        <w:t>AAA</w:t>
      </w:r>
      <w:r>
        <w:rPr>
          <w:rFonts w:hint="eastAsia" w:ascii="Times New Roman" w:hAnsi="Times New Roman"/>
          <w:color w:val="000000"/>
          <w:kern w:val="0"/>
          <w:sz w:val="24"/>
        </w:rPr>
        <w:t>，符合我公司债券投资标准。本基金基金经理依据基金合同和公司投资管理制度，在投资授权范围内，经正常投资决策程序对海通证券发行的债券进行了投资。</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本基金投资的前十名股票未超出基金合同规定的备选股票库。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31,190.22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4,665,241.20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其他应收款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待摊费用</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4,696,431.42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806"/>
        <w:gridCol w:w="2168"/>
        <w:gridCol w:w="2528"/>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123001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蓝标转债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4,348,400.00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128012</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辉丰转债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4,315,756.80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110032</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三一转债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3,315,600.00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航信转债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3,257,400.00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113008</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电气转债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1,144,300.00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0.40</w:t>
            </w:r>
          </w:p>
        </w:tc>
      </w:tr>
    </w:tbl>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流通受限部分的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流通受限情况</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000166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申万宏源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1,087,500.00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重大事项停牌</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6" w:name="_Toc477939616"/>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7" w:name="_Toc477939617"/>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7"/>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806"/>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机构投资者</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26,142.71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8" w:name="_Toc477939618"/>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持有份额总数（份）</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359,484.89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9" w:name="_Toc477939619"/>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4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持有基金份额总量的数量区间（万份）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0" w:name="_Toc477939620"/>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5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3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本报告期期初基金份额总额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本报告期基金总申购份额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减：本报告期基金总赎回份额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本报告期基金拆分变动份额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280,328,286.75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1" w:name="_Toc477939621"/>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2" w:name="_Toc477939622"/>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3" w:name="_Toc477939623"/>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本报告期内基金管理人、基金托管人的专门基金托管部门无重大人事变动。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4" w:name="_Toc477939624"/>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5" w:name="_Toc477939625"/>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本报告期内基金投资策略无重大改变。</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6" w:name="_Toc477939626"/>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6"/>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本报告期内本基金未更换会计师事务所，本年度支付给普华永道中天会计师事务所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71,000.00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1</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7" w:name="_Toc477939627"/>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7"/>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本报告期内，基金管理人、基金托管人及其高级管理人员没有受到监管部门稽查或处罚等情况。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8" w:name="_Toc477939628"/>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8"/>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交易单元</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股票交易</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占股票</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占当期佣金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9,521,203.39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6,855.21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光大证券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120,283,844.90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110,838.33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94.18%</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注：交易单元的选择标准和程序：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本基金在报告期新增光大证券的</w:t>
      </w:r>
      <w:r>
        <w:rPr>
          <w:rFonts w:hint="default" w:ascii="Times New Roman" w:hAnsi="Times New Roman"/>
          <w:color w:val="000000"/>
          <w:kern w:val="0"/>
          <w:sz w:val="21"/>
        </w:rPr>
        <w:t>2</w:t>
      </w:r>
      <w:r>
        <w:rPr>
          <w:rFonts w:hint="eastAsia" w:ascii="Times New Roman" w:hAnsi="Times New Roman"/>
          <w:color w:val="000000"/>
          <w:kern w:val="0"/>
          <w:sz w:val="21"/>
        </w:rPr>
        <w:t>个交易单元。</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占债券回购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占权证</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98,125,063.64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60.72%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8,324,612,000.00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74.53%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光大证券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63,484,609.04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2,845,600,000.00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25.47%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9" w:name="_Toc477939629"/>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5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创金合信基金管理有限公司关于在指数熔断实施期间调整旗下部分基金开放时间的公告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创金合信基金管理有限公司关于旗下部分基金估值方法变更的提示性公告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公司官网、上海证券报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0" w:name="_Toc477939630"/>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60"/>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145"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1" w:name="_Toc477939631"/>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2" w:name="_Toc477939632"/>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、《创金合信聚财保本混合型证券投资基金基金合同》；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、《创金合信聚财保本混合型证券投资基金托管协议》；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、创金合信聚财保本混合型证券投资基金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3" w:name="_Toc477939633"/>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4" w:name="_Toc477939634"/>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4"/>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beforeLines="0" w:afterLines="0"/>
      <w:jc w:val="left"/>
      <w:rPr>
        <w:rFonts w:hint="default" w:ascii="宋体"/>
        <w:kern w:val="0"/>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eastAsia="Times New Roman"/>
              <w:kern w:val="0"/>
              <w:sz w:val="24"/>
            </w:rPr>
            <w:pict>
              <v:shape id="_x0000_i1025" o:spt="75" type="#_x0000_t75" style="height:16.95pt;width:14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创金合信聚财保本混合型证券投资基金2016年年度报告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2"/>
          <w:tcBorders>
            <w:top w:val="single" w:color="000000" w:sz="8" w:space="0"/>
            <w:left w:val="nil"/>
            <w:bottom w:val="nil"/>
            <w:right w:val="nil"/>
            <w:tl2br w:val="nil"/>
            <w:tr2bl w:val="nil"/>
          </w:tcBorders>
          <w:noWrap w:val="0"/>
          <w:vAlign w:val="top"/>
        </w:tcPr>
        <w:p>
          <w:pPr>
            <w:autoSpaceDE w:val="0"/>
            <w:autoSpaceDN w:val="0"/>
            <w:adjustRightInd w:val="0"/>
            <w:spacing w:beforeLines="0" w:afterLines="0"/>
            <w:jc w:val="left"/>
            <w:rPr>
              <w:rFonts w:hint="default" w:ascii="Arial"/>
              <w:color w:val="000000"/>
              <w:kern w:val="0"/>
              <w:sz w:val="11"/>
            </w:rPr>
          </w:pPr>
        </w:p>
      </w:tc>
    </w:tr>
  </w:tbl>
  <w:p>
    <w:pPr>
      <w:spacing w:beforeLines="0" w:afterLines="0"/>
      <w:rPr>
        <w:rFonts w:hint="default"/>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202C7C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ocument Map"/>
    <w:basedOn w:val="1"/>
    <w:link w:val="13"/>
    <w:unhideWhenUsed/>
    <w:uiPriority w:val="99"/>
    <w:pPr>
      <w:spacing w:beforeLines="0" w:afterLines="0"/>
    </w:pPr>
    <w:rPr>
      <w:rFonts w:hint="eastAsia" w:ascii="宋体"/>
      <w:sz w:val="18"/>
    </w:rPr>
  </w:style>
  <w:style w:type="paragraph" w:styleId="3">
    <w:name w:val="Balloon Text"/>
    <w:basedOn w:val="1"/>
    <w:link w:val="11"/>
    <w:unhideWhenUsed/>
    <w:uiPriority w:val="99"/>
    <w:pPr>
      <w:spacing w:beforeLines="0" w:afterLines="0"/>
    </w:pPr>
    <w:rPr>
      <w:rFonts w:hint="eastAsia"/>
      <w:sz w:val="18"/>
    </w:rPr>
  </w:style>
  <w:style w:type="paragraph" w:styleId="4">
    <w:name w:val="footer"/>
    <w:basedOn w:val="1"/>
    <w:link w:val="14"/>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2"/>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批注框文本 Char"/>
    <w:basedOn w:val="9"/>
    <w:link w:val="3"/>
    <w:unhideWhenUsed/>
    <w:locked/>
    <w:uiPriority w:val="99"/>
    <w:rPr>
      <w:rFonts w:hint="default" w:ascii="Calibri"/>
      <w:sz w:val="18"/>
    </w:rPr>
  </w:style>
  <w:style w:type="character" w:customStyle="1" w:styleId="12">
    <w:name w:val="页眉 Char"/>
    <w:basedOn w:val="9"/>
    <w:link w:val="5"/>
    <w:unhideWhenUsed/>
    <w:locked/>
    <w:uiPriority w:val="99"/>
    <w:rPr>
      <w:rFonts w:hint="default" w:ascii="Calibri"/>
      <w:sz w:val="18"/>
    </w:rPr>
  </w:style>
  <w:style w:type="character" w:customStyle="1" w:styleId="13">
    <w:name w:val="文档结构图 Char"/>
    <w:basedOn w:val="9"/>
    <w:link w:val="2"/>
    <w:unhideWhenUsed/>
    <w:locked/>
    <w:uiPriority w:val="99"/>
    <w:rPr>
      <w:rFonts w:hint="eastAsia" w:ascii="宋体" w:hAnsi="Calibri" w:eastAsia="宋体"/>
      <w:sz w:val="18"/>
    </w:rPr>
  </w:style>
  <w:style w:type="character" w:customStyle="1" w:styleId="14">
    <w:name w:val="页脚 Char"/>
    <w:basedOn w:val="9"/>
    <w:link w:val="4"/>
    <w:unhideWhenUsed/>
    <w:locked/>
    <w:uiPriority w:val="99"/>
    <w:rPr>
      <w:rFonts w:hint="default" w:ascii="Calibri"/>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2019-12-26T14:04:29Z</dcterms:created>
  <cp:lastModifiedBy>Administrator</cp:lastModifiedBy>
  <dcterms:modified xsi:type="dcterms:W3CDTF">2019-12-26T14:04:31Z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