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创金合信鑫优选灵活配置混合型证券投资基金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7259"/>
      <w:r>
        <w:rPr>
          <w:rFonts w:hint="eastAsia" w:hAnsi="Calibri"/>
          <w:b/>
          <w:color w:val="000000"/>
        </w:rPr>
        <w:t>§1  重要提示及目录</w:t>
      </w:r>
      <w:bookmarkEnd w:id="0"/>
      <w:r>
        <w:rPr>
          <w:rFonts w:hint="eastAsia"/>
        </w:rPr>
        <w:t xml:space="preserve"> </w:t>
      </w:r>
    </w:p>
    <w:p>
      <w:pPr>
        <w:pStyle w:val="14"/>
        <w:rPr>
          <w:rFonts w:hint="eastAsia"/>
        </w:rPr>
      </w:pPr>
      <w:bookmarkStart w:id="1" w:name="_Toc51010726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7261"/>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"_Toc510107259"</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_Toc510107259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"_Toc510107260"</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_Toc510107260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"_Toc510107261"</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_Toc510107261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"_Toc510107262"</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_Toc510107262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"_Toc510107263"</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_Toc510107263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"_Toc510107264"</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_Toc510107264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"_Toc510107265"</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_Toc510107265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"_Toc510107266"</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_Toc510107266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"_Toc510107267"</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_Toc510107267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"_Toc510107268"</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_Toc510107268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"_Toc510107269"</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_Toc510107269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"_Toc510107270"</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_Toc510107270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"_Toc510107271"</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_Toc510107271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"_Toc510107272"</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_Toc510107272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"_Toc510107273"</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_Toc510107273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"_Toc510107274"</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_Toc510107274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"_Toc510107275"</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_Toc510107275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"_Toc510107276"</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_Toc510107276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"_Toc510107277"</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_Toc510107277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"_Toc510107278"</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_Toc510107278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"_Toc510107279"</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_Toc510107279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"_Toc510107280"</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_Toc510107280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"_Toc510107281"</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_Toc510107281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"_Toc510107282"</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_Toc510107282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"_Toc510107283"</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_Toc510107283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"_Toc510107284"</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_Toc510107284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"_Toc510107285"</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_Toc510107285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"_Toc510107286"</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_Toc510107286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"_Toc510107287"</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_Toc510107287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"_Toc510107288"</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_Toc510107288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"_Toc510107289"</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_Toc510107289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"_Toc510107290"</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_Toc510107290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"_Toc510107291"</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_Toc510107291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"_Toc510107292"</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_Toc510107292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"_Toc510107293"</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_Toc510107293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"_Toc510107294"</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_Toc510107294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"_Toc510107295"</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_Toc510107295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"_Toc510107296"</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_Toc510107296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"_Toc510107297"</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_Toc510107297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"_Toc510107298"</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_Toc510107298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"_Toc510107299"</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_Toc510107299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"_Toc510107300"</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_Toc510107300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"_Toc510107301"</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_Toc510107301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"_Toc510107302"</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_Toc510107302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"_Toc510107303"</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_Toc510107303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"_Toc510107304"</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_Toc510107304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"_Toc510107305"</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_Toc510107305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"_Toc510107306"</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_Toc510107306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"_Toc510107307"</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_Toc510107307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"_Toc510107308"</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_Toc510107308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"_Toc510107309"</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_Toc510107309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"_Toc510107310"</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_Toc510107310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"_Toc510107311"</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_Toc510107311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"_Toc510107312"</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_Toc510107312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"_Toc510107313"</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_Toc510107313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"_Toc510107314"</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_Toc510107314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"_Toc510107315"</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_Toc510107315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"_Toc510107316"</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_Toc510107316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"_Toc510107317"</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_Toc510107317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"_Toc510107318"</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_Toc510107318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"_Toc510107319"</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_Toc510107319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"_Toc510107320"</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_Toc510107320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"_Toc510107321"</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_Toc510107321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"_Toc510107322"</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_Toc510107322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"_Toc510107323"</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_Toc510107323 \h </w:instrText>
      </w:r>
      <w:r>
        <w:rPr>
          <w:lang/>
        </w:rPr>
        <w:fldChar w:fldCharType="separate"/>
      </w:r>
      <w:r>
        <w:rPr>
          <w:lang/>
        </w:rPr>
        <w:t>64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"_Toc510107324"</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_Toc510107324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"_Toc510107325"</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_Toc510107325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"_Toc510107326"</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_Toc510107326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"_Toc510107327"</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_Toc510107327 \h </w:instrText>
      </w:r>
      <w:r>
        <w:rPr>
          <w:lang/>
        </w:rPr>
        <w:fldChar w:fldCharType="separate"/>
      </w:r>
      <w:r>
        <w:rPr>
          <w:lang/>
        </w:rPr>
        <w:t>65</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726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726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002101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2015年11月19日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5,009,412.75份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002102</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191,196.76份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4,818,215.99份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726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本基金是混合型证券投资基金，属于证券投资基金中的中等风险品种，本基金的预期收益和预期风险高于货币市场基金、债券型基金，低于股票型基金。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726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51010726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726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726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726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437"/>
        <w:gridCol w:w="1216"/>
        <w:gridCol w:w="1216"/>
        <w:gridCol w:w="1216"/>
        <w:gridCol w:w="1216"/>
        <w:gridCol w:w="1372"/>
        <w:gridCol w:w="137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2015年11月19日（基金合同生效日）-2015年12月31日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创金合信鑫优选混合C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-314,738.59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-12,603,584.52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25,746.42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46,337,515.34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16,602,725.43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91,441.58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1,951,764.25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16,430,871.53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31,463,913.15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14,917.12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-32,847.07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18,917.13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27,006,512.57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16,602,738.16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211,819.74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4,923,671.47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339,261.38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578,351,456.51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101,893.26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2,531,699,685.15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pStyle w:val="14"/>
        <w:rPr>
          <w:rFonts w:hint="eastAsia"/>
        </w:rPr>
      </w:pPr>
      <w:bookmarkStart w:id="11" w:name="_Toc510107270"/>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创金合信鑫优选混合A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bl>
    <w:p>
      <w:pPr>
        <w:pStyle w:val="17"/>
        <w:rPr>
          <w:rFonts w:hint="eastAsia"/>
        </w:rPr>
      </w:pPr>
      <w:r>
        <w:rPr>
          <w:rFonts w:hint="eastAsia" w:hAnsi="Calibri"/>
          <w:color w:val="000000"/>
        </w:rPr>
        <w:t>创金合信鑫优选混合C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2101_FB010010_20180002_2.jpg" type="#_x0000_t75" style="height:286.2pt;width:441pt;" filled="f" stroked="f" coordsize="21600,21600">
            <v:path/>
            <v:fill on="f" focussize="0,0"/>
            <v:stroke on="f"/>
            <v:imagedata r:id="rId10" grayscale="f" bilevel="f" o:title="CN_50990000_002101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2101_FB010010_20180002_3.jpg" type="#_x0000_t75" style="height:286.2pt;width:441pt;" filled="f" stroked="f" coordsize="21600,21600">
            <v:path/>
            <v:fill on="f" focussize="0,0"/>
            <v:stroke on="f"/>
            <v:imagedata r:id="rId11" grayscale="f" bilevel="f" o:title="CN_50990000_002101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2101_FB010010_20180002_4.jpg" type="#_x0000_t75" style="height:285.95pt;width:440.6pt;" filled="f" stroked="f" coordsize="21600,21600">
            <v:path/>
            <v:fill on="f" focussize="0,0"/>
            <v:stroke on="f"/>
            <v:imagedata r:id="rId12" grayscale="f" bilevel="f" o:title="CN_50990000_002101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2101_FB010010_20180002_5.jpg" type="#_x0000_t75" style="height:285.95pt;width:440.6pt;" filled="f" stroked="f" coordsize="21600,21600">
            <v:path/>
            <v:fill on="f" focussize="0,0"/>
            <v:stroke on="f"/>
            <v:imagedata r:id="rId13" grayscale="f" bilevel="f" o:title="CN_50990000_002101_FB010010_20180002_5"/>
            <o:lock v:ext="edit" grouping="f" rotation="f" aspectratio="t"/>
            <w10:wrap type="none"/>
            <w10:anchorlock/>
          </v:shape>
        </w:pict>
      </w:r>
    </w:p>
    <w:p>
      <w:pPr>
        <w:pStyle w:val="14"/>
        <w:rPr>
          <w:rFonts w:hint="eastAsia"/>
        </w:rPr>
      </w:pPr>
      <w:bookmarkStart w:id="12" w:name="_Toc510107271"/>
      <w:r>
        <w:rPr>
          <w:rFonts w:hint="eastAsia" w:hAnsi="Calibri"/>
          <w:b/>
          <w:color w:val="000000"/>
        </w:rPr>
        <w:t>3.3 过去三年基金的利润分配情况</w:t>
      </w:r>
      <w:bookmarkEnd w:id="12"/>
    </w:p>
    <w:p>
      <w:pPr>
        <w:pStyle w:val="20"/>
        <w:rPr>
          <w:rFonts w:hint="eastAsia"/>
        </w:rPr>
      </w:pPr>
      <w:r>
        <w:rPr>
          <w:rFonts w:hint="eastAsia"/>
        </w:rPr>
        <w:t>本基金自基金合同生效日（2015年11月19日）至本报告期末未发生利润分配。</w:t>
      </w:r>
    </w:p>
    <w:p>
      <w:pPr>
        <w:pStyle w:val="13"/>
        <w:rPr>
          <w:rFonts w:hint="eastAsia"/>
        </w:rPr>
      </w:pPr>
      <w:bookmarkStart w:id="13" w:name="_Toc51010727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7273"/>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2015-11-25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2015-11-19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先生，中国国籍，北京大学金融学硕士，权益投资基金经理。投资中注重宏观研究，自上而下，把握行业趋势；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7274"/>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7275"/>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7276"/>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鑫优选混合A基金份额净值为1.108元;本报告期内，基金份额净值增长率为4.63%，同期业绩比较基准收益率为7.32%;截至报告期末创金合信鑫优选混合C基金份额净值为1.022元;本报告期内，基金份额净值增长率为-2.57%，同期业绩比较基准收益率为7.32%。</w:t>
      </w:r>
    </w:p>
    <w:p>
      <w:pPr>
        <w:widowControl/>
        <w:jc w:val="left"/>
        <w:rPr>
          <w:rFonts w:hint="eastAsia" w:ascii="宋体" w:hAnsi="宋体" w:cs="宋体"/>
          <w:kern w:val="0"/>
          <w:sz w:val="24"/>
          <w:szCs w:val="24"/>
        </w:rPr>
      </w:pPr>
    </w:p>
    <w:p>
      <w:pPr>
        <w:pStyle w:val="14"/>
        <w:rPr>
          <w:rFonts w:hint="eastAsia"/>
        </w:rPr>
      </w:pPr>
      <w:bookmarkStart w:id="18" w:name="_Toc510107277"/>
      <w:r>
        <w:rPr>
          <w:rFonts w:hint="eastAsia"/>
          <w:b/>
          <w:bCs/>
        </w:rPr>
        <w:t>4.5 管理人对宏观经济、证券市场及行业走势的简要展望</w:t>
      </w:r>
      <w:bookmarkEnd w:id="18"/>
    </w:p>
    <w:p>
      <w:pPr>
        <w:pStyle w:val="20"/>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4"/>
        <w:rPr>
          <w:rFonts w:hint="eastAsia"/>
        </w:rPr>
      </w:pPr>
      <w:bookmarkStart w:id="19" w:name="_Toc510107278"/>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7279"/>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7280"/>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7281"/>
      <w:r>
        <w:rPr>
          <w:rFonts w:hint="eastAsia"/>
          <w:b/>
          <w:bCs/>
        </w:rPr>
        <w:t>4.9 报告期内管理人对本基金持有人数或基金资产净值预警情形的说明</w:t>
      </w:r>
      <w:bookmarkEnd w:id="22"/>
    </w:p>
    <w:p>
      <w:pPr>
        <w:pStyle w:val="20"/>
        <w:rPr>
          <w:rFonts w:hint="eastAsia"/>
        </w:rPr>
      </w:pPr>
      <w:r>
        <w:rPr>
          <w:rFonts w:hint="eastAsia"/>
        </w:rPr>
        <w:t>  截至本财务报告批准报出日,本基金已连续60个工作日基金资产净值低于五千万元,根据《公开募集证券投资基金运作管理办法》的有关规定,本基金管理人已向中国证监会报告并提出解决方案。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13"/>
        <w:rPr>
          <w:rFonts w:hint="eastAsia"/>
        </w:rPr>
      </w:pPr>
      <w:bookmarkStart w:id="23" w:name="_Toc51010728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7283"/>
      <w:r>
        <w:rPr>
          <w:rFonts w:hint="eastAsia"/>
          <w:b/>
          <w:bCs/>
        </w:rPr>
        <w:t>5.1 报告期内本基金托管人遵规守信情况声明</w:t>
      </w:r>
      <w:bookmarkEnd w:id="24"/>
    </w:p>
    <w:p>
      <w:pPr>
        <w:pStyle w:val="20"/>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4"/>
        <w:rPr>
          <w:rFonts w:hint="eastAsia"/>
        </w:rPr>
      </w:pPr>
      <w:bookmarkStart w:id="25" w:name="_Toc510107284"/>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510107285"/>
      <w:r>
        <w:rPr>
          <w:rFonts w:hint="eastAsia"/>
          <w:b/>
          <w:bCs/>
        </w:rPr>
        <w:t>5.3 托管人对本年度报告中财务信息等内容的真实、准确和完整发表意见</w:t>
      </w:r>
      <w:bookmarkEnd w:id="26"/>
    </w:p>
    <w:p>
      <w:pPr>
        <w:pStyle w:val="20"/>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3"/>
        <w:rPr>
          <w:rFonts w:hint="eastAsia"/>
        </w:rPr>
      </w:pPr>
      <w:bookmarkStart w:id="27" w:name="_Toc51010728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728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普华永道中天审字(2018)第21841号</w:t>
            </w:r>
          </w:p>
        </w:tc>
      </w:tr>
    </w:tbl>
    <w:p>
      <w:pPr>
        <w:widowControl/>
        <w:jc w:val="left"/>
        <w:rPr>
          <w:rFonts w:hint="eastAsia" w:ascii="宋体" w:hAnsi="宋体" w:cs="宋体"/>
          <w:kern w:val="0"/>
          <w:sz w:val="24"/>
          <w:szCs w:val="24"/>
        </w:rPr>
      </w:pPr>
    </w:p>
    <w:p>
      <w:pPr>
        <w:pStyle w:val="14"/>
        <w:rPr>
          <w:rFonts w:hint="eastAsia"/>
        </w:rPr>
      </w:pPr>
      <w:bookmarkStart w:id="29" w:name="_Toc51010728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我们审计了创金合信鑫优选灵活配置混合型证券投资基金 (以下简称"创金合信鑫优选混合基金")的财务报表，包括2017年12月31日的资产负债表，2017年度的利润表和所有者权益(基金净值)变动表以及财务报表附注。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优选混合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按照中国注册会计师职业道德守则，我们独立于创金合信鑫优选混合基金，并履行了职业道德方面的其他责任。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优选混合基金的持续经营能力，披露与持续经营相关的事项(如适用)，并运用持续经营假设，除非基金管理人管理层计划清算创金合信鑫优选混合基金、终止运营或别无其他现实的选择。 基金管理人治理层负责监督创金合信鑫优选混合基金的财务报告过程。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优选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优选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728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7290"/>
      <w:r>
        <w:rPr>
          <w:rFonts w:hint="eastAsia"/>
          <w:b/>
          <w:bCs/>
        </w:rPr>
        <w:t>7.1 资产负债表</w:t>
      </w:r>
      <w:bookmarkEnd w:id="31"/>
    </w:p>
    <w:p>
      <w:pPr>
        <w:pStyle w:val="17"/>
        <w:rPr>
          <w:rFonts w:hint="eastAsia"/>
        </w:rPr>
      </w:pPr>
      <w:r>
        <w:rPr>
          <w:rFonts w:hint="eastAsia"/>
        </w:rPr>
        <w:t>会计主体：创金合信鑫优选灵活配置混合型证券投资基金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227,258.84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44,353,033.26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2,512,498.71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100,772.34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696,709,400.51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68,911,007.92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627,798,392.59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430,740.53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14,395.21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11,371,486.85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9,330.06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5,495,095.96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755,056,521.73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144,399,383.40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284,642.59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31,000,753.07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104.65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2,652.02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315,468.00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105,156.01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105,088.70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100,124.66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119,125.35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359,604.75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176,365,803.84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5,009,412.75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551,665,288.19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126,078.46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27,025,429.70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5,135,491.21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578,690,717.89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5,495,095.96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755,056,521.73</w:t>
            </w:r>
          </w:p>
        </w:tc>
      </w:tr>
    </w:tbl>
    <w:p>
      <w:pPr>
        <w:pStyle w:val="20"/>
        <w:rPr>
          <w:rFonts w:hint="eastAsia"/>
        </w:rPr>
      </w:pPr>
      <w:r>
        <w:rPr>
          <w:rFonts w:hint="eastAsia"/>
        </w:rPr>
        <w:t>注：报告截止日2017年12月31日，基金份额总额5,009,412.75份，其中A类基金份额的份额总额为191,196.76份，份额净值1.108元；C类基金份额的份额总额为4,818,215.99份，份额净值1.022元。</w:t>
      </w:r>
    </w:p>
    <w:p>
      <w:pPr>
        <w:pStyle w:val="14"/>
        <w:rPr>
          <w:rFonts w:hint="eastAsia"/>
        </w:rPr>
      </w:pPr>
      <w:bookmarkStart w:id="32" w:name="_Toc510107291"/>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会计主体：创金合信鑫优选灵活配置混合型证券投资基金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4,554,788.59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35,098,126.05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5,177,438.45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57,590,682.55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646,657.46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4,643,524.73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56,329,564.43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433,302.72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614,460.66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-15,681,867.70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7,170,895.76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-4,683,458.58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3,832,631.45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-11,050,936.82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2,848,408.29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489,856.02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14,961,528.94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-29,911,582.91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97,688.90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248,130.65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2,511,582.76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18,646,447.20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804,829.83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8,472,279.02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268,276.61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2,824,093.09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261,056.91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2,823,263.60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423,460.71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433,496.46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639,241.38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3,803,508.24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639,241.38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3,803,508.24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114,717.32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289,806.79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2,043,205.83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16,451,678.85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2,043,205.83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16,451,678.85</w:t>
            </w:r>
          </w:p>
        </w:tc>
      </w:tr>
    </w:tbl>
    <w:p>
      <w:pPr>
        <w:pStyle w:val="14"/>
        <w:rPr>
          <w:rFonts w:hint="eastAsia"/>
        </w:rPr>
      </w:pPr>
      <w:bookmarkStart w:id="33" w:name="_Toc510107292"/>
      <w:r>
        <w:rPr>
          <w:rFonts w:hint="eastAsia"/>
          <w:b/>
          <w:bCs/>
        </w:rPr>
        <w:t>7.3 所有者权益（基金净值）变动表</w:t>
      </w:r>
      <w:bookmarkEnd w:id="33"/>
    </w:p>
    <w:p>
      <w:pPr>
        <w:pStyle w:val="17"/>
        <w:rPr>
          <w:rFonts w:hint="eastAsia"/>
        </w:rPr>
      </w:pPr>
      <w:r>
        <w:rPr>
          <w:rFonts w:hint="eastAsia"/>
        </w:rPr>
        <w:t>会计主体：创金合信鑫优选灵活配置混合型证券投资基金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551,665,288.19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27,025,429.70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578,690,717.89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2,043,205.83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2,043,205.83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-546,655,875.44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-28,942,557.07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-575,598,432.51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253,958,177.81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11,972,209.48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265,930,387.29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-800,614,053.25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-40,914,766.55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-841,528,819.80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5,009,412.75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126,078.46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5,135,491.21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2,500,336,346.85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31,465,231.56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2,531,801,578.41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16,451,678.85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16,451,678.85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-1,948,671,058.66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-20,891,480.71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-1,969,562,539.37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432,150,701.99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25,037,399.61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457,188,101.60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-2,380,821,760.65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-45,928,880.32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-2,426,750,640.97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551,665,288.19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27,025,429.70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578,690,717.89</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7293"/>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鑫优选灵活配置混合型证券投资基金(以下简称"本基金")经中国证券监督管理委员会(以下简称"中国证监会")证监许可[2015]1685号《关于准予创金合信鑫优选灵活配置混合型证券投资基金注册的批复》核准，由创金合信基金管理有限公司依照《中华人民共和国证券投资基金法》和《创金合信鑫优选灵活配置混合型证券投资基金基金合同》负责公开募集。本基金为契约型开放式，存续期限不定，首次设立募集不包括认购资金利息共募集人民币2,500,222,901.12元，业经普华永道中天会计师事务所(特殊普通合伙)普华永道中天验字(2015)第1293号验资报告予以验证。经向中国证监会备案，《创金合信鑫优选灵活配置混合型证券投资基金基金合同》于2015年11月19日正式生效，基金合同生效日的基金份额总额为2,500,335,401.12份基金份额，其中认购资金利息折合112,500.00份基金份额。本基金的基金管理人为创金合信基金管理有限公司，基金托管人为招商银行股份有限公司(以下简称"招商银行")。</w:t>
      </w:r>
      <w:r>
        <w:rPr>
          <w:rFonts w:hint="eastAsia"/>
        </w:rPr>
        <w:br w:type="textWrapping"/>
      </w:r>
      <w:r>
        <w:rPr>
          <w:rFonts w:hint="eastAsia"/>
        </w:rPr>
        <w:t>  根据《中华人民共和国证券投资基金法》和《创金合信鑫优选灵活配置混合型证券投资基金基金合同》的有关规定，本基金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优选灵活配置混合型证券投资基金基金合同》和在财务报表附注7.4.4所列示的中国证监会、中国基金业协会发布的有关规定及允许的基金行业实务操作编制。</w:t>
      </w:r>
      <w:r>
        <w:rPr>
          <w:rFonts w:hint="eastAsia"/>
        </w:rPr>
        <w:br w:type="textWrapping"/>
      </w:r>
      <w:r>
        <w:rPr>
          <w:rFonts w:hint="eastAsia"/>
        </w:rPr>
        <w:t>  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2017年12月31日，本基金出现连续60个工作日基金资产净值低于5,000万元的情形，本基金的基金管理人已向中国证监会报告并在评估后续处理方案，故本财务报表仍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本基金2017年度财务报表符合企业会计准则的要求，真实、完整地反映了本基金2017年12月31日的财务状况以及2017年度的经营成果和基金净值变动情况等有关信息。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 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w:t>
      </w:r>
      <w:r>
        <w:rPr>
          <w:rFonts w:hint="eastAsia"/>
        </w:rPr>
        <w:br w:type="textWrapping"/>
      </w:r>
      <w:r>
        <w:rPr>
          <w:rFonts w:hint="eastAsia"/>
        </w:rPr>
        <w:t>  (2) 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r>
        <w:rPr>
          <w:rFonts w:hint="eastAsia"/>
        </w:rPr>
        <w:br w:type="textWrapping"/>
      </w:r>
      <w:r>
        <w:rPr>
          <w:rFonts w:hint="eastAsia"/>
        </w:rPr>
        <w:t>  (2)存在活跃市场的金融工具，如估值日无交易且最近交易日后经济环境发生了重大变化，参考类似投资品种的现行市价及重大变化等因素，调整最近交易市价以确定公允价值。</w:t>
      </w:r>
      <w:r>
        <w:rPr>
          <w:rFonts w:hint="eastAsia"/>
        </w:rPr>
        <w:br w:type="textWrapping"/>
      </w:r>
      <w:r>
        <w:rPr>
          <w:rFonts w:hint="eastAsia"/>
        </w:rPr>
        <w:t>  (3)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 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 对基金从证券市场中取得的收入，包括买卖股票、债券的差价收入，股票的股息、红利收入，债券的利息收入及其他收入，暂不征收企业所得税。</w:t>
      </w:r>
      <w:r>
        <w:rPr>
          <w:rFonts w:hint="eastAsia"/>
        </w:rPr>
        <w:br w:type="textWrapping"/>
      </w:r>
      <w:r>
        <w:rPr>
          <w:rFonts w:hint="eastAsia"/>
        </w:rPr>
        <w:t>  (3)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 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227,258.84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44,353,033.26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227,258.84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44,353,033.26</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2,904,064.74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-88,261.84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2,904,064.74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-88,261.84</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2,904,064.74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-88,261.84</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75,514,416.75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68,911,007.92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-6,603,408.83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55,983,750.21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54,199,392.59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-1,784,357.62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580,261,024.33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573,599,000.00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-6,662,024.33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636,244,774.54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627,798,392.59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-8,446,381.95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711,759,191.29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696,709,400.51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-15,049,790.78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本基金本报告期末及上年度末均未持有衍生金融资产/负债。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2950"/>
        <w:gridCol w:w="4220"/>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3,848.20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13,953.80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11,366,345.05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14,395.21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11,371,486.85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81,491.18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18,633.48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100,124.66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创金合信鑫优选混合A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(创金合信鑫优选混合A)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320,344.25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320,344.25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23,965,607.07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23,965,607.07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-24,094,754.56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-24,094,754.56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191,196.76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191,196.76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创金合信鑫优选混合C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(创金合信鑫优选混合C)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551,344,943.94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551,344,943.94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229,992,570.74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229,992,570.74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-776,519,298.69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-776,519,298.69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4,818,215.99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4,818,215.99</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创金合信鑫优选混合A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(创金合信鑫优选混合A)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21,967.93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18,917.13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-314,738.59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406,180.17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91,441.58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307,687.78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-397,423.51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-89,735.73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1,688,394.52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92,328.69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1,780,723.21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-1,380,706.74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-489,752.20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-1,870,458.94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14,917.12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5,705.86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20,622.98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创金合信鑫优选混合C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(创金合信鑫优选混合C)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32,221,361.96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-5,214,849.39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27,006,512.57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-12,603,584.52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14,555,348.77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1,951,764.25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-19,650,624.51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-9,202,196.83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-28,852,821.34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7,460,759.55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2,730,726.72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10,191,486.27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-27,111,384.06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-11,932,923.55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-39,044,307.61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-32,847.07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138,302.55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105,455.48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92,397.65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492,625.93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7,266.03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151,357.80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2,673.73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646,657.46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178,648,614.07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144,622,914.49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183,332,072.65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140,790,283.04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-4,683,458.58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3,832,631.45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-11,050,936.82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2,848,408.29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-11,050,936.82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2,848,408.29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1,259,304,759.82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4,199,047,704.21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1,251,604,312.08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4,132,414,039.64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18,751,384.56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63,785,256.28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-11,050,936.82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2,848,408.29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489,856.02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489,856.02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14,961,528.94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-29,911,582.91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6,603,408.83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-10,095,388.24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8,358,120.11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-19,816,194.67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14,961,528.94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-29,911,582.91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97,688.90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248,130.65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97,688.90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248,130.65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411,660.71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394,071.46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39,425.00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423,460.71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433,496.46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17,440.92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114,717.32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289,806.79</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96"/>
        <w:gridCol w:w="1801"/>
        <w:gridCol w:w="1136"/>
        <w:gridCol w:w="1801"/>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282,482,199.47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70,113,983.56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27.14%</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50,437.40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0"/>
        <w:gridCol w:w="1857"/>
        <w:gridCol w:w="1110"/>
        <w:gridCol w:w="185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142,994,018.75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281,753,461.78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31.93%</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94"/>
        <w:gridCol w:w="1821"/>
        <w:gridCol w:w="1198"/>
        <w:gridCol w:w="1821"/>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9,592,900,000.00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61.46%</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804,829.83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8,472,279.02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5,334.76</w:t>
            </w:r>
          </w:p>
        </w:tc>
      </w:tr>
    </w:tbl>
    <w:p>
      <w:pPr>
        <w:pStyle w:val="20"/>
        <w:rPr>
          <w:rFonts w:hint="eastAsia"/>
        </w:rPr>
      </w:pPr>
      <w:r>
        <w:rPr>
          <w:rFonts w:hint="eastAsia"/>
        </w:rPr>
        <w:t>注：支付基金管理人创金合信基金管理有限公司的管理人报酬按前一日基金资产净值0.60%的年费率计提，逐日累计至每月月底，按月支付。其计算公式为：日管理人报酬＝前一日基金资产净值*0.60%/当年天数。</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268,276.61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2,824,093.09</w:t>
            </w:r>
          </w:p>
        </w:tc>
      </w:tr>
    </w:tbl>
    <w:p>
      <w:pPr>
        <w:pStyle w:val="20"/>
        <w:rPr>
          <w:rFonts w:hint="eastAsia"/>
        </w:rPr>
      </w:pPr>
      <w:r>
        <w:rPr>
          <w:rFonts w:hint="eastAsia"/>
        </w:rPr>
        <w:t>注：支付基金托管人招商银行的托管费按前一日基金资产净值0.2%的年费率计提，逐日累计至每月月底，按月支付。其计算公式为：日托管费＝前一日基金资产净值*0.2%/当年天数。</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6"/>
        <w:gridCol w:w="2444"/>
        <w:gridCol w:w="2444"/>
        <w:gridCol w:w="1631"/>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260,398.13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260,398.13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260,398.13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260,398.13</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2,820,529.63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2,820,529.63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2,820,529.63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2,820,529.63</w:t>
            </w:r>
          </w:p>
        </w:tc>
      </w:tr>
    </w:tbl>
    <w:p>
      <w:pPr>
        <w:pStyle w:val="20"/>
        <w:rPr>
          <w:rFonts w:hint="eastAsia"/>
        </w:rPr>
      </w:pPr>
      <w:r>
        <w:rPr>
          <w:rFonts w:hint="eastAsia"/>
        </w:rPr>
        <w:t>注：支付基金销售机构的销售服务费按前一日C类基金的基金资产净值0.2%的年费率计提，逐日累计至每月月底，按月支付给创金合信基金管理有限公司，再由创金合信基金管理有限公司计算并支付给各基金销售机构。其计算公式为：日销售服务费＝C类基金前一日基金资产净值× 0.2%/ 当年天数。 </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本报告期及上年度可比期间无除管理人之外的其他关联方投资本基金的情况。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443"/>
        <w:gridCol w:w="1670"/>
        <w:gridCol w:w="1705"/>
        <w:gridCol w:w="1596"/>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227,258.84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92,397.65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44,353,033.26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492,625.93</w:t>
            </w:r>
          </w:p>
        </w:tc>
      </w:tr>
    </w:tbl>
    <w:p>
      <w:pPr>
        <w:pStyle w:val="20"/>
        <w:rPr>
          <w:rFonts w:hint="eastAsia"/>
        </w:rPr>
      </w:pPr>
      <w:r>
        <w:rPr>
          <w:rFonts w:hint="eastAsia"/>
        </w:rPr>
        <w:t>注：本基金的银行存款由基金托管人招商银行保管，按金融机构同业存款利率计息。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本基金本期及上年度可比期间无须作说明的其他关联交易事项。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本基金于本期末未持有因认购新发/增发证券而流通受限的证券。</w:t>
      </w: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本基金本于报告期末未持有暂时停牌等流通受限股票。</w:t>
      </w: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截止本报告期末2017年12月31日止，本基金从事银行间市场债券正回购交易形成的卖出回购证券款余额为0.00元，无抵押债券。</w:t>
      </w:r>
    </w:p>
    <w:p>
      <w:pPr>
        <w:pStyle w:val="15"/>
        <w:rPr>
          <w:rFonts w:hint="eastAsia"/>
        </w:rPr>
      </w:pPr>
      <w:r>
        <w:rPr>
          <w:rFonts w:hint="eastAsia"/>
          <w:b/>
          <w:bCs/>
        </w:rPr>
        <w:t>7.4.12.3.2 交易所市场债券正回购</w:t>
      </w:r>
    </w:p>
    <w:p>
      <w:pPr>
        <w:pStyle w:val="20"/>
        <w:rPr>
          <w:rFonts w:hint="eastAsia"/>
        </w:rPr>
      </w:pPr>
      <w:r>
        <w:rPr>
          <w:rFonts w:hint="eastAsia"/>
        </w:rPr>
        <w:t>  截止本报告期末2017年12月31日止，本基金从事交易所市场债券正回购交易形成的卖出回购证券款余额为0.00元，无抵押债券。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2,054,899.00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421,634,392.59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501,267.90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30,477,000.00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175,687,000.00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2,556,166.90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627,798,392.59</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5488256.07元，超过经确认的当日净赎回金额。于2017年12月31日，本基金未持有流动性受限资产。</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044"/>
        <w:gridCol w:w="1416"/>
        <w:gridCol w:w="1416"/>
        <w:gridCol w:w="1416"/>
        <w:gridCol w:w="1337"/>
        <w:gridCol w:w="1416"/>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227,258.84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227,258.84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2,954.55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2,954.55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3,443.93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3,443.93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1,604,163.90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952,003.00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430,740.53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430,740.53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14,395.21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14,395.21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2,493,293.32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1,604,163.90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445,635.74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5,495,095.96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284,642.59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284,642.59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2,652.02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69,076.40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359,604.75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359,604.75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2,493,293.32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1,604,163.90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86,030.99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5,135,491.21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44,353,033.26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44,353,033.26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2,512,498.71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2,512,498.71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100,772.34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100,772.34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80,748,000.00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411,671,392.59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135,379,000.00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68,911,007.92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696,709,400.51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11,371,486.85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11,371,486.85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127,714,304.31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411,671,392.59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135,379,000.00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80,291,824.83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755,056,521.73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144,399,383.40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144,399,383.40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31,000,753.07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31,000,753.07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315,468.00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105,156.01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105,156.01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105,088.70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105,088.70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100,124.66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119,125.35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119,125.35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144,399,383.40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31,966,420.44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176,365,803.84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-16,685,079.09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411,671,392.59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135,379,000.00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48,325,404.39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578,690,717.89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-4,634,368.50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4,719,827.55</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71"/>
        <w:gridCol w:w="173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68,911,007.92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68,911,007.92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11.91</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于2017年12月31日，本基金未持有交易性权益类投资(2016年12月31日：本基金持有的交易性权益类投资公允价值占基金资产净值的比例为11.91%)，因此除市场利率和外汇汇率以外的市场价格因素的变动对于本基金资产净值无重大影响(2016年12月31日：同)。</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 公允价值</w:t>
      </w:r>
      <w:r>
        <w:rPr>
          <w:rFonts w:hint="eastAsia"/>
        </w:rPr>
        <w:br w:type="textWrapping"/>
      </w:r>
      <w:r>
        <w:rPr>
          <w:rFonts w:hint="eastAsia"/>
        </w:rPr>
        <w:t>  </w:t>
      </w:r>
      <w:r>
        <w:rPr>
          <w:rFonts w:hint="eastAsia"/>
        </w:rPr>
        <w:br w:type="textWrapping"/>
      </w:r>
      <w:r>
        <w:rPr>
          <w:rFonts w:hint="eastAsia"/>
        </w:rPr>
        <w:t>  (a) 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w:t>
      </w:r>
      <w:r>
        <w:rPr>
          <w:rFonts w:hint="eastAsia"/>
        </w:rPr>
        <w:br w:type="textWrapping"/>
      </w:r>
      <w:r>
        <w:rPr>
          <w:rFonts w:hint="eastAsia"/>
        </w:rPr>
        <w:t>  (b) 持续的以公允价值计量的金融工具</w:t>
      </w:r>
      <w:r>
        <w:rPr>
          <w:rFonts w:hint="eastAsia"/>
        </w:rPr>
        <w:br w:type="textWrapping"/>
      </w:r>
      <w:r>
        <w:rPr>
          <w:rFonts w:hint="eastAsia"/>
        </w:rPr>
        <w:t>  (i) 各层次金融工具公允价值</w:t>
      </w:r>
      <w:r>
        <w:rPr>
          <w:rFonts w:hint="eastAsia"/>
        </w:rPr>
        <w:br w:type="textWrapping"/>
      </w:r>
      <w:r>
        <w:rPr>
          <w:rFonts w:hint="eastAsia"/>
        </w:rPr>
        <w:t>  于2017年12月31日，本基金持有的以公允价值计量且其变动计入当期损益的金融资产中属于第一层次的余额为2,046,195.00元，属于第二层次的余额为769,607.90元，无属于第三层次的余额(2016年12月31日：第一层次64,233,275.98元，第二层次632,476,124.53元，无第三层次)。</w:t>
      </w:r>
      <w:r>
        <w:rPr>
          <w:rFonts w:hint="eastAsia"/>
        </w:rPr>
        <w:br w:type="textWrapping"/>
      </w:r>
      <w:r>
        <w:rPr>
          <w:rFonts w:hint="eastAsia"/>
        </w:rPr>
        <w:t>  </w:t>
      </w:r>
      <w:r>
        <w:rPr>
          <w:rFonts w:hint="eastAsia"/>
        </w:rPr>
        <w:br w:type="textWrapping"/>
      </w:r>
      <w:r>
        <w:rPr>
          <w:rFonts w:hint="eastAsia"/>
        </w:rPr>
        <w:t>  (ii) 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w:t>
      </w:r>
      <w:r>
        <w:rPr>
          <w:rFonts w:hint="eastAsia"/>
        </w:rPr>
        <w:br w:type="textWrapping"/>
      </w:r>
      <w:r>
        <w:rPr>
          <w:rFonts w:hint="eastAsia"/>
        </w:rPr>
        <w:t>  (iii) 第三层次公允价值余额和本期变动金额</w:t>
      </w:r>
      <w:r>
        <w:rPr>
          <w:rFonts w:hint="eastAsia"/>
        </w:rPr>
        <w:br w:type="textWrapping"/>
      </w:r>
      <w:r>
        <w:rPr>
          <w:rFonts w:hint="eastAsia"/>
        </w:rPr>
        <w:t>  无。</w:t>
      </w:r>
      <w:r>
        <w:rPr>
          <w:rFonts w:hint="eastAsia"/>
        </w:rPr>
        <w:br w:type="textWrapping"/>
      </w:r>
      <w:r>
        <w:rPr>
          <w:rFonts w:hint="eastAsia"/>
        </w:rPr>
        <w:t>  (c) 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w:t>
      </w:r>
      <w:r>
        <w:rPr>
          <w:rFonts w:hint="eastAsia"/>
        </w:rPr>
        <w:br w:type="textWrapping"/>
      </w:r>
      <w:r>
        <w:rPr>
          <w:rFonts w:hint="eastAsia"/>
        </w:rPr>
        <w:t>  (d) 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w:t>
      </w:r>
      <w:r>
        <w:rPr>
          <w:rFonts w:hint="eastAsia"/>
        </w:rPr>
        <w:br w:type="textWrapping"/>
      </w:r>
      <w:r>
        <w:rPr>
          <w:rFonts w:hint="eastAsia"/>
        </w:rPr>
        <w:t>  (2) 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w:t>
      </w:r>
      <w:r>
        <w:rPr>
          <w:rFonts w:hint="eastAsia"/>
        </w:rPr>
        <w:br w:type="textWrapping"/>
      </w:r>
      <w:r>
        <w:rPr>
          <w:rFonts w:hint="eastAsia"/>
        </w:rPr>
        <w:t>  (3) 除公允价值和增值税外，截至资产负债表日本基金无需要说明的其他重要事项。</w:t>
      </w:r>
    </w:p>
    <w:p>
      <w:pPr>
        <w:pStyle w:val="13"/>
        <w:rPr>
          <w:rFonts w:hint="eastAsia"/>
        </w:rPr>
      </w:pPr>
      <w:bookmarkStart w:id="35" w:name="_Toc510107294"/>
      <w:r>
        <w:rPr>
          <w:rFonts w:hint="eastAsia" w:hAnsi="Calibri"/>
          <w:b/>
          <w:color w:val="000000"/>
        </w:rPr>
        <w:t>§8 投资组合报告</w:t>
      </w:r>
      <w:bookmarkEnd w:id="35"/>
    </w:p>
    <w:p>
      <w:pPr>
        <w:pStyle w:val="14"/>
        <w:rPr>
          <w:rFonts w:hint="eastAsia"/>
        </w:rPr>
      </w:pPr>
      <w:bookmarkStart w:id="36" w:name="_Toc510107295"/>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230,213.39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449,079.67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5,495,095.96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7296"/>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p>
      <w:pPr>
        <w:pStyle w:val="20"/>
        <w:rPr>
          <w:rFonts w:hint="eastAsia"/>
        </w:rPr>
      </w:pPr>
      <w:r>
        <w:rPr>
          <w:rFonts w:hint="eastAsia"/>
        </w:rPr>
        <w:t>本基金本报告期末未持有股票。</w:t>
      </w:r>
    </w:p>
    <w:p>
      <w:pPr>
        <w:pStyle w:val="22"/>
        <w:rPr>
          <w:rFonts w:hint="eastAsia"/>
        </w:rPr>
      </w:pPr>
      <w:r>
        <w:rPr>
          <w:rFonts w:hint="eastAsia"/>
          <w:b/>
          <w:bCs/>
        </w:rPr>
        <w:t>8.2.2 报告期末按行业分类的港股通投资股票投资组合</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本基金本报告期末未持有股票。</w:t>
      </w:r>
    </w:p>
    <w:p>
      <w:pPr>
        <w:pStyle w:val="14"/>
        <w:rPr>
          <w:rFonts w:hint="eastAsia"/>
        </w:rPr>
      </w:pPr>
      <w:bookmarkStart w:id="38" w:name="_Toc510107297"/>
      <w:r>
        <w:rPr>
          <w:rFonts w:hint="eastAsia"/>
          <w:b/>
          <w:bCs/>
        </w:rPr>
        <w:t>8.3 期末按公允价值占基金资产净值比例大小排序的所有股票投资明细</w:t>
      </w:r>
      <w:bookmarkEnd w:id="38"/>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本基金本报告期末未持有股票。</w:t>
      </w:r>
    </w:p>
    <w:p>
      <w:pPr>
        <w:pStyle w:val="14"/>
        <w:rPr>
          <w:rFonts w:hint="eastAsia"/>
        </w:rPr>
      </w:pPr>
      <w:bookmarkStart w:id="39" w:name="_Toc510107298"/>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3,518,150.00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3,296,360.00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3,255,020.00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3,199,940.00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3,045,952.00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3,022,884.00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3,016,558.40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4,032,691.20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3,492,551.00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利尔化学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3,435,960.00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3,226,450.00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3,170,100.00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3,106,320.00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3,105,289.00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3,039,969.65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2,973,600.00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107,817,655.90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178,648,614.07</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7299"/>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2,556,166.90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54.83</w:t>
            </w:r>
          </w:p>
        </w:tc>
      </w:tr>
    </w:tbl>
    <w:p>
      <w:pPr>
        <w:pStyle w:val="14"/>
        <w:rPr>
          <w:rFonts w:hint="eastAsia"/>
        </w:rPr>
      </w:pPr>
      <w:bookmarkStart w:id="41" w:name="_Toc510107300"/>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17中油EB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国君转债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451,027.00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广汽转债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w:t>
            </w:r>
          </w:p>
        </w:tc>
      </w:tr>
    </w:tbl>
    <w:p>
      <w:pPr>
        <w:pStyle w:val="14"/>
        <w:rPr>
          <w:rFonts w:hint="eastAsia"/>
        </w:rPr>
      </w:pPr>
      <w:bookmarkStart w:id="42" w:name="_Toc510107301"/>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730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730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7304"/>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7305"/>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7306"/>
      <w:r>
        <w:rPr>
          <w:rFonts w:hint="eastAsia"/>
          <w:b/>
          <w:bCs/>
        </w:rPr>
        <w:t>8.12 投资组合报告附注</w:t>
      </w:r>
      <w:bookmarkEnd w:id="47"/>
    </w:p>
    <w:p>
      <w:pPr>
        <w:pStyle w:val="15"/>
        <w:rPr>
          <w:rFonts w:hint="eastAsia"/>
        </w:rPr>
      </w:pPr>
      <w:r>
        <w:rPr>
          <w:rFonts w:hint="eastAsia"/>
          <w:b/>
          <w:bCs/>
        </w:rPr>
        <w:t>8.12.1 2017年12月29日三一重工股份有限公司董事会发布关于高级管理人员违规买卖公司股票的公告，公司副总裁谢志霞先生于2017年8月30日至11月2日累计买入公司股票23600股，并于2017年11月10日全部卖出。该交易行为违反了《证券法》、《上海证券交易所股票上市规则》、《上海证券交易所上市公司股票及董事、监事、高级管理人员减持股份实施细则》的相关规定，公司董事会对该公司高级管理人员进行了处罚。</w:t>
      </w:r>
      <w:r>
        <w:rPr>
          <w:rFonts w:hint="eastAsia"/>
          <w:b/>
          <w:bCs/>
        </w:rPr>
        <w:br w:type="textWrapping"/>
      </w:r>
      <w:r>
        <w:rPr>
          <w:rFonts w:hint="eastAsia"/>
          <w:b/>
          <w:bCs/>
        </w:rPr>
        <w:t>  本基金投研人员分析认为，该事件不影响公司正常经营。并且，在当前宏观经济好转的大背景下，三一重工作为工程机械龙头，具有竞争力，经营情况向好，维持推荐评级。本基金基金经理依据基金合同和公司投资管理制度，在投资授权范围内，经正常投资决策程序对三一转债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3,443.93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430,740.53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14,395.21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449,079.67</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6"/>
        <w:gridCol w:w="2053"/>
        <w:gridCol w:w="2053"/>
        <w:gridCol w:w="2053"/>
        <w:gridCol w:w="209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广汽转债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电气转债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本基金本报告期末未持有股票。</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07307"/>
      <w:r>
        <w:rPr>
          <w:rFonts w:hint="eastAsia" w:hAnsi="Calibri"/>
          <w:b/>
          <w:color w:val="000000"/>
        </w:rPr>
        <w:t>§9  基金份额持有人信息</w:t>
      </w:r>
      <w:bookmarkEnd w:id="48"/>
    </w:p>
    <w:p>
      <w:pPr>
        <w:pStyle w:val="14"/>
        <w:rPr>
          <w:rFonts w:hint="eastAsia"/>
        </w:rPr>
      </w:pPr>
      <w:bookmarkStart w:id="49" w:name="_Toc510107308"/>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191,196.76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69,829.22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22,978.96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252,038.82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w:t>
            </w:r>
          </w:p>
        </w:tc>
      </w:tr>
    </w:tbl>
    <w:p>
      <w:pPr>
        <w:widowControl/>
        <w:jc w:val="left"/>
        <w:rPr>
          <w:rFonts w:hint="eastAsia" w:ascii="宋体" w:hAnsi="宋体" w:cs="宋体"/>
          <w:kern w:val="0"/>
          <w:sz w:val="24"/>
          <w:szCs w:val="24"/>
        </w:rPr>
      </w:pPr>
    </w:p>
    <w:p>
      <w:pPr>
        <w:pStyle w:val="14"/>
        <w:rPr>
          <w:rFonts w:hint="eastAsia"/>
        </w:rPr>
      </w:pPr>
      <w:bookmarkStart w:id="50" w:name="_Toc510107309"/>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115"/>
        <w:gridCol w:w="1970"/>
        <w:gridCol w:w="1950"/>
        <w:gridCol w:w="201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8,282.46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12,147.19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20,429.65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0.4100%</w:t>
            </w:r>
          </w:p>
        </w:tc>
      </w:tr>
    </w:tbl>
    <w:p>
      <w:pPr>
        <w:widowControl/>
        <w:jc w:val="left"/>
        <w:rPr>
          <w:rFonts w:hint="eastAsia" w:ascii="宋体" w:hAnsi="宋体" w:cs="宋体"/>
          <w:kern w:val="0"/>
          <w:sz w:val="24"/>
          <w:szCs w:val="24"/>
        </w:rPr>
      </w:pPr>
    </w:p>
    <w:p>
      <w:pPr>
        <w:pStyle w:val="14"/>
        <w:rPr>
          <w:rFonts w:hint="eastAsia"/>
        </w:rPr>
      </w:pPr>
      <w:bookmarkStart w:id="51" w:name="_Toc510107310"/>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pStyle w:val="13"/>
        <w:rPr>
          <w:rFonts w:hint="eastAsia"/>
        </w:rPr>
      </w:pPr>
      <w:bookmarkStart w:id="52" w:name="_Toc510107311"/>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创金合信鑫优选混合C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基金合同生效日(2015年11月19日)基金份额总额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101,590.12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2,500,233,811.00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320,344.25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551,344,943.94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23,965,607.07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229,992,570.74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24,094,754.56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776,519,298.69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191,196.76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4,818,215.99</w:t>
            </w:r>
          </w:p>
        </w:tc>
      </w:tr>
    </w:tbl>
    <w:p>
      <w:pPr>
        <w:pStyle w:val="13"/>
        <w:rPr>
          <w:rFonts w:hint="eastAsia"/>
        </w:rPr>
      </w:pPr>
      <w:bookmarkStart w:id="53" w:name="_Toc510107312"/>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07313"/>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07314"/>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07315"/>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07316"/>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07317"/>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本报告期内本基金未更换会计师事务所,本年度支付给普华永道中天会计师事务所(特殊普通合伙)审计费用30,000.00元,该审计机构连续提供审计服务的年限为2年。</w:t>
      </w:r>
    </w:p>
    <w:p>
      <w:pPr>
        <w:pStyle w:val="14"/>
        <w:rPr>
          <w:rFonts w:hint="eastAsia"/>
        </w:rPr>
      </w:pPr>
      <w:bookmarkStart w:id="59" w:name="_Toc510107318"/>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07319"/>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985"/>
        <w:gridCol w:w="1050"/>
        <w:gridCol w:w="1471"/>
        <w:gridCol w:w="1050"/>
        <w:gridCol w:w="738"/>
      </w:tblGrid>
      <w:tr>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3,178,055.50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2,935.82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282,482,199.47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204,165.00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901"/>
        <w:gridCol w:w="1050"/>
        <w:gridCol w:w="901"/>
        <w:gridCol w:w="1050"/>
        <w:gridCol w:w="686"/>
        <w:gridCol w:w="1050"/>
        <w:gridCol w:w="686"/>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33,577,158.94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160,300,000.00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142,994,018.75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480,800,000.00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07320"/>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创金合信鑫优选灵活配置混合型证券投资基金恢复大额申购公告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创金合信基金管理有限公司关于调整旗下创金合信鑫优选灵活配置混合型证券投资基金申购金额、赎回份额及最低保有份额的公告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07321"/>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7322"/>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20170418-20171024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20170418-20171231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200,112,500.00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200,112,500.00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20170207-20170417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220,306,513.41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220,306,513.41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20170106-20170119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84,422,176.26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84,422,176.26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20170106-20170206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94,565,205.73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94,565,205.73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07323"/>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7324"/>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07325"/>
      <w:r>
        <w:rPr>
          <w:rFonts w:hint="eastAsia"/>
          <w:b/>
          <w:bCs/>
        </w:rPr>
        <w:t>13.1 备查文件目录</w:t>
      </w:r>
      <w:r>
        <w:rPr>
          <w:rFonts w:hint="eastAsia"/>
        </w:rPr>
        <w:t>.</w:t>
      </w:r>
      <w:bookmarkEnd w:id="66"/>
    </w:p>
    <w:p>
      <w:pPr>
        <w:pStyle w:val="20"/>
        <w:rPr>
          <w:rFonts w:hint="eastAsia"/>
        </w:rPr>
      </w:pPr>
      <w:r>
        <w:rPr>
          <w:rFonts w:hint="eastAsia"/>
        </w:rPr>
        <w:t>  1、《创金合信鑫优选灵活配置混合型证券投资基金基金合同》;</w:t>
      </w:r>
      <w:r>
        <w:rPr>
          <w:rFonts w:hint="eastAsia"/>
        </w:rPr>
        <w:br w:type="textWrapping"/>
      </w:r>
      <w:r>
        <w:rPr>
          <w:rFonts w:hint="eastAsia"/>
        </w:rPr>
        <w:t>  2、《创金合信鑫优选灵活配置混合型证券投资基金托管协议》;</w:t>
      </w:r>
      <w:r>
        <w:rPr>
          <w:rFonts w:hint="eastAsia"/>
        </w:rPr>
        <w:br w:type="textWrapping"/>
      </w:r>
      <w:r>
        <w:rPr>
          <w:rFonts w:hint="eastAsia"/>
        </w:rPr>
        <w:t>  3、创金合信鑫优选灵活配置混合型证券投资基金2017年年度报告</w:t>
      </w:r>
    </w:p>
    <w:p>
      <w:pPr>
        <w:pStyle w:val="14"/>
        <w:rPr>
          <w:rFonts w:hint="eastAsia"/>
        </w:rPr>
      </w:pPr>
      <w:bookmarkStart w:id="67" w:name="_Toc510107326"/>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07327"/>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6</w:t>
    </w:r>
    <w:r>
      <w:rPr>
        <w:rStyle w:val="10"/>
      </w:rPr>
      <w:fldChar w:fldCharType="end"/>
    </w:r>
  </w:p>
  <w:p>
    <w:pPr>
      <w:pStyle w:val="2"/>
      <w:jc w:val="center"/>
    </w:pPr>
    <w:r>
      <w:rPr>
        <w:rFonts w:hint="eastAsia"/>
      </w:rPr>
      <w:t xml:space="preserve">                   第       页，共65页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创金合信鑫优选灵活配置混合型证券投资基金2017年年度报告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5AA6"/>
    <w:rsid w:val="001B1E3A"/>
    <w:rsid w:val="00275AA6"/>
    <w:rsid w:val="006566D5"/>
    <w:rsid w:val="00737B4A"/>
    <w:rsid w:val="1D1E7B8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65</Pages>
  <Words>7602</Words>
  <Characters>43338</Characters>
  <Lines>361</Lines>
  <Paragraphs>101</Paragraphs>
  <TotalTime>0</TotalTime>
  <ScaleCrop>false</ScaleCrop>
  <LinksUpToDate>false</LinksUpToDate>
  <CharactersWithSpaces>50839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2018-03-29T09:18:00Z</dcterms:created>
  <dc:creator>贺祎琪</dc:creator>
  <cp:lastModifiedBy>Administrator</cp:lastModifiedBy>
  <dcterms:modified xsi:type="dcterms:W3CDTF">2019-12-26T14:04:40Z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