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288" w:lineRule="auto"/>
        <w:jc w:val="center"/>
        <w:rPr>
          <w:rFonts w:hint="default" w:ascii="Times New Roman" w:eastAsia="Times New Roman"/>
          <w:color w:val="000000"/>
          <w:kern w:val="0"/>
          <w:sz w:val="24"/>
        </w:rPr>
      </w:pPr>
      <w:bookmarkStart w:id="65" w:name="_GoBack"/>
      <w:bookmarkEnd w:id="65"/>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创金合信量化多因子股票型证券投资基金</w:t>
      </w:r>
      <w:r>
        <w:rPr>
          <w:rFonts w:hint="default" w:ascii="Times New Roman" w:hAnsi="Times New Roman"/>
          <w:b/>
          <w:color w:val="000000"/>
          <w:kern w:val="0"/>
          <w:sz w:val="24"/>
        </w:rPr>
        <w:t>2016</w:t>
      </w:r>
      <w:r>
        <w:rPr>
          <w:rFonts w:hint="eastAsia" w:ascii="Times New Roman" w:hAnsi="Times New Roman"/>
          <w:b/>
          <w:color w:val="000000"/>
          <w:kern w:val="0"/>
          <w:sz w:val="24"/>
        </w:rPr>
        <w:t>年年度报告</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基金管理人：创金合信基金管理有限公司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基金托管人：中国工商银行股份有限公司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送出日期：</w:t>
      </w:r>
      <w:r>
        <w:rPr>
          <w:rFonts w:hint="default" w:ascii="Times New Roman" w:hAnsi="Times New Roman"/>
          <w:b/>
          <w:color w:val="000000"/>
          <w:kern w:val="0"/>
          <w:sz w:val="24"/>
        </w:rPr>
        <w:t>2017</w:t>
      </w:r>
      <w:r>
        <w:rPr>
          <w:rFonts w:hint="eastAsia" w:ascii="Times New Roman" w:hAnsi="Times New Roman"/>
          <w:b/>
          <w:color w:val="000000"/>
          <w:kern w:val="0"/>
          <w:sz w:val="24"/>
        </w:rPr>
        <w:t>年</w:t>
      </w:r>
      <w:r>
        <w:rPr>
          <w:rFonts w:hint="default" w:ascii="Times New Roman" w:hAnsi="Times New Roman"/>
          <w:b/>
          <w:color w:val="000000"/>
          <w:kern w:val="0"/>
          <w:sz w:val="24"/>
        </w:rPr>
        <w:t>3</w:t>
      </w:r>
      <w:r>
        <w:rPr>
          <w:rFonts w:hint="eastAsia" w:ascii="Times New Roman" w:hAnsi="Times New Roman"/>
          <w:b/>
          <w:color w:val="000000"/>
          <w:kern w:val="0"/>
          <w:sz w:val="24"/>
        </w:rPr>
        <w:t>月</w:t>
      </w:r>
      <w:r>
        <w:rPr>
          <w:rFonts w:hint="default" w:ascii="Times New Roman" w:hAnsi="Times New Roman"/>
          <w:b/>
          <w:color w:val="000000"/>
          <w:kern w:val="0"/>
          <w:sz w:val="24"/>
        </w:rPr>
        <w:t>27</w:t>
      </w:r>
      <w:r>
        <w:rPr>
          <w:rFonts w:hint="eastAsia" w:ascii="Times New Roman" w:hAnsi="Times New Roman"/>
          <w:b/>
          <w:color w:val="000000"/>
          <w:kern w:val="0"/>
          <w:sz w:val="24"/>
        </w:rPr>
        <w:t>日</w:t>
      </w:r>
    </w:p>
    <w:p>
      <w:pPr>
        <w:autoSpaceDE w:val="0"/>
        <w:autoSpaceDN w:val="0"/>
        <w:adjustRightInd w:val="0"/>
        <w:spacing w:beforeLines="0" w:afterLines="0" w:line="288" w:lineRule="auto"/>
        <w:jc w:val="left"/>
        <w:rPr>
          <w:rFonts w:hint="default" w:ascii="Times New Roman" w:eastAsia="Times New Roman"/>
          <w:kern w:val="0"/>
          <w:sz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center"/>
        <w:outlineLvl w:val="0"/>
        <w:rPr>
          <w:rFonts w:hint="default" w:ascii="Times New Roman" w:eastAsia="Times New Roman"/>
          <w:b/>
          <w:color w:val="000000"/>
          <w:kern w:val="0"/>
          <w:sz w:val="24"/>
        </w:rPr>
      </w:pPr>
      <w:bookmarkStart w:id="0" w:name="_Toc477899797"/>
      <w:r>
        <w:rPr>
          <w:rFonts w:hint="eastAsia" w:ascii="Times New Roman" w:hAnsi="Times New Roman"/>
          <w:b/>
          <w:color w:val="000000"/>
          <w:kern w:val="0"/>
          <w:sz w:val="24"/>
        </w:rPr>
        <w:t>§</w:t>
      </w:r>
      <w:r>
        <w:rPr>
          <w:rFonts w:hint="default" w:ascii="Times New Roman" w:hAnsi="Times New Roman"/>
          <w:b/>
          <w:color w:val="000000"/>
          <w:kern w:val="0"/>
          <w:sz w:val="24"/>
        </w:rPr>
        <w:t xml:space="preserve">1  </w:t>
      </w:r>
      <w:r>
        <w:rPr>
          <w:rFonts w:hint="eastAsia" w:ascii="Times New Roman" w:hAnsi="Times New Roman"/>
          <w:b/>
          <w:color w:val="000000"/>
          <w:kern w:val="0"/>
          <w:sz w:val="24"/>
        </w:rPr>
        <w:t>重要提示及目录</w:t>
      </w:r>
      <w:bookmarkEnd w:id="0"/>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1" w:name="_Toc477899798"/>
      <w:r>
        <w:rPr>
          <w:rFonts w:hint="default" w:ascii="Times New Roman" w:hAnsi="Times New Roman"/>
          <w:b/>
          <w:color w:val="000000"/>
          <w:kern w:val="0"/>
          <w:sz w:val="24"/>
        </w:rPr>
        <w:t xml:space="preserve">1.1 </w:t>
      </w:r>
      <w:r>
        <w:rPr>
          <w:rFonts w:hint="eastAsia" w:ascii="Times New Roman" w:hAnsi="Times New Roman"/>
          <w:b/>
          <w:color w:val="000000"/>
          <w:kern w:val="0"/>
          <w:sz w:val="24"/>
        </w:rPr>
        <w:t>重要提示</w:t>
      </w:r>
      <w:bookmarkEnd w:id="1"/>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30"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基金托管人中国工商银行股份有限公司根据本基金合同规定，于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基金管理人承诺以诚实信用、勤勉尽责的原则管理和运用基金资产，但不保证基金一定盈利。</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基金的过往业绩并不代表其未来表现。投资有风险，投资者在作出投资决策前应仔细阅读本基金的招募说明书及其更新。</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tc>
      </w:tr>
    </w:tbl>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2" w:name="_Toc477899799"/>
      <w:r>
        <w:rPr>
          <w:rFonts w:hint="default" w:ascii="Times New Roman" w:hAnsi="Times New Roman"/>
          <w:b/>
          <w:color w:val="000000"/>
          <w:kern w:val="0"/>
          <w:sz w:val="24"/>
        </w:rPr>
        <w:t xml:space="preserve">1.2  </w:t>
      </w:r>
      <w:r>
        <w:rPr>
          <w:rFonts w:hint="eastAsia" w:ascii="Times New Roman" w:hAnsi="Times New Roman"/>
          <w:b/>
          <w:color w:val="000000"/>
          <w:kern w:val="0"/>
          <w:sz w:val="24"/>
        </w:rPr>
        <w:t>目录</w:t>
      </w:r>
      <w:bookmarkEnd w:id="2"/>
    </w:p>
    <w:p>
      <w:pPr>
        <w:pStyle w:val="6"/>
        <w:tabs>
          <w:tab w:val="right" w:leader="dot" w:pos="9080"/>
        </w:tabs>
        <w:spacing w:beforeLines="0" w:afterLines="0"/>
        <w:rPr>
          <w:rFonts w:hint="default" w:eastAsia="Times New Roman"/>
          <w:sz w:val="21"/>
          <w:lang/>
        </w:rPr>
      </w:pPr>
      <w:r>
        <w:rPr>
          <w:rFonts w:hint="default" w:ascii="Times New Roman" w:hAnsi="Times New Roman"/>
          <w:b/>
          <w:color w:val="000000"/>
          <w:kern w:val="0"/>
          <w:sz w:val="24"/>
        </w:rPr>
        <w:fldChar w:fldCharType="begin"/>
      </w:r>
      <w:r>
        <w:rPr>
          <w:rFonts w:hint="default" w:ascii="Times New Roman" w:hAnsi="Times New Roman"/>
          <w:b/>
          <w:color w:val="000000"/>
          <w:kern w:val="0"/>
          <w:sz w:val="24"/>
        </w:rPr>
        <w:instrText xml:space="preserve"> TOC \o "1-2" \h \z \u </w:instrText>
      </w:r>
      <w:r>
        <w:rPr>
          <w:rFonts w:hint="default" w:ascii="Times New Roman" w:hAnsi="Times New Roman"/>
          <w:b/>
          <w:color w:val="000000"/>
          <w:kern w:val="0"/>
          <w:sz w:val="24"/>
        </w:rPr>
        <w:fldChar w:fldCharType="separate"/>
      </w: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"_Toc477899797"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  </w:t>
      </w:r>
      <w:r>
        <w:rPr>
          <w:rStyle w:val="10"/>
          <w:rFonts w:hint="eastAsia" w:ascii="Times New Roman" w:hAnsi="Times New Roman" w:eastAsia="宋体"/>
          <w:b/>
          <w:kern w:val="0"/>
          <w:sz w:val="21"/>
          <w:lang/>
        </w:rPr>
        <w:t>重要提示及目录</w:t>
      </w:r>
      <w:r>
        <w:rPr>
          <w:rFonts w:hint="default" w:eastAsia="Times New Roman"/>
          <w:sz w:val="21"/>
          <w:lang/>
        </w:rPr>
        <w:tab/>
      </w:r>
      <w:r>
        <w:rPr>
          <w:rFonts w:hint="default"/>
          <w:sz w:val="21"/>
          <w:lang/>
        </w:rPr>
        <w:fldChar w:fldCharType="begin"/>
      </w:r>
      <w:r>
        <w:rPr>
          <w:rFonts w:hint="default"/>
          <w:sz w:val="21"/>
          <w:lang/>
        </w:rPr>
        <w:instrText xml:space="preserve"> PAGEREF _Toc477899797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"_Toc477899798"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重要提示</w:t>
      </w:r>
      <w:r>
        <w:rPr>
          <w:rFonts w:hint="default" w:eastAsia="Times New Roman"/>
          <w:sz w:val="21"/>
          <w:lang/>
        </w:rPr>
        <w:tab/>
      </w:r>
      <w:r>
        <w:rPr>
          <w:rFonts w:hint="default"/>
          <w:sz w:val="21"/>
          <w:lang/>
        </w:rPr>
        <w:fldChar w:fldCharType="begin"/>
      </w:r>
      <w:r>
        <w:rPr>
          <w:rFonts w:hint="default"/>
          <w:sz w:val="21"/>
          <w:lang/>
        </w:rPr>
        <w:instrText xml:space="preserve"> PAGEREF _Toc477899798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"_Toc477899799"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目录</w:t>
      </w:r>
      <w:r>
        <w:rPr>
          <w:rFonts w:hint="default" w:eastAsia="Times New Roman"/>
          <w:sz w:val="21"/>
          <w:lang/>
        </w:rPr>
        <w:tab/>
      </w:r>
      <w:r>
        <w:rPr>
          <w:rFonts w:hint="default"/>
          <w:sz w:val="21"/>
          <w:lang/>
        </w:rPr>
        <w:fldChar w:fldCharType="begin"/>
      </w:r>
      <w:r>
        <w:rPr>
          <w:rFonts w:hint="default"/>
          <w:sz w:val="21"/>
          <w:lang/>
        </w:rPr>
        <w:instrText xml:space="preserve"> PAGEREF _Toc477899799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  </w:t>
      </w:r>
      <w:r>
        <w:rPr>
          <w:rStyle w:val="10"/>
          <w:rFonts w:hint="eastAsia" w:ascii="Times New Roman" w:hAnsi="Times New Roman" w:eastAsia="宋体"/>
          <w:b/>
          <w:kern w:val="0"/>
          <w:sz w:val="21"/>
          <w:lang/>
        </w:rPr>
        <w:t>基金简介</w:t>
      </w:r>
      <w:r>
        <w:rPr>
          <w:rFonts w:hint="default" w:eastAsia="Times New Roman"/>
          <w:sz w:val="21"/>
          <w:lang/>
        </w:rPr>
        <w:tab/>
      </w:r>
      <w:r>
        <w:rPr>
          <w:rFonts w:hint="default"/>
          <w:sz w:val="21"/>
          <w:lang/>
        </w:rPr>
        <w:fldChar w:fldCharType="begin"/>
      </w:r>
      <w:r>
        <w:rPr>
          <w:rFonts w:hint="default"/>
          <w:sz w:val="21"/>
          <w:lang/>
        </w:rPr>
        <w:instrText xml:space="preserve"> PAGEREF _Toc477899800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2.1 </w:t>
      </w:r>
      <w:r>
        <w:rPr>
          <w:rStyle w:val="10"/>
          <w:rFonts w:hint="eastAsia" w:ascii="Times New Roman" w:hAnsi="Times New Roman" w:eastAsia="宋体"/>
          <w:b/>
          <w:kern w:val="0"/>
          <w:sz w:val="21"/>
          <w:lang/>
        </w:rPr>
        <w:t>基金基本情况</w:t>
      </w:r>
      <w:r>
        <w:rPr>
          <w:rFonts w:hint="default" w:eastAsia="Times New Roman"/>
          <w:sz w:val="21"/>
          <w:lang/>
        </w:rPr>
        <w:tab/>
      </w:r>
      <w:r>
        <w:rPr>
          <w:rFonts w:hint="default"/>
          <w:sz w:val="21"/>
          <w:lang/>
        </w:rPr>
        <w:fldChar w:fldCharType="begin"/>
      </w:r>
      <w:r>
        <w:rPr>
          <w:rFonts w:hint="default"/>
          <w:sz w:val="21"/>
          <w:lang/>
        </w:rPr>
        <w:instrText xml:space="preserve"> PAGEREF _Toc477899801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2.2 </w:t>
      </w:r>
      <w:r>
        <w:rPr>
          <w:rStyle w:val="10"/>
          <w:rFonts w:hint="eastAsia" w:ascii="Times New Roman" w:hAnsi="Times New Roman" w:eastAsia="宋体"/>
          <w:b/>
          <w:kern w:val="0"/>
          <w:sz w:val="21"/>
          <w:lang/>
        </w:rPr>
        <w:t>基金产品说明</w:t>
      </w:r>
      <w:r>
        <w:rPr>
          <w:rFonts w:hint="default" w:eastAsia="Times New Roman"/>
          <w:sz w:val="21"/>
          <w:lang/>
        </w:rPr>
        <w:tab/>
      </w:r>
      <w:r>
        <w:rPr>
          <w:rFonts w:hint="default"/>
          <w:sz w:val="21"/>
          <w:lang/>
        </w:rPr>
        <w:fldChar w:fldCharType="begin"/>
      </w:r>
      <w:r>
        <w:rPr>
          <w:rFonts w:hint="default"/>
          <w:sz w:val="21"/>
          <w:lang/>
        </w:rPr>
        <w:instrText xml:space="preserve"> PAGEREF _Toc477899802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2.3 </w:t>
      </w:r>
      <w:r>
        <w:rPr>
          <w:rStyle w:val="10"/>
          <w:rFonts w:hint="eastAsia" w:ascii="Times New Roman" w:hAnsi="Times New Roman" w:eastAsia="宋体"/>
          <w:b/>
          <w:kern w:val="0"/>
          <w:sz w:val="21"/>
          <w:lang/>
        </w:rPr>
        <w:t>基金管理人和基金托管人</w:t>
      </w:r>
      <w:r>
        <w:rPr>
          <w:rFonts w:hint="default" w:eastAsia="Times New Roman"/>
          <w:sz w:val="21"/>
          <w:lang/>
        </w:rPr>
        <w:tab/>
      </w:r>
      <w:r>
        <w:rPr>
          <w:rFonts w:hint="default"/>
          <w:sz w:val="21"/>
          <w:lang/>
        </w:rPr>
        <w:fldChar w:fldCharType="begin"/>
      </w:r>
      <w:r>
        <w:rPr>
          <w:rFonts w:hint="default"/>
          <w:sz w:val="21"/>
          <w:lang/>
        </w:rPr>
        <w:instrText xml:space="preserve"> PAGEREF _Toc477899803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2.4 </w:t>
      </w:r>
      <w:r>
        <w:rPr>
          <w:rStyle w:val="10"/>
          <w:rFonts w:hint="eastAsia" w:ascii="Times New Roman" w:hAnsi="Times New Roman" w:eastAsia="宋体"/>
          <w:b/>
          <w:kern w:val="0"/>
          <w:sz w:val="21"/>
          <w:lang/>
        </w:rPr>
        <w:t>信息披露方式</w:t>
      </w:r>
      <w:r>
        <w:rPr>
          <w:rFonts w:hint="default" w:eastAsia="Times New Roman"/>
          <w:sz w:val="21"/>
          <w:lang/>
        </w:rPr>
        <w:tab/>
      </w:r>
      <w:r>
        <w:rPr>
          <w:rFonts w:hint="default"/>
          <w:sz w:val="21"/>
          <w:lang/>
        </w:rPr>
        <w:fldChar w:fldCharType="begin"/>
      </w:r>
      <w:r>
        <w:rPr>
          <w:rFonts w:hint="default"/>
          <w:sz w:val="21"/>
          <w:lang/>
        </w:rPr>
        <w:instrText xml:space="preserve"> PAGEREF _Toc477899804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2.5 </w:t>
      </w:r>
      <w:r>
        <w:rPr>
          <w:rStyle w:val="10"/>
          <w:rFonts w:hint="eastAsia" w:ascii="Times New Roman" w:hAnsi="Times New Roman" w:eastAsia="宋体"/>
          <w:b/>
          <w:kern w:val="0"/>
          <w:sz w:val="21"/>
          <w:lang/>
        </w:rPr>
        <w:t>其他相关资料</w:t>
      </w:r>
      <w:r>
        <w:rPr>
          <w:rFonts w:hint="default" w:eastAsia="Times New Roman"/>
          <w:sz w:val="21"/>
          <w:lang/>
        </w:rPr>
        <w:tab/>
      </w:r>
      <w:r>
        <w:rPr>
          <w:rFonts w:hint="default"/>
          <w:sz w:val="21"/>
          <w:lang/>
        </w:rPr>
        <w:fldChar w:fldCharType="begin"/>
      </w:r>
      <w:r>
        <w:rPr>
          <w:rFonts w:hint="default"/>
          <w:sz w:val="21"/>
          <w:lang/>
        </w:rPr>
        <w:instrText xml:space="preserve"> PAGEREF _Toc477899805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  </w:t>
      </w:r>
      <w:r>
        <w:rPr>
          <w:rStyle w:val="10"/>
          <w:rFonts w:hint="eastAsia" w:ascii="Times New Roman" w:hAnsi="Times New Roman" w:eastAsia="宋体"/>
          <w:b/>
          <w:kern w:val="0"/>
          <w:sz w:val="21"/>
          <w:lang/>
        </w:rPr>
        <w:t>主要财务指标、基金净值表现及利润分配情况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_Toc477899806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3.1 </w:t>
      </w:r>
      <w:r>
        <w:rPr>
          <w:rStyle w:val="10"/>
          <w:rFonts w:hint="eastAsia" w:ascii="Times New Roman" w:hAnsi="Times New Roman" w:eastAsia="宋体"/>
          <w:b/>
          <w:kern w:val="0"/>
          <w:sz w:val="21"/>
          <w:lang/>
        </w:rPr>
        <w:t>主要会计数据和财务指标</w:t>
      </w:r>
      <w:r>
        <w:rPr>
          <w:rFonts w:hint="default" w:eastAsia="Times New Roman"/>
          <w:sz w:val="21"/>
          <w:lang/>
        </w:rPr>
        <w:tab/>
      </w:r>
      <w:r>
        <w:rPr>
          <w:rFonts w:hint="default"/>
          <w:sz w:val="21"/>
          <w:lang/>
        </w:rPr>
        <w:fldChar w:fldCharType="begin"/>
      </w:r>
      <w:r>
        <w:rPr>
          <w:rFonts w:hint="default"/>
          <w:sz w:val="21"/>
          <w:lang/>
        </w:rPr>
        <w:instrText xml:space="preserve"> PAGEREF _Toc477899807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3.2 </w:t>
      </w:r>
      <w:r>
        <w:rPr>
          <w:rStyle w:val="10"/>
          <w:rFonts w:hint="eastAsia" w:ascii="Times New Roman" w:hAnsi="Times New Roman" w:eastAsia="宋体"/>
          <w:b/>
          <w:kern w:val="0"/>
          <w:sz w:val="21"/>
          <w:lang/>
        </w:rPr>
        <w:t>基金净值表现</w:t>
      </w:r>
      <w:r>
        <w:rPr>
          <w:rFonts w:hint="default" w:eastAsia="Times New Roman"/>
          <w:sz w:val="21"/>
          <w:lang/>
        </w:rPr>
        <w:tab/>
      </w:r>
      <w:r>
        <w:rPr>
          <w:rFonts w:hint="default"/>
          <w:sz w:val="21"/>
          <w:lang/>
        </w:rPr>
        <w:fldChar w:fldCharType="begin"/>
      </w:r>
      <w:r>
        <w:rPr>
          <w:rFonts w:hint="default"/>
          <w:sz w:val="21"/>
          <w:lang/>
        </w:rPr>
        <w:instrText xml:space="preserve"> PAGEREF _Toc477899808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3.3 </w:t>
      </w:r>
      <w:r>
        <w:rPr>
          <w:rStyle w:val="10"/>
          <w:rFonts w:hint="eastAsia" w:ascii="Times New Roman" w:hAnsi="Times New Roman" w:eastAsia="宋体"/>
          <w:b/>
          <w:kern w:val="0"/>
          <w:sz w:val="21"/>
          <w:lang/>
        </w:rPr>
        <w:t>过去三年基金的利润分配情况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_Toc477899809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  </w:t>
      </w:r>
      <w:r>
        <w:rPr>
          <w:rStyle w:val="10"/>
          <w:rFonts w:hint="eastAsia" w:ascii="Times New Roman" w:hAnsi="Times New Roman" w:eastAsia="宋体"/>
          <w:b/>
          <w:kern w:val="0"/>
          <w:sz w:val="21"/>
          <w:lang/>
        </w:rPr>
        <w:t>管理人报告</w:t>
      </w:r>
      <w:r>
        <w:rPr>
          <w:rFonts w:hint="default" w:eastAsia="Times New Roman"/>
          <w:sz w:val="21"/>
          <w:lang/>
        </w:rPr>
        <w:tab/>
      </w:r>
      <w:r>
        <w:rPr>
          <w:rFonts w:hint="default"/>
          <w:sz w:val="21"/>
          <w:lang/>
        </w:rPr>
        <w:fldChar w:fldCharType="begin"/>
      </w:r>
      <w:r>
        <w:rPr>
          <w:rFonts w:hint="default"/>
          <w:sz w:val="21"/>
          <w:lang/>
        </w:rPr>
        <w:instrText xml:space="preserve"> PAGEREF _Toc477899810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4.1 </w:t>
      </w:r>
      <w:r>
        <w:rPr>
          <w:rStyle w:val="10"/>
          <w:rFonts w:hint="eastAsia" w:ascii="Times New Roman" w:hAnsi="Times New Roman" w:eastAsia="宋体"/>
          <w:b/>
          <w:kern w:val="0"/>
          <w:sz w:val="21"/>
          <w:lang/>
        </w:rPr>
        <w:t>基金管理人及基金经理情况</w:t>
      </w:r>
      <w:r>
        <w:rPr>
          <w:rFonts w:hint="default" w:eastAsia="Times New Roman"/>
          <w:sz w:val="21"/>
          <w:lang/>
        </w:rPr>
        <w:tab/>
      </w:r>
      <w:r>
        <w:rPr>
          <w:rFonts w:hint="default"/>
          <w:sz w:val="21"/>
          <w:lang/>
        </w:rPr>
        <w:fldChar w:fldCharType="begin"/>
      </w:r>
      <w:r>
        <w:rPr>
          <w:rFonts w:hint="default"/>
          <w:sz w:val="21"/>
          <w:lang/>
        </w:rPr>
        <w:instrText xml:space="preserve"> PAGEREF _Toc477899811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4.2 </w:t>
      </w:r>
      <w:r>
        <w:rPr>
          <w:rStyle w:val="10"/>
          <w:rFonts w:hint="eastAsia" w:ascii="Times New Roman" w:hAnsi="Times New Roman" w:eastAsia="宋体"/>
          <w:b/>
          <w:kern w:val="0"/>
          <w:sz w:val="21"/>
          <w:lang/>
        </w:rPr>
        <w:t>管理人对报告期内本基金运作遵规守信情况的说明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_Toc477899812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4.3 </w:t>
      </w:r>
      <w:r>
        <w:rPr>
          <w:rStyle w:val="10"/>
          <w:rFonts w:hint="eastAsia" w:ascii="Times New Roman" w:hAnsi="Times New Roman" w:eastAsia="宋体"/>
          <w:b/>
          <w:kern w:val="0"/>
          <w:sz w:val="21"/>
          <w:lang/>
        </w:rPr>
        <w:t>管理人对报告期内公平交易情况的专项说明</w:t>
      </w:r>
      <w:r>
        <w:rPr>
          <w:rFonts w:hint="default" w:eastAsia="Times New Roman"/>
          <w:sz w:val="21"/>
          <w:lang/>
        </w:rPr>
        <w:tab/>
      </w:r>
      <w:r>
        <w:rPr>
          <w:rFonts w:hint="default"/>
          <w:sz w:val="21"/>
          <w:lang/>
        </w:rPr>
        <w:fldChar w:fldCharType="begin"/>
      </w:r>
      <w:r>
        <w:rPr>
          <w:rFonts w:hint="default"/>
          <w:sz w:val="21"/>
          <w:lang/>
        </w:rPr>
        <w:instrText xml:space="preserve"> PAGEREF _Toc477899813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4.4 </w:t>
      </w:r>
      <w:r>
        <w:rPr>
          <w:rStyle w:val="10"/>
          <w:rFonts w:hint="eastAsia" w:ascii="Times New Roman" w:hAnsi="Times New Roman" w:eastAsia="宋体"/>
          <w:b/>
          <w:kern w:val="0"/>
          <w:sz w:val="21"/>
          <w:lang/>
        </w:rPr>
        <w:t>管理人对报告期内基金的投资策略和业绩表现的说明</w:t>
      </w:r>
      <w:r>
        <w:rPr>
          <w:rFonts w:hint="default" w:eastAsia="Times New Roman"/>
          <w:sz w:val="21"/>
          <w:lang/>
        </w:rPr>
        <w:tab/>
      </w:r>
      <w:r>
        <w:rPr>
          <w:rFonts w:hint="default"/>
          <w:sz w:val="21"/>
          <w:lang/>
        </w:rPr>
        <w:fldChar w:fldCharType="begin"/>
      </w:r>
      <w:r>
        <w:rPr>
          <w:rFonts w:hint="default"/>
          <w:sz w:val="21"/>
          <w:lang/>
        </w:rPr>
        <w:instrText xml:space="preserve"> PAGEREF _Toc477899814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4.5 </w:t>
      </w:r>
      <w:r>
        <w:rPr>
          <w:rStyle w:val="10"/>
          <w:rFonts w:hint="eastAsia" w:ascii="Times New Roman" w:hAnsi="Times New Roman" w:eastAsia="宋体"/>
          <w:b/>
          <w:kern w:val="0"/>
          <w:sz w:val="21"/>
          <w:lang/>
        </w:rPr>
        <w:t>管理人对宏观经济、证券市场及行业走势的简要展望</w:t>
      </w:r>
      <w:r>
        <w:rPr>
          <w:rFonts w:hint="default" w:eastAsia="Times New Roman"/>
          <w:sz w:val="21"/>
          <w:lang/>
        </w:rPr>
        <w:tab/>
      </w:r>
      <w:r>
        <w:rPr>
          <w:rFonts w:hint="default"/>
          <w:sz w:val="21"/>
          <w:lang/>
        </w:rPr>
        <w:fldChar w:fldCharType="begin"/>
      </w:r>
      <w:r>
        <w:rPr>
          <w:rFonts w:hint="default"/>
          <w:sz w:val="21"/>
          <w:lang/>
        </w:rPr>
        <w:instrText xml:space="preserve"> PAGEREF _Toc477899815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4.6 </w:t>
      </w:r>
      <w:r>
        <w:rPr>
          <w:rStyle w:val="10"/>
          <w:rFonts w:hint="eastAsia" w:ascii="Times New Roman" w:hAnsi="Times New Roman" w:eastAsia="宋体"/>
          <w:b/>
          <w:kern w:val="0"/>
          <w:sz w:val="21"/>
          <w:lang/>
        </w:rPr>
        <w:t>管理人内部有关本基金的监察稽核工作情况</w:t>
      </w:r>
      <w:r>
        <w:rPr>
          <w:rFonts w:hint="default" w:eastAsia="Times New Roman"/>
          <w:sz w:val="21"/>
          <w:lang/>
        </w:rPr>
        <w:tab/>
      </w:r>
      <w:r>
        <w:rPr>
          <w:rFonts w:hint="default"/>
          <w:sz w:val="21"/>
          <w:lang/>
        </w:rPr>
        <w:fldChar w:fldCharType="begin"/>
      </w:r>
      <w:r>
        <w:rPr>
          <w:rFonts w:hint="default"/>
          <w:sz w:val="21"/>
          <w:lang/>
        </w:rPr>
        <w:instrText xml:space="preserve"> PAGEREF _Toc477899816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4.7 </w:t>
      </w:r>
      <w:r>
        <w:rPr>
          <w:rStyle w:val="10"/>
          <w:rFonts w:hint="eastAsia" w:ascii="Times New Roman" w:hAnsi="Times New Roman" w:eastAsia="宋体"/>
          <w:b/>
          <w:kern w:val="0"/>
          <w:sz w:val="21"/>
          <w:lang/>
        </w:rPr>
        <w:t>管理人对报告期内基金估值程序等事项的说明</w:t>
      </w:r>
      <w:r>
        <w:rPr>
          <w:rFonts w:hint="default" w:eastAsia="Times New Roman"/>
          <w:sz w:val="21"/>
          <w:lang/>
        </w:rPr>
        <w:tab/>
      </w:r>
      <w:r>
        <w:rPr>
          <w:rFonts w:hint="default"/>
          <w:sz w:val="21"/>
          <w:lang/>
        </w:rPr>
        <w:fldChar w:fldCharType="begin"/>
      </w:r>
      <w:r>
        <w:rPr>
          <w:rFonts w:hint="default"/>
          <w:sz w:val="21"/>
          <w:lang/>
        </w:rPr>
        <w:instrText xml:space="preserve"> PAGEREF _Toc477899817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4.8 </w:t>
      </w:r>
      <w:r>
        <w:rPr>
          <w:rStyle w:val="10"/>
          <w:rFonts w:hint="eastAsia" w:ascii="Times New Roman" w:hAnsi="Times New Roman" w:eastAsia="宋体"/>
          <w:b/>
          <w:kern w:val="0"/>
          <w:sz w:val="21"/>
          <w:lang/>
        </w:rPr>
        <w:t>管理人对报告期内基金利润分配情况的说明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_Toc477899818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  </w:t>
      </w:r>
      <w:r>
        <w:rPr>
          <w:rStyle w:val="10"/>
          <w:rFonts w:hint="eastAsia" w:ascii="Times New Roman" w:hAnsi="Times New Roman" w:eastAsia="宋体"/>
          <w:b/>
          <w:kern w:val="0"/>
          <w:sz w:val="21"/>
          <w:lang/>
        </w:rPr>
        <w:t>托管人报告</w:t>
      </w:r>
      <w:r>
        <w:rPr>
          <w:rFonts w:hint="default" w:eastAsia="Times New Roman"/>
          <w:sz w:val="21"/>
          <w:lang/>
        </w:rPr>
        <w:tab/>
      </w:r>
      <w:r>
        <w:rPr>
          <w:rFonts w:hint="default"/>
          <w:sz w:val="21"/>
          <w:lang/>
        </w:rPr>
        <w:fldChar w:fldCharType="begin"/>
      </w:r>
      <w:r>
        <w:rPr>
          <w:rFonts w:hint="default"/>
          <w:sz w:val="21"/>
          <w:lang/>
        </w:rPr>
        <w:instrText xml:space="preserve"> PAGEREF _Toc477899819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5.1 </w:t>
      </w:r>
      <w:r>
        <w:rPr>
          <w:rStyle w:val="10"/>
          <w:rFonts w:hint="eastAsia" w:ascii="Times New Roman" w:hAnsi="Times New Roman" w:eastAsia="宋体"/>
          <w:b/>
          <w:kern w:val="0"/>
          <w:sz w:val="21"/>
          <w:lang/>
        </w:rPr>
        <w:t>报告期内本基金托管人遵规守信情况声明</w:t>
      </w:r>
      <w:r>
        <w:rPr>
          <w:rFonts w:hint="default" w:eastAsia="Times New Roman"/>
          <w:sz w:val="21"/>
          <w:lang/>
        </w:rPr>
        <w:tab/>
      </w:r>
      <w:r>
        <w:rPr>
          <w:rFonts w:hint="default"/>
          <w:sz w:val="21"/>
          <w:lang/>
        </w:rPr>
        <w:fldChar w:fldCharType="begin"/>
      </w:r>
      <w:r>
        <w:rPr>
          <w:rFonts w:hint="default"/>
          <w:sz w:val="21"/>
          <w:lang/>
        </w:rPr>
        <w:instrText xml:space="preserve"> PAGEREF _Toc477899820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5.2 </w:t>
      </w:r>
      <w:r>
        <w:rPr>
          <w:rStyle w:val="10"/>
          <w:rFonts w:hint="eastAsia" w:ascii="Times New Roman" w:hAnsi="Times New Roman" w:eastAsia="宋体"/>
          <w:b/>
          <w:kern w:val="0"/>
          <w:sz w:val="21"/>
          <w:lang/>
        </w:rPr>
        <w:t>托管人对报告期内本基金投资运作遵规守信、净值计算、利润分配等情况的说明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_Toc477899821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5.3 </w:t>
      </w:r>
      <w:r>
        <w:rPr>
          <w:rStyle w:val="10"/>
          <w:rFonts w:hint="eastAsia" w:ascii="Times New Roman" w:hAnsi="Times New Roman" w:eastAsia="宋体"/>
          <w:b/>
          <w:kern w:val="0"/>
          <w:sz w:val="21"/>
          <w:lang/>
        </w:rPr>
        <w:t>托管人对本年度报告中财务信息等内容的真实、准确和完整发表意见</w:t>
      </w:r>
      <w:r>
        <w:rPr>
          <w:rFonts w:hint="default" w:eastAsia="Times New Roman"/>
          <w:sz w:val="21"/>
          <w:lang/>
        </w:rPr>
        <w:tab/>
      </w:r>
      <w:r>
        <w:rPr>
          <w:rFonts w:hint="default"/>
          <w:sz w:val="21"/>
          <w:lang/>
        </w:rPr>
        <w:fldChar w:fldCharType="begin"/>
      </w:r>
      <w:r>
        <w:rPr>
          <w:rFonts w:hint="default"/>
          <w:sz w:val="21"/>
          <w:lang/>
        </w:rPr>
        <w:instrText xml:space="preserve"> PAGEREF _Toc477899822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  </w:t>
      </w:r>
      <w:r>
        <w:rPr>
          <w:rStyle w:val="10"/>
          <w:rFonts w:hint="eastAsia" w:ascii="Times New Roman" w:hAnsi="Times New Roman" w:eastAsia="宋体"/>
          <w:b/>
          <w:kern w:val="0"/>
          <w:sz w:val="21"/>
          <w:lang/>
        </w:rPr>
        <w:t>审计报告</w:t>
      </w:r>
      <w:r>
        <w:rPr>
          <w:rFonts w:hint="default" w:eastAsia="Times New Roman"/>
          <w:sz w:val="21"/>
          <w:lang/>
        </w:rPr>
        <w:tab/>
      </w:r>
      <w:r>
        <w:rPr>
          <w:rFonts w:hint="default"/>
          <w:sz w:val="21"/>
          <w:lang/>
        </w:rPr>
        <w:fldChar w:fldCharType="begin"/>
      </w:r>
      <w:r>
        <w:rPr>
          <w:rFonts w:hint="default"/>
          <w:sz w:val="21"/>
          <w:lang/>
        </w:rPr>
        <w:instrText xml:space="preserve"> PAGEREF _Toc477899823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6.1 </w:t>
      </w:r>
      <w:r>
        <w:rPr>
          <w:rStyle w:val="10"/>
          <w:rFonts w:hint="eastAsia" w:ascii="Times New Roman" w:hAnsi="Times New Roman" w:eastAsia="宋体"/>
          <w:b/>
          <w:kern w:val="0"/>
          <w:sz w:val="21"/>
          <w:lang/>
        </w:rPr>
        <w:t>审计报告基本信息</w:t>
      </w:r>
      <w:r>
        <w:rPr>
          <w:rFonts w:hint="default" w:eastAsia="Times New Roman"/>
          <w:sz w:val="21"/>
          <w:lang/>
        </w:rPr>
        <w:tab/>
      </w:r>
      <w:r>
        <w:rPr>
          <w:rFonts w:hint="default"/>
          <w:sz w:val="21"/>
          <w:lang/>
        </w:rPr>
        <w:fldChar w:fldCharType="begin"/>
      </w:r>
      <w:r>
        <w:rPr>
          <w:rFonts w:hint="default"/>
          <w:sz w:val="21"/>
          <w:lang/>
        </w:rPr>
        <w:instrText xml:space="preserve"> PAGEREF _Toc477899824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6.2 </w:t>
      </w:r>
      <w:r>
        <w:rPr>
          <w:rStyle w:val="10"/>
          <w:rFonts w:hint="eastAsia" w:ascii="Times New Roman" w:hAnsi="Times New Roman" w:eastAsia="宋体"/>
          <w:b/>
          <w:kern w:val="0"/>
          <w:sz w:val="21"/>
          <w:lang/>
        </w:rPr>
        <w:t>审计报告的基本内容</w:t>
      </w:r>
      <w:r>
        <w:rPr>
          <w:rFonts w:hint="default" w:eastAsia="Times New Roman"/>
          <w:sz w:val="21"/>
          <w:lang/>
        </w:rPr>
        <w:tab/>
      </w:r>
      <w:r>
        <w:rPr>
          <w:rFonts w:hint="default"/>
          <w:sz w:val="21"/>
          <w:lang/>
        </w:rPr>
        <w:fldChar w:fldCharType="begin"/>
      </w:r>
      <w:r>
        <w:rPr>
          <w:rFonts w:hint="default"/>
          <w:sz w:val="21"/>
          <w:lang/>
        </w:rPr>
        <w:instrText xml:space="preserve"> PAGEREF _Toc477899825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  </w:t>
      </w:r>
      <w:r>
        <w:rPr>
          <w:rStyle w:val="10"/>
          <w:rFonts w:hint="eastAsia" w:ascii="Times New Roman" w:hAnsi="Times New Roman" w:eastAsia="宋体"/>
          <w:b/>
          <w:kern w:val="0"/>
          <w:sz w:val="21"/>
          <w:lang/>
        </w:rPr>
        <w:t>年度财务报表</w:t>
      </w:r>
      <w:r>
        <w:rPr>
          <w:rFonts w:hint="default" w:eastAsia="Times New Roman"/>
          <w:sz w:val="21"/>
          <w:lang/>
        </w:rPr>
        <w:tab/>
      </w:r>
      <w:r>
        <w:rPr>
          <w:rFonts w:hint="default"/>
          <w:sz w:val="21"/>
          <w:lang/>
        </w:rPr>
        <w:fldChar w:fldCharType="begin"/>
      </w:r>
      <w:r>
        <w:rPr>
          <w:rFonts w:hint="default"/>
          <w:sz w:val="21"/>
          <w:lang/>
        </w:rPr>
        <w:instrText xml:space="preserve"> PAGEREF _Toc477899826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7.1 </w:t>
      </w:r>
      <w:r>
        <w:rPr>
          <w:rStyle w:val="10"/>
          <w:rFonts w:hint="eastAsia" w:ascii="Times New Roman" w:hAnsi="Times New Roman" w:eastAsia="宋体"/>
          <w:b/>
          <w:kern w:val="0"/>
          <w:sz w:val="21"/>
          <w:lang/>
        </w:rPr>
        <w:t>资产负债表</w:t>
      </w:r>
      <w:r>
        <w:rPr>
          <w:rFonts w:hint="default" w:eastAsia="Times New Roman"/>
          <w:sz w:val="21"/>
          <w:lang/>
        </w:rPr>
        <w:tab/>
      </w:r>
      <w:r>
        <w:rPr>
          <w:rFonts w:hint="default"/>
          <w:sz w:val="21"/>
          <w:lang/>
        </w:rPr>
        <w:fldChar w:fldCharType="begin"/>
      </w:r>
      <w:r>
        <w:rPr>
          <w:rFonts w:hint="default"/>
          <w:sz w:val="21"/>
          <w:lang/>
        </w:rPr>
        <w:instrText xml:space="preserve"> PAGEREF _Toc477899827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7.2 </w:t>
      </w:r>
      <w:r>
        <w:rPr>
          <w:rStyle w:val="10"/>
          <w:rFonts w:hint="eastAsia" w:ascii="Times New Roman" w:hAnsi="Times New Roman" w:eastAsia="宋体"/>
          <w:b/>
          <w:kern w:val="0"/>
          <w:sz w:val="21"/>
          <w:lang/>
        </w:rPr>
        <w:t>利润表</w:t>
      </w:r>
      <w:r>
        <w:rPr>
          <w:rFonts w:hint="default" w:eastAsia="Times New Roman"/>
          <w:sz w:val="21"/>
          <w:lang/>
        </w:rPr>
        <w:tab/>
      </w:r>
      <w:r>
        <w:rPr>
          <w:rFonts w:hint="default"/>
          <w:sz w:val="21"/>
          <w:lang/>
        </w:rPr>
        <w:fldChar w:fldCharType="begin"/>
      </w:r>
      <w:r>
        <w:rPr>
          <w:rFonts w:hint="default"/>
          <w:sz w:val="21"/>
          <w:lang/>
        </w:rPr>
        <w:instrText xml:space="preserve"> PAGEREF _Toc477899828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7.3 </w:t>
      </w:r>
      <w:r>
        <w:rPr>
          <w:rStyle w:val="10"/>
          <w:rFonts w:hint="eastAsia" w:ascii="Times New Roman" w:hAnsi="Times New Roman" w:eastAsia="宋体"/>
          <w:b/>
          <w:kern w:val="0"/>
          <w:sz w:val="21"/>
          <w:lang/>
        </w:rPr>
        <w:t>所有者权益（基金净值）变动表</w:t>
      </w:r>
      <w:r>
        <w:rPr>
          <w:rFonts w:hint="default" w:eastAsia="Times New Roman"/>
          <w:sz w:val="21"/>
          <w:lang/>
        </w:rPr>
        <w:tab/>
      </w:r>
      <w:r>
        <w:rPr>
          <w:rFonts w:hint="default"/>
          <w:sz w:val="21"/>
          <w:lang/>
        </w:rPr>
        <w:fldChar w:fldCharType="begin"/>
      </w:r>
      <w:r>
        <w:rPr>
          <w:rFonts w:hint="default"/>
          <w:sz w:val="21"/>
          <w:lang/>
        </w:rPr>
        <w:instrText xml:space="preserve"> PAGEREF _Toc477899829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7.4 </w:t>
      </w:r>
      <w:r>
        <w:rPr>
          <w:rStyle w:val="10"/>
          <w:rFonts w:hint="eastAsia" w:ascii="Times New Roman" w:hAnsi="Times New Roman" w:eastAsia="宋体"/>
          <w:b/>
          <w:kern w:val="0"/>
          <w:sz w:val="21"/>
          <w:lang/>
        </w:rPr>
        <w:t>报表附注</w:t>
      </w:r>
      <w:r>
        <w:rPr>
          <w:rFonts w:hint="default" w:eastAsia="Times New Roman"/>
          <w:sz w:val="21"/>
          <w:lang/>
        </w:rPr>
        <w:tab/>
      </w:r>
      <w:r>
        <w:rPr>
          <w:rFonts w:hint="default"/>
          <w:sz w:val="21"/>
          <w:lang/>
        </w:rPr>
        <w:fldChar w:fldCharType="begin"/>
      </w:r>
      <w:r>
        <w:rPr>
          <w:rFonts w:hint="default"/>
          <w:sz w:val="21"/>
          <w:lang/>
        </w:rPr>
        <w:instrText xml:space="preserve"> PAGEREF _Toc477899830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  </w:t>
      </w:r>
      <w:r>
        <w:rPr>
          <w:rStyle w:val="10"/>
          <w:rFonts w:hint="eastAsia" w:ascii="Times New Roman" w:hAnsi="Times New Roman" w:eastAsia="宋体"/>
          <w:b/>
          <w:kern w:val="0"/>
          <w:sz w:val="21"/>
          <w:lang/>
        </w:rPr>
        <w:t>投资组合报告</w:t>
      </w:r>
      <w:r>
        <w:rPr>
          <w:rFonts w:hint="default" w:eastAsia="Times New Roman"/>
          <w:sz w:val="21"/>
          <w:lang/>
        </w:rPr>
        <w:tab/>
      </w:r>
      <w:r>
        <w:rPr>
          <w:rFonts w:hint="default"/>
          <w:sz w:val="21"/>
          <w:lang/>
        </w:rPr>
        <w:fldChar w:fldCharType="begin"/>
      </w:r>
      <w:r>
        <w:rPr>
          <w:rFonts w:hint="default"/>
          <w:sz w:val="21"/>
          <w:lang/>
        </w:rPr>
        <w:instrText xml:space="preserve"> PAGEREF _Toc477899831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 </w:t>
      </w:r>
      <w:r>
        <w:rPr>
          <w:rStyle w:val="10"/>
          <w:rFonts w:hint="eastAsia" w:ascii="Times New Roman" w:hAnsi="Times New Roman" w:eastAsia="宋体"/>
          <w:b/>
          <w:kern w:val="0"/>
          <w:sz w:val="21"/>
          <w:lang/>
        </w:rPr>
        <w:t>期末基金资产组合情况</w:t>
      </w:r>
      <w:r>
        <w:rPr>
          <w:rFonts w:hint="default" w:eastAsia="Times New Roman"/>
          <w:sz w:val="21"/>
          <w:lang/>
        </w:rPr>
        <w:tab/>
      </w:r>
      <w:r>
        <w:rPr>
          <w:rFonts w:hint="default"/>
          <w:sz w:val="21"/>
          <w:lang/>
        </w:rPr>
        <w:fldChar w:fldCharType="begin"/>
      </w:r>
      <w:r>
        <w:rPr>
          <w:rFonts w:hint="default"/>
          <w:sz w:val="21"/>
          <w:lang/>
        </w:rPr>
        <w:instrText xml:space="preserve"> PAGEREF _Toc477899832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8.2.1 </w:t>
      </w:r>
      <w:r>
        <w:rPr>
          <w:rStyle w:val="10"/>
          <w:rFonts w:hint="eastAsia" w:ascii="Times New Roman" w:hAnsi="Times New Roman" w:eastAsia="宋体"/>
          <w:b/>
          <w:kern w:val="0"/>
          <w:sz w:val="21"/>
          <w:lang/>
        </w:rPr>
        <w:t>报告期末按行业分类的境内股票投资组合</w:t>
      </w:r>
      <w:r>
        <w:rPr>
          <w:rFonts w:hint="default" w:eastAsia="Times New Roman"/>
          <w:sz w:val="21"/>
          <w:lang/>
        </w:rPr>
        <w:tab/>
      </w:r>
      <w:r>
        <w:rPr>
          <w:rFonts w:hint="default"/>
          <w:sz w:val="21"/>
          <w:lang/>
        </w:rPr>
        <w:fldChar w:fldCharType="begin"/>
      </w:r>
      <w:r>
        <w:rPr>
          <w:rFonts w:hint="default"/>
          <w:sz w:val="21"/>
          <w:lang/>
        </w:rPr>
        <w:instrText xml:space="preserve"> PAGEREF _Toc477899833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8.3 </w:t>
      </w:r>
      <w:r>
        <w:rPr>
          <w:rStyle w:val="10"/>
          <w:rFonts w:hint="eastAsia" w:ascii="Times New Roman" w:hAnsi="Times New Roman" w:eastAsia="宋体"/>
          <w:b/>
          <w:kern w:val="0"/>
          <w:sz w:val="21"/>
          <w:lang/>
        </w:rPr>
        <w:t>期末按公允价值占基金资产净值比例大小排序的所有股票投资明细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_Toc477899834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8.4 </w:t>
      </w:r>
      <w:r>
        <w:rPr>
          <w:rStyle w:val="10"/>
          <w:rFonts w:hint="eastAsia" w:ascii="Times New Roman" w:hAnsi="Times New Roman" w:eastAsia="宋体"/>
          <w:b/>
          <w:kern w:val="0"/>
          <w:sz w:val="21"/>
          <w:lang/>
        </w:rPr>
        <w:t>报告期内股票投资组合的重大变动</w:t>
      </w:r>
      <w:r>
        <w:rPr>
          <w:rFonts w:hint="default" w:eastAsia="Times New Roman"/>
          <w:sz w:val="21"/>
          <w:lang/>
        </w:rPr>
        <w:tab/>
      </w:r>
      <w:r>
        <w:rPr>
          <w:rFonts w:hint="default"/>
          <w:sz w:val="21"/>
          <w:lang/>
        </w:rPr>
        <w:fldChar w:fldCharType="begin"/>
      </w:r>
      <w:r>
        <w:rPr>
          <w:rFonts w:hint="default"/>
          <w:sz w:val="21"/>
          <w:lang/>
        </w:rPr>
        <w:instrText xml:space="preserve"> PAGEREF _Toc477899835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8.5 </w:t>
      </w:r>
      <w:r>
        <w:rPr>
          <w:rStyle w:val="10"/>
          <w:rFonts w:hint="eastAsia" w:ascii="Times New Roman" w:hAnsi="Times New Roman" w:eastAsia="宋体"/>
          <w:b/>
          <w:kern w:val="0"/>
          <w:sz w:val="21"/>
          <w:lang/>
        </w:rPr>
        <w:t>期末按债券品种分类的债券投资组合</w:t>
      </w:r>
      <w:r>
        <w:rPr>
          <w:rFonts w:hint="default" w:eastAsia="Times New Roman"/>
          <w:sz w:val="21"/>
          <w:lang/>
        </w:rPr>
        <w:tab/>
      </w:r>
      <w:r>
        <w:rPr>
          <w:rFonts w:hint="default"/>
          <w:sz w:val="21"/>
          <w:lang/>
        </w:rPr>
        <w:fldChar w:fldCharType="begin"/>
      </w:r>
      <w:r>
        <w:rPr>
          <w:rFonts w:hint="default"/>
          <w:sz w:val="21"/>
          <w:lang/>
        </w:rPr>
        <w:instrText xml:space="preserve"> PAGEREF _Toc477899836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8.6 </w:t>
      </w:r>
      <w:r>
        <w:rPr>
          <w:rStyle w:val="10"/>
          <w:rFonts w:hint="eastAsia" w:ascii="Times New Roman" w:hAnsi="Times New Roman" w:eastAsia="宋体"/>
          <w:b/>
          <w:kern w:val="0"/>
          <w:sz w:val="21"/>
          <w:lang/>
        </w:rPr>
        <w:t>期末按公允价值占基金资产净值比例大小排序的前五名债券投资明细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_Toc477899837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8.7 </w:t>
      </w:r>
      <w:r>
        <w:rPr>
          <w:rStyle w:val="10"/>
          <w:rFonts w:hint="eastAsia" w:ascii="Times New Roman" w:hAnsi="Times New Roman" w:eastAsia="宋体"/>
          <w:b/>
          <w:kern w:val="0"/>
          <w:sz w:val="21"/>
          <w:lang/>
        </w:rPr>
        <w:t>期末按公允价值占基金资产净值比例大小排序的所有资产支持证券投资明细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_Toc477899838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8.8 </w:t>
      </w:r>
      <w:r>
        <w:rPr>
          <w:rStyle w:val="10"/>
          <w:rFonts w:hint="eastAsia" w:ascii="Times New Roman" w:hAnsi="Times New Roman" w:eastAsia="宋体"/>
          <w:b/>
          <w:kern w:val="0"/>
          <w:sz w:val="21"/>
          <w:lang/>
        </w:rPr>
        <w:t>报告期末按公允价值占基金资产净值比例大小排序的前五名贵金属投资明细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_Toc477899839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8.9 </w:t>
      </w:r>
      <w:r>
        <w:rPr>
          <w:rStyle w:val="10"/>
          <w:rFonts w:hint="eastAsia" w:ascii="Times New Roman" w:hAnsi="Times New Roman" w:eastAsia="宋体"/>
          <w:b/>
          <w:kern w:val="0"/>
          <w:sz w:val="21"/>
          <w:lang/>
        </w:rPr>
        <w:t>期末按公允价值占基金资产净值比例大小排序的前五名权证投资明细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_Toc477899840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8.10 </w:t>
      </w:r>
      <w:r>
        <w:rPr>
          <w:rStyle w:val="10"/>
          <w:rFonts w:hint="eastAsia" w:ascii="Times New Roman" w:hAnsi="Times New Roman" w:eastAsia="宋体"/>
          <w:b/>
          <w:kern w:val="0"/>
          <w:sz w:val="21"/>
          <w:lang/>
        </w:rPr>
        <w:t>报告期末本基金投资的股指期货交易情况说明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_Toc477899841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8.11 </w:t>
      </w:r>
      <w:r>
        <w:rPr>
          <w:rStyle w:val="10"/>
          <w:rFonts w:hint="eastAsia" w:ascii="Times New Roman" w:hAnsi="Times New Roman" w:eastAsia="宋体"/>
          <w:b/>
          <w:kern w:val="0"/>
          <w:sz w:val="21"/>
          <w:lang/>
        </w:rPr>
        <w:t>报告期末本基金投资的国债期货交易情况说明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_Toc477899842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8.12 </w:t>
      </w:r>
      <w:r>
        <w:rPr>
          <w:rStyle w:val="10"/>
          <w:rFonts w:hint="eastAsia" w:ascii="Times New Roman" w:hAnsi="Times New Roman" w:eastAsia="宋体"/>
          <w:b/>
          <w:kern w:val="0"/>
          <w:sz w:val="21"/>
          <w:lang/>
        </w:rPr>
        <w:t>投资组合报告附注</w:t>
      </w:r>
      <w:r>
        <w:rPr>
          <w:rFonts w:hint="default" w:eastAsia="Times New Roman"/>
          <w:sz w:val="21"/>
          <w:lang/>
        </w:rPr>
        <w:tab/>
      </w:r>
      <w:r>
        <w:rPr>
          <w:rFonts w:hint="default"/>
          <w:sz w:val="21"/>
          <w:lang/>
        </w:rPr>
        <w:fldChar w:fldCharType="begin"/>
      </w:r>
      <w:r>
        <w:rPr>
          <w:rFonts w:hint="default"/>
          <w:sz w:val="21"/>
          <w:lang/>
        </w:rPr>
        <w:instrText xml:space="preserve"> PAGEREF _Toc477899843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  </w:t>
      </w:r>
      <w:r>
        <w:rPr>
          <w:rStyle w:val="10"/>
          <w:rFonts w:hint="eastAsia" w:ascii="Times New Roman" w:hAnsi="Times New Roman" w:eastAsia="宋体"/>
          <w:b/>
          <w:kern w:val="0"/>
          <w:sz w:val="21"/>
          <w:lang/>
        </w:rPr>
        <w:t>基金份额持有人信息</w:t>
      </w:r>
      <w:r>
        <w:rPr>
          <w:rFonts w:hint="default" w:eastAsia="Times New Roman"/>
          <w:sz w:val="21"/>
          <w:lang/>
        </w:rPr>
        <w:tab/>
      </w:r>
      <w:r>
        <w:rPr>
          <w:rFonts w:hint="default"/>
          <w:sz w:val="21"/>
          <w:lang/>
        </w:rPr>
        <w:fldChar w:fldCharType="begin"/>
      </w:r>
      <w:r>
        <w:rPr>
          <w:rFonts w:hint="default"/>
          <w:sz w:val="21"/>
          <w:lang/>
        </w:rPr>
        <w:instrText xml:space="preserve"> PAGEREF _Toc477899844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9.1 </w:t>
      </w:r>
      <w:r>
        <w:rPr>
          <w:rStyle w:val="10"/>
          <w:rFonts w:hint="eastAsia" w:ascii="Times New Roman" w:hAnsi="Times New Roman" w:eastAsia="宋体"/>
          <w:b/>
          <w:kern w:val="0"/>
          <w:sz w:val="21"/>
          <w:lang/>
        </w:rPr>
        <w:t>期末基金份额持有人户数及持有人结构</w:t>
      </w:r>
      <w:r>
        <w:rPr>
          <w:rFonts w:hint="default" w:eastAsia="Times New Roman"/>
          <w:sz w:val="21"/>
          <w:lang/>
        </w:rPr>
        <w:tab/>
      </w:r>
      <w:r>
        <w:rPr>
          <w:rFonts w:hint="default"/>
          <w:sz w:val="21"/>
          <w:lang/>
        </w:rPr>
        <w:fldChar w:fldCharType="begin"/>
      </w:r>
      <w:r>
        <w:rPr>
          <w:rFonts w:hint="default"/>
          <w:sz w:val="21"/>
          <w:lang/>
        </w:rPr>
        <w:instrText xml:space="preserve"> PAGEREF _Toc477899845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9.2 </w:t>
      </w:r>
      <w:r>
        <w:rPr>
          <w:rStyle w:val="10"/>
          <w:rFonts w:hint="eastAsia" w:ascii="Times New Roman" w:hAnsi="Times New Roman" w:eastAsia="宋体"/>
          <w:b/>
          <w:kern w:val="0"/>
          <w:sz w:val="21"/>
          <w:lang/>
        </w:rPr>
        <w:t>期末基金管理人的从业人员持有本基金的情况</w:t>
      </w:r>
      <w:r>
        <w:rPr>
          <w:rFonts w:hint="default" w:eastAsia="Times New Roman"/>
          <w:sz w:val="21"/>
          <w:lang/>
        </w:rPr>
        <w:tab/>
      </w:r>
      <w:r>
        <w:rPr>
          <w:rFonts w:hint="default"/>
          <w:sz w:val="21"/>
          <w:lang/>
        </w:rPr>
        <w:fldChar w:fldCharType="begin"/>
      </w:r>
      <w:r>
        <w:rPr>
          <w:rFonts w:hint="default"/>
          <w:sz w:val="21"/>
          <w:lang/>
        </w:rPr>
        <w:instrText xml:space="preserve"> PAGEREF _Toc477899846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9.3 </w:t>
      </w:r>
      <w:r>
        <w:rPr>
          <w:rStyle w:val="10"/>
          <w:rFonts w:hint="eastAsia" w:ascii="Times New Roman" w:hAnsi="Times New Roman" w:eastAsia="宋体"/>
          <w:b/>
          <w:kern w:val="0"/>
          <w:sz w:val="21"/>
          <w:lang/>
        </w:rPr>
        <w:t>期末基金管理人的从业人员持有本开放式基金份额总量区间情况</w:t>
      </w:r>
      <w:r>
        <w:rPr>
          <w:rFonts w:hint="default" w:eastAsia="Times New Roman"/>
          <w:sz w:val="21"/>
          <w:lang/>
        </w:rPr>
        <w:tab/>
      </w:r>
      <w:r>
        <w:rPr>
          <w:rFonts w:hint="default"/>
          <w:sz w:val="21"/>
          <w:lang/>
        </w:rPr>
        <w:fldChar w:fldCharType="begin"/>
      </w:r>
      <w:r>
        <w:rPr>
          <w:rFonts w:hint="default"/>
          <w:sz w:val="21"/>
          <w:lang/>
        </w:rPr>
        <w:instrText xml:space="preserve"> PAGEREF _Toc477899847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§10 </w:t>
      </w:r>
      <w:r>
        <w:rPr>
          <w:rStyle w:val="10"/>
          <w:rFonts w:hint="eastAsia" w:ascii="Times New Roman" w:hAnsi="Times New Roman" w:eastAsia="宋体"/>
          <w:b/>
          <w:kern w:val="0"/>
          <w:sz w:val="21"/>
          <w:lang/>
        </w:rPr>
        <w:t>开放式基金份额变动</w:t>
      </w:r>
      <w:r>
        <w:rPr>
          <w:rFonts w:hint="default" w:eastAsia="Times New Roman"/>
          <w:sz w:val="21"/>
          <w:lang/>
        </w:rPr>
        <w:tab/>
      </w:r>
      <w:r>
        <w:rPr>
          <w:rFonts w:hint="default"/>
          <w:sz w:val="21"/>
          <w:lang/>
        </w:rPr>
        <w:fldChar w:fldCharType="begin"/>
      </w:r>
      <w:r>
        <w:rPr>
          <w:rFonts w:hint="default"/>
          <w:sz w:val="21"/>
          <w:lang/>
        </w:rPr>
        <w:instrText xml:space="preserve"> PAGEREF _Toc477899848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重大事件揭示</w:t>
      </w:r>
      <w:r>
        <w:rPr>
          <w:rFonts w:hint="default" w:eastAsia="Times New Roman"/>
          <w:sz w:val="21"/>
          <w:lang/>
        </w:rPr>
        <w:tab/>
      </w:r>
      <w:r>
        <w:rPr>
          <w:rFonts w:hint="default"/>
          <w:sz w:val="21"/>
          <w:lang/>
        </w:rPr>
        <w:fldChar w:fldCharType="begin"/>
      </w:r>
      <w:r>
        <w:rPr>
          <w:rFonts w:hint="default"/>
          <w:sz w:val="21"/>
          <w:lang/>
        </w:rPr>
        <w:instrText xml:space="preserve"> PAGEREF _Toc477899849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11.1 </w:t>
      </w:r>
      <w:r>
        <w:rPr>
          <w:rStyle w:val="10"/>
          <w:rFonts w:hint="eastAsia" w:ascii="Times New Roman" w:hAnsi="Times New Roman" w:eastAsia="宋体"/>
          <w:b/>
          <w:kern w:val="0"/>
          <w:sz w:val="21"/>
          <w:lang/>
        </w:rPr>
        <w:t>基金份额持有人大会决议</w:t>
      </w:r>
      <w:r>
        <w:rPr>
          <w:rFonts w:hint="default" w:eastAsia="Times New Roman"/>
          <w:sz w:val="21"/>
          <w:lang/>
        </w:rPr>
        <w:tab/>
      </w:r>
      <w:r>
        <w:rPr>
          <w:rFonts w:hint="default"/>
          <w:sz w:val="21"/>
          <w:lang/>
        </w:rPr>
        <w:fldChar w:fldCharType="begin"/>
      </w:r>
      <w:r>
        <w:rPr>
          <w:rFonts w:hint="default"/>
          <w:sz w:val="21"/>
          <w:lang/>
        </w:rPr>
        <w:instrText xml:space="preserve"> PAGEREF _Toc477899850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11.2 </w:t>
      </w:r>
      <w:r>
        <w:rPr>
          <w:rStyle w:val="10"/>
          <w:rFonts w:hint="eastAsia" w:ascii="Times New Roman" w:hAnsi="Times New Roman" w:eastAsia="宋体"/>
          <w:b/>
          <w:kern w:val="0"/>
          <w:sz w:val="21"/>
          <w:lang/>
        </w:rPr>
        <w:t>基金管理人、基金托管人的专门基金托管部门的重大人事变动</w:t>
      </w:r>
      <w:r>
        <w:rPr>
          <w:rFonts w:hint="default" w:eastAsia="Times New Roman"/>
          <w:sz w:val="21"/>
          <w:lang/>
        </w:rPr>
        <w:tab/>
      </w:r>
      <w:r>
        <w:rPr>
          <w:rFonts w:hint="default"/>
          <w:sz w:val="21"/>
          <w:lang/>
        </w:rPr>
        <w:fldChar w:fldCharType="begin"/>
      </w:r>
      <w:r>
        <w:rPr>
          <w:rFonts w:hint="default"/>
          <w:sz w:val="21"/>
          <w:lang/>
        </w:rPr>
        <w:instrText xml:space="preserve"> PAGEREF _Toc477899851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11.3 </w:t>
      </w:r>
      <w:r>
        <w:rPr>
          <w:rStyle w:val="10"/>
          <w:rFonts w:hint="eastAsia" w:ascii="Times New Roman" w:hAnsi="Times New Roman" w:eastAsia="宋体"/>
          <w:b/>
          <w:kern w:val="0"/>
          <w:sz w:val="21"/>
          <w:lang/>
        </w:rPr>
        <w:t>涉及基金管理人、基金财产、基金托管业务的诉讼</w:t>
      </w:r>
      <w:r>
        <w:rPr>
          <w:rFonts w:hint="default" w:eastAsia="Times New Roman"/>
          <w:sz w:val="21"/>
          <w:lang/>
        </w:rPr>
        <w:tab/>
      </w:r>
      <w:r>
        <w:rPr>
          <w:rFonts w:hint="default"/>
          <w:sz w:val="21"/>
          <w:lang/>
        </w:rPr>
        <w:fldChar w:fldCharType="begin"/>
      </w:r>
      <w:r>
        <w:rPr>
          <w:rFonts w:hint="default"/>
          <w:sz w:val="21"/>
          <w:lang/>
        </w:rPr>
        <w:instrText xml:space="preserve"> PAGEREF _Toc477899852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11.4 </w:t>
      </w:r>
      <w:r>
        <w:rPr>
          <w:rStyle w:val="10"/>
          <w:rFonts w:hint="eastAsia" w:ascii="Times New Roman" w:hAnsi="Times New Roman" w:eastAsia="宋体"/>
          <w:b/>
          <w:kern w:val="0"/>
          <w:sz w:val="21"/>
          <w:lang/>
        </w:rPr>
        <w:t>基金投资策略的改变</w:t>
      </w:r>
      <w:r>
        <w:rPr>
          <w:rFonts w:hint="default" w:eastAsia="Times New Roman"/>
          <w:sz w:val="21"/>
          <w:lang/>
        </w:rPr>
        <w:tab/>
      </w:r>
      <w:r>
        <w:rPr>
          <w:rFonts w:hint="default"/>
          <w:sz w:val="21"/>
          <w:lang/>
        </w:rPr>
        <w:fldChar w:fldCharType="begin"/>
      </w:r>
      <w:r>
        <w:rPr>
          <w:rFonts w:hint="default"/>
          <w:sz w:val="21"/>
          <w:lang/>
        </w:rPr>
        <w:instrText xml:space="preserve"> PAGEREF _Toc477899853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11.5 </w:t>
      </w:r>
      <w:r>
        <w:rPr>
          <w:rStyle w:val="10"/>
          <w:rFonts w:hint="eastAsia" w:ascii="Times New Roman" w:hAnsi="Times New Roman" w:eastAsia="宋体"/>
          <w:b/>
          <w:kern w:val="0"/>
          <w:sz w:val="21"/>
          <w:lang/>
        </w:rPr>
        <w:t>为基金进行审计的会计师事务所情况</w:t>
      </w:r>
      <w:r>
        <w:rPr>
          <w:rFonts w:hint="default" w:eastAsia="Times New Roman"/>
          <w:sz w:val="21"/>
          <w:lang/>
        </w:rPr>
        <w:tab/>
      </w:r>
      <w:r>
        <w:rPr>
          <w:rFonts w:hint="default"/>
          <w:sz w:val="21"/>
          <w:lang/>
        </w:rPr>
        <w:fldChar w:fldCharType="begin"/>
      </w:r>
      <w:r>
        <w:rPr>
          <w:rFonts w:hint="default"/>
          <w:sz w:val="21"/>
          <w:lang/>
        </w:rPr>
        <w:instrText xml:space="preserve"> PAGEREF _Toc477899854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11.6 </w:t>
      </w:r>
      <w:r>
        <w:rPr>
          <w:rStyle w:val="10"/>
          <w:rFonts w:hint="eastAsia" w:ascii="Times New Roman" w:hAnsi="Times New Roman" w:eastAsia="宋体"/>
          <w:b/>
          <w:kern w:val="0"/>
          <w:sz w:val="21"/>
          <w:lang/>
        </w:rPr>
        <w:t>管理人、托管人及其高级管理人员受稽查或处罚等情况</w:t>
      </w:r>
      <w:r>
        <w:rPr>
          <w:rFonts w:hint="default" w:eastAsia="Times New Roman"/>
          <w:sz w:val="21"/>
          <w:lang/>
        </w:rPr>
        <w:tab/>
      </w:r>
      <w:r>
        <w:rPr>
          <w:rFonts w:hint="default"/>
          <w:sz w:val="21"/>
          <w:lang/>
        </w:rPr>
        <w:fldChar w:fldCharType="begin"/>
      </w:r>
      <w:r>
        <w:rPr>
          <w:rFonts w:hint="default"/>
          <w:sz w:val="21"/>
          <w:lang/>
        </w:rPr>
        <w:instrText xml:space="preserve"> PAGEREF _Toc477899855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11.7 </w:t>
      </w:r>
      <w:r>
        <w:rPr>
          <w:rStyle w:val="10"/>
          <w:rFonts w:hint="eastAsia" w:ascii="Times New Roman" w:hAnsi="Times New Roman" w:eastAsia="宋体"/>
          <w:b/>
          <w:kern w:val="0"/>
          <w:sz w:val="21"/>
          <w:lang/>
        </w:rPr>
        <w:t>基金租用证券公司交易单元的有关情况</w:t>
      </w:r>
      <w:r>
        <w:rPr>
          <w:rFonts w:hint="default" w:eastAsia="Times New Roman"/>
          <w:sz w:val="21"/>
          <w:lang/>
        </w:rPr>
        <w:tab/>
      </w:r>
      <w:r>
        <w:rPr>
          <w:rFonts w:hint="default"/>
          <w:sz w:val="21"/>
          <w:lang/>
        </w:rPr>
        <w:fldChar w:fldCharType="begin"/>
      </w:r>
      <w:r>
        <w:rPr>
          <w:rFonts w:hint="default"/>
          <w:sz w:val="21"/>
          <w:lang/>
        </w:rPr>
        <w:instrText xml:space="preserve"> PAGEREF _Toc477899856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11.8 </w:t>
      </w:r>
      <w:r>
        <w:rPr>
          <w:rStyle w:val="10"/>
          <w:rFonts w:hint="eastAsia" w:ascii="Times New Roman" w:hAnsi="Times New Roman" w:eastAsia="宋体"/>
          <w:b/>
          <w:kern w:val="0"/>
          <w:sz w:val="21"/>
          <w:lang/>
        </w:rPr>
        <w:t>其他重大事件</w:t>
      </w:r>
      <w:r>
        <w:rPr>
          <w:rFonts w:hint="default" w:eastAsia="Times New Roman"/>
          <w:sz w:val="21"/>
          <w:lang/>
        </w:rPr>
        <w:tab/>
      </w:r>
      <w:r>
        <w:rPr>
          <w:rFonts w:hint="default"/>
          <w:sz w:val="21"/>
          <w:lang/>
        </w:rPr>
        <w:fldChar w:fldCharType="begin"/>
      </w:r>
      <w:r>
        <w:rPr>
          <w:rFonts w:hint="default"/>
          <w:sz w:val="21"/>
          <w:lang/>
        </w:rPr>
        <w:instrText xml:space="preserve"> PAGEREF _Toc477899857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影响投资者决策的其他重要信息</w:t>
      </w:r>
      <w:r>
        <w:rPr>
          <w:rFonts w:hint="default" w:eastAsia="Times New Roman"/>
          <w:sz w:val="21"/>
          <w:lang/>
        </w:rPr>
        <w:tab/>
      </w:r>
      <w:r>
        <w:rPr>
          <w:rFonts w:hint="default"/>
          <w:sz w:val="21"/>
          <w:lang/>
        </w:rPr>
        <w:fldChar w:fldCharType="begin"/>
      </w:r>
      <w:r>
        <w:rPr>
          <w:rFonts w:hint="default"/>
          <w:sz w:val="21"/>
          <w:lang/>
        </w:rPr>
        <w:instrText xml:space="preserve"> PAGEREF _Toc477899858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_Toc477899859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13.1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_Toc477899860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13.2 </w:t>
      </w:r>
      <w:r>
        <w:rPr>
          <w:rStyle w:val="10"/>
          <w:rFonts w:hint="eastAsia" w:ascii="Times New Roman" w:hAnsi="Times New Roman" w:eastAsia="宋体"/>
          <w:b/>
          <w:kern w:val="0"/>
          <w:sz w:val="21"/>
          <w:lang/>
        </w:rPr>
        <w:t>存放地点</w:t>
      </w:r>
      <w:r>
        <w:rPr>
          <w:rFonts w:hint="default" w:eastAsia="Times New Roman"/>
          <w:sz w:val="21"/>
          <w:lang/>
        </w:rPr>
        <w:tab/>
      </w:r>
      <w:r>
        <w:rPr>
          <w:rFonts w:hint="default"/>
          <w:sz w:val="21"/>
          <w:lang/>
        </w:rPr>
        <w:fldChar w:fldCharType="begin"/>
      </w:r>
      <w:r>
        <w:rPr>
          <w:rFonts w:hint="default"/>
          <w:sz w:val="21"/>
          <w:lang/>
        </w:rPr>
        <w:instrText xml:space="preserve"> PAGEREF _Toc477899861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13.3 </w:t>
      </w:r>
      <w:r>
        <w:rPr>
          <w:rStyle w:val="10"/>
          <w:rFonts w:hint="eastAsia" w:ascii="Times New Roman" w:hAnsi="Times New Roman" w:eastAsia="宋体"/>
          <w:b/>
          <w:kern w:val="0"/>
          <w:sz w:val="21"/>
          <w:lang/>
        </w:rPr>
        <w:t>查阅方式</w:t>
      </w:r>
      <w:r>
        <w:rPr>
          <w:rFonts w:hint="default" w:eastAsia="Times New Roman"/>
          <w:sz w:val="21"/>
          <w:lang/>
        </w:rPr>
        <w:tab/>
      </w:r>
      <w:r>
        <w:rPr>
          <w:rFonts w:hint="default"/>
          <w:sz w:val="21"/>
          <w:lang/>
        </w:rPr>
        <w:fldChar w:fldCharType="begin"/>
      </w:r>
      <w:r>
        <w:rPr>
          <w:rFonts w:hint="default"/>
          <w:sz w:val="21"/>
          <w:lang/>
        </w:rPr>
        <w:instrText xml:space="preserve"> PAGEREF _Toc477899862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ascii="Times New Roman" w:eastAsia="Times New Roman"/>
          <w:b/>
          <w:color w:val="000000"/>
          <w:kern w:val="0"/>
          <w:sz w:val="24"/>
        </w:rPr>
      </w:pPr>
      <w:r>
        <w:rPr>
          <w:rFonts w:hint="default" w:eastAsia="Times New Roman"/>
          <w:sz w:val="21"/>
          <w:lang/>
        </w:rPr>
        <w:fldChar w:fldCharType="end"/>
      </w:r>
    </w:p>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 w:name="_Toc477899800"/>
      <w:r>
        <w:rPr>
          <w:rFonts w:hint="eastAsia" w:ascii="Times New Roman" w:hAnsi="Times New Roman"/>
          <w:b/>
          <w:color w:val="000000"/>
          <w:kern w:val="0"/>
          <w:sz w:val="24"/>
        </w:rPr>
        <w:t>§</w:t>
      </w:r>
      <w:r>
        <w:rPr>
          <w:rFonts w:hint="default" w:ascii="Times New Roman" w:hAnsi="Times New Roman"/>
          <w:b/>
          <w:color w:val="000000"/>
          <w:kern w:val="0"/>
          <w:sz w:val="24"/>
        </w:rPr>
        <w:t xml:space="preserve">2  </w:t>
      </w:r>
      <w:r>
        <w:rPr>
          <w:rFonts w:hint="eastAsia" w:ascii="Times New Roman" w:hAnsi="Times New Roman"/>
          <w:b/>
          <w:color w:val="000000"/>
          <w:kern w:val="0"/>
          <w:sz w:val="24"/>
        </w:rPr>
        <w:t>基金简介</w:t>
      </w:r>
      <w:bookmarkEnd w:id="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 w:name="_Toc477899801"/>
      <w:r>
        <w:rPr>
          <w:rFonts w:hint="default" w:ascii="Times New Roman" w:hAnsi="Times New Roman"/>
          <w:b/>
          <w:color w:val="000000"/>
          <w:kern w:val="0"/>
          <w:sz w:val="24"/>
        </w:rPr>
        <w:t xml:space="preserve">2.1 </w:t>
      </w:r>
      <w:r>
        <w:rPr>
          <w:rFonts w:hint="eastAsia" w:ascii="Times New Roman" w:hAnsi="Times New Roman"/>
          <w:b/>
          <w:color w:val="000000"/>
          <w:kern w:val="0"/>
          <w:sz w:val="24"/>
        </w:rPr>
        <w:t>基金基本情况</w:t>
      </w:r>
      <w:bookmarkEnd w:id="4"/>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基金名称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基金简称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基金主代码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基金运作方式</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契约型开放式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报告期末基金份额总额</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1,467,906,594.71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基金合同存续期</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不定期</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 w:name="_Toc477899802"/>
      <w:r>
        <w:rPr>
          <w:rFonts w:hint="default" w:ascii="Times New Roman" w:hAnsi="Times New Roman"/>
          <w:b/>
          <w:color w:val="000000"/>
          <w:kern w:val="0"/>
          <w:sz w:val="24"/>
        </w:rPr>
        <w:t xml:space="preserve">2.2 </w:t>
      </w:r>
      <w:r>
        <w:rPr>
          <w:rFonts w:hint="eastAsia" w:ascii="Times New Roman" w:hAnsi="Times New Roman"/>
          <w:b/>
          <w:color w:val="000000"/>
          <w:kern w:val="0"/>
          <w:sz w:val="24"/>
        </w:rPr>
        <w:t>基金产品说明</w:t>
      </w:r>
      <w:bookmarkEnd w:id="5"/>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投资目标</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在控制风险的同时，追求超越业绩比较基准的投资回报。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投资策略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本基金将采取定量与定性相结合的方法，运用</w:t>
            </w:r>
            <w:r>
              <w:rPr>
                <w:rFonts w:hint="default" w:ascii="Times New Roman" w:hAnsi="Times New Roman"/>
                <w:color w:val="000000"/>
                <w:kern w:val="0"/>
                <w:sz w:val="24"/>
              </w:rPr>
              <w:t>"</w:t>
            </w:r>
            <w:r>
              <w:rPr>
                <w:rFonts w:hint="eastAsia" w:ascii="Times New Roman" w:hAnsi="Times New Roman"/>
                <w:color w:val="000000"/>
                <w:kern w:val="0"/>
                <w:sz w:val="24"/>
              </w:rPr>
              <w:t>自上而下</w:t>
            </w:r>
            <w:r>
              <w:rPr>
                <w:rFonts w:hint="default" w:ascii="Times New Roman" w:hAnsi="Times New Roman"/>
                <w:color w:val="000000"/>
                <w:kern w:val="0"/>
                <w:sz w:val="24"/>
              </w:rPr>
              <w:t>"</w:t>
            </w:r>
            <w:r>
              <w:rPr>
                <w:rFonts w:hint="eastAsia" w:ascii="Times New Roman" w:hAnsi="Times New Roman"/>
                <w:color w:val="000000"/>
                <w:kern w:val="0"/>
                <w:sz w:val="24"/>
              </w:rPr>
              <w:t>的资产配置逻辑，形成对大类资产预期收益及风险的判断，进而确定资产配置的具体比例。其中，本基金在进行资产配置决策时将主要考虑宏观经济、政策预期、产业经济、市场情绪、投资者行为等因素。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股票投资组合的构建以国际通行的多因子模型为基础框架，并根据风险约束、交易成本、投资限制等时机情况的需要进行优化。即，本基金股票组合的构建包括多因子模型和投资组合优化两个部分。在保证基金流动性的前提下，积极把握投资机会，获取收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业绩比较基准</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中证</w:t>
            </w:r>
            <w:r>
              <w:rPr>
                <w:rFonts w:hint="default" w:ascii="Times New Roman" w:hAnsi="Times New Roman"/>
                <w:color w:val="000000"/>
                <w:kern w:val="0"/>
                <w:sz w:val="24"/>
              </w:rPr>
              <w:t>500</w:t>
            </w:r>
            <w:r>
              <w:rPr>
                <w:rFonts w:hint="eastAsia" w:ascii="Times New Roman" w:hAnsi="Times New Roman"/>
                <w:color w:val="000000"/>
                <w:kern w:val="0"/>
                <w:sz w:val="24"/>
              </w:rPr>
              <w:t>指数收益率×</w:t>
            </w:r>
            <w:r>
              <w:rPr>
                <w:rFonts w:hint="default" w:ascii="Times New Roman" w:hAnsi="Times New Roman"/>
                <w:color w:val="000000"/>
                <w:kern w:val="0"/>
                <w:sz w:val="24"/>
              </w:rPr>
              <w:t>90%+2%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风险收益特征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本基金为股票型基金，长期来看，其预期风险与预期收益水平高于混合型基金、债券型基金和货币市场基金。</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 w:name="_Toc477899803"/>
      <w:r>
        <w:rPr>
          <w:rFonts w:hint="default" w:ascii="Times New Roman" w:hAnsi="Times New Roman"/>
          <w:b/>
          <w:color w:val="000000"/>
          <w:kern w:val="0"/>
          <w:sz w:val="24"/>
        </w:rPr>
        <w:t xml:space="preserve">2.3 </w:t>
      </w:r>
      <w:r>
        <w:rPr>
          <w:rFonts w:hint="eastAsia" w:ascii="Times New Roman" w:hAnsi="Times New Roman"/>
          <w:b/>
          <w:color w:val="000000"/>
          <w:kern w:val="0"/>
          <w:sz w:val="24"/>
        </w:rPr>
        <w:t>基金管理人和基金托管人</w:t>
      </w:r>
      <w:bookmarkEnd w:id="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444"/>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信息披露负责人</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梁绍锋</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郭明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联系电话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0755-23838908</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电子邮箱</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liangshaofeng@cjhxfund.com</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custody@icbc.com.cn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客户服务电话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400-868-0666</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95588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传真</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0755-25832571</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深圳市前海深港合作区前湾一路</w:t>
            </w:r>
            <w:r>
              <w:rPr>
                <w:rFonts w:hint="default" w:ascii="Times New Roman" w:hAnsi="Times New Roman"/>
                <w:color w:val="000000"/>
                <w:kern w:val="0"/>
                <w:sz w:val="24"/>
              </w:rPr>
              <w:t xml:space="preserve"> 1</w:t>
            </w:r>
            <w:r>
              <w:rPr>
                <w:rFonts w:hint="eastAsia" w:ascii="Times New Roman" w:hAnsi="Times New Roman"/>
                <w:color w:val="000000"/>
                <w:kern w:val="0"/>
                <w:sz w:val="24"/>
              </w:rPr>
              <w:t>号</w:t>
            </w:r>
            <w:r>
              <w:rPr>
                <w:rFonts w:hint="default" w:ascii="Times New Roman" w:hAnsi="Times New Roman"/>
                <w:color w:val="000000"/>
                <w:kern w:val="0"/>
                <w:sz w:val="24"/>
              </w:rPr>
              <w:t>A</w:t>
            </w:r>
            <w:r>
              <w:rPr>
                <w:rFonts w:hint="eastAsia" w:ascii="Times New Roman" w:hAnsi="Times New Roman"/>
                <w:color w:val="000000"/>
                <w:kern w:val="0"/>
                <w:sz w:val="24"/>
              </w:rPr>
              <w:t>栋</w:t>
            </w:r>
            <w:r>
              <w:rPr>
                <w:rFonts w:hint="default" w:ascii="Times New Roman" w:hAnsi="Times New Roman"/>
                <w:color w:val="000000"/>
                <w:kern w:val="0"/>
                <w:sz w:val="24"/>
              </w:rPr>
              <w:t xml:space="preserve">201 </w:t>
            </w:r>
            <w:r>
              <w:rPr>
                <w:rFonts w:hint="eastAsia" w:ascii="Times New Roman" w:hAnsi="Times New Roman"/>
                <w:color w:val="000000"/>
                <w:kern w:val="0"/>
                <w:sz w:val="24"/>
              </w:rPr>
              <w:t>室</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办公地址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邮政编码</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100140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法定代表人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刘学民</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易会满</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7" w:name="_Toc477899804"/>
      <w:r>
        <w:rPr>
          <w:rFonts w:hint="default" w:ascii="Times New Roman" w:hAnsi="Times New Roman"/>
          <w:b/>
          <w:color w:val="000000"/>
          <w:kern w:val="0"/>
          <w:sz w:val="24"/>
        </w:rPr>
        <w:t xml:space="preserve">2.4 </w:t>
      </w:r>
      <w:r>
        <w:rPr>
          <w:rFonts w:hint="eastAsia" w:ascii="Times New Roman" w:hAnsi="Times New Roman"/>
          <w:b/>
          <w:color w:val="000000"/>
          <w:kern w:val="0"/>
          <w:sz w:val="24"/>
        </w:rPr>
        <w:t>信息披露方式</w:t>
      </w:r>
      <w:bookmarkEnd w:id="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证券时报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基金年度报告备置地点</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8" w:name="_Toc477899805"/>
      <w:r>
        <w:rPr>
          <w:rFonts w:hint="default" w:ascii="Times New Roman" w:hAnsi="Times New Roman"/>
          <w:b/>
          <w:color w:val="000000"/>
          <w:kern w:val="0"/>
          <w:sz w:val="24"/>
        </w:rPr>
        <w:t xml:space="preserve">2.5 </w:t>
      </w:r>
      <w:r>
        <w:rPr>
          <w:rFonts w:hint="eastAsia" w:ascii="Times New Roman" w:hAnsi="Times New Roman"/>
          <w:b/>
          <w:color w:val="000000"/>
          <w:kern w:val="0"/>
          <w:sz w:val="24"/>
        </w:rPr>
        <w:t>其他相关资料</w:t>
      </w:r>
      <w:bookmarkEnd w:id="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5"/>
        <w:gridCol w:w="3251"/>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办公地址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注册登记机构</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9" w:name="_Toc477899806"/>
      <w:r>
        <w:rPr>
          <w:rFonts w:hint="eastAsia" w:ascii="Times New Roman" w:hAnsi="Times New Roman"/>
          <w:b/>
          <w:color w:val="000000"/>
          <w:kern w:val="0"/>
          <w:sz w:val="24"/>
        </w:rPr>
        <w:t>§</w:t>
      </w:r>
      <w:r>
        <w:rPr>
          <w:rFonts w:hint="default" w:ascii="Times New Roman" w:hAnsi="Times New Roman"/>
          <w:b/>
          <w:color w:val="000000"/>
          <w:kern w:val="0"/>
          <w:sz w:val="24"/>
        </w:rPr>
        <w:t xml:space="preserve">3  </w:t>
      </w:r>
      <w:r>
        <w:rPr>
          <w:rFonts w:hint="eastAsia" w:ascii="Times New Roman" w:hAnsi="Times New Roman"/>
          <w:b/>
          <w:color w:val="000000"/>
          <w:kern w:val="0"/>
          <w:sz w:val="24"/>
        </w:rPr>
        <w:t>主要财务指标、基金净值表现及利润分配情况</w:t>
      </w:r>
      <w:bookmarkEnd w:id="9"/>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0" w:name="_Toc477899807"/>
      <w:r>
        <w:rPr>
          <w:rFonts w:hint="default" w:ascii="Times New Roman" w:hAnsi="Times New Roman"/>
          <w:b/>
          <w:color w:val="000000"/>
          <w:kern w:val="0"/>
          <w:sz w:val="24"/>
        </w:rPr>
        <w:t xml:space="preserve">3.1 </w:t>
      </w:r>
      <w:r>
        <w:rPr>
          <w:rFonts w:hint="eastAsia" w:ascii="Times New Roman" w:hAnsi="Times New Roman"/>
          <w:b/>
          <w:color w:val="000000"/>
          <w:kern w:val="0"/>
          <w:sz w:val="24"/>
        </w:rPr>
        <w:t>主要会计数据和财务指标</w:t>
      </w:r>
      <w:bookmarkEnd w:id="1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3.1.1 </w:t>
            </w:r>
            <w:r>
              <w:rPr>
                <w:rFonts w:hint="eastAsia" w:ascii="Times New Roman" w:hAnsi="Times New Roman"/>
                <w:b/>
                <w:color w:val="000000"/>
                <w:kern w:val="0"/>
                <w:sz w:val="24"/>
              </w:rPr>
              <w:t>期间数据和指标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45,676,797.88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3.1.2 </w:t>
            </w:r>
            <w:r>
              <w:rPr>
                <w:rFonts w:hint="eastAsia" w:ascii="Times New Roman" w:hAnsi="Times New Roman"/>
                <w:b/>
                <w:color w:val="000000"/>
                <w:kern w:val="0"/>
                <w:sz w:val="24"/>
              </w:rPr>
              <w:t>期末数据和指标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363,709,164.66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1,831,615,759.37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3.1.3 </w:t>
            </w:r>
            <w:r>
              <w:rPr>
                <w:rFonts w:hint="eastAsia" w:ascii="Times New Roman" w:hAnsi="Times New Roman"/>
                <w:b/>
                <w:color w:val="000000"/>
                <w:kern w:val="0"/>
                <w:sz w:val="24"/>
              </w:rPr>
              <w:t>累计期末指标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上述基金业绩指标不包括持有人认购或交易基金的各项费用</w:t>
      </w:r>
      <w:r>
        <w:rPr>
          <w:rFonts w:hint="default" w:ascii="Times New Roman" w:eastAsia="Times New Roman"/>
          <w:color w:val="000000"/>
          <w:kern w:val="0"/>
          <w:sz w:val="21"/>
        </w:rPr>
        <w:t>,</w:t>
      </w:r>
      <w:r>
        <w:rPr>
          <w:rFonts w:hint="eastAsia" w:ascii="Times New Roman" w:hAnsi="Times New Roman"/>
          <w:color w:val="000000"/>
          <w:kern w:val="0"/>
          <w:sz w:val="21"/>
        </w:rPr>
        <w:t>计入费用后实际收益水平要低于所列数字。</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本期已实现收益指基金本期利息收入、投资收益、其他收入</w:t>
      </w:r>
      <w:r>
        <w:rPr>
          <w:rFonts w:hint="default" w:ascii="Times New Roman" w:hAnsi="Times New Roman"/>
          <w:color w:val="000000"/>
          <w:kern w:val="0"/>
          <w:sz w:val="21"/>
        </w:rPr>
        <w:t>(</w:t>
      </w:r>
      <w:r>
        <w:rPr>
          <w:rFonts w:hint="eastAsia" w:ascii="Times New Roman" w:hAnsi="Times New Roman"/>
          <w:color w:val="000000"/>
          <w:kern w:val="0"/>
          <w:sz w:val="21"/>
        </w:rPr>
        <w:t>不含公允价值变动收益</w:t>
      </w:r>
      <w:r>
        <w:rPr>
          <w:rFonts w:hint="default" w:ascii="Times New Roman" w:hAnsi="Times New Roman"/>
          <w:color w:val="000000"/>
          <w:kern w:val="0"/>
          <w:sz w:val="21"/>
        </w:rPr>
        <w:t>)</w:t>
      </w:r>
      <w:r>
        <w:rPr>
          <w:rFonts w:hint="eastAsia" w:ascii="Times New Roman" w:hAnsi="Times New Roman"/>
          <w:color w:val="000000"/>
          <w:kern w:val="0"/>
          <w:sz w:val="21"/>
        </w:rPr>
        <w:t>扣除相关费用后的余额</w:t>
      </w:r>
      <w:r>
        <w:rPr>
          <w:rFonts w:hint="default" w:ascii="Times New Roman" w:eastAsia="Times New Roman"/>
          <w:color w:val="000000"/>
          <w:kern w:val="0"/>
          <w:sz w:val="21"/>
        </w:rPr>
        <w:t>,</w:t>
      </w:r>
      <w:r>
        <w:rPr>
          <w:rFonts w:hint="eastAsia" w:ascii="Times New Roman" w:hAnsi="Times New Roman"/>
          <w:color w:val="000000"/>
          <w:kern w:val="0"/>
          <w:sz w:val="21"/>
        </w:rPr>
        <w:t>本期利润为本期已实现收益加上本期公允价值变动收益。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3.</w:t>
      </w:r>
      <w:r>
        <w:rPr>
          <w:rFonts w:hint="eastAsia" w:ascii="Times New Roman" w:hAnsi="Times New Roman"/>
          <w:color w:val="000000"/>
          <w:kern w:val="0"/>
          <w:sz w:val="21"/>
        </w:rPr>
        <w:t>期末可供分配利润是采用期末资产负债表中未分配利润与未分配利润中已实现部分的孰低数。</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4.</w:t>
      </w:r>
      <w:r>
        <w:rPr>
          <w:rFonts w:hint="eastAsia" w:ascii="Times New Roman" w:hAnsi="Times New Roman"/>
          <w:color w:val="000000"/>
          <w:kern w:val="0"/>
          <w:sz w:val="21"/>
        </w:rPr>
        <w:t>本基金合同生效日为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22</w:t>
      </w:r>
      <w:r>
        <w:rPr>
          <w:rFonts w:hint="eastAsia" w:ascii="Times New Roman" w:hAnsi="Times New Roman"/>
          <w:color w:val="000000"/>
          <w:kern w:val="0"/>
          <w:sz w:val="21"/>
        </w:rPr>
        <w:t>日，截至报告期末，本基金成立不满一年。合同生效当期的相关数据和指标按实际存续期计算。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1" w:name="_Toc477899808"/>
      <w:r>
        <w:rPr>
          <w:rFonts w:hint="default" w:ascii="Times New Roman" w:hAnsi="Times New Roman"/>
          <w:b/>
          <w:color w:val="000000"/>
          <w:kern w:val="0"/>
          <w:sz w:val="24"/>
        </w:rPr>
        <w:t xml:space="preserve">3.2 </w:t>
      </w:r>
      <w:r>
        <w:rPr>
          <w:rFonts w:hint="eastAsia" w:ascii="Times New Roman" w:hAnsi="Times New Roman"/>
          <w:b/>
          <w:color w:val="000000"/>
          <w:kern w:val="0"/>
          <w:sz w:val="24"/>
        </w:rPr>
        <w:t>基金净值表现</w:t>
      </w:r>
      <w:bookmarkEnd w:id="11"/>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3.2.1 </w:t>
      </w:r>
      <w:r>
        <w:rPr>
          <w:rFonts w:hint="eastAsia" w:ascii="Times New Roman" w:hAnsi="Times New Roman"/>
          <w:b/>
          <w:color w:val="000000"/>
          <w:kern w:val="0"/>
          <w:sz w:val="24"/>
        </w:rPr>
        <w:t>基金份额净值增长率及其与同期业绩比较基准收益率的比较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0.89%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0.83%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3.2.2 </w:t>
      </w:r>
      <w:r>
        <w:rPr>
          <w:rFonts w:hint="eastAsia" w:ascii="Times New Roman" w:hAnsi="Times New Roman"/>
          <w:b/>
          <w:color w:val="000000"/>
          <w:kern w:val="0"/>
          <w:sz w:val="24"/>
        </w:rPr>
        <w:t>自基金合同生效以来基金份额累计净值增长率变动及其与同期业绩比较基准收益率变动的比较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6" o:spt="75" type="#_x0000_t75" style="height:211.1pt;width:441.7pt;" filled="f" stroked="f" coordsize="21600,21600">
            <v:path/>
            <v:fill on="f" focussize="0,0"/>
            <v:stroke on="f"/>
            <v:imagedata r:id="rId6"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3.2.3 </w:t>
      </w:r>
      <w:r>
        <w:rPr>
          <w:rFonts w:hint="eastAsia" w:ascii="Times New Roman" w:hAnsi="Times New Roman"/>
          <w:b/>
          <w:color w:val="000000"/>
          <w:kern w:val="0"/>
          <w:sz w:val="24"/>
        </w:rPr>
        <w:t>自基金合同生效以来基金每年净值增长率及其与同期业绩比较基准收益率的比较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7" o:spt="75" type="#_x0000_t75" style="height:211.1pt;width:439.2pt;" filled="f" stroked="f" coordsize="21600,21600">
            <v:path/>
            <v:fill on="f" focussize="0,0"/>
            <v:stroke on="f"/>
            <v:imagedata r:id="rId7"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2" w:name="_Toc477899809"/>
      <w:r>
        <w:rPr>
          <w:rFonts w:hint="default" w:ascii="Times New Roman" w:hAnsi="Times New Roman"/>
          <w:b/>
          <w:color w:val="000000"/>
          <w:kern w:val="0"/>
          <w:sz w:val="24"/>
        </w:rPr>
        <w:t xml:space="preserve">3.3 </w:t>
      </w:r>
      <w:r>
        <w:rPr>
          <w:rFonts w:hint="eastAsia" w:ascii="Times New Roman" w:hAnsi="Times New Roman"/>
          <w:b/>
          <w:color w:val="000000"/>
          <w:kern w:val="0"/>
          <w:sz w:val="24"/>
        </w:rPr>
        <w:t>过去三年基金的利润分配情况</w:t>
      </w:r>
      <w:bookmarkEnd w:id="1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本基金自基金合同生效日至本报告期末未发生利润分配。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13" w:name="_Toc477899810"/>
      <w:r>
        <w:rPr>
          <w:rFonts w:hint="eastAsia" w:ascii="Times New Roman" w:hAnsi="Times New Roman"/>
          <w:b/>
          <w:color w:val="000000"/>
          <w:kern w:val="0"/>
          <w:sz w:val="24"/>
        </w:rPr>
        <w:t>§</w:t>
      </w:r>
      <w:r>
        <w:rPr>
          <w:rFonts w:hint="default" w:ascii="Times New Roman" w:hAnsi="Times New Roman"/>
          <w:b/>
          <w:color w:val="000000"/>
          <w:kern w:val="0"/>
          <w:sz w:val="24"/>
        </w:rPr>
        <w:t xml:space="preserve">4  </w:t>
      </w:r>
      <w:r>
        <w:rPr>
          <w:rFonts w:hint="eastAsia" w:ascii="Times New Roman" w:hAnsi="Times New Roman"/>
          <w:b/>
          <w:color w:val="000000"/>
          <w:kern w:val="0"/>
          <w:sz w:val="24"/>
        </w:rPr>
        <w:t>管理人报告</w:t>
      </w:r>
      <w:bookmarkEnd w:id="1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4" w:name="_Toc477899811"/>
      <w:r>
        <w:rPr>
          <w:rFonts w:hint="default" w:ascii="Times New Roman" w:hAnsi="Times New Roman"/>
          <w:b/>
          <w:color w:val="000000"/>
          <w:kern w:val="0"/>
          <w:sz w:val="24"/>
        </w:rPr>
        <w:t xml:space="preserve">4.1 </w:t>
      </w:r>
      <w:r>
        <w:rPr>
          <w:rFonts w:hint="eastAsia" w:ascii="Times New Roman" w:hAnsi="Times New Roman"/>
          <w:b/>
          <w:color w:val="000000"/>
          <w:kern w:val="0"/>
          <w:sz w:val="24"/>
        </w:rPr>
        <w:t>基金管理人及基金经理情况</w:t>
      </w:r>
      <w:bookmarkEnd w:id="14"/>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4.1.1 </w:t>
      </w:r>
      <w:r>
        <w:rPr>
          <w:rFonts w:hint="eastAsia" w:ascii="Times New Roman" w:hAnsi="Times New Roman"/>
          <w:b/>
          <w:color w:val="000000"/>
          <w:kern w:val="0"/>
          <w:sz w:val="24"/>
        </w:rPr>
        <w:t>基金管理人及其管理基金的经验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创金合信基金管理有限公司于</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日获得中国证监会批复，</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日正式注册设立，注册地为深圳市。公司由第一创业证券股份有限公司、深圳市金合信投资合伙企业（有限合伙）共同出资设立。公司注册资本</w:t>
      </w:r>
      <w:r>
        <w:rPr>
          <w:rFonts w:hint="default" w:ascii="Times New Roman" w:hAnsi="Times New Roman"/>
          <w:color w:val="000000"/>
          <w:kern w:val="0"/>
          <w:sz w:val="24"/>
        </w:rPr>
        <w:t>1.7</w:t>
      </w:r>
      <w:r>
        <w:rPr>
          <w:rFonts w:hint="eastAsia" w:ascii="Times New Roman" w:hAnsi="Times New Roman"/>
          <w:color w:val="000000"/>
          <w:kern w:val="0"/>
          <w:sz w:val="24"/>
        </w:rPr>
        <w:t>亿元人民币，股东出资情况为：第一创业证券股份有限公司出资</w:t>
      </w:r>
      <w:r>
        <w:rPr>
          <w:rFonts w:hint="default" w:ascii="Times New Roman" w:hAnsi="Times New Roman"/>
          <w:color w:val="000000"/>
          <w:kern w:val="0"/>
          <w:sz w:val="24"/>
        </w:rPr>
        <w:t>11,900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70%</w:t>
      </w:r>
      <w:r>
        <w:rPr>
          <w:rFonts w:hint="eastAsia" w:ascii="Times New Roman" w:hAnsi="Times New Roman"/>
          <w:color w:val="000000"/>
          <w:kern w:val="0"/>
          <w:sz w:val="24"/>
        </w:rPr>
        <w:t>；深圳市金合信投资合伙企业（有限合伙）出资</w:t>
      </w:r>
      <w:r>
        <w:rPr>
          <w:rFonts w:hint="default" w:ascii="Times New Roman" w:hAnsi="Times New Roman"/>
          <w:color w:val="000000"/>
          <w:kern w:val="0"/>
          <w:sz w:val="24"/>
        </w:rPr>
        <w:t>5,100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30%</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公司始终坚持</w:t>
      </w:r>
      <w:r>
        <w:rPr>
          <w:rFonts w:hint="default" w:ascii="Times New Roman" w:hAnsi="Times New Roman"/>
          <w:color w:val="000000"/>
          <w:kern w:val="0"/>
          <w:sz w:val="24"/>
        </w:rPr>
        <w:t>"</w:t>
      </w:r>
      <w:r>
        <w:rPr>
          <w:rFonts w:hint="eastAsia" w:ascii="Times New Roman" w:hAnsi="Times New Roman"/>
          <w:color w:val="000000"/>
          <w:kern w:val="0"/>
          <w:sz w:val="24"/>
        </w:rPr>
        <w:t>客户利益至上</w:t>
      </w:r>
      <w:r>
        <w:rPr>
          <w:rFonts w:hint="default" w:ascii="Times New Roman" w:hAnsi="Times New Roman"/>
          <w:color w:val="000000"/>
          <w:kern w:val="0"/>
          <w:sz w:val="24"/>
        </w:rPr>
        <w:t>"</w:t>
      </w:r>
      <w:r>
        <w:rPr>
          <w:rFonts w:hint="eastAsia" w:ascii="Times New Roman" w:hAnsi="Times New Roman"/>
          <w:color w:val="000000"/>
          <w:kern w:val="0"/>
          <w:sz w:val="24"/>
        </w:rPr>
        <w:t>，致力于为客户实现长期稳定的投资回报，做客户投资理财的亲密伙伴。</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报告期内，本公司共发行</w:t>
      </w:r>
      <w:r>
        <w:rPr>
          <w:rFonts w:hint="default" w:ascii="Times New Roman" w:hAnsi="Times New Roman"/>
          <w:color w:val="000000"/>
          <w:kern w:val="0"/>
          <w:sz w:val="24"/>
        </w:rPr>
        <w:t>17</w:t>
      </w:r>
      <w:r>
        <w:rPr>
          <w:rFonts w:hint="eastAsia" w:ascii="Times New Roman" w:hAnsi="Times New Roman"/>
          <w:color w:val="000000"/>
          <w:kern w:val="0"/>
          <w:sz w:val="24"/>
        </w:rPr>
        <w:t>只公募基金。截至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日，本公司共管理</w:t>
      </w:r>
      <w:r>
        <w:rPr>
          <w:rFonts w:hint="default" w:ascii="Times New Roman" w:hAnsi="Times New Roman"/>
          <w:color w:val="000000"/>
          <w:kern w:val="0"/>
          <w:sz w:val="24"/>
        </w:rPr>
        <w:t>24</w:t>
      </w:r>
      <w:r>
        <w:rPr>
          <w:rFonts w:hint="eastAsia" w:ascii="Times New Roman" w:hAnsi="Times New Roman"/>
          <w:color w:val="000000"/>
          <w:kern w:val="0"/>
          <w:sz w:val="24"/>
        </w:rPr>
        <w:t>只公募基金，其中混合型产品</w:t>
      </w:r>
      <w:r>
        <w:rPr>
          <w:rFonts w:hint="default" w:ascii="Times New Roman" w:hAnsi="Times New Roman"/>
          <w:color w:val="000000"/>
          <w:kern w:val="0"/>
          <w:sz w:val="24"/>
        </w:rPr>
        <w:t>9</w:t>
      </w:r>
      <w:r>
        <w:rPr>
          <w:rFonts w:hint="eastAsia" w:ascii="Times New Roman" w:hAnsi="Times New Roman"/>
          <w:color w:val="000000"/>
          <w:kern w:val="0"/>
          <w:sz w:val="24"/>
        </w:rPr>
        <w:t>只、指数型产品</w:t>
      </w:r>
      <w:r>
        <w:rPr>
          <w:rFonts w:hint="default" w:ascii="Times New Roman" w:hAnsi="Times New Roman"/>
          <w:color w:val="000000"/>
          <w:kern w:val="0"/>
          <w:sz w:val="24"/>
        </w:rPr>
        <w:t>3</w:t>
      </w:r>
      <w:r>
        <w:rPr>
          <w:rFonts w:hint="eastAsia" w:ascii="Times New Roman" w:hAnsi="Times New Roman"/>
          <w:color w:val="000000"/>
          <w:kern w:val="0"/>
          <w:sz w:val="24"/>
        </w:rPr>
        <w:t>只、债券型产品</w:t>
      </w:r>
      <w:r>
        <w:rPr>
          <w:rFonts w:hint="default" w:ascii="Times New Roman" w:hAnsi="Times New Roman"/>
          <w:color w:val="000000"/>
          <w:kern w:val="0"/>
          <w:sz w:val="24"/>
        </w:rPr>
        <w:t>8</w:t>
      </w:r>
      <w:r>
        <w:rPr>
          <w:rFonts w:hint="eastAsia" w:ascii="Times New Roman" w:hAnsi="Times New Roman"/>
          <w:color w:val="000000"/>
          <w:kern w:val="0"/>
          <w:sz w:val="24"/>
        </w:rPr>
        <w:t>只、股票型产品</w:t>
      </w:r>
      <w:r>
        <w:rPr>
          <w:rFonts w:hint="default" w:ascii="Times New Roman" w:hAnsi="Times New Roman"/>
          <w:color w:val="000000"/>
          <w:kern w:val="0"/>
          <w:sz w:val="24"/>
        </w:rPr>
        <w:t>3</w:t>
      </w:r>
      <w:r>
        <w:rPr>
          <w:rFonts w:hint="eastAsia" w:ascii="Times New Roman" w:hAnsi="Times New Roman"/>
          <w:color w:val="000000"/>
          <w:kern w:val="0"/>
          <w:sz w:val="24"/>
        </w:rPr>
        <w:t>只、货币型产品</w:t>
      </w:r>
      <w:r>
        <w:rPr>
          <w:rFonts w:hint="default" w:ascii="Times New Roman" w:hAnsi="Times New Roman"/>
          <w:color w:val="000000"/>
          <w:kern w:val="0"/>
          <w:sz w:val="24"/>
        </w:rPr>
        <w:t>1</w:t>
      </w:r>
      <w:r>
        <w:rPr>
          <w:rFonts w:hint="eastAsia" w:ascii="Times New Roman" w:hAnsi="Times New Roman"/>
          <w:color w:val="000000"/>
          <w:kern w:val="0"/>
          <w:sz w:val="24"/>
        </w:rPr>
        <w:t>只；管理的公募基金规模约</w:t>
      </w:r>
      <w:r>
        <w:rPr>
          <w:rFonts w:hint="default" w:ascii="Times New Roman" w:hAnsi="Times New Roman"/>
          <w:color w:val="000000"/>
          <w:kern w:val="0"/>
          <w:sz w:val="24"/>
        </w:rPr>
        <w:t>142.74</w:t>
      </w:r>
      <w:r>
        <w:rPr>
          <w:rFonts w:hint="eastAsia" w:ascii="Times New Roman" w:hAnsi="Times New Roman"/>
          <w:color w:val="000000"/>
          <w:kern w:val="0"/>
          <w:sz w:val="24"/>
        </w:rPr>
        <w:t>亿元。</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4.1.2 </w:t>
      </w:r>
      <w:r>
        <w:rPr>
          <w:rFonts w:hint="eastAsia" w:ascii="Times New Roman" w:hAnsi="Times New Roman"/>
          <w:b/>
          <w:color w:val="000000"/>
          <w:kern w:val="0"/>
          <w:sz w:val="24"/>
        </w:rPr>
        <w:t>基金经理（或基金经理小组）及基金经理助理简介</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083"/>
        <w:gridCol w:w="1445"/>
        <w:gridCol w:w="1445"/>
        <w:gridCol w:w="1083"/>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职务</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任职日期</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离任日期</w:t>
            </w: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c>
          <w:tcPr>
            <w:tcW w:w="289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程志田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基金经理、量化投资部总监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程志田先生，中国国籍，金融学硕士，</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月加入长江证券股份有限公司任高级研究经理。</w:t>
            </w:r>
            <w:r>
              <w:rPr>
                <w:rFonts w:hint="default" w:ascii="Times New Roman" w:hAnsi="Times New Roman"/>
                <w:color w:val="000000"/>
                <w:kern w:val="0"/>
                <w:sz w:val="24"/>
              </w:rPr>
              <w:t>2009</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月加入国海证券股份有限公司任金融工程总监。</w:t>
            </w:r>
            <w:r>
              <w:rPr>
                <w:rFonts w:hint="default" w:ascii="Times New Roman" w:hAnsi="Times New Roman"/>
                <w:color w:val="000000"/>
                <w:kern w:val="0"/>
                <w:sz w:val="24"/>
              </w:rPr>
              <w:t>2011</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月加入摩根士丹利华鑫基金管理有限公司，于</w:t>
            </w:r>
            <w:r>
              <w:rPr>
                <w:rFonts w:hint="default" w:ascii="Times New Roman" w:hAnsi="Times New Roman"/>
                <w:color w:val="000000"/>
                <w:kern w:val="0"/>
                <w:sz w:val="24"/>
              </w:rPr>
              <w:t>2011</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2013</w:t>
            </w:r>
            <w:r>
              <w:rPr>
                <w:rFonts w:hint="eastAsia" w:ascii="Times New Roman" w:hAnsi="Times New Roman"/>
                <w:color w:val="000000"/>
                <w:kern w:val="0"/>
                <w:sz w:val="24"/>
              </w:rPr>
              <w:t>年</w:t>
            </w:r>
            <w:r>
              <w:rPr>
                <w:rFonts w:hint="default" w:ascii="Times New Roman" w:hAnsi="Times New Roman"/>
                <w:color w:val="000000"/>
                <w:kern w:val="0"/>
                <w:sz w:val="24"/>
              </w:rPr>
              <w:t>4</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日担任大摩深证</w:t>
            </w:r>
            <w:r>
              <w:rPr>
                <w:rFonts w:hint="default" w:ascii="Times New Roman" w:hAnsi="Times New Roman"/>
                <w:color w:val="000000"/>
                <w:kern w:val="0"/>
                <w:sz w:val="24"/>
              </w:rPr>
              <w:t>300</w:t>
            </w:r>
            <w:r>
              <w:rPr>
                <w:rFonts w:hint="eastAsia" w:ascii="Times New Roman" w:hAnsi="Times New Roman"/>
                <w:color w:val="000000"/>
                <w:kern w:val="0"/>
                <w:sz w:val="24"/>
              </w:rPr>
              <w:t>基金的基金经理。</w:t>
            </w:r>
            <w:r>
              <w:rPr>
                <w:rFonts w:hint="default" w:ascii="Times New Roman" w:hAnsi="Times New Roman"/>
                <w:color w:val="000000"/>
                <w:kern w:val="0"/>
                <w:sz w:val="24"/>
              </w:rPr>
              <w:t>2013</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月加入泰康资产管理有限责任公司任量化投资总监。</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月加入创金合信基金管理有限公司，现任量化投资部总监、基金经理。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庞世恩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25</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庞世恩先生，中国国籍，中国人民大学理学硕士。</w:t>
            </w:r>
            <w:r>
              <w:rPr>
                <w:rFonts w:hint="default" w:ascii="Times New Roman" w:hAnsi="Times New Roman"/>
                <w:color w:val="000000"/>
                <w:kern w:val="0"/>
                <w:sz w:val="24"/>
              </w:rPr>
              <w:t>2011</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月加入泰康资产管理有限责任公司，历任金融工程助理研究员、金融工程研究经理、金融工程研究高级经理、金融工程研究总监、执行投资经理。</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月加入创金合信基金管理有限公司，现任基金经理。</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、本基金首任基金经理的任职日期为本基金合同生效日，离任日期、后任基金经理的任职日期指公司作出决定的公告（生效）日期；</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、证券从业年限计算的起止时间按照从事证券行业开始时间计算。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5" w:name="_Toc477899812"/>
      <w:r>
        <w:rPr>
          <w:rFonts w:hint="default" w:ascii="Times New Roman" w:hAnsi="Times New Roman"/>
          <w:b/>
          <w:color w:val="000000"/>
          <w:kern w:val="0"/>
          <w:sz w:val="24"/>
        </w:rPr>
        <w:t xml:space="preserve">4.2 </w:t>
      </w:r>
      <w:r>
        <w:rPr>
          <w:rFonts w:hint="eastAsia" w:ascii="Times New Roman" w:hAnsi="Times New Roman"/>
          <w:b/>
          <w:color w:val="000000"/>
          <w:kern w:val="0"/>
          <w:sz w:val="24"/>
        </w:rPr>
        <w:t>管理人对报告期内本基金运作遵规守信情况的说明</w:t>
      </w:r>
      <w:bookmarkEnd w:id="1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量化多因子股票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6" w:name="_Toc477899813"/>
      <w:r>
        <w:rPr>
          <w:rFonts w:hint="default" w:ascii="Times New Roman" w:hAnsi="Times New Roman"/>
          <w:b/>
          <w:color w:val="000000"/>
          <w:kern w:val="0"/>
          <w:sz w:val="24"/>
        </w:rPr>
        <w:t xml:space="preserve">4.3 </w:t>
      </w:r>
      <w:r>
        <w:rPr>
          <w:rFonts w:hint="eastAsia" w:ascii="Times New Roman" w:hAnsi="Times New Roman"/>
          <w:b/>
          <w:color w:val="000000"/>
          <w:kern w:val="0"/>
          <w:sz w:val="24"/>
        </w:rPr>
        <w:t>管理人对报告期内公平交易情况的专项说明</w:t>
      </w:r>
      <w:bookmarkEnd w:id="1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4.3.1 </w:t>
      </w:r>
      <w:r>
        <w:rPr>
          <w:rFonts w:hint="eastAsia" w:ascii="Times New Roman" w:hAnsi="Times New Roman"/>
          <w:b/>
          <w:color w:val="000000"/>
          <w:kern w:val="0"/>
          <w:sz w:val="24"/>
        </w:rPr>
        <w:t>公平交易制度和控制方法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为了进一步规范和完善本基金管理人（以下简称</w:t>
      </w:r>
      <w:r>
        <w:rPr>
          <w:rFonts w:hint="default" w:ascii="Times New Roman" w:hAnsi="Times New Roman"/>
          <w:color w:val="000000"/>
          <w:kern w:val="0"/>
          <w:sz w:val="24"/>
        </w:rPr>
        <w:t>"</w:t>
      </w:r>
      <w:r>
        <w:rPr>
          <w:rFonts w:hint="eastAsia" w:ascii="Times New Roman" w:hAnsi="Times New Roman"/>
          <w:color w:val="000000"/>
          <w:kern w:val="0"/>
          <w:sz w:val="24"/>
        </w:rPr>
        <w:t>本公司</w:t>
      </w:r>
      <w:r>
        <w:rPr>
          <w:rFonts w:hint="default" w:ascii="Times New Roman" w:hAnsi="Times New Roman"/>
          <w:color w:val="000000"/>
          <w:kern w:val="0"/>
          <w:sz w:val="24"/>
        </w:rPr>
        <w:t>"</w:t>
      </w:r>
      <w:r>
        <w:rPr>
          <w:rFonts w:hint="eastAsia" w:ascii="Times New Roman" w:hAnsi="Times New Roman"/>
          <w:color w:val="000000"/>
          <w:kern w:val="0"/>
          <w:sz w:val="24"/>
        </w:rPr>
        <w:t>）投资和交易管理，严格遵守法律法规关于公平交易的相关规定，根据《中华人民共和国证券投资基金法》、《证券投资基金管理公司管理办法》、《证券投资基金管理公司公平交易制度指导意见（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、授权、研究分析与投资决策的内部控制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、交易执行的内部控制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、交易指令分配的控制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所有投资对象的投资指令必须经由交易室总监或其授权人审核后分配至交易员执行。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、公平交易监控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hint="default" w:ascii="Times New Roman" w:hAnsi="Times New Roman"/>
          <w:color w:val="000000"/>
          <w:kern w:val="0"/>
          <w:sz w:val="24"/>
        </w:rPr>
        <w:t>1</w:t>
      </w:r>
      <w:r>
        <w:rPr>
          <w:rFonts w:hint="eastAsia" w:ascii="Times New Roman" w:hAnsi="Times New Roman"/>
          <w:color w:val="000000"/>
          <w:kern w:val="0"/>
          <w:sz w:val="24"/>
        </w:rPr>
        <w:t>日内、</w:t>
      </w:r>
      <w:r>
        <w:rPr>
          <w:rFonts w:hint="default" w:ascii="Times New Roman" w:hAnsi="Times New Roman"/>
          <w:color w:val="000000"/>
          <w:kern w:val="0"/>
          <w:sz w:val="24"/>
        </w:rPr>
        <w:t>3</w:t>
      </w:r>
      <w:r>
        <w:rPr>
          <w:rFonts w:hint="eastAsia" w:ascii="Times New Roman" w:hAnsi="Times New Roman"/>
          <w:color w:val="000000"/>
          <w:kern w:val="0"/>
          <w:sz w:val="24"/>
        </w:rPr>
        <w:t>日、</w:t>
      </w:r>
      <w:r>
        <w:rPr>
          <w:rFonts w:hint="default" w:ascii="Times New Roman" w:hAnsi="Times New Roman"/>
          <w:color w:val="000000"/>
          <w:kern w:val="0"/>
          <w:sz w:val="24"/>
        </w:rPr>
        <w:t>5</w:t>
      </w:r>
      <w:r>
        <w:rPr>
          <w:rFonts w:hint="eastAsia" w:ascii="Times New Roman" w:hAnsi="Times New Roman"/>
          <w:color w:val="000000"/>
          <w:kern w:val="0"/>
          <w:sz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4.3.2 </w:t>
      </w:r>
      <w:r>
        <w:rPr>
          <w:rFonts w:hint="eastAsia" w:ascii="Times New Roman" w:hAnsi="Times New Roman"/>
          <w:b/>
          <w:color w:val="000000"/>
          <w:kern w:val="0"/>
          <w:sz w:val="24"/>
        </w:rPr>
        <w:t>公平交易制度的执行情况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本基金管理人严格执行《证券投资基金管理公司公平交易制度指导意见（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年修订）》及《创金合信基金管理有限公司公平交易制度》对本年度同向交易价差、反向交易进行了专项分析，未发现异常交易情况。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4.3.3 </w:t>
      </w:r>
      <w:r>
        <w:rPr>
          <w:rFonts w:hint="eastAsia" w:ascii="Times New Roman" w:hAnsi="Times New Roman"/>
          <w:b/>
          <w:color w:val="000000"/>
          <w:kern w:val="0"/>
          <w:sz w:val="24"/>
        </w:rPr>
        <w:t>异常交易行为的专项说明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本报告期内，公司旗下所有投资组合参与的交易所公开竞价交易中，同日反向交易成交较少的单边交易量超过该证券当日成交量的</w:t>
      </w:r>
      <w:r>
        <w:rPr>
          <w:rFonts w:hint="default" w:ascii="Times New Roman" w:hAnsi="Times New Roman"/>
          <w:color w:val="000000"/>
          <w:kern w:val="0"/>
          <w:sz w:val="24"/>
        </w:rPr>
        <w:t>5%</w:t>
      </w:r>
      <w:r>
        <w:rPr>
          <w:rFonts w:hint="eastAsia" w:ascii="Times New Roman" w:hAnsi="Times New Roman"/>
          <w:color w:val="000000"/>
          <w:kern w:val="0"/>
          <w:sz w:val="24"/>
        </w:rPr>
        <w:t>的交易共</w:t>
      </w:r>
      <w:r>
        <w:rPr>
          <w:rFonts w:hint="default" w:ascii="Times New Roman" w:hAnsi="Times New Roman"/>
          <w:color w:val="000000"/>
          <w:kern w:val="0"/>
          <w:sz w:val="24"/>
        </w:rPr>
        <w:t>5</w:t>
      </w:r>
      <w:r>
        <w:rPr>
          <w:rFonts w:hint="eastAsia" w:ascii="Times New Roman" w:hAnsi="Times New Roman"/>
          <w:color w:val="000000"/>
          <w:kern w:val="0"/>
          <w:sz w:val="24"/>
        </w:rPr>
        <w:t>次，为基金在调仓时点因选股模型和其他基金选股模型产生分歧而发生的反向交易，未对当天的股票价格产生冲击。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本报告期内，未发现本基金有可能导致不公平交易和利益输送的异常交易。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7" w:name="_Toc477899814"/>
      <w:r>
        <w:rPr>
          <w:rFonts w:hint="default" w:ascii="Times New Roman" w:hAnsi="Times New Roman"/>
          <w:b/>
          <w:color w:val="000000"/>
          <w:kern w:val="0"/>
          <w:sz w:val="24"/>
        </w:rPr>
        <w:t xml:space="preserve">4.4 </w:t>
      </w:r>
      <w:r>
        <w:rPr>
          <w:rFonts w:hint="eastAsia" w:ascii="Times New Roman" w:hAnsi="Times New Roman"/>
          <w:b/>
          <w:color w:val="000000"/>
          <w:kern w:val="0"/>
          <w:sz w:val="24"/>
        </w:rPr>
        <w:t>管理人对报告期内基金的投资策略和业绩表现的说明</w:t>
      </w:r>
      <w:bookmarkEnd w:id="1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4.4.1 </w:t>
      </w:r>
      <w:r>
        <w:rPr>
          <w:rFonts w:hint="eastAsia" w:ascii="Times New Roman" w:hAnsi="Times New Roman"/>
          <w:b/>
          <w:color w:val="000000"/>
          <w:kern w:val="0"/>
          <w:sz w:val="24"/>
        </w:rPr>
        <w:t>报告期内基金投资策略和运作分析</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回顾</w:t>
      </w:r>
      <w:r>
        <w:rPr>
          <w:rFonts w:hint="default" w:ascii="Times New Roman" w:hAnsi="Times New Roman"/>
          <w:color w:val="000000"/>
          <w:kern w:val="0"/>
          <w:sz w:val="24"/>
        </w:rPr>
        <w:t>2016</w:t>
      </w:r>
      <w:r>
        <w:rPr>
          <w:rFonts w:hint="eastAsia" w:ascii="Times New Roman" w:hAnsi="Times New Roman"/>
          <w:color w:val="000000"/>
          <w:kern w:val="0"/>
          <w:sz w:val="24"/>
        </w:rPr>
        <w:t>年，我们严格依据量化模型进行投资，并严格进行风险管理。一方面，量化选股模型提供了持续稳健的</w:t>
      </w:r>
      <w:r>
        <w:rPr>
          <w:rFonts w:hint="default" w:ascii="Times New Roman" w:hAnsi="Times New Roman"/>
          <w:color w:val="000000"/>
          <w:kern w:val="0"/>
          <w:sz w:val="24"/>
        </w:rPr>
        <w:t>Alpha</w:t>
      </w:r>
      <w:r>
        <w:rPr>
          <w:rFonts w:hint="eastAsia" w:ascii="Times New Roman" w:hAnsi="Times New Roman"/>
          <w:color w:val="000000"/>
          <w:kern w:val="0"/>
          <w:sz w:val="24"/>
        </w:rPr>
        <w:t>；另一方面，仓位管理上，我们严格按照量化择时模型进行操作。</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4.4.2 </w:t>
      </w:r>
      <w:r>
        <w:rPr>
          <w:rFonts w:hint="eastAsia" w:ascii="Times New Roman" w:hAnsi="Times New Roman"/>
          <w:b/>
          <w:color w:val="000000"/>
          <w:kern w:val="0"/>
          <w:sz w:val="24"/>
        </w:rPr>
        <w:t>报告期内基金的业绩表现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本报告期，本基金净值增长率为</w:t>
      </w:r>
      <w:r>
        <w:rPr>
          <w:rFonts w:hint="default" w:ascii="Times New Roman" w:hAnsi="Times New Roman"/>
          <w:color w:val="000000"/>
          <w:kern w:val="0"/>
          <w:sz w:val="24"/>
        </w:rPr>
        <w:t>24.8%</w:t>
      </w:r>
      <w:r>
        <w:rPr>
          <w:rFonts w:hint="eastAsia" w:ascii="Times New Roman" w:hAnsi="Times New Roman"/>
          <w:color w:val="000000"/>
          <w:kern w:val="0"/>
          <w:sz w:val="24"/>
        </w:rPr>
        <w:t>，同期业绩比较基准收益率为</w:t>
      </w:r>
      <w:r>
        <w:rPr>
          <w:rFonts w:hint="default" w:ascii="Times New Roman" w:hAnsi="Times New Roman"/>
          <w:color w:val="000000"/>
          <w:kern w:val="0"/>
          <w:sz w:val="24"/>
        </w:rPr>
        <w:t>8.06%</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8" w:name="_Toc477899815"/>
      <w:r>
        <w:rPr>
          <w:rFonts w:hint="default" w:ascii="Times New Roman" w:hAnsi="Times New Roman"/>
          <w:b/>
          <w:color w:val="000000"/>
          <w:kern w:val="0"/>
          <w:sz w:val="24"/>
        </w:rPr>
        <w:t xml:space="preserve">4.5 </w:t>
      </w:r>
      <w:r>
        <w:rPr>
          <w:rFonts w:hint="eastAsia" w:ascii="Times New Roman" w:hAnsi="Times New Roman"/>
          <w:b/>
          <w:color w:val="000000"/>
          <w:kern w:val="0"/>
          <w:sz w:val="24"/>
        </w:rPr>
        <w:t>管理人对宏观经济、证券市场及行业走势的简要展望</w:t>
      </w:r>
      <w:bookmarkEnd w:id="18"/>
    </w:p>
    <w:p>
      <w:pPr>
        <w:autoSpaceDE w:val="0"/>
        <w:autoSpaceDN w:val="0"/>
        <w:adjustRightInd w:val="0"/>
        <w:spacing w:before="29" w:beforeLines="0" w:afterLines="0" w:line="288" w:lineRule="auto"/>
        <w:ind w:left="15" w:firstLine="482"/>
        <w:jc w:val="left"/>
        <w:rPr>
          <w:rFonts w:hint="default" w:ascii="宋体"/>
          <w:color w:val="000000"/>
          <w:kern w:val="0"/>
          <w:sz w:val="24"/>
        </w:rPr>
      </w:pPr>
      <w:r>
        <w:rPr>
          <w:rFonts w:hint="eastAsia" w:ascii="宋体"/>
          <w:color w:val="000000"/>
          <w:kern w:val="0"/>
          <w:sz w:val="24"/>
        </w:rPr>
        <w:t>在过去的半年里，PPI快速上行带动名义GDP增速上行，有望带动工业企业净利润增速提高；PPI上行对CPI的传导作用不明显，目前CPI水平较低，因为通胀引发货币政策收紧的可能性很小；经历了过去两年市场调整，当前股市估值略偏低，特别是大盘蓝筹股估值具备吸引力；增量资金进场意愿不明显，市场依然存在较多的结构性机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9" w:name="_Toc477899816"/>
      <w:r>
        <w:rPr>
          <w:rFonts w:hint="default" w:ascii="Times New Roman" w:hAnsi="Times New Roman"/>
          <w:b/>
          <w:color w:val="000000"/>
          <w:kern w:val="0"/>
          <w:sz w:val="24"/>
        </w:rPr>
        <w:t xml:space="preserve">4.6 </w:t>
      </w:r>
      <w:r>
        <w:rPr>
          <w:rFonts w:hint="eastAsia" w:ascii="Times New Roman" w:hAnsi="Times New Roman"/>
          <w:b/>
          <w:color w:val="000000"/>
          <w:kern w:val="0"/>
          <w:sz w:val="24"/>
        </w:rPr>
        <w:t>管理人内部有关本基金的监察稽核工作情况</w:t>
      </w:r>
      <w:bookmarkEnd w:id="1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本报告期内，本基金管理人的主要内部监察稽核工作如下：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）开展全面自查工作，排查各项业务活动中存在的问题或潜在的风险隐患，制定整改计划，并督促按计划完成整改；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）开展公司专项稽核工作，了解合规风险现状、发现薄弱环节，并持续督导改进；</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）强化合规法务工作。严格审核公司业务、产品及其合同等法律文件，解读最新的法律法规，发布合规提示或警示，举办合规培训；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4</w:t>
      </w:r>
      <w:r>
        <w:rPr>
          <w:rFonts w:hint="eastAsia" w:ascii="Times New Roman" w:hAnsi="Times New Roman"/>
          <w:color w:val="000000"/>
          <w:kern w:val="0"/>
          <w:sz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5</w:t>
      </w:r>
      <w:r>
        <w:rPr>
          <w:rFonts w:hint="eastAsia" w:ascii="Times New Roman" w:hAnsi="Times New Roman"/>
          <w:color w:val="000000"/>
          <w:kern w:val="0"/>
          <w:sz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6</w:t>
      </w:r>
      <w:r>
        <w:rPr>
          <w:rFonts w:hint="eastAsia" w:ascii="Times New Roman" w:hAnsi="Times New Roman"/>
          <w:color w:val="000000"/>
          <w:kern w:val="0"/>
          <w:sz w:val="24"/>
        </w:rPr>
        <w:t>）加强关联交易管理。修订《关联交易管理制度》，履行关联交易决策审批程序；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7</w:t>
      </w:r>
      <w:r>
        <w:rPr>
          <w:rFonts w:hint="eastAsia" w:ascii="Times New Roman" w:hAnsi="Times New Roman"/>
          <w:color w:val="000000"/>
          <w:kern w:val="0"/>
          <w:sz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8</w:t>
      </w:r>
      <w:r>
        <w:rPr>
          <w:rFonts w:hint="eastAsia" w:ascii="Times New Roman" w:hAnsi="Times New Roman"/>
          <w:color w:val="000000"/>
          <w:kern w:val="0"/>
          <w:sz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9</w:t>
      </w:r>
      <w:r>
        <w:rPr>
          <w:rFonts w:hint="eastAsia" w:ascii="Times New Roman" w:hAnsi="Times New Roman"/>
          <w:color w:val="000000"/>
          <w:kern w:val="0"/>
          <w:sz w:val="24"/>
        </w:rPr>
        <w:t>）建立员工投资行为管理机制，规范员工的证券投资行为。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0" w:name="_Toc477899817"/>
      <w:r>
        <w:rPr>
          <w:rFonts w:hint="default" w:ascii="Times New Roman" w:hAnsi="Times New Roman"/>
          <w:b/>
          <w:color w:val="000000"/>
          <w:kern w:val="0"/>
          <w:sz w:val="24"/>
        </w:rPr>
        <w:t xml:space="preserve">4.7 </w:t>
      </w:r>
      <w:r>
        <w:rPr>
          <w:rFonts w:hint="eastAsia" w:ascii="Times New Roman" w:hAnsi="Times New Roman"/>
          <w:b/>
          <w:color w:val="000000"/>
          <w:kern w:val="0"/>
          <w:sz w:val="24"/>
        </w:rPr>
        <w:t>管理人对报告期内基金估值程序等事项的说明</w:t>
      </w:r>
      <w:bookmarkEnd w:id="2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定价服务机构按照商业合同约定提供定价服务。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1" w:name="_Toc477899818"/>
      <w:r>
        <w:rPr>
          <w:rFonts w:hint="default" w:ascii="Times New Roman" w:hAnsi="Times New Roman"/>
          <w:b/>
          <w:color w:val="000000"/>
          <w:kern w:val="0"/>
          <w:sz w:val="24"/>
        </w:rPr>
        <w:t xml:space="preserve">4.8 </w:t>
      </w:r>
      <w:r>
        <w:rPr>
          <w:rFonts w:hint="eastAsia" w:ascii="Times New Roman" w:hAnsi="Times New Roman"/>
          <w:b/>
          <w:color w:val="000000"/>
          <w:kern w:val="0"/>
          <w:sz w:val="24"/>
        </w:rPr>
        <w:t>管理人对报告期内基金利润分配情况的说明</w:t>
      </w:r>
      <w:bookmarkEnd w:id="2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本报告期内，本基金未进行利润分配，符合合同约定。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4.9 </w:t>
      </w:r>
      <w:r>
        <w:rPr>
          <w:rFonts w:hint="eastAsia" w:ascii="Times New Roman" w:hAnsi="Times New Roman"/>
          <w:b/>
          <w:color w:val="000000"/>
          <w:kern w:val="0"/>
          <w:sz w:val="24"/>
        </w:rPr>
        <w:t>报告期内管理人对本基金持有人数或基金资产净值预警情形的说明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本基金本报告期未出现连续二十个工作日基金份额持有人数量不满二百人或者基金资产净值低于五千万元的情形。</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2" w:name="_Toc477899819"/>
      <w:r>
        <w:rPr>
          <w:rFonts w:hint="eastAsia" w:ascii="Times New Roman" w:hAnsi="Times New Roman"/>
          <w:b/>
          <w:color w:val="000000"/>
          <w:kern w:val="0"/>
          <w:sz w:val="24"/>
        </w:rPr>
        <w:t>§</w:t>
      </w:r>
      <w:r>
        <w:rPr>
          <w:rFonts w:hint="default" w:ascii="Times New Roman" w:hAnsi="Times New Roman"/>
          <w:b/>
          <w:color w:val="000000"/>
          <w:kern w:val="0"/>
          <w:sz w:val="24"/>
        </w:rPr>
        <w:t xml:space="preserve">5  </w:t>
      </w:r>
      <w:r>
        <w:rPr>
          <w:rFonts w:hint="eastAsia" w:ascii="Times New Roman" w:hAnsi="Times New Roman"/>
          <w:b/>
          <w:color w:val="000000"/>
          <w:kern w:val="0"/>
          <w:sz w:val="24"/>
        </w:rPr>
        <w:t>托管人报告</w:t>
      </w:r>
      <w:bookmarkEnd w:id="22"/>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3" w:name="_Toc477899820"/>
      <w:r>
        <w:rPr>
          <w:rFonts w:hint="default" w:ascii="Times New Roman" w:hAnsi="Times New Roman"/>
          <w:b/>
          <w:color w:val="000000"/>
          <w:kern w:val="0"/>
          <w:sz w:val="24"/>
        </w:rPr>
        <w:t xml:space="preserve">5.1 </w:t>
      </w:r>
      <w:r>
        <w:rPr>
          <w:rFonts w:hint="eastAsia" w:ascii="Times New Roman" w:hAnsi="Times New Roman"/>
          <w:b/>
          <w:color w:val="000000"/>
          <w:kern w:val="0"/>
          <w:sz w:val="24"/>
        </w:rPr>
        <w:t>报告期内本基金托管人遵规守信情况声明</w:t>
      </w:r>
      <w:bookmarkEnd w:id="2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托管人在对创金合信量化多因子股票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4" w:name="_Toc477899821"/>
      <w:r>
        <w:rPr>
          <w:rFonts w:hint="default" w:ascii="Times New Roman" w:hAnsi="Times New Roman"/>
          <w:b/>
          <w:color w:val="000000"/>
          <w:kern w:val="0"/>
          <w:sz w:val="24"/>
        </w:rPr>
        <w:t xml:space="preserve">5.2 </w:t>
      </w:r>
      <w:r>
        <w:rPr>
          <w:rFonts w:hint="eastAsia" w:ascii="Times New Roman" w:hAnsi="Times New Roman"/>
          <w:b/>
          <w:color w:val="000000"/>
          <w:kern w:val="0"/>
          <w:sz w:val="24"/>
        </w:rPr>
        <w:t>托管人对报告期内本基金投资运作遵规守信、净值计算、利润分配等情况的说明</w:t>
      </w:r>
      <w:bookmarkEnd w:id="2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本报告期内，创金合信量化多因子股票型证券投资基金的管理人</w:t>
      </w:r>
      <w:r>
        <w:rPr>
          <w:rFonts w:hint="default" w:ascii="Times New Roman" w:eastAsia="Times New Roman"/>
          <w:color w:val="000000"/>
          <w:kern w:val="0"/>
          <w:sz w:val="24"/>
        </w:rPr>
        <w:t>--</w:t>
      </w:r>
      <w:r>
        <w:rPr>
          <w:rFonts w:hint="eastAsia" w:ascii="Times New Roman" w:hAnsi="Times New Roman"/>
          <w:color w:val="000000"/>
          <w:kern w:val="0"/>
          <w:sz w:val="24"/>
        </w:rPr>
        <w:t>创金合信基金管理有限公司在创金合信量化多因子股票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多因子股票型证券投资基金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5" w:name="_Toc477899822"/>
      <w:r>
        <w:rPr>
          <w:rFonts w:hint="default" w:ascii="Times New Roman" w:hAnsi="Times New Roman"/>
          <w:b/>
          <w:color w:val="000000"/>
          <w:kern w:val="0"/>
          <w:sz w:val="24"/>
        </w:rPr>
        <w:t xml:space="preserve">5.3 </w:t>
      </w:r>
      <w:r>
        <w:rPr>
          <w:rFonts w:hint="eastAsia" w:ascii="Times New Roman" w:hAnsi="Times New Roman"/>
          <w:b/>
          <w:color w:val="000000"/>
          <w:kern w:val="0"/>
          <w:sz w:val="24"/>
        </w:rPr>
        <w:t>托管人对本年度报告中财务信息等内容的真实、准确和完整发表意见</w:t>
      </w:r>
      <w:bookmarkEnd w:id="2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本托管人依法对创金合信基金管理有限公司编制和披露的创金合信量化多因子股票型证券投资基金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年年度报告中财务指标、净值表现、利润分配情况、财务会计报告、投资组合报告等内容进行了核查，以上内容真实、准确和完整。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6" w:name="_Toc477899823"/>
      <w:r>
        <w:rPr>
          <w:rFonts w:hint="eastAsia" w:ascii="Times New Roman" w:hAnsi="Times New Roman"/>
          <w:b/>
          <w:color w:val="000000"/>
          <w:kern w:val="0"/>
          <w:sz w:val="24"/>
        </w:rPr>
        <w:t>§</w:t>
      </w:r>
      <w:r>
        <w:rPr>
          <w:rFonts w:hint="default" w:ascii="Times New Roman" w:hAnsi="Times New Roman"/>
          <w:b/>
          <w:color w:val="000000"/>
          <w:kern w:val="0"/>
          <w:sz w:val="24"/>
        </w:rPr>
        <w:t xml:space="preserve">6  </w:t>
      </w:r>
      <w:r>
        <w:rPr>
          <w:rFonts w:hint="eastAsia" w:ascii="Times New Roman" w:hAnsi="Times New Roman"/>
          <w:b/>
          <w:color w:val="000000"/>
          <w:kern w:val="0"/>
          <w:sz w:val="24"/>
        </w:rPr>
        <w:t>审计报告</w:t>
      </w:r>
      <w:bookmarkEnd w:id="2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7" w:name="_Toc477899824"/>
      <w:r>
        <w:rPr>
          <w:rFonts w:hint="default" w:ascii="Times New Roman" w:hAnsi="Times New Roman"/>
          <w:b/>
          <w:color w:val="000000"/>
          <w:kern w:val="0"/>
          <w:sz w:val="24"/>
        </w:rPr>
        <w:t xml:space="preserve">6.1 </w:t>
      </w:r>
      <w:r>
        <w:rPr>
          <w:rFonts w:hint="eastAsia" w:ascii="Times New Roman" w:hAnsi="Times New Roman"/>
          <w:b/>
          <w:color w:val="000000"/>
          <w:kern w:val="0"/>
          <w:sz w:val="24"/>
        </w:rPr>
        <w:t>审计报告基本信息</w:t>
      </w:r>
      <w:bookmarkEnd w:id="2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财务报表是否经过审计</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审计意见类型</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标准无保留意见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审计报告编号</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普华永道中天审字</w:t>
            </w:r>
            <w:r>
              <w:rPr>
                <w:rFonts w:hint="default" w:ascii="Times New Roman" w:hAnsi="Times New Roman"/>
                <w:color w:val="000000"/>
                <w:kern w:val="0"/>
                <w:sz w:val="24"/>
              </w:rPr>
              <w:t>(2017)</w:t>
            </w:r>
            <w:r>
              <w:rPr>
                <w:rFonts w:hint="eastAsia" w:ascii="Times New Roman" w:hAnsi="Times New Roman"/>
                <w:color w:val="000000"/>
                <w:kern w:val="0"/>
                <w:sz w:val="24"/>
              </w:rPr>
              <w:t>第</w:t>
            </w:r>
            <w:r>
              <w:rPr>
                <w:rFonts w:hint="default" w:ascii="Times New Roman" w:hAnsi="Times New Roman"/>
                <w:color w:val="000000"/>
                <w:kern w:val="0"/>
                <w:sz w:val="24"/>
              </w:rPr>
              <w:t>22093</w:t>
            </w:r>
            <w:r>
              <w:rPr>
                <w:rFonts w:hint="eastAsia" w:ascii="Times New Roman" w:hAnsi="Times New Roman"/>
                <w:color w:val="000000"/>
                <w:kern w:val="0"/>
                <w:sz w:val="24"/>
              </w:rPr>
              <w:t>号</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8" w:name="_Toc477899825"/>
      <w:r>
        <w:rPr>
          <w:rFonts w:hint="default" w:ascii="Times New Roman" w:hAnsi="Times New Roman"/>
          <w:b/>
          <w:color w:val="000000"/>
          <w:kern w:val="0"/>
          <w:sz w:val="24"/>
        </w:rPr>
        <w:t xml:space="preserve">6.2 </w:t>
      </w:r>
      <w:r>
        <w:rPr>
          <w:rFonts w:hint="eastAsia" w:ascii="Times New Roman" w:hAnsi="Times New Roman"/>
          <w:b/>
          <w:color w:val="000000"/>
          <w:kern w:val="0"/>
          <w:sz w:val="24"/>
        </w:rPr>
        <w:t>审计报告的基本内容</w:t>
      </w:r>
      <w:bookmarkEnd w:id="2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审计报告标题</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审计报告收件人</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创金合信量化多因子股票型证券投资基金全体基金份额持有人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引言段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我们审计了后附的创金合信量化多因子股票型证券投资基金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创金合信量化多因子股票基金</w:t>
            </w:r>
            <w:r>
              <w:rPr>
                <w:rFonts w:hint="default" w:ascii="Times New Roman" w:hAnsi="Times New Roman"/>
                <w:color w:val="000000"/>
                <w:kern w:val="0"/>
                <w:sz w:val="24"/>
              </w:rPr>
              <w:t>")</w:t>
            </w:r>
            <w:r>
              <w:rPr>
                <w:rFonts w:hint="eastAsia" w:ascii="Times New Roman" w:hAnsi="Times New Roman"/>
                <w:color w:val="000000"/>
                <w:kern w:val="0"/>
                <w:sz w:val="24"/>
              </w:rPr>
              <w:t>的财务报表，包括</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日的资产负债表、</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日止期间的利润表和所有者权益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r>
              <w:rPr>
                <w:rFonts w:hint="eastAsia" w:ascii="Times New Roman" w:hAnsi="Times New Roman"/>
                <w:color w:val="000000"/>
                <w:kern w:val="0"/>
                <w:sz w:val="24"/>
              </w:rPr>
              <w:t>变动表以及财务报表附注。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编制和公允列报财务报表是创金合信量化多因子股票基金的基金管理人创金合信基金管理有限公司管理层的责任。这种责任包括：</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按照企业会计准则和中国证券监督管理委员会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发布的有关规定及允许的基金行业实务操作编制财务报表，并使其实现公允反映；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设计、执行和维护必要的内部控制，以使财务报表不存在由于舞弊或错误导致的重大错报。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认为，上述创金合信量化多因子股票基金的财务报表在所有重大方面按照企业会计准则和在财务报表附注中所列示的中国证监会、中国基金业协会发布的有关规定及允许的基金行业实务操作编制，公允反映了创金合信量化多因子股票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日止期间的经营成果和基金净值变动情况。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注册会计师的姓名</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曹翠丽、边晓红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会计师事务所的名称</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会计师事务所的地址</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审计报告日期</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2017-03-23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9" w:name="_Toc477899826"/>
      <w:r>
        <w:rPr>
          <w:rFonts w:hint="eastAsia" w:ascii="Times New Roman" w:hAnsi="Times New Roman"/>
          <w:b/>
          <w:color w:val="000000"/>
          <w:kern w:val="0"/>
          <w:sz w:val="24"/>
        </w:rPr>
        <w:t>§</w:t>
      </w:r>
      <w:r>
        <w:rPr>
          <w:rFonts w:hint="default" w:ascii="Times New Roman" w:hAnsi="Times New Roman"/>
          <w:b/>
          <w:color w:val="000000"/>
          <w:kern w:val="0"/>
          <w:sz w:val="24"/>
        </w:rPr>
        <w:t xml:space="preserve">7  </w:t>
      </w:r>
      <w:r>
        <w:rPr>
          <w:rFonts w:hint="eastAsia" w:ascii="Times New Roman" w:hAnsi="Times New Roman"/>
          <w:b/>
          <w:color w:val="000000"/>
          <w:kern w:val="0"/>
          <w:sz w:val="24"/>
        </w:rPr>
        <w:t>年度财务报表</w:t>
      </w:r>
      <w:bookmarkEnd w:id="29"/>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0" w:name="_Toc477899827"/>
      <w:r>
        <w:rPr>
          <w:rFonts w:hint="default" w:ascii="Times New Roman" w:hAnsi="Times New Roman"/>
          <w:b/>
          <w:color w:val="000000"/>
          <w:kern w:val="0"/>
          <w:sz w:val="24"/>
        </w:rPr>
        <w:t xml:space="preserve">7.1 </w:t>
      </w:r>
      <w:r>
        <w:rPr>
          <w:rFonts w:hint="eastAsia" w:ascii="Times New Roman" w:hAnsi="Times New Roman"/>
          <w:b/>
          <w:color w:val="000000"/>
          <w:kern w:val="0"/>
          <w:sz w:val="24"/>
        </w:rPr>
        <w:t>资产负债表</w:t>
      </w:r>
      <w:bookmarkEnd w:id="30"/>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会计主体：创金合信量化多因子股票型证券投资基金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报告截止日：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1083"/>
        <w:gridCol w:w="5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11,184,474.88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303,926.67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7.4.7.2</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7.4.7.4</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30,012,675.00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7.4.7.5</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14,654,682.93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7.4.7.6</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1,836,380,781.72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负债和所有者权益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负</w:t>
            </w:r>
            <w:r>
              <w:rPr>
                <w:rFonts w:hint="default" w:ascii="Times New Roman" w:hAnsi="Times New Roman"/>
                <w:b/>
                <w:color w:val="000000"/>
                <w:kern w:val="0"/>
                <w:sz w:val="24"/>
              </w:rPr>
              <w:t xml:space="preserve"> </w:t>
            </w:r>
            <w:r>
              <w:rPr>
                <w:rFonts w:hint="eastAsia" w:ascii="Times New Roman" w:hAnsi="Times New Roman"/>
                <w:b/>
                <w:color w:val="000000"/>
                <w:kern w:val="0"/>
                <w:sz w:val="24"/>
              </w:rPr>
              <w:t>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短期借款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967,767.56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2,069,861.38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344,976.87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7.4.7.7</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应交税费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7.4.7.8</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156,105.07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4,765,022.35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7.4.7.9</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7.4.7.10</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363,709,164.66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1,831,615,759.37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负债和所有者权益总计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1,836,380,781.72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报告截止日</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日，基金份额净值</w:t>
      </w:r>
      <w:r>
        <w:rPr>
          <w:rFonts w:hint="default" w:ascii="Times New Roman" w:hAnsi="Times New Roman"/>
          <w:color w:val="000000"/>
          <w:kern w:val="0"/>
          <w:sz w:val="21"/>
        </w:rPr>
        <w:t>1.248</w:t>
      </w:r>
      <w:r>
        <w:rPr>
          <w:rFonts w:hint="eastAsia" w:ascii="Times New Roman" w:hAnsi="Times New Roman"/>
          <w:color w:val="000000"/>
          <w:kern w:val="0"/>
          <w:sz w:val="21"/>
        </w:rPr>
        <w:t>元，基金份额总额</w:t>
      </w:r>
      <w:r>
        <w:rPr>
          <w:rFonts w:hint="default" w:ascii="Times New Roman" w:hAnsi="Times New Roman"/>
          <w:color w:val="000000"/>
          <w:kern w:val="0"/>
          <w:sz w:val="21"/>
        </w:rPr>
        <w:t>1,467,906,594.71</w:t>
      </w:r>
      <w:r>
        <w:rPr>
          <w:rFonts w:hint="eastAsia" w:ascii="Times New Roman" w:hAnsi="Times New Roman"/>
          <w:color w:val="000000"/>
          <w:kern w:val="0"/>
          <w:sz w:val="21"/>
        </w:rPr>
        <w:t>份。</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本财务报表的实际编制期间为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22</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1" w:name="_Toc477899828"/>
      <w:r>
        <w:rPr>
          <w:rFonts w:hint="default" w:ascii="Times New Roman" w:hAnsi="Times New Roman"/>
          <w:b/>
          <w:color w:val="000000"/>
          <w:kern w:val="0"/>
          <w:sz w:val="24"/>
        </w:rPr>
        <w:t xml:space="preserve">7.2 </w:t>
      </w:r>
      <w:r>
        <w:rPr>
          <w:rFonts w:hint="eastAsia" w:ascii="Times New Roman" w:hAnsi="Times New Roman"/>
          <w:b/>
          <w:color w:val="000000"/>
          <w:kern w:val="0"/>
          <w:sz w:val="24"/>
        </w:rPr>
        <w:t>利润表</w:t>
      </w:r>
      <w:bookmarkEnd w:id="3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会计主体：创金合信量化多因子股票型证券投资基金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083"/>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一、收入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-4,473,660.96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451,873.37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7.4.7.11</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237,297.35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买入返售金融资产收入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214,576.02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投资收益（损失以“</w:t>
            </w:r>
            <w:r>
              <w:rPr>
                <w:rFonts w:hint="default" w:ascii="Times New Roman" w:eastAsia="Times New Roman"/>
                <w:color w:val="000000"/>
                <w:kern w:val="0"/>
                <w:sz w:val="24"/>
              </w:rPr>
              <w:t>-</w:t>
            </w:r>
            <w:r>
              <w:rPr>
                <w:rFonts w:hint="eastAsia" w:ascii="Times New Roman" w:hAnsi="Times New Roman"/>
                <w:color w:val="000000"/>
                <w:kern w:val="0"/>
                <w:sz w:val="24"/>
              </w:rPr>
              <w:t>”填列）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51,634,965.19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7.4.7.12</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50,777,421.61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7.4.7.13</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衍生工具收益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7.4.7.14</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168,136.00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股利收益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7.4.7.15</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689,407.58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公允价值变动收益（损失以“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7.4.7.16</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汇兑收益（损失以“－”号填列）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其他收入（损失以“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7.4.7.17</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3,453,647.97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减：二、费用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9,863,688.65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4,706,983.82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784,497.32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7.4.7.18</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4,216,632.51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．利息支出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6</w:t>
            </w:r>
            <w:r>
              <w:rPr>
                <w:rFonts w:hint="eastAsia" w:ascii="Times New Roman" w:hAnsi="Times New Roman"/>
                <w:color w:val="000000"/>
                <w:kern w:val="0"/>
                <w:sz w:val="24"/>
              </w:rPr>
              <w:t>．其他费用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7.4.7.19</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155,575.00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三、利润总额（亏损总额以“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减：所得税费用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四、净利润（净亏损以“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注：本财务报表的实际编制期间为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22</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2" w:name="_Toc477899829"/>
      <w:r>
        <w:rPr>
          <w:rFonts w:hint="default" w:ascii="Times New Roman" w:hAnsi="Times New Roman"/>
          <w:b/>
          <w:color w:val="000000"/>
          <w:kern w:val="0"/>
          <w:sz w:val="24"/>
        </w:rPr>
        <w:t xml:space="preserve">7.3 </w:t>
      </w:r>
      <w:r>
        <w:rPr>
          <w:rFonts w:hint="eastAsia" w:ascii="Times New Roman" w:hAnsi="Times New Roman"/>
          <w:b/>
          <w:color w:val="000000"/>
          <w:kern w:val="0"/>
          <w:sz w:val="24"/>
        </w:rPr>
        <w:t>所有者权益（基金净值）变动表</w:t>
      </w:r>
      <w:bookmarkEnd w:id="3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会计主体：创金合信量化多因子股票型证券投资基金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1806"/>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一、期初所有者权益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二、本期经营活动产生的基金净值变动数</w:t>
            </w:r>
            <w:r>
              <w:rPr>
                <w:rFonts w:hint="default" w:ascii="Times New Roman" w:hAnsi="Times New Roman"/>
                <w:color w:val="000000"/>
                <w:kern w:val="0"/>
                <w:sz w:val="24"/>
              </w:rPr>
              <w:t>(</w:t>
            </w:r>
            <w:r>
              <w:rPr>
                <w:rFonts w:hint="eastAsia" w:ascii="Times New Roman" w:hAnsi="Times New Roman"/>
                <w:color w:val="000000"/>
                <w:kern w:val="0"/>
                <w:sz w:val="24"/>
              </w:rPr>
              <w:t>本期利润</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1,265,267,379.24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378,046,514.27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1,643,313,893.51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1,801,174,179.52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468,652,599.35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2,269,826,778.87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-535,906,800.28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-90,606,085.08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-626,512,885.36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（基金净值）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363,709,164.66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1,831,615,759.37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注：本财务报表的实际编制期间为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22</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报表附注为财务报表的组成部分。</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w:t>
      </w:r>
      <w:r>
        <w:rPr>
          <w:rFonts w:hint="default" w:ascii="Times New Roman" w:hAnsi="Times New Roman"/>
          <w:color w:val="000000"/>
          <w:kern w:val="0"/>
          <w:sz w:val="24"/>
        </w:rPr>
        <w:t>7.1</w:t>
      </w:r>
      <w:r>
        <w:rPr>
          <w:rFonts w:hint="eastAsia" w:ascii="Times New Roman" w:hAnsi="Times New Roman"/>
          <w:color w:val="000000"/>
          <w:kern w:val="0"/>
          <w:sz w:val="24"/>
        </w:rPr>
        <w:t>至</w:t>
      </w:r>
      <w:r>
        <w:rPr>
          <w:rFonts w:hint="default" w:ascii="Times New Roman" w:hAnsi="Times New Roman"/>
          <w:color w:val="000000"/>
          <w:kern w:val="0"/>
          <w:sz w:val="24"/>
        </w:rPr>
        <w:t>7.4</w:t>
      </w:r>
      <w:r>
        <w:rPr>
          <w:rFonts w:hint="eastAsia" w:ascii="Times New Roman" w:hAnsi="Times New Roman"/>
          <w:color w:val="000000"/>
          <w:kern w:val="0"/>
          <w:sz w:val="24"/>
        </w:rPr>
        <w:t>财务报表由下列负责人签署</w:t>
      </w:r>
      <w:r>
        <w:rPr>
          <w:rFonts w:hint="default" w:ascii="Times New Roman" w:hAnsi="Times New Roman"/>
          <w:color w:val="000000"/>
          <w:kern w:val="0"/>
          <w:sz w:val="24"/>
        </w:rPr>
        <w:t>:</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苏彦祝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基金管理人负责人</w:t>
            </w:r>
          </w:p>
        </w:tc>
        <w:tc>
          <w:tcPr>
            <w:tcW w:w="288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黄越岷</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主管会计工作负责人</w:t>
            </w:r>
          </w:p>
        </w:tc>
        <w:tc>
          <w:tcPr>
            <w:tcW w:w="2890"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安兆国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会计机构负责人</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3" w:name="_Toc477899830"/>
      <w:r>
        <w:rPr>
          <w:rFonts w:hint="default" w:ascii="Times New Roman" w:hAnsi="Times New Roman"/>
          <w:b/>
          <w:color w:val="000000"/>
          <w:kern w:val="0"/>
          <w:sz w:val="24"/>
        </w:rPr>
        <w:t xml:space="preserve">7.4 </w:t>
      </w:r>
      <w:r>
        <w:rPr>
          <w:rFonts w:hint="eastAsia" w:ascii="Times New Roman" w:hAnsi="Times New Roman"/>
          <w:b/>
          <w:color w:val="000000"/>
          <w:kern w:val="0"/>
          <w:sz w:val="24"/>
        </w:rPr>
        <w:t>报表附注</w:t>
      </w:r>
      <w:bookmarkEnd w:id="33"/>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 </w:t>
      </w:r>
      <w:r>
        <w:rPr>
          <w:rFonts w:hint="eastAsia" w:ascii="Times New Roman" w:hAnsi="Times New Roman"/>
          <w:b/>
          <w:color w:val="000000"/>
          <w:kern w:val="0"/>
          <w:sz w:val="24"/>
        </w:rPr>
        <w:t>基金基本情况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本基金</w:t>
      </w:r>
      <w:r>
        <w:rPr>
          <w:rFonts w:hint="default" w:ascii="Times New Roman" w:hAnsi="Times New Roman"/>
          <w:color w:val="000000"/>
          <w:kern w:val="0"/>
          <w:sz w:val="24"/>
        </w:rPr>
        <w:t>")</w:t>
      </w:r>
      <w:r>
        <w:rPr>
          <w:rFonts w:hint="eastAsia" w:ascii="Times New Roman" w:hAnsi="Times New Roman"/>
          <w:color w:val="000000"/>
          <w:kern w:val="0"/>
          <w:sz w:val="24"/>
        </w:rPr>
        <w:t>经中国证券监督管理委员会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证监许可</w:t>
      </w:r>
      <w:r>
        <w:rPr>
          <w:rFonts w:hint="default" w:ascii="Times New Roman" w:hAnsi="Times New Roman"/>
          <w:color w:val="000000"/>
          <w:kern w:val="0"/>
          <w:sz w:val="24"/>
        </w:rPr>
        <w:t>[2015]2238</w:t>
      </w:r>
      <w:r>
        <w:rPr>
          <w:rFonts w:hint="eastAsia" w:ascii="Times New Roman" w:hAnsi="Times New Roman"/>
          <w:color w:val="000000"/>
          <w:kern w:val="0"/>
          <w:sz w:val="24"/>
        </w:rPr>
        <w:t>号《关于准予创金合信量化多因子股票型证券投资基金注册的批复》核准，由创金合信基金管理有限公司依照《中华人民共和国证券投资基金法》和《创金合信量化多因子股票型证券投资基金基金合同》负责公开募集。本基金为契约型开放式，存续期限不定，首次设立募集不包括认购资金利息共募集人民币</w:t>
      </w:r>
      <w:r>
        <w:rPr>
          <w:rFonts w:hint="default" w:ascii="Times New Roman" w:hAnsi="Times New Roman"/>
          <w:color w:val="000000"/>
          <w:kern w:val="0"/>
          <w:sz w:val="24"/>
        </w:rPr>
        <w:t>202,600,123.85</w:t>
      </w:r>
      <w:r>
        <w:rPr>
          <w:rFonts w:hint="eastAsia" w:ascii="Times New Roman" w:hAnsi="Times New Roman"/>
          <w:color w:val="000000"/>
          <w:kern w:val="0"/>
          <w:sz w:val="24"/>
        </w:rPr>
        <w:t>元，业经普华永道中天会计师事务所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普华永道中天验字</w:t>
      </w:r>
      <w:r>
        <w:rPr>
          <w:rFonts w:hint="default" w:ascii="Times New Roman" w:hAnsi="Times New Roman"/>
          <w:color w:val="000000"/>
          <w:kern w:val="0"/>
          <w:sz w:val="24"/>
        </w:rPr>
        <w:t>(2016)</w:t>
      </w:r>
      <w:r>
        <w:rPr>
          <w:rFonts w:hint="eastAsia" w:ascii="Times New Roman" w:hAnsi="Times New Roman"/>
          <w:color w:val="000000"/>
          <w:kern w:val="0"/>
          <w:sz w:val="24"/>
        </w:rPr>
        <w:t>第</w:t>
      </w:r>
      <w:r>
        <w:rPr>
          <w:rFonts w:hint="default" w:ascii="Times New Roman" w:hAnsi="Times New Roman"/>
          <w:color w:val="000000"/>
          <w:kern w:val="0"/>
          <w:sz w:val="24"/>
        </w:rPr>
        <w:t>086</w:t>
      </w:r>
      <w:r>
        <w:rPr>
          <w:rFonts w:hint="eastAsia" w:ascii="Times New Roman" w:hAnsi="Times New Roman"/>
          <w:color w:val="000000"/>
          <w:kern w:val="0"/>
          <w:sz w:val="24"/>
        </w:rPr>
        <w:t>号验资报告予以验证。经向中国证监会备案，《创金合信量化多因子股票型证券投资基金基金合同》于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日正式生效，基金合同生效日的基金份额总额为</w:t>
      </w:r>
      <w:r>
        <w:rPr>
          <w:rFonts w:hint="default" w:ascii="Times New Roman" w:hAnsi="Times New Roman"/>
          <w:color w:val="000000"/>
          <w:kern w:val="0"/>
          <w:sz w:val="24"/>
        </w:rPr>
        <w:t>202,639,215.47</w:t>
      </w:r>
      <w:r>
        <w:rPr>
          <w:rFonts w:hint="eastAsia" w:ascii="Times New Roman" w:hAnsi="Times New Roman"/>
          <w:color w:val="000000"/>
          <w:kern w:val="0"/>
          <w:sz w:val="24"/>
        </w:rPr>
        <w:t>份基金份额，其中认购资金利息折合</w:t>
      </w:r>
      <w:r>
        <w:rPr>
          <w:rFonts w:hint="default" w:ascii="Times New Roman" w:hAnsi="Times New Roman"/>
          <w:color w:val="000000"/>
          <w:kern w:val="0"/>
          <w:sz w:val="24"/>
        </w:rPr>
        <w:t>39,091.62</w:t>
      </w:r>
      <w:r>
        <w:rPr>
          <w:rFonts w:hint="eastAsia" w:ascii="Times New Roman" w:hAnsi="Times New Roman"/>
          <w:color w:val="000000"/>
          <w:kern w:val="0"/>
          <w:sz w:val="24"/>
        </w:rPr>
        <w:t>份基金份额。本基金的基金管理人为创金合信基金管理有限公司，基金托管人为中国工商银行股份有限公司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中国工商银行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根据《中华人民共和国证券投资基金法》和《创金合信量化多因子股票型证券投资基金基金合同》的有关规定，本基金的投资范围包括国内依法发行上市的股票</w:t>
      </w:r>
      <w:r>
        <w:rPr>
          <w:rFonts w:hint="default" w:ascii="Times New Roman" w:hAnsi="Times New Roman"/>
          <w:color w:val="000000"/>
          <w:kern w:val="0"/>
          <w:sz w:val="24"/>
        </w:rPr>
        <w:t>(</w:t>
      </w:r>
      <w:r>
        <w:rPr>
          <w:rFonts w:hint="eastAsia" w:ascii="Times New Roman" w:hAnsi="Times New Roman"/>
          <w:color w:val="000000"/>
          <w:kern w:val="0"/>
          <w:sz w:val="24"/>
        </w:rPr>
        <w:t>包括创业板、中小板以及其他中国证监会允许基金投资的股票</w:t>
      </w:r>
      <w:r>
        <w:rPr>
          <w:rFonts w:hint="default" w:ascii="Times New Roman" w:hAnsi="Times New Roman"/>
          <w:color w:val="000000"/>
          <w:kern w:val="0"/>
          <w:sz w:val="24"/>
        </w:rPr>
        <w:t>)</w:t>
      </w:r>
      <w:r>
        <w:rPr>
          <w:rFonts w:hint="eastAsia" w:ascii="Times New Roman" w:hAnsi="Times New Roman"/>
          <w:color w:val="000000"/>
          <w:kern w:val="0"/>
          <w:sz w:val="24"/>
        </w:rPr>
        <w:t>、债券</w:t>
      </w:r>
      <w:r>
        <w:rPr>
          <w:rFonts w:hint="default" w:ascii="Times New Roman" w:hAnsi="Times New Roman"/>
          <w:color w:val="000000"/>
          <w:kern w:val="0"/>
          <w:sz w:val="24"/>
        </w:rPr>
        <w:t>(</w:t>
      </w:r>
      <w:r>
        <w:rPr>
          <w:rFonts w:hint="eastAsia" w:ascii="Times New Roman" w:hAnsi="Times New Roman"/>
          <w:color w:val="000000"/>
          <w:kern w:val="0"/>
          <w:sz w:val="24"/>
        </w:rPr>
        <w:t>包括国债、央行票据、地方政府债、金融债、企业债、公司债、中小企业私募债、次级债、中期票据、短期融资券、可转换债券、可交换债券等</w:t>
      </w:r>
      <w:r>
        <w:rPr>
          <w:rFonts w:hint="default" w:ascii="Times New Roman" w:hAnsi="Times New Roman"/>
          <w:color w:val="000000"/>
          <w:kern w:val="0"/>
          <w:sz w:val="24"/>
        </w:rPr>
        <w:t>)</w:t>
      </w:r>
      <w:r>
        <w:rPr>
          <w:rFonts w:hint="eastAsia" w:ascii="Times New Roman" w:hAnsi="Times New Roman"/>
          <w:color w:val="000000"/>
          <w:kern w:val="0"/>
          <w:sz w:val="24"/>
        </w:rPr>
        <w:t>、资产支持证券、债券回购、银行存款、金融衍生品</w:t>
      </w:r>
      <w:r>
        <w:rPr>
          <w:rFonts w:hint="default" w:ascii="Times New Roman" w:hAnsi="Times New Roman"/>
          <w:color w:val="000000"/>
          <w:kern w:val="0"/>
          <w:sz w:val="24"/>
        </w:rPr>
        <w:t>(</w:t>
      </w:r>
      <w:r>
        <w:rPr>
          <w:rFonts w:hint="eastAsia" w:ascii="Times New Roman" w:hAnsi="Times New Roman"/>
          <w:color w:val="000000"/>
          <w:kern w:val="0"/>
          <w:sz w:val="24"/>
        </w:rPr>
        <w:t>权证、股指期货、股票期权等</w:t>
      </w:r>
      <w:r>
        <w:rPr>
          <w:rFonts w:hint="default" w:ascii="Times New Roman" w:hAnsi="Times New Roman"/>
          <w:color w:val="000000"/>
          <w:kern w:val="0"/>
          <w:sz w:val="24"/>
        </w:rPr>
        <w:t>)</w:t>
      </w:r>
      <w:r>
        <w:rPr>
          <w:rFonts w:hint="eastAsia" w:ascii="Times New Roman" w:hAnsi="Times New Roman"/>
          <w:color w:val="000000"/>
          <w:kern w:val="0"/>
          <w:sz w:val="24"/>
        </w:rPr>
        <w:t>及法律法规或中国证监会允许基金投资的其他金融工具。本基金的业绩比较基准为：中证</w:t>
      </w:r>
      <w:r>
        <w:rPr>
          <w:rFonts w:hint="default" w:ascii="Times New Roman" w:hAnsi="Times New Roman"/>
          <w:color w:val="000000"/>
          <w:kern w:val="0"/>
          <w:sz w:val="24"/>
        </w:rPr>
        <w:t>500</w:t>
      </w:r>
      <w:r>
        <w:rPr>
          <w:rFonts w:hint="eastAsia" w:ascii="Times New Roman" w:hAnsi="Times New Roman"/>
          <w:color w:val="000000"/>
          <w:kern w:val="0"/>
          <w:sz w:val="24"/>
        </w:rPr>
        <w:t>指数收益率×</w:t>
      </w:r>
      <w:r>
        <w:rPr>
          <w:rFonts w:hint="default" w:ascii="Times New Roman" w:hAnsi="Times New Roman"/>
          <w:color w:val="000000"/>
          <w:kern w:val="0"/>
          <w:sz w:val="24"/>
        </w:rPr>
        <w:t>90%+2%</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7.4.2 </w:t>
      </w:r>
      <w:r>
        <w:rPr>
          <w:rFonts w:hint="eastAsia" w:ascii="Times New Roman" w:hAnsi="Times New Roman"/>
          <w:b/>
          <w:color w:val="000000"/>
          <w:kern w:val="0"/>
          <w:sz w:val="24"/>
        </w:rPr>
        <w:t>会计报表的编制基础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本基金的财务报表按照财政部于</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2</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日及以后期间颁布的《企业会计准则－基本准则》、各项具体会计准则及相关规定</w:t>
      </w:r>
      <w:r>
        <w:rPr>
          <w:rFonts w:hint="default" w:ascii="Times New Roman" w:hAnsi="Times New Roman"/>
          <w:color w:val="000000"/>
          <w:kern w:val="0"/>
          <w:sz w:val="24"/>
        </w:rPr>
        <w:t>(</w:t>
      </w:r>
      <w:r>
        <w:rPr>
          <w:rFonts w:hint="eastAsia" w:ascii="Times New Roman" w:hAnsi="Times New Roman"/>
          <w:color w:val="000000"/>
          <w:kern w:val="0"/>
          <w:sz w:val="24"/>
        </w:rPr>
        <w:t>以下合称</w:t>
      </w:r>
      <w:r>
        <w:rPr>
          <w:rFonts w:hint="default" w:ascii="Times New Roman" w:hAnsi="Times New Roman"/>
          <w:color w:val="000000"/>
          <w:kern w:val="0"/>
          <w:sz w:val="24"/>
        </w:rPr>
        <w:t>"</w:t>
      </w:r>
      <w:r>
        <w:rPr>
          <w:rFonts w:hint="eastAsia" w:ascii="Times New Roman" w:hAnsi="Times New Roman"/>
          <w:color w:val="000000"/>
          <w:kern w:val="0"/>
          <w:sz w:val="24"/>
        </w:rPr>
        <w:t>企业会计准则</w:t>
      </w:r>
      <w:r>
        <w:rPr>
          <w:rFonts w:hint="default" w:ascii="Times New Roman" w:hAnsi="Times New Roman"/>
          <w:color w:val="000000"/>
          <w:kern w:val="0"/>
          <w:sz w:val="24"/>
        </w:rPr>
        <w:t>")</w:t>
      </w:r>
      <w:r>
        <w:rPr>
          <w:rFonts w:hint="eastAsia" w:ascii="Times New Roman" w:hAnsi="Times New Roman"/>
          <w:color w:val="000000"/>
          <w:kern w:val="0"/>
          <w:sz w:val="24"/>
        </w:rPr>
        <w:t>、中国证监会颁布的《证券投资基金信息披露</w:t>
      </w:r>
      <w:r>
        <w:rPr>
          <w:rFonts w:hint="default" w:ascii="Times New Roman" w:hAnsi="Times New Roman"/>
          <w:color w:val="000000"/>
          <w:kern w:val="0"/>
          <w:sz w:val="24"/>
        </w:rPr>
        <w:t>XBRL</w:t>
      </w:r>
      <w:r>
        <w:rPr>
          <w:rFonts w:hint="eastAsia" w:ascii="Times New Roman" w:hAnsi="Times New Roman"/>
          <w:color w:val="000000"/>
          <w:kern w:val="0"/>
          <w:sz w:val="24"/>
        </w:rPr>
        <w:t>模板第</w:t>
      </w:r>
      <w:r>
        <w:rPr>
          <w:rFonts w:hint="default" w:ascii="Times New Roman" w:hAnsi="Times New Roman"/>
          <w:color w:val="000000"/>
          <w:kern w:val="0"/>
          <w:sz w:val="24"/>
        </w:rPr>
        <w:t>3</w:t>
      </w:r>
      <w:r>
        <w:rPr>
          <w:rFonts w:hint="eastAsia" w:ascii="Times New Roman" w:hAnsi="Times New Roman"/>
          <w:color w:val="000000"/>
          <w:kern w:val="0"/>
          <w:sz w:val="24"/>
        </w:rPr>
        <w:t>号</w:t>
      </w:r>
      <w:r>
        <w:rPr>
          <w:rFonts w:hint="default" w:ascii="Times New Roman" w:hAnsi="Times New Roman"/>
          <w:color w:val="000000"/>
          <w:kern w:val="0"/>
          <w:sz w:val="24"/>
        </w:rPr>
        <w:t>&lt;</w:t>
      </w:r>
      <w:r>
        <w:rPr>
          <w:rFonts w:hint="eastAsia" w:ascii="Times New Roman" w:hAnsi="Times New Roman"/>
          <w:color w:val="000000"/>
          <w:kern w:val="0"/>
          <w:sz w:val="24"/>
        </w:rPr>
        <w:t>年度报告和半年度报告</w:t>
      </w:r>
      <w:r>
        <w:rPr>
          <w:rFonts w:hint="default" w:ascii="Times New Roman" w:hAnsi="Times New Roman"/>
          <w:color w:val="000000"/>
          <w:kern w:val="0"/>
          <w:sz w:val="24"/>
        </w:rPr>
        <w:t>&gt;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颁布的《证券投资基金会计核算业务指引》、《创金合信量化多因子股票型证券投资基金基金合同》和在财务报表附注</w:t>
      </w:r>
      <w:r>
        <w:rPr>
          <w:rFonts w:hint="default" w:ascii="Times New Roman" w:hAnsi="Times New Roman"/>
          <w:color w:val="000000"/>
          <w:kern w:val="0"/>
          <w:sz w:val="24"/>
        </w:rPr>
        <w:t>7.4.4</w:t>
      </w:r>
      <w:r>
        <w:rPr>
          <w:rFonts w:hint="eastAsia" w:ascii="Times New Roman" w:hAnsi="Times New Roman"/>
          <w:color w:val="000000"/>
          <w:kern w:val="0"/>
          <w:sz w:val="24"/>
        </w:rPr>
        <w:t>所列示的中国证监会、中国基金业协会发布的有关规定及允许的基金行业实务操作编制。</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7.4.3 </w:t>
      </w:r>
      <w:r>
        <w:rPr>
          <w:rFonts w:hint="eastAsia" w:ascii="Times New Roman" w:hAnsi="Times New Roman"/>
          <w:b/>
          <w:color w:val="000000"/>
          <w:kern w:val="0"/>
          <w:sz w:val="24"/>
        </w:rPr>
        <w:t>遵循企业会计准则及其他有关规定的声明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日止期间财务报表符合企业会计准则的要求，真实、完整地反映了本基金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日止期间的经营成果和基金净值变动情况等有关信息。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 </w:t>
      </w:r>
      <w:r>
        <w:rPr>
          <w:rFonts w:hint="eastAsia" w:ascii="Times New Roman" w:hAnsi="Times New Roman"/>
          <w:b/>
          <w:color w:val="000000"/>
          <w:kern w:val="0"/>
          <w:sz w:val="24"/>
        </w:rPr>
        <w:t>重要会计政策和会计估计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 </w:t>
      </w:r>
      <w:r>
        <w:rPr>
          <w:rFonts w:hint="eastAsia" w:ascii="Times New Roman" w:hAnsi="Times New Roman"/>
          <w:b/>
          <w:color w:val="000000"/>
          <w:kern w:val="0"/>
          <w:sz w:val="24"/>
        </w:rPr>
        <w:t>会计年度</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本基金会计年度为公历</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日止。本期财务报表的实际编制期间为</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7.4.4.2 </w:t>
      </w:r>
      <w:r>
        <w:rPr>
          <w:rFonts w:hint="eastAsia" w:ascii="Times New Roman" w:hAnsi="Times New Roman"/>
          <w:b/>
          <w:color w:val="000000"/>
          <w:kern w:val="0"/>
          <w:sz w:val="24"/>
        </w:rPr>
        <w:t>记账本位币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本基金的记账本位币为人民币。</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7.4.4.3 </w:t>
      </w:r>
      <w:r>
        <w:rPr>
          <w:rFonts w:hint="eastAsia" w:ascii="Times New Roman" w:hAnsi="Times New Roman"/>
          <w:b/>
          <w:color w:val="000000"/>
          <w:kern w:val="0"/>
          <w:sz w:val="24"/>
        </w:rPr>
        <w:t>金融资产和金融负债的分类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金融资产的分类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本基金目前以交易目的持有的股票投资、债券投资和衍生工具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主要为股指期货投资</w:t>
      </w:r>
      <w:r>
        <w:rPr>
          <w:rFonts w:hint="default" w:ascii="Times New Roman" w:hAnsi="Times New Roman"/>
          <w:color w:val="000000"/>
          <w:kern w:val="0"/>
          <w:sz w:val="24"/>
        </w:rPr>
        <w:t>)</w:t>
      </w:r>
      <w:r>
        <w:rPr>
          <w:rFonts w:hint="eastAsia" w:ascii="Times New Roman" w:hAnsi="Times New Roman"/>
          <w:color w:val="000000"/>
          <w:kern w:val="0"/>
          <w:sz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7.4.4.4 </w:t>
      </w:r>
      <w:r>
        <w:rPr>
          <w:rFonts w:hint="eastAsia" w:ascii="Times New Roman" w:hAnsi="Times New Roman"/>
          <w:b/>
          <w:color w:val="000000"/>
          <w:kern w:val="0"/>
          <w:sz w:val="24"/>
        </w:rPr>
        <w:t>金融资产和金融负债的初始确认、后续计量和终止确认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金融资产满足下列条件之一的，予以终止确认：</w:t>
      </w:r>
      <w:r>
        <w:rPr>
          <w:rFonts w:hint="default" w:ascii="Times New Roman" w:hAnsi="Times New Roman"/>
          <w:color w:val="000000"/>
          <w:kern w:val="0"/>
          <w:sz w:val="24"/>
        </w:rPr>
        <w:t xml:space="preserve">(1) </w:t>
      </w:r>
      <w:r>
        <w:rPr>
          <w:rFonts w:hint="eastAsia" w:ascii="Times New Roman" w:hAnsi="Times New Roman"/>
          <w:color w:val="000000"/>
          <w:kern w:val="0"/>
          <w:sz w:val="24"/>
        </w:rPr>
        <w:t>收取该金融资产现金流量的合同权利终止；</w:t>
      </w:r>
      <w:r>
        <w:rPr>
          <w:rFonts w:hint="default" w:ascii="Times New Roman" w:hAnsi="Times New Roman"/>
          <w:color w:val="000000"/>
          <w:kern w:val="0"/>
          <w:sz w:val="24"/>
        </w:rPr>
        <w:t xml:space="preserve">(2) </w:t>
      </w:r>
      <w:r>
        <w:rPr>
          <w:rFonts w:hint="eastAsia" w:ascii="Times New Roman" w:hAnsi="Times New Roman"/>
          <w:color w:val="000000"/>
          <w:kern w:val="0"/>
          <w:sz w:val="24"/>
        </w:rPr>
        <w:t>该金融资产已转移，且本基金将金融资产所有权上几乎所有的风险和报酬转移给转入方；或者</w:t>
      </w:r>
      <w:r>
        <w:rPr>
          <w:rFonts w:hint="default" w:ascii="Times New Roman" w:hAnsi="Times New Roman"/>
          <w:color w:val="000000"/>
          <w:kern w:val="0"/>
          <w:sz w:val="24"/>
        </w:rPr>
        <w:t xml:space="preserve">(3) </w:t>
      </w:r>
      <w:r>
        <w:rPr>
          <w:rFonts w:hint="eastAsia" w:ascii="Times New Roman" w:hAnsi="Times New Roman"/>
          <w:color w:val="000000"/>
          <w:kern w:val="0"/>
          <w:sz w:val="24"/>
        </w:rPr>
        <w:t>该金融资产已转移，虽然本基金既没有转移也没有保留金融资产所有权上几乎所有的风险和报酬，但是放弃了对该金融资产控制。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金融资产终止确认时，其账面价值与收到的对价的差额，计入当期损益。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7.4.4.5 </w:t>
      </w:r>
      <w:r>
        <w:rPr>
          <w:rFonts w:hint="eastAsia" w:ascii="Times New Roman" w:hAnsi="Times New Roman"/>
          <w:b/>
          <w:color w:val="000000"/>
          <w:kern w:val="0"/>
          <w:sz w:val="24"/>
        </w:rPr>
        <w:t>金融资产和金融负债的估值原则</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主要为股指期货投资</w:t>
      </w:r>
      <w:r>
        <w:rPr>
          <w:rFonts w:hint="default" w:ascii="Times New Roman" w:hAnsi="Times New Roman"/>
          <w:color w:val="000000"/>
          <w:kern w:val="0"/>
          <w:sz w:val="24"/>
        </w:rPr>
        <w:t>)</w:t>
      </w:r>
      <w:r>
        <w:rPr>
          <w:rFonts w:hint="eastAsia" w:ascii="Times New Roman" w:hAnsi="Times New Roman"/>
          <w:color w:val="000000"/>
          <w:kern w:val="0"/>
          <w:sz w:val="24"/>
        </w:rPr>
        <w:t>按如下原则确定公允价值并进行估值：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7.4.4.6 </w:t>
      </w:r>
      <w:r>
        <w:rPr>
          <w:rFonts w:hint="eastAsia" w:ascii="Times New Roman" w:hAnsi="Times New Roman"/>
          <w:b/>
          <w:color w:val="000000"/>
          <w:kern w:val="0"/>
          <w:sz w:val="24"/>
        </w:rPr>
        <w:t>金融资产和金融负债的抵销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本基金持有的资产和承担的负债基本为金融资产和金融负债。当本基金</w:t>
      </w:r>
      <w:r>
        <w:rPr>
          <w:rFonts w:hint="default" w:ascii="Times New Roman" w:hAnsi="Times New Roman"/>
          <w:color w:val="000000"/>
          <w:kern w:val="0"/>
          <w:sz w:val="24"/>
        </w:rPr>
        <w:t xml:space="preserve">1) </w:t>
      </w:r>
      <w:r>
        <w:rPr>
          <w:rFonts w:hint="eastAsia" w:ascii="Times New Roman" w:hAnsi="Times New Roman"/>
          <w:color w:val="000000"/>
          <w:kern w:val="0"/>
          <w:sz w:val="24"/>
        </w:rPr>
        <w:t>具有抵销已确认金额的法定权利且该种法定权利现在是可执行的；且</w:t>
      </w:r>
      <w:r>
        <w:rPr>
          <w:rFonts w:hint="default" w:ascii="Times New Roman" w:hAnsi="Times New Roman"/>
          <w:color w:val="000000"/>
          <w:kern w:val="0"/>
          <w:sz w:val="24"/>
        </w:rPr>
        <w:t xml:space="preserve">2) </w:t>
      </w:r>
      <w:r>
        <w:rPr>
          <w:rFonts w:hint="eastAsia" w:ascii="Times New Roman" w:hAnsi="Times New Roman"/>
          <w:color w:val="000000"/>
          <w:kern w:val="0"/>
          <w:sz w:val="24"/>
        </w:rPr>
        <w:t>交易双方准备按净额结算时，金融资产与金融负债按抵销后的净额在资产负债表中列示。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7.4.4.7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7.4.4.8 </w:t>
      </w:r>
      <w:r>
        <w:rPr>
          <w:rFonts w:hint="eastAsia" w:ascii="Times New Roman" w:hAnsi="Times New Roman"/>
          <w:b/>
          <w:color w:val="000000"/>
          <w:kern w:val="0"/>
          <w:sz w:val="24"/>
        </w:rPr>
        <w:t>损益平准金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hint="default" w:ascii="Times New Roman" w:hAnsi="Times New Roman"/>
          <w:color w:val="000000"/>
          <w:kern w:val="0"/>
          <w:sz w:val="24"/>
        </w:rPr>
        <w:t>/(</w:t>
      </w:r>
      <w:r>
        <w:rPr>
          <w:rFonts w:hint="eastAsia" w:ascii="Times New Roman" w:hAnsi="Times New Roman"/>
          <w:color w:val="000000"/>
          <w:kern w:val="0"/>
          <w:sz w:val="24"/>
        </w:rPr>
        <w:t>累计亏损</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7.4.4.9 </w:t>
      </w:r>
      <w:r>
        <w:rPr>
          <w:rFonts w:hint="eastAsia" w:ascii="Times New Roman" w:hAnsi="Times New Roman"/>
          <w:b/>
          <w:color w:val="000000"/>
          <w:kern w:val="0"/>
          <w:sz w:val="24"/>
        </w:rPr>
        <w:t>收入</w:t>
      </w:r>
      <w:r>
        <w:rPr>
          <w:rFonts w:hint="default" w:ascii="Times New Roman" w:hAnsi="Times New Roman"/>
          <w:b/>
          <w:color w:val="000000"/>
          <w:kern w:val="0"/>
          <w:sz w:val="24"/>
        </w:rPr>
        <w:t>/</w:t>
      </w:r>
      <w:r>
        <w:rPr>
          <w:rFonts w:hint="eastAsia" w:ascii="Times New Roman" w:hAnsi="Times New Roman"/>
          <w:b/>
          <w:color w:val="000000"/>
          <w:kern w:val="0"/>
          <w:sz w:val="24"/>
        </w:rPr>
        <w:t>（损失）的确认和计量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应收款项在持有期间确认的利息收入按实际利率法计算，实际利率法与直线法差异较小的则按直线法计算。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7.4.4.10 </w:t>
      </w:r>
      <w:r>
        <w:rPr>
          <w:rFonts w:hint="eastAsia" w:ascii="Times New Roman" w:hAnsi="Times New Roman"/>
          <w:b/>
          <w:color w:val="000000"/>
          <w:kern w:val="0"/>
          <w:sz w:val="24"/>
        </w:rPr>
        <w:t>费用的确认和计量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本基金的管理人报酬和托管费在费用涵盖期间按基金合同约定的费率和计算方法逐日确认。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其他金融负债在持有期间确认的利息支出按实际利率法计算，实际利率法与直线法差异较小的则按直线法计算。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7.4.4.11 </w:t>
      </w:r>
      <w:r>
        <w:rPr>
          <w:rFonts w:hint="eastAsia" w:ascii="Times New Roman" w:hAnsi="Times New Roman"/>
          <w:b/>
          <w:color w:val="000000"/>
          <w:kern w:val="0"/>
          <w:sz w:val="24"/>
        </w:rPr>
        <w:t>基金的收益分配政策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本基金的收益分配政策为：（</w:t>
      </w:r>
      <w:r>
        <w:rPr>
          <w:rFonts w:hint="default" w:ascii="Times New Roman" w:hAnsi="Times New Roman"/>
          <w:color w:val="000000"/>
          <w:kern w:val="0"/>
          <w:sz w:val="24"/>
        </w:rPr>
        <w:t>1</w:t>
      </w:r>
      <w:r>
        <w:rPr>
          <w:rFonts w:hint="eastAsia" w:ascii="Times New Roman" w:hAnsi="Times New Roman"/>
          <w:color w:val="000000"/>
          <w:kern w:val="0"/>
          <w:sz w:val="24"/>
        </w:rPr>
        <w:t>）本基金收益分配方式分两种：现金分红与红利再投资，投资者可选择现金红利或将现金红利自动转为基金份额进行再投资；若投资者不选择，本基金默认的收益分配方式是现金分红。（</w:t>
      </w:r>
      <w:r>
        <w:rPr>
          <w:rFonts w:hint="default" w:ascii="Times New Roman" w:hAnsi="Times New Roman"/>
          <w:color w:val="000000"/>
          <w:kern w:val="0"/>
          <w:sz w:val="24"/>
        </w:rPr>
        <w:t>2</w:t>
      </w:r>
      <w:r>
        <w:rPr>
          <w:rFonts w:hint="eastAsia" w:ascii="Times New Roman" w:hAnsi="Times New Roman"/>
          <w:color w:val="000000"/>
          <w:kern w:val="0"/>
          <w:sz w:val="24"/>
        </w:rPr>
        <w:t>）基金收益分配后基金份额净值不能低于面值，即基金收益分配基准日的基金份额净值减去每单位基金份额收益分配金额后不能低于面值。（</w:t>
      </w:r>
      <w:r>
        <w:rPr>
          <w:rFonts w:hint="default" w:ascii="Times New Roman" w:hAnsi="Times New Roman"/>
          <w:color w:val="000000"/>
          <w:kern w:val="0"/>
          <w:sz w:val="24"/>
        </w:rPr>
        <w:t>3</w:t>
      </w:r>
      <w:r>
        <w:rPr>
          <w:rFonts w:hint="eastAsia" w:ascii="Times New Roman" w:hAnsi="Times New Roman"/>
          <w:color w:val="000000"/>
          <w:kern w:val="0"/>
          <w:sz w:val="24"/>
        </w:rPr>
        <w:t>）每一基金份额享有同等分配权。（</w:t>
      </w:r>
      <w:r>
        <w:rPr>
          <w:rFonts w:hint="default" w:ascii="Times New Roman" w:hAnsi="Times New Roman"/>
          <w:color w:val="000000"/>
          <w:kern w:val="0"/>
          <w:sz w:val="24"/>
        </w:rPr>
        <w:t>4)</w:t>
      </w:r>
      <w:r>
        <w:rPr>
          <w:rFonts w:hint="eastAsia" w:ascii="Times New Roman" w:hAnsi="Times New Roman"/>
          <w:color w:val="000000"/>
          <w:kern w:val="0"/>
          <w:sz w:val="24"/>
        </w:rPr>
        <w:t>在对基金份额持有人利益无实质不利影响的前提下，基金管理人可调整基金收益的分配原则和支付方式，不需召开基金份额持有人大会审议。（</w:t>
      </w:r>
      <w:r>
        <w:rPr>
          <w:rFonts w:hint="default" w:ascii="Times New Roman" w:hAnsi="Times New Roman"/>
          <w:color w:val="000000"/>
          <w:kern w:val="0"/>
          <w:sz w:val="24"/>
        </w:rPr>
        <w:t>5</w:t>
      </w:r>
      <w:r>
        <w:rPr>
          <w:rFonts w:hint="eastAsia" w:ascii="Times New Roman" w:hAnsi="Times New Roman"/>
          <w:color w:val="000000"/>
          <w:kern w:val="0"/>
          <w:sz w:val="24"/>
        </w:rPr>
        <w:t>）法律法规或监管机关另有规定的，从其规定。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7.4.4.12 </w:t>
      </w:r>
      <w:r>
        <w:rPr>
          <w:rFonts w:hint="eastAsia" w:ascii="Times New Roman" w:hAnsi="Times New Roman"/>
          <w:b/>
          <w:color w:val="000000"/>
          <w:kern w:val="0"/>
          <w:sz w:val="24"/>
        </w:rPr>
        <w:t>分部报告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本基金以内部组织结构、管理要求、内部报告制度为依据确定经营分部，以经营分部为基础确定报告分部并披露分部信息。经营分部是指本基金内同时满足下列条件的组成部分：</w:t>
      </w:r>
      <w:r>
        <w:rPr>
          <w:rFonts w:hint="default" w:ascii="Times New Roman" w:hAnsi="Times New Roman"/>
          <w:color w:val="000000"/>
          <w:kern w:val="0"/>
          <w:sz w:val="24"/>
        </w:rPr>
        <w:t xml:space="preserve">(1) </w:t>
      </w:r>
      <w:r>
        <w:rPr>
          <w:rFonts w:hint="eastAsia" w:ascii="Times New Roman" w:hAnsi="Times New Roman"/>
          <w:color w:val="000000"/>
          <w:kern w:val="0"/>
          <w:sz w:val="24"/>
        </w:rPr>
        <w:t>该组成部分能够在日常活动中产生收入、发生费用；</w:t>
      </w:r>
      <w:r>
        <w:rPr>
          <w:rFonts w:hint="default" w:ascii="Times New Roman" w:hAnsi="Times New Roman"/>
          <w:color w:val="000000"/>
          <w:kern w:val="0"/>
          <w:sz w:val="24"/>
        </w:rPr>
        <w:t xml:space="preserve">(2) </w:t>
      </w:r>
      <w:r>
        <w:rPr>
          <w:rFonts w:hint="eastAsia" w:ascii="Times New Roman" w:hAnsi="Times New Roman"/>
          <w:color w:val="000000"/>
          <w:kern w:val="0"/>
          <w:sz w:val="24"/>
        </w:rPr>
        <w:t>本基金的基金管理人能够定期评价该组成部分的经营成果，以决定向其配置资源、评价其业绩；</w:t>
      </w:r>
      <w:r>
        <w:rPr>
          <w:rFonts w:hint="default" w:ascii="Times New Roman" w:hAnsi="Times New Roman"/>
          <w:color w:val="000000"/>
          <w:kern w:val="0"/>
          <w:sz w:val="24"/>
        </w:rPr>
        <w:t xml:space="preserve">(3) </w:t>
      </w:r>
      <w:r>
        <w:rPr>
          <w:rFonts w:hint="eastAsia" w:ascii="Times New Roman" w:hAnsi="Times New Roman"/>
          <w:color w:val="000000"/>
          <w:kern w:val="0"/>
          <w:sz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本基金目前以一个单一的经营分部运作，不需要披露分部信息。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7.4.4.13 </w:t>
      </w:r>
      <w:r>
        <w:rPr>
          <w:rFonts w:hint="eastAsia" w:ascii="Times New Roman" w:hAnsi="Times New Roman"/>
          <w:b/>
          <w:color w:val="000000"/>
          <w:kern w:val="0"/>
          <w:sz w:val="24"/>
        </w:rPr>
        <w:t>其他重要的会计政策和会计估计</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对于证券交易所上市的股票和债券，若出现重大事项停牌或交易不活跃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等情况，本基金根据中国证监会公告</w:t>
      </w:r>
      <w:r>
        <w:rPr>
          <w:rFonts w:hint="default" w:ascii="Times New Roman" w:hAnsi="Times New Roman"/>
          <w:color w:val="000000"/>
          <w:kern w:val="0"/>
          <w:sz w:val="24"/>
        </w:rPr>
        <w:t>[2008]38</w:t>
      </w:r>
      <w:r>
        <w:rPr>
          <w:rFonts w:hint="eastAsia" w:ascii="Times New Roman" w:hAnsi="Times New Roman"/>
          <w:color w:val="000000"/>
          <w:kern w:val="0"/>
          <w:sz w:val="24"/>
        </w:rPr>
        <w:t>号《关于进一步规范证券投资基金估值业务的指导意见》，根据具体情况采用《关于发布中基协</w:t>
      </w:r>
      <w:r>
        <w:rPr>
          <w:rFonts w:hint="default" w:ascii="Times New Roman" w:hAnsi="Times New Roman"/>
          <w:color w:val="000000"/>
          <w:kern w:val="0"/>
          <w:sz w:val="24"/>
        </w:rPr>
        <w:t>(AMAC)</w:t>
      </w:r>
      <w:r>
        <w:rPr>
          <w:rFonts w:hint="eastAsia" w:ascii="Times New Roman" w:hAnsi="Times New Roman"/>
          <w:color w:val="000000"/>
          <w:kern w:val="0"/>
          <w:sz w:val="24"/>
        </w:rPr>
        <w:t>基金行业股票估值指数的通知》提供的指数收益法等估值技术进行估值。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 </w:t>
      </w:r>
      <w:r>
        <w:rPr>
          <w:rFonts w:hint="eastAsia" w:ascii="Times New Roman" w:hAnsi="Times New Roman"/>
          <w:b/>
          <w:color w:val="000000"/>
          <w:kern w:val="0"/>
          <w:sz w:val="24"/>
        </w:rPr>
        <w:t>会计政策和会计估计变更以及差错更正的说明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7.4.5.1 </w:t>
      </w:r>
      <w:r>
        <w:rPr>
          <w:rFonts w:hint="eastAsia" w:ascii="Times New Roman" w:hAnsi="Times New Roman"/>
          <w:b/>
          <w:color w:val="000000"/>
          <w:kern w:val="0"/>
          <w:sz w:val="24"/>
        </w:rPr>
        <w:t>会计政策变更的说明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本基金本报告期未发生会计政策变更。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7.4.5.2 </w:t>
      </w:r>
      <w:r>
        <w:rPr>
          <w:rFonts w:hint="eastAsia" w:ascii="Times New Roman" w:hAnsi="Times New Roman"/>
          <w:b/>
          <w:color w:val="000000"/>
          <w:kern w:val="0"/>
          <w:sz w:val="24"/>
        </w:rPr>
        <w:t>会计估计变更的说明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本基金本报告期未发生会计估计变更。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7.4.5.3 </w:t>
      </w:r>
      <w:r>
        <w:rPr>
          <w:rFonts w:hint="eastAsia" w:ascii="Times New Roman" w:hAnsi="Times New Roman"/>
          <w:b/>
          <w:color w:val="000000"/>
          <w:kern w:val="0"/>
          <w:sz w:val="24"/>
        </w:rPr>
        <w:t>差错更正的说明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本基金在本报告期间无须说明的会计差错更正。</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7.4.6 </w:t>
      </w:r>
      <w:r>
        <w:rPr>
          <w:rFonts w:hint="eastAsia" w:ascii="Times New Roman" w:hAnsi="Times New Roman"/>
          <w:b/>
          <w:color w:val="000000"/>
          <w:kern w:val="0"/>
          <w:sz w:val="24"/>
        </w:rPr>
        <w:t>税项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根据财政部、国家税务总局财税</w:t>
      </w:r>
      <w:r>
        <w:rPr>
          <w:rFonts w:hint="default" w:ascii="Times New Roman" w:hAnsi="Times New Roman"/>
          <w:color w:val="000000"/>
          <w:kern w:val="0"/>
          <w:sz w:val="24"/>
        </w:rPr>
        <w:t>[2004]78</w:t>
      </w:r>
      <w:r>
        <w:rPr>
          <w:rFonts w:hint="eastAsia" w:ascii="Times New Roman" w:hAnsi="Times New Roman"/>
          <w:color w:val="000000"/>
          <w:kern w:val="0"/>
          <w:sz w:val="24"/>
        </w:rPr>
        <w:t>号《财政部、国家税务总局关于证券投资基金税收政策的通知》、财税</w:t>
      </w:r>
      <w:r>
        <w:rPr>
          <w:rFonts w:hint="default" w:ascii="Times New Roman" w:hAnsi="Times New Roman"/>
          <w:color w:val="000000"/>
          <w:kern w:val="0"/>
          <w:sz w:val="24"/>
        </w:rPr>
        <w:t>[2008]1</w:t>
      </w:r>
      <w:r>
        <w:rPr>
          <w:rFonts w:hint="eastAsia" w:ascii="Times New Roman" w:hAnsi="Times New Roman"/>
          <w:color w:val="000000"/>
          <w:kern w:val="0"/>
          <w:sz w:val="24"/>
        </w:rPr>
        <w:t>号《关于企业所得税若干优惠政策的通知》、财税</w:t>
      </w:r>
      <w:r>
        <w:rPr>
          <w:rFonts w:hint="default" w:ascii="Times New Roman" w:hAnsi="Times New Roman"/>
          <w:color w:val="000000"/>
          <w:kern w:val="0"/>
          <w:sz w:val="24"/>
        </w:rPr>
        <w:t>[2012]85</w:t>
      </w:r>
      <w:r>
        <w:rPr>
          <w:rFonts w:hint="eastAsia" w:ascii="Times New Roman" w:hAnsi="Times New Roman"/>
          <w:color w:val="000000"/>
          <w:kern w:val="0"/>
          <w:sz w:val="24"/>
        </w:rPr>
        <w:t>号《关于实施上市公司股息红利差别化个人所得税政策有关问题的通知》、财税</w:t>
      </w:r>
      <w:r>
        <w:rPr>
          <w:rFonts w:hint="default" w:ascii="Times New Roman" w:hAnsi="Times New Roman"/>
          <w:color w:val="000000"/>
          <w:kern w:val="0"/>
          <w:sz w:val="24"/>
        </w:rPr>
        <w:t>[2015]101</w:t>
      </w:r>
      <w:r>
        <w:rPr>
          <w:rFonts w:hint="eastAsia" w:ascii="Times New Roman" w:hAnsi="Times New Roman"/>
          <w:color w:val="000000"/>
          <w:kern w:val="0"/>
          <w:sz w:val="24"/>
        </w:rPr>
        <w:t>号《关于上市公司股息红利差别化个人所得税政策有关问题的通知》、财税</w:t>
      </w:r>
      <w:r>
        <w:rPr>
          <w:rFonts w:hint="default" w:ascii="Times New Roman" w:hAnsi="Times New Roman"/>
          <w:color w:val="000000"/>
          <w:kern w:val="0"/>
          <w:sz w:val="24"/>
        </w:rPr>
        <w:t>[2016]36</w:t>
      </w:r>
      <w:r>
        <w:rPr>
          <w:rFonts w:hint="eastAsia" w:ascii="Times New Roman" w:hAnsi="Times New Roman"/>
          <w:color w:val="000000"/>
          <w:kern w:val="0"/>
          <w:sz w:val="24"/>
        </w:rPr>
        <w:t>号《关于全面推开营业税改征增值税试点的通知》、财税</w:t>
      </w:r>
      <w:r>
        <w:rPr>
          <w:rFonts w:hint="default" w:ascii="Times New Roman" w:hAnsi="Times New Roman"/>
          <w:color w:val="000000"/>
          <w:kern w:val="0"/>
          <w:sz w:val="24"/>
        </w:rPr>
        <w:t>[2016]46</w:t>
      </w:r>
      <w:r>
        <w:rPr>
          <w:rFonts w:hint="eastAsia" w:ascii="Times New Roman" w:hAnsi="Times New Roman"/>
          <w:color w:val="000000"/>
          <w:kern w:val="0"/>
          <w:sz w:val="24"/>
        </w:rPr>
        <w:t>号《关于进一步明确全面推开营改增试点金融业有关政策的通知》、财税</w:t>
      </w:r>
      <w:r>
        <w:rPr>
          <w:rFonts w:hint="default" w:ascii="Times New Roman" w:hAnsi="Times New Roman"/>
          <w:color w:val="000000"/>
          <w:kern w:val="0"/>
          <w:sz w:val="24"/>
        </w:rPr>
        <w:t>[2016]70</w:t>
      </w:r>
      <w:r>
        <w:rPr>
          <w:rFonts w:hint="eastAsia" w:ascii="Times New Roman" w:hAnsi="Times New Roman"/>
          <w:color w:val="000000"/>
          <w:kern w:val="0"/>
          <w:sz w:val="24"/>
        </w:rPr>
        <w:t>号《关于金融机构同业往来等增值税政策的补充通知》及其他相关财税法规和实务操作，主要税项列示如下：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(1) </w:t>
      </w: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日前，以发行基金方式募集资金不属于营业税征收范围，不征收营业税。对证券投资基金管理人运用基金买卖股票、债券的差价收入免征营业税。自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日起，金融业由缴纳营业税改为缴纳增值税。对证券投资基金管理人运用基金买卖股票、债券的转让收入免征增值税，对国债、地方政府债以及金融同业往来利息收入亦免征增值税</w:t>
      </w:r>
      <w:r>
        <w:rPr>
          <w:rFonts w:hint="default" w:ascii="Times New Roman" w:hAnsi="Times New Roman"/>
          <w:color w:val="000000"/>
          <w:kern w:val="0"/>
          <w:sz w:val="24"/>
        </w:rPr>
        <w:t xml:space="preserve"> </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(2) </w:t>
      </w:r>
      <w:r>
        <w:rPr>
          <w:rFonts w:hint="eastAsia" w:ascii="Times New Roman" w:hAnsi="Times New Roman"/>
          <w:color w:val="000000"/>
          <w:kern w:val="0"/>
          <w:sz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(3) </w:t>
      </w:r>
      <w:r>
        <w:rPr>
          <w:rFonts w:hint="eastAsia" w:ascii="Times New Roman" w:hAnsi="Times New Roman"/>
          <w:color w:val="000000"/>
          <w:kern w:val="0"/>
          <w:sz w:val="24"/>
        </w:rPr>
        <w:t>对基金取得的企业债券利息收入，应由发行债券的企业在向基金支付利息时代扣代缴</w:t>
      </w:r>
      <w:r>
        <w:rPr>
          <w:rFonts w:hint="default" w:ascii="Times New Roman" w:hAnsi="Times New Roman"/>
          <w:color w:val="000000"/>
          <w:kern w:val="0"/>
          <w:sz w:val="24"/>
        </w:rPr>
        <w:t>20%</w:t>
      </w:r>
      <w:r>
        <w:rPr>
          <w:rFonts w:hint="eastAsia" w:ascii="Times New Roman" w:hAnsi="Times New Roman"/>
          <w:color w:val="000000"/>
          <w:kern w:val="0"/>
          <w:sz w:val="24"/>
        </w:rPr>
        <w:t>的个人所得税。对基金从上市公司取得的股息红利所得，持股期限在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个月以内</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个月</w:t>
      </w:r>
      <w:r>
        <w:rPr>
          <w:rFonts w:hint="default" w:ascii="Times New Roman" w:hAnsi="Times New Roman"/>
          <w:color w:val="000000"/>
          <w:kern w:val="0"/>
          <w:sz w:val="24"/>
        </w:rPr>
        <w:t>)</w:t>
      </w:r>
      <w:r>
        <w:rPr>
          <w:rFonts w:hint="eastAsia" w:ascii="Times New Roman" w:hAnsi="Times New Roman"/>
          <w:color w:val="000000"/>
          <w:kern w:val="0"/>
          <w:sz w:val="24"/>
        </w:rPr>
        <w:t>的，其股息红利所得全额计入应纳税所得额；持股期限在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个月以上至</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的，暂减按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计入应纳税所得额；持股期限超过</w:t>
      </w:r>
      <w:r>
        <w:rPr>
          <w:rFonts w:hint="default" w:ascii="Times New Roman" w:hAnsi="Times New Roman"/>
          <w:color w:val="000000"/>
          <w:kern w:val="0"/>
          <w:sz w:val="24"/>
        </w:rPr>
        <w:t>1</w:t>
      </w:r>
      <w:r>
        <w:rPr>
          <w:rFonts w:hint="eastAsia" w:ascii="Times New Roman" w:hAnsi="Times New Roman"/>
          <w:color w:val="000000"/>
          <w:kern w:val="0"/>
          <w:sz w:val="24"/>
        </w:rPr>
        <w:t>年的，暂免征收个人所得税。对基金持有的上市公司限售股，解禁后取得的股息、红利收入，按照上述规定计算纳税，持股时间自解禁日起计算；解禁前取得的股息、红利收入继续暂减按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计入应纳税所得额。上述所得统一适用</w:t>
      </w:r>
      <w:r>
        <w:rPr>
          <w:rFonts w:hint="default" w:ascii="Times New Roman" w:hAnsi="Times New Roman"/>
          <w:color w:val="000000"/>
          <w:kern w:val="0"/>
          <w:sz w:val="24"/>
        </w:rPr>
        <w:t>20%</w:t>
      </w:r>
      <w:r>
        <w:rPr>
          <w:rFonts w:hint="eastAsia" w:ascii="Times New Roman" w:hAnsi="Times New Roman"/>
          <w:color w:val="000000"/>
          <w:kern w:val="0"/>
          <w:sz w:val="24"/>
        </w:rPr>
        <w:t>的税率计征个人所得税。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(4) </w:t>
      </w:r>
      <w:r>
        <w:rPr>
          <w:rFonts w:hint="eastAsia" w:ascii="Times New Roman" w:hAnsi="Times New Roman"/>
          <w:color w:val="000000"/>
          <w:kern w:val="0"/>
          <w:sz w:val="24"/>
        </w:rPr>
        <w:t>基金卖出股票按</w:t>
      </w:r>
      <w:r>
        <w:rPr>
          <w:rFonts w:hint="default" w:ascii="Times New Roman" w:hAnsi="Times New Roman"/>
          <w:color w:val="000000"/>
          <w:kern w:val="0"/>
          <w:sz w:val="24"/>
        </w:rPr>
        <w:t>0.1%</w:t>
      </w:r>
      <w:r>
        <w:rPr>
          <w:rFonts w:hint="eastAsia" w:ascii="Times New Roman" w:hAnsi="Times New Roman"/>
          <w:color w:val="000000"/>
          <w:kern w:val="0"/>
          <w:sz w:val="24"/>
        </w:rPr>
        <w:t>的税率缴纳股票交易印花税，买入股票不征收股票交易印花税。</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 </w:t>
      </w:r>
      <w:r>
        <w:rPr>
          <w:rFonts w:hint="eastAsia" w:ascii="Times New Roman" w:hAnsi="Times New Roman"/>
          <w:b/>
          <w:color w:val="000000"/>
          <w:kern w:val="0"/>
          <w:sz w:val="24"/>
        </w:rPr>
        <w:t>重要财务报表项目的说明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 </w:t>
      </w:r>
      <w:r>
        <w:rPr>
          <w:rFonts w:hint="eastAsia" w:ascii="Times New Roman" w:hAnsi="Times New Roman"/>
          <w:b/>
          <w:color w:val="000000"/>
          <w:kern w:val="0"/>
          <w:sz w:val="24"/>
        </w:rPr>
        <w:t>银行存款</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其中：存款期限</w:t>
            </w:r>
            <w:r>
              <w:rPr>
                <w:rFonts w:hint="default" w:ascii="Times New Roman" w:hAnsi="Times New Roman"/>
                <w:color w:val="000000"/>
                <w:kern w:val="0"/>
                <w:sz w:val="24"/>
              </w:rPr>
              <w:t>1-3</w:t>
            </w:r>
            <w:r>
              <w:rPr>
                <w:rFonts w:hint="eastAsia" w:ascii="Times New Roman" w:hAnsi="Times New Roman"/>
                <w:color w:val="000000"/>
                <w:kern w:val="0"/>
                <w:sz w:val="24"/>
              </w:rPr>
              <w:t>个月</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7.4.7.2 </w:t>
      </w:r>
      <w:r>
        <w:rPr>
          <w:rFonts w:hint="eastAsia" w:ascii="Times New Roman" w:hAnsi="Times New Roman"/>
          <w:b/>
          <w:color w:val="000000"/>
          <w:kern w:val="0"/>
          <w:sz w:val="24"/>
        </w:rPr>
        <w:t>交易性金融资产</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80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1,733,443,579.55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1,733,443,579.55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7.4.7.3 </w:t>
      </w:r>
      <w:r>
        <w:rPr>
          <w:rFonts w:hint="eastAsia" w:ascii="Times New Roman" w:hAnsi="Times New Roman"/>
          <w:b/>
          <w:color w:val="000000"/>
          <w:kern w:val="0"/>
          <w:sz w:val="24"/>
        </w:rPr>
        <w:t>衍生金融资产</w:t>
      </w:r>
      <w:r>
        <w:rPr>
          <w:rFonts w:hint="default" w:ascii="Times New Roman" w:hAnsi="Times New Roman"/>
          <w:b/>
          <w:color w:val="000000"/>
          <w:kern w:val="0"/>
          <w:sz w:val="24"/>
        </w:rPr>
        <w:t>/</w:t>
      </w:r>
      <w:r>
        <w:rPr>
          <w:rFonts w:hint="eastAsia" w:ascii="Times New Roman" w:hAnsi="Times New Roman"/>
          <w:b/>
          <w:color w:val="000000"/>
          <w:kern w:val="0"/>
          <w:sz w:val="24"/>
        </w:rPr>
        <w:t>负债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本基金本报告期末未持有衍生金融资产</w:t>
      </w:r>
      <w:r>
        <w:rPr>
          <w:rFonts w:hint="default" w:ascii="Times New Roman" w:hAnsi="Times New Roman"/>
          <w:color w:val="000000"/>
          <w:kern w:val="0"/>
          <w:sz w:val="24"/>
        </w:rPr>
        <w:t>/</w:t>
      </w:r>
      <w:r>
        <w:rPr>
          <w:rFonts w:hint="eastAsia" w:ascii="Times New Roman" w:hAnsi="Times New Roman"/>
          <w:color w:val="000000"/>
          <w:kern w:val="0"/>
          <w:sz w:val="24"/>
        </w:rPr>
        <w:t>负债。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 </w:t>
      </w:r>
      <w:r>
        <w:rPr>
          <w:rFonts w:hint="eastAsia" w:ascii="Times New Roman" w:hAnsi="Times New Roman"/>
          <w:b/>
          <w:color w:val="000000"/>
          <w:kern w:val="0"/>
          <w:sz w:val="24"/>
        </w:rPr>
        <w:t>买入返售金融资产</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7.4.7.4.1 </w:t>
      </w:r>
      <w:r>
        <w:rPr>
          <w:rFonts w:hint="eastAsia" w:ascii="Times New Roman" w:hAnsi="Times New Roman"/>
          <w:b/>
          <w:color w:val="000000"/>
          <w:kern w:val="0"/>
          <w:sz w:val="24"/>
        </w:rPr>
        <w:t>各项买入返售金融资产期末余额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本基金本报告期末未持有买入返售金融资产。</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7.4.7.4.2 </w:t>
      </w:r>
      <w:r>
        <w:rPr>
          <w:rFonts w:hint="eastAsia" w:ascii="Times New Roman" w:hAnsi="Times New Roman"/>
          <w:b/>
          <w:color w:val="000000"/>
          <w:kern w:val="0"/>
          <w:sz w:val="24"/>
        </w:rPr>
        <w:t>期末买断式逆回购交易中取得的债券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本基金本期末未持有买断式逆回购交易中取得的债券。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7.4.7.5 </w:t>
      </w:r>
      <w:r>
        <w:rPr>
          <w:rFonts w:hint="eastAsia" w:ascii="Times New Roman" w:hAnsi="Times New Roman"/>
          <w:b/>
          <w:color w:val="000000"/>
          <w:kern w:val="0"/>
          <w:sz w:val="24"/>
        </w:rPr>
        <w:t>应收利息</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应收活期存款利息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26,180.71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应收定期存款利息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应收其他存款利息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应收结算备付金利息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6,675.45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应收债券利息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应收买入返售证券利息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应收黄金合约拆借孳息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7.4.7.6 </w:t>
      </w:r>
      <w:r>
        <w:rPr>
          <w:rFonts w:hint="eastAsia" w:ascii="Times New Roman" w:hAnsi="Times New Roman"/>
          <w:b/>
          <w:color w:val="000000"/>
          <w:kern w:val="0"/>
          <w:sz w:val="24"/>
        </w:rPr>
        <w:t>其他资产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本基金本报告期末未持有其他资产。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7.4.7.7 </w:t>
      </w:r>
      <w:r>
        <w:rPr>
          <w:rFonts w:hint="eastAsia" w:ascii="Times New Roman" w:hAnsi="Times New Roman"/>
          <w:b/>
          <w:color w:val="000000"/>
          <w:kern w:val="0"/>
          <w:sz w:val="24"/>
        </w:rPr>
        <w:t>应付交易费用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交易所市场应付交易费用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银行间市场应付交易费用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7.4.7.8 </w:t>
      </w:r>
      <w:r>
        <w:rPr>
          <w:rFonts w:hint="eastAsia" w:ascii="Times New Roman" w:hAnsi="Times New Roman"/>
          <w:b/>
          <w:color w:val="000000"/>
          <w:kern w:val="0"/>
          <w:sz w:val="24"/>
        </w:rPr>
        <w:t>其他负债</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应付券商交易单元保证金</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预提费用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156,105.07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7.4.7.9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日（基金合同生效日）至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1,801,174,179.52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1,801,174,179.52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-535,906,800.28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-535,906,800.28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申购含红利再投、转换入份额；赎回含转换出份额。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 xml:space="preserve">2. </w:t>
      </w:r>
      <w:r>
        <w:rPr>
          <w:rFonts w:hint="eastAsia" w:ascii="Times New Roman" w:hAnsi="Times New Roman"/>
          <w:color w:val="000000"/>
          <w:kern w:val="0"/>
          <w:sz w:val="21"/>
        </w:rPr>
        <w:t>本基金自</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23</w:t>
      </w:r>
      <w:r>
        <w:rPr>
          <w:rFonts w:hint="eastAsia" w:ascii="Times New Roman" w:hAnsi="Times New Roman"/>
          <w:color w:val="000000"/>
          <w:kern w:val="0"/>
          <w:sz w:val="21"/>
        </w:rPr>
        <w:t>日至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20</w:t>
      </w:r>
      <w:r>
        <w:rPr>
          <w:rFonts w:hint="eastAsia" w:ascii="Times New Roman" w:hAnsi="Times New Roman"/>
          <w:color w:val="000000"/>
          <w:kern w:val="0"/>
          <w:sz w:val="21"/>
        </w:rPr>
        <w:t>日止期间公开发售，共募集有效净认购资金</w:t>
      </w:r>
      <w:r>
        <w:rPr>
          <w:rFonts w:hint="default" w:ascii="Times New Roman" w:hAnsi="Times New Roman"/>
          <w:color w:val="000000"/>
          <w:kern w:val="0"/>
          <w:sz w:val="21"/>
        </w:rPr>
        <w:t>202,600,123.85</w:t>
      </w:r>
      <w:r>
        <w:rPr>
          <w:rFonts w:hint="eastAsia" w:ascii="Times New Roman" w:hAnsi="Times New Roman"/>
          <w:color w:val="000000"/>
          <w:kern w:val="0"/>
          <w:sz w:val="21"/>
        </w:rPr>
        <w:t>元。根据《创金合信量化多因子股票型证券投资基金招募说明书》的规定，本基金设立募集期内认购资金产生的利息收入</w:t>
      </w:r>
      <w:r>
        <w:rPr>
          <w:rFonts w:hint="default" w:ascii="Times New Roman" w:hAnsi="Times New Roman"/>
          <w:color w:val="000000"/>
          <w:kern w:val="0"/>
          <w:sz w:val="21"/>
        </w:rPr>
        <w:t>39,091.62</w:t>
      </w:r>
      <w:r>
        <w:rPr>
          <w:rFonts w:hint="eastAsia" w:ascii="Times New Roman" w:hAnsi="Times New Roman"/>
          <w:color w:val="000000"/>
          <w:kern w:val="0"/>
          <w:sz w:val="21"/>
        </w:rPr>
        <w:t>元，在本基金成立后折算为</w:t>
      </w:r>
      <w:r>
        <w:rPr>
          <w:rFonts w:hint="default" w:ascii="Times New Roman" w:hAnsi="Times New Roman"/>
          <w:color w:val="000000"/>
          <w:kern w:val="0"/>
          <w:sz w:val="21"/>
        </w:rPr>
        <w:t>39,091.62</w:t>
      </w:r>
      <w:r>
        <w:rPr>
          <w:rFonts w:hint="eastAsia" w:ascii="Times New Roman" w:hAnsi="Times New Roman"/>
          <w:color w:val="000000"/>
          <w:kern w:val="0"/>
          <w:sz w:val="21"/>
        </w:rPr>
        <w:t>份基金份额，划入基金份额持有人账户。</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7.4.7.10 </w:t>
      </w:r>
      <w:r>
        <w:rPr>
          <w:rFonts w:hint="eastAsia" w:ascii="Times New Roman" w:hAnsi="Times New Roman"/>
          <w:b/>
          <w:color w:val="000000"/>
          <w:kern w:val="0"/>
          <w:sz w:val="24"/>
        </w:rPr>
        <w:t>未分配利润</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45,676,797.88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344,330,083.28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33,716,430.99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378,046,514.27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422,055,952.41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46,596,646.94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468,652,599.35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-77,725,869.13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-12,880,215.95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-90,606,085.08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390,006,881.16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-26,297,716.50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363,709,164.66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7.4.7.11 </w:t>
      </w:r>
      <w:r>
        <w:rPr>
          <w:rFonts w:hint="eastAsia" w:ascii="Times New Roman" w:hAnsi="Times New Roman"/>
          <w:b/>
          <w:color w:val="000000"/>
          <w:kern w:val="0"/>
          <w:sz w:val="24"/>
        </w:rPr>
        <w:t>存款利息收入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195,129.37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41,074.00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237,297.35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 </w:t>
      </w:r>
      <w:r>
        <w:rPr>
          <w:rFonts w:hint="eastAsia" w:ascii="Times New Roman" w:hAnsi="Times New Roman"/>
          <w:b/>
          <w:color w:val="000000"/>
          <w:kern w:val="0"/>
          <w:sz w:val="24"/>
        </w:rPr>
        <w:t>股票投资收益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卖出股票成交总额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1,644,422,834.66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减：卖出股票成本总额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1,593,645,413.05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买卖股票差价收入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50,777,421.61</w:t>
            </w:r>
          </w:p>
        </w:tc>
      </w:tr>
    </w:tbl>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 </w:t>
      </w:r>
      <w:r>
        <w:rPr>
          <w:rFonts w:hint="eastAsia" w:ascii="Times New Roman" w:hAnsi="Times New Roman"/>
          <w:b/>
          <w:color w:val="000000"/>
          <w:kern w:val="0"/>
          <w:sz w:val="24"/>
        </w:rPr>
        <w:t>债券投资收益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本基金本报告期内无债券投资收益。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7.4.7.14 </w:t>
      </w:r>
      <w:r>
        <w:rPr>
          <w:rFonts w:hint="eastAsia" w:ascii="Times New Roman" w:hAnsi="Times New Roman"/>
          <w:b/>
          <w:color w:val="000000"/>
          <w:kern w:val="0"/>
          <w:sz w:val="24"/>
        </w:rPr>
        <w:t>衍生工具收益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本期收益金额</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股指期货投资收益</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168,136.00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168,136.00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7.4.7.15 </w:t>
      </w:r>
      <w:r>
        <w:rPr>
          <w:rFonts w:hint="eastAsia" w:ascii="Times New Roman" w:hAnsi="Times New Roman"/>
          <w:b/>
          <w:color w:val="000000"/>
          <w:kern w:val="0"/>
          <w:sz w:val="24"/>
        </w:rPr>
        <w:t>股利收益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股票投资产生的股利收益</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689,407.58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基金投资产生的股利收益</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689,407.58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7.4.7.16 </w:t>
      </w:r>
      <w:r>
        <w:rPr>
          <w:rFonts w:hint="eastAsia" w:ascii="Times New Roman" w:hAnsi="Times New Roman"/>
          <w:b/>
          <w:color w:val="000000"/>
          <w:kern w:val="0"/>
          <w:sz w:val="24"/>
        </w:rPr>
        <w:t>公允价值变动收益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交易性金融资产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股票投资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债券投资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资产支持证券投资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贵金属投资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衍生工具</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权证投资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7.4.7.17 </w:t>
      </w:r>
      <w:r>
        <w:rPr>
          <w:rFonts w:hint="eastAsia" w:ascii="Times New Roman" w:hAnsi="Times New Roman"/>
          <w:b/>
          <w:color w:val="000000"/>
          <w:kern w:val="0"/>
          <w:sz w:val="24"/>
        </w:rPr>
        <w:t>其他收入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基金赎回费收入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3,453,647.97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3,453,647.97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7.4.7.18 </w:t>
      </w:r>
      <w:r>
        <w:rPr>
          <w:rFonts w:hint="eastAsia" w:ascii="Times New Roman" w:hAnsi="Times New Roman"/>
          <w:b/>
          <w:color w:val="000000"/>
          <w:kern w:val="0"/>
          <w:sz w:val="24"/>
        </w:rPr>
        <w:t>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4,215,584.82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期货交易费用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4,216,632.51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7.4.7.19 </w:t>
      </w:r>
      <w:r>
        <w:rPr>
          <w:rFonts w:hint="eastAsia" w:ascii="Times New Roman" w:hAnsi="Times New Roman"/>
          <w:b/>
          <w:color w:val="000000"/>
          <w:kern w:val="0"/>
          <w:sz w:val="24"/>
        </w:rPr>
        <w:t>其他费用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帐户维护费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汇划手续费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155,575.00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 </w:t>
      </w:r>
      <w:r>
        <w:rPr>
          <w:rFonts w:hint="eastAsia" w:ascii="Times New Roman" w:hAnsi="Times New Roman"/>
          <w:b/>
          <w:color w:val="000000"/>
          <w:kern w:val="0"/>
          <w:sz w:val="24"/>
        </w:rPr>
        <w:t>或有事项、资产负债表日后事项的说明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7.4.8.1 </w:t>
      </w:r>
      <w:r>
        <w:rPr>
          <w:rFonts w:hint="eastAsia" w:ascii="Times New Roman" w:hAnsi="Times New Roman"/>
          <w:b/>
          <w:color w:val="000000"/>
          <w:kern w:val="0"/>
          <w:sz w:val="24"/>
        </w:rPr>
        <w:t>或有事项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截至资产负债表日，本基金并无须作披露的或有事项。</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7.4.8.2 </w:t>
      </w:r>
      <w:r>
        <w:rPr>
          <w:rFonts w:hint="eastAsia" w:ascii="Times New Roman" w:hAnsi="Times New Roman"/>
          <w:b/>
          <w:color w:val="000000"/>
          <w:kern w:val="0"/>
          <w:sz w:val="24"/>
        </w:rPr>
        <w:t>资产负债表日后事项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财政部、国家税务总局于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21</w:t>
      </w:r>
      <w:r>
        <w:rPr>
          <w:rFonts w:hint="eastAsia" w:ascii="Times New Roman" w:hAnsi="Times New Roman"/>
          <w:color w:val="000000"/>
          <w:kern w:val="0"/>
          <w:sz w:val="24"/>
        </w:rPr>
        <w:t>日颁布《关于明确金融房地产开发教育辅助服务等增值税政策的通知》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[2016]140</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，要求资管产品运营过程中发生的增值税应税行为，以资管产品管理人为增值税纳税人，自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6</w:t>
      </w:r>
      <w:r>
        <w:rPr>
          <w:rFonts w:hint="eastAsia" w:ascii="Times New Roman" w:hAnsi="Times New Roman"/>
          <w:color w:val="000000"/>
          <w:kern w:val="0"/>
          <w:sz w:val="24"/>
        </w:rPr>
        <w:t>日颁布的《关于资管产品增值税政策有关问题的补充通知》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[2017]2</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w:t>
      </w:r>
      <w:r>
        <w:rPr>
          <w:rFonts w:hint="eastAsia" w:ascii="Times New Roman" w:hAnsi="Times New Roman"/>
          <w:color w:val="000000"/>
          <w:kern w:val="0"/>
          <w:sz w:val="24"/>
        </w:rPr>
        <w:t>以后，资管产品运营过程中发生的增值税应税行为，以资管产品管理人为增值税纳税人，按照现行规定缴纳增值税。对资管产品在</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 </w:t>
      </w:r>
      <w:r>
        <w:rPr>
          <w:rFonts w:hint="eastAsia" w:ascii="Times New Roman" w:hAnsi="Times New Roman"/>
          <w:b/>
          <w:color w:val="000000"/>
          <w:kern w:val="0"/>
          <w:sz w:val="24"/>
        </w:rPr>
        <w:t>关联方关系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7.4.9.1 </w:t>
      </w:r>
      <w:r>
        <w:rPr>
          <w:rFonts w:hint="eastAsia" w:ascii="Times New Roman" w:hAnsi="Times New Roman"/>
          <w:b/>
          <w:color w:val="000000"/>
          <w:kern w:val="0"/>
          <w:sz w:val="24"/>
        </w:rPr>
        <w:t>本报告期存在控制关系或其他重大利害关系的关联方发生变化的情况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本报告期不存在重大关联方发生变化的情况。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7.4.9.2 </w:t>
      </w:r>
      <w:r>
        <w:rPr>
          <w:rFonts w:hint="eastAsia" w:ascii="Times New Roman" w:hAnsi="Times New Roman"/>
          <w:b/>
          <w:color w:val="000000"/>
          <w:kern w:val="0"/>
          <w:sz w:val="24"/>
        </w:rPr>
        <w:t>本报告期与基金发生关联交易的各关联方</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与本基金的关系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w:t>
            </w:r>
            <w:r>
              <w:rPr>
                <w:rFonts w:hint="default" w:ascii="Times New Roman" w:hAnsi="Times New Roman"/>
                <w:color w:val="000000"/>
                <w:kern w:val="0"/>
                <w:sz w:val="24"/>
              </w:rPr>
              <w:t>("</w:t>
            </w:r>
            <w:r>
              <w:rPr>
                <w:rFonts w:hint="eastAsia" w:ascii="Times New Roman" w:hAnsi="Times New Roman"/>
                <w:color w:val="000000"/>
                <w:kern w:val="0"/>
                <w:sz w:val="24"/>
              </w:rPr>
              <w:t>创金合信</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基金管理人、注册登记机构、基金销售机构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第一创业证券股份有限公司</w:t>
            </w:r>
            <w:r>
              <w:rPr>
                <w:rFonts w:hint="default" w:ascii="Times New Roman" w:hAnsi="Times New Roman"/>
                <w:color w:val="000000"/>
                <w:kern w:val="0"/>
                <w:sz w:val="24"/>
              </w:rPr>
              <w:t>("</w:t>
            </w:r>
            <w:r>
              <w:rPr>
                <w:rFonts w:hint="eastAsia" w:ascii="Times New Roman" w:hAnsi="Times New Roman"/>
                <w:color w:val="000000"/>
                <w:kern w:val="0"/>
                <w:sz w:val="24"/>
              </w:rPr>
              <w:t>第一创业证券</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深圳市金合信投资合伙企业</w:t>
            </w:r>
            <w:r>
              <w:rPr>
                <w:rFonts w:hint="default" w:ascii="Times New Roman" w:hAnsi="Times New Roman"/>
                <w:color w:val="000000"/>
                <w:kern w:val="0"/>
                <w:sz w:val="24"/>
              </w:rPr>
              <w:t>(</w:t>
            </w:r>
            <w:r>
              <w:rPr>
                <w:rFonts w:hint="eastAsia" w:ascii="Times New Roman" w:hAnsi="Times New Roman"/>
                <w:color w:val="000000"/>
                <w:kern w:val="0"/>
                <w:sz w:val="24"/>
              </w:rPr>
              <w:t>有限合伙</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 </w:t>
      </w:r>
      <w:r>
        <w:rPr>
          <w:rFonts w:hint="eastAsia" w:ascii="Times New Roman" w:hAnsi="Times New Roman"/>
          <w:b/>
          <w:color w:val="000000"/>
          <w:kern w:val="0"/>
          <w:sz w:val="24"/>
        </w:rPr>
        <w:t>本报告期及上年度可比期间的关联方交易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 </w:t>
      </w:r>
      <w:r>
        <w:rPr>
          <w:rFonts w:hint="eastAsia" w:ascii="Times New Roman" w:hAnsi="Times New Roman"/>
          <w:b/>
          <w:color w:val="000000"/>
          <w:kern w:val="0"/>
          <w:sz w:val="24"/>
        </w:rPr>
        <w:t>通过关联方交易单元进行的交易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7.4.10.1.1 </w:t>
      </w:r>
      <w:r>
        <w:rPr>
          <w:rFonts w:hint="eastAsia" w:ascii="Times New Roman" w:hAnsi="Times New Roman"/>
          <w:b/>
          <w:color w:val="000000"/>
          <w:kern w:val="0"/>
          <w:sz w:val="24"/>
        </w:rPr>
        <w:t>股票交易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121,038,725.98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7.4.10.1.2 </w:t>
      </w:r>
      <w:r>
        <w:rPr>
          <w:rFonts w:hint="eastAsia" w:ascii="Times New Roman" w:hAnsi="Times New Roman"/>
          <w:b/>
          <w:color w:val="000000"/>
          <w:kern w:val="0"/>
          <w:sz w:val="24"/>
        </w:rPr>
        <w:t>权证交易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本基金本报告期内未有通过关联方交易单元进行的权证交易。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7.4.10.1.3 </w:t>
      </w:r>
      <w:r>
        <w:rPr>
          <w:rFonts w:hint="eastAsia" w:ascii="Times New Roman" w:hAnsi="Times New Roman"/>
          <w:b/>
          <w:color w:val="000000"/>
          <w:kern w:val="0"/>
          <w:sz w:val="24"/>
        </w:rPr>
        <w:t>应支付关联方的佣金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2167"/>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87,235.84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 xml:space="preserve">1. </w:t>
      </w:r>
      <w:r>
        <w:rPr>
          <w:rFonts w:hint="eastAsia" w:ascii="Times New Roman" w:hAnsi="Times New Roman"/>
          <w:color w:val="000000"/>
          <w:kern w:val="0"/>
          <w:sz w:val="21"/>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 xml:space="preserve">2. </w:t>
      </w:r>
      <w:r>
        <w:rPr>
          <w:rFonts w:hint="eastAsia" w:ascii="Times New Roman" w:hAnsi="Times New Roman"/>
          <w:color w:val="000000"/>
          <w:kern w:val="0"/>
          <w:sz w:val="21"/>
        </w:rPr>
        <w:t>该类佣金协议的服务范围还包括佣金收取方为本基金提供的证券投资研究成果和市场信息服务等。</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 </w:t>
      </w:r>
      <w:r>
        <w:rPr>
          <w:rFonts w:hint="eastAsia" w:ascii="Times New Roman" w:hAnsi="Times New Roman"/>
          <w:b/>
          <w:color w:val="000000"/>
          <w:kern w:val="0"/>
          <w:sz w:val="24"/>
        </w:rPr>
        <w:t>关联方报酬</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7.4.10.2.1 </w:t>
      </w:r>
      <w:r>
        <w:rPr>
          <w:rFonts w:hint="eastAsia" w:ascii="Times New Roman" w:hAnsi="Times New Roman"/>
          <w:b/>
          <w:color w:val="000000"/>
          <w:kern w:val="0"/>
          <w:sz w:val="24"/>
        </w:rPr>
        <w:t>基金管理费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4,706,983.82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2,640,263.82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注：支付基金管理人创金合信基金管理有限公司的管理人报酬按前一日基金资产净值</w:t>
      </w:r>
      <w:r>
        <w:rPr>
          <w:rFonts w:hint="default" w:ascii="Times New Roman" w:hAnsi="Times New Roman"/>
          <w:color w:val="000000"/>
          <w:kern w:val="0"/>
          <w:sz w:val="21"/>
        </w:rPr>
        <w:t>1.50%</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日管理人报酬＝前一日基金资产净值</w:t>
      </w:r>
      <w:r>
        <w:rPr>
          <w:rFonts w:hint="default" w:ascii="Times New Roman" w:hAnsi="Times New Roman"/>
          <w:color w:val="000000"/>
          <w:kern w:val="0"/>
          <w:sz w:val="21"/>
        </w:rPr>
        <w:t xml:space="preserve"> x 1.50%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7.4.10.2.2 </w:t>
      </w:r>
      <w:r>
        <w:rPr>
          <w:rFonts w:hint="eastAsia" w:ascii="Times New Roman" w:hAnsi="Times New Roman"/>
          <w:b/>
          <w:color w:val="000000"/>
          <w:kern w:val="0"/>
          <w:sz w:val="24"/>
        </w:rPr>
        <w:t>基金托管费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784,497.32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注：支付基金托管人中国工商银行的托管费按前一日基金资产净值</w:t>
      </w:r>
      <w:r>
        <w:rPr>
          <w:rFonts w:hint="default" w:ascii="Times New Roman" w:hAnsi="Times New Roman"/>
          <w:color w:val="000000"/>
          <w:kern w:val="0"/>
          <w:sz w:val="21"/>
        </w:rPr>
        <w:t>0.25%</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日托管费＝前一日基金资产净值×</w:t>
      </w:r>
      <w:r>
        <w:rPr>
          <w:rFonts w:hint="default" w:ascii="Times New Roman" w:hAnsi="Times New Roman"/>
          <w:color w:val="000000"/>
          <w:kern w:val="0"/>
          <w:sz w:val="21"/>
        </w:rPr>
        <w:t xml:space="preserve">0.25%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7.4.10.3 </w:t>
      </w:r>
      <w:r>
        <w:rPr>
          <w:rFonts w:hint="eastAsia" w:ascii="Times New Roman" w:hAnsi="Times New Roman"/>
          <w:b/>
          <w:color w:val="000000"/>
          <w:kern w:val="0"/>
          <w:sz w:val="24"/>
        </w:rPr>
        <w:t>与关联方进行银行间同业市场的债券</w:t>
      </w:r>
      <w:r>
        <w:rPr>
          <w:rFonts w:hint="default" w:ascii="Times New Roman" w:hAnsi="Times New Roman"/>
          <w:b/>
          <w:color w:val="000000"/>
          <w:kern w:val="0"/>
          <w:sz w:val="24"/>
        </w:rPr>
        <w:t>(</w:t>
      </w:r>
      <w:r>
        <w:rPr>
          <w:rFonts w:hint="eastAsia" w:ascii="Times New Roman" w:hAnsi="Times New Roman"/>
          <w:b/>
          <w:color w:val="000000"/>
          <w:kern w:val="0"/>
          <w:sz w:val="24"/>
        </w:rPr>
        <w:t>含回购</w:t>
      </w:r>
      <w:r>
        <w:rPr>
          <w:rFonts w:hint="default" w:ascii="Times New Roman" w:hAnsi="Times New Roman"/>
          <w:b/>
          <w:color w:val="000000"/>
          <w:kern w:val="0"/>
          <w:sz w:val="24"/>
        </w:rPr>
        <w:t>)</w:t>
      </w:r>
      <w:r>
        <w:rPr>
          <w:rFonts w:hint="eastAsia" w:ascii="Times New Roman" w:hAnsi="Times New Roman"/>
          <w:b/>
          <w:color w:val="000000"/>
          <w:kern w:val="0"/>
          <w:sz w:val="24"/>
        </w:rPr>
        <w:t>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本基金本报告期内未发生与关联方进行银行间同业市场的债券</w:t>
      </w:r>
      <w:r>
        <w:rPr>
          <w:rFonts w:hint="default" w:ascii="Times New Roman" w:hAnsi="Times New Roman"/>
          <w:color w:val="000000"/>
          <w:kern w:val="0"/>
          <w:sz w:val="24"/>
        </w:rPr>
        <w:t>(</w:t>
      </w:r>
      <w:r>
        <w:rPr>
          <w:rFonts w:hint="eastAsia" w:ascii="Times New Roman" w:hAnsi="Times New Roman"/>
          <w:color w:val="000000"/>
          <w:kern w:val="0"/>
          <w:sz w:val="24"/>
        </w:rPr>
        <w:t>含回购</w:t>
      </w:r>
      <w:r>
        <w:rPr>
          <w:rFonts w:hint="default" w:ascii="Times New Roman" w:hAnsi="Times New Roman"/>
          <w:color w:val="000000"/>
          <w:kern w:val="0"/>
          <w:sz w:val="24"/>
        </w:rPr>
        <w:t>)</w:t>
      </w:r>
      <w:r>
        <w:rPr>
          <w:rFonts w:hint="eastAsia" w:ascii="Times New Roman" w:hAnsi="Times New Roman"/>
          <w:color w:val="000000"/>
          <w:kern w:val="0"/>
          <w:sz w:val="24"/>
        </w:rPr>
        <w:t>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 </w:t>
      </w:r>
      <w:r>
        <w:rPr>
          <w:rFonts w:hint="eastAsia" w:ascii="Times New Roman" w:hAnsi="Times New Roman"/>
          <w:b/>
          <w:color w:val="000000"/>
          <w:kern w:val="0"/>
          <w:sz w:val="24"/>
        </w:rPr>
        <w:t>各关联方投资本基金的情况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7.4.10.4.1 </w:t>
      </w:r>
      <w:r>
        <w:rPr>
          <w:rFonts w:hint="eastAsia" w:ascii="Times New Roman" w:hAnsi="Times New Roman"/>
          <w:b/>
          <w:color w:val="000000"/>
          <w:kern w:val="0"/>
          <w:sz w:val="24"/>
        </w:rPr>
        <w:t>报告期内基金管理人运用固有资金投资本基金的情况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本报告期内无基金管理人运用固有资金投资本基金的情况。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7.4.10.4.2 </w:t>
      </w:r>
      <w:r>
        <w:rPr>
          <w:rFonts w:hint="eastAsia" w:ascii="Times New Roman" w:hAnsi="Times New Roman"/>
          <w:b/>
          <w:color w:val="000000"/>
          <w:kern w:val="0"/>
          <w:sz w:val="24"/>
        </w:rPr>
        <w:t>报告期末除基金管理人之外的其他关联方投资本基金的情况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本报告期末无除基金管理人之外的其他关联方投资本基金的情况。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7.4.10.5 </w:t>
      </w:r>
      <w:r>
        <w:rPr>
          <w:rFonts w:hint="eastAsia" w:ascii="Times New Roman" w:hAnsi="Times New Roman"/>
          <w:b/>
          <w:color w:val="000000"/>
          <w:kern w:val="0"/>
          <w:sz w:val="24"/>
        </w:rPr>
        <w:t>由关联方保管的银行存款余额及当期产生的利息收入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中国工商银行活期存款</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195,129.37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注：本基金的银行存款由基金托管人中国工商银行保管，按金融机构同业存款利率计息。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7.4.10.6 </w:t>
      </w:r>
      <w:r>
        <w:rPr>
          <w:rFonts w:hint="eastAsia" w:ascii="Times New Roman" w:hAnsi="Times New Roman"/>
          <w:b/>
          <w:color w:val="000000"/>
          <w:kern w:val="0"/>
          <w:sz w:val="24"/>
        </w:rPr>
        <w:t>本基金在承销期内参与关联方承销证券的情况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本基金本报告期内未在承销期内参与关联方承销的证券。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7.4.10.7 </w:t>
      </w:r>
      <w:r>
        <w:rPr>
          <w:rFonts w:hint="eastAsia" w:ascii="Times New Roman" w:hAnsi="Times New Roman"/>
          <w:b/>
          <w:color w:val="000000"/>
          <w:kern w:val="0"/>
          <w:sz w:val="24"/>
        </w:rPr>
        <w:t>其他关联交易事项的说明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本基金本报告期内无须作说明的其他关联交易事项。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7.4.11 </w:t>
      </w:r>
      <w:r>
        <w:rPr>
          <w:rFonts w:hint="eastAsia" w:ascii="Times New Roman" w:hAnsi="Times New Roman"/>
          <w:b/>
          <w:color w:val="000000"/>
          <w:kern w:val="0"/>
          <w:sz w:val="24"/>
        </w:rPr>
        <w:t>利润分配情况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 </w:t>
      </w:r>
      <w:r>
        <w:rPr>
          <w:rFonts w:hint="eastAsia" w:ascii="Times New Roman" w:hAnsi="Times New Roman"/>
          <w:b/>
          <w:color w:val="000000"/>
          <w:kern w:val="0"/>
          <w:sz w:val="24"/>
        </w:rPr>
        <w:t>期末（</w:t>
      </w: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日）本基金持有的流通受限证券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7.4.12.1 </w:t>
      </w:r>
      <w:r>
        <w:rPr>
          <w:rFonts w:hint="eastAsia" w:ascii="Times New Roman" w:hAnsi="Times New Roman"/>
          <w:b/>
          <w:color w:val="000000"/>
          <w:kern w:val="0"/>
          <w:sz w:val="24"/>
        </w:rPr>
        <w:t>因认购新发</w:t>
      </w:r>
      <w:r>
        <w:rPr>
          <w:rFonts w:hint="default" w:ascii="Times New Roman" w:hAnsi="Times New Roman"/>
          <w:b/>
          <w:color w:val="000000"/>
          <w:kern w:val="0"/>
          <w:sz w:val="24"/>
        </w:rPr>
        <w:t>/</w:t>
      </w:r>
      <w:r>
        <w:rPr>
          <w:rFonts w:hint="eastAsia" w:ascii="Times New Roman" w:hAnsi="Times New Roman"/>
          <w:b/>
          <w:color w:val="000000"/>
          <w:kern w:val="0"/>
          <w:sz w:val="24"/>
        </w:rPr>
        <w:t>增发证券而于期末持有的流通受限证券</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723"/>
        <w:gridCol w:w="1083"/>
        <w:gridCol w:w="723"/>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gridSpan w:val="10"/>
            <w:tcBorders>
              <w:top w:val="single" w:color="000000" w:sz="8" w:space="0"/>
              <w:left w:val="single" w:color="000000" w:sz="8" w:space="0"/>
              <w:bottom w:val="single" w:color="000000" w:sz="8" w:space="0"/>
              <w:right w:val="single" w:color="000000" w:sz="8" w:space="0"/>
              <w:tl2br w:val="nil"/>
              <w:tr2bl w:val="nil"/>
            </w:tcBorders>
            <w:noWrap w:val="0"/>
            <w:vAlign w:val="bottom"/>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18"/>
              </w:rPr>
            </w:pPr>
            <w:r>
              <w:rPr>
                <w:rFonts w:hint="default" w:ascii="Times New Roman" w:hAnsi="Times New Roman"/>
                <w:color w:val="000000"/>
                <w:kern w:val="0"/>
                <w:sz w:val="18"/>
              </w:rPr>
              <w:t xml:space="preserve">7.4.12.1.1 </w:t>
            </w:r>
            <w:r>
              <w:rPr>
                <w:rFonts w:hint="eastAsia" w:ascii="Times New Roman" w:hAnsi="Times New Roman"/>
                <w:color w:val="000000"/>
                <w:kern w:val="0"/>
                <w:sz w:val="18"/>
              </w:rPr>
              <w:t>受限证券类别：股票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证券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证券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名称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认购日</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可流通日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流通受限类型</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认购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价格</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w:t>
            </w:r>
            <w:r>
              <w:rPr>
                <w:rFonts w:hint="eastAsia" w:ascii="Times New Roman" w:hAnsi="Times New Roman"/>
                <w:color w:val="000000"/>
                <w:kern w:val="0"/>
                <w:sz w:val="18"/>
              </w:rPr>
              <w:t>单位</w:t>
            </w:r>
            <w:r>
              <w:rPr>
                <w:rFonts w:hint="default" w:ascii="Times New Roman" w:hAnsi="Times New Roman"/>
                <w:color w:val="000000"/>
                <w:kern w:val="0"/>
                <w:sz w:val="18"/>
              </w:rPr>
              <w:t xml:space="preserve">: </w:t>
            </w:r>
            <w:r>
              <w:rPr>
                <w:rFonts w:hint="eastAsia" w:ascii="Times New Roman" w:hAnsi="Times New Roman"/>
                <w:color w:val="000000"/>
                <w:kern w:val="0"/>
                <w:sz w:val="18"/>
              </w:rPr>
              <w:t>股</w:t>
            </w:r>
            <w:r>
              <w:rPr>
                <w:rFonts w:hint="default"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601375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中原证券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26,695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106,780.00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106,780.00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603032</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德新交运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9,458.68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9,458.68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603035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常熟汽饰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24,179.04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24,179.04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603186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华正新材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1,874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10,063.38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景旺电子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3,491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80,851.56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80,851.56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603266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天龙股份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14.63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14.63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1,562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22,852.06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22,852.06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603689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皖天然气</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7.87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4,818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37,917.66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37,917.66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603877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太平鸟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3,180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67,734.00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67,734.00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002838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道恩股份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10,405.68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002840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华统股份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11,881.70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11,881.70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赛托生物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40.29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1,582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63,738.78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63,738.78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美联新材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9,355.80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9,355.80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天铁股份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14.11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14.11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1,438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20,290.18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20,290.18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熙菱信息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1,380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6,817.20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300591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万里马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2,396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7,355.72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7,355.72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7.4.12.2 </w:t>
      </w:r>
      <w:r>
        <w:rPr>
          <w:rFonts w:hint="eastAsia" w:ascii="Times New Roman" w:hAnsi="Times New Roman"/>
          <w:b/>
          <w:color w:val="000000"/>
          <w:kern w:val="0"/>
          <w:sz w:val="24"/>
        </w:rPr>
        <w:t>期末持有的暂时停牌等流通受限股票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723"/>
        <w:gridCol w:w="722"/>
        <w:gridCol w:w="1084"/>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股票名称</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停牌日期</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停牌原因</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复牌日期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复牌</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开盘单价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w:t>
            </w:r>
            <w:r>
              <w:rPr>
                <w:rFonts w:hint="eastAsia" w:ascii="Times New Roman" w:hAnsi="Times New Roman"/>
                <w:color w:val="000000"/>
                <w:kern w:val="0"/>
                <w:sz w:val="18"/>
              </w:rPr>
              <w:t>单位</w:t>
            </w:r>
            <w:r>
              <w:rPr>
                <w:rFonts w:hint="default" w:ascii="Times New Roman" w:hAnsi="Times New Roman"/>
                <w:color w:val="000000"/>
                <w:kern w:val="0"/>
                <w:sz w:val="18"/>
              </w:rPr>
              <w:t xml:space="preserve">: </w:t>
            </w:r>
            <w:r>
              <w:rPr>
                <w:rFonts w:hint="eastAsia" w:ascii="Times New Roman" w:hAnsi="Times New Roman"/>
                <w:color w:val="000000"/>
                <w:kern w:val="0"/>
                <w:sz w:val="18"/>
              </w:rPr>
              <w:t>股</w:t>
            </w:r>
            <w:r>
              <w:rPr>
                <w:rFonts w:hint="default"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000560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昆百大Ａ</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2016-09-02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64,000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608,085.05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665,600.00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000916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华北高速</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2016-06-24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5.01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58,800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266,220.29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294,588.00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江南化工</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2016-11-11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8.61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2017-03-01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217,700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1,903,757.60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1,874,397.00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002681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奋达科技</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12.93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388,520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5,415,099.80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5,023,563.60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300123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太阳鸟</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15.08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2017-02-15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16.59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46,700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708,210.08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704,236.00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300271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华宇软件</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17.45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279,700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5,359,718.87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4,880,765.00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300420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五洋科技</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2016-12-13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24.98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2017-03-23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27.48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210,300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5,134,423.32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5,253,294.00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600892</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大晟文化</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2016-11-16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78.31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2017-02-21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70.48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30,600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2,194,939.21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2,396,286.00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300243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瑞丰高材</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15.18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16.70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693,567.11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734,712.00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002156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通富微电</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11.38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11.65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496,900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5,849,119.36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5,654,722.00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002165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红宝丽</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2016-10-10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8.57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88,400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758,841.53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757,588.00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000531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穗恒运Ａ</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2016-08-29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11.47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51,600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578,415.42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591,852.00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600814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杭州解百</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11.37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10.70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580,200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5,890,996.89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6,596,874.00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002462</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嘉事堂</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42.53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38.98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18,300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713,125.96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778,299.00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002377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国创高新</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2016-07-18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9.18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9.25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49,200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439,895.93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451,656.00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 </w:t>
      </w:r>
      <w:r>
        <w:rPr>
          <w:rFonts w:hint="eastAsia" w:ascii="Times New Roman" w:hAnsi="Times New Roman"/>
          <w:b/>
          <w:color w:val="000000"/>
          <w:kern w:val="0"/>
          <w:sz w:val="24"/>
        </w:rPr>
        <w:t>期末债券正回购交易中作为抵押的债券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7.4.12.3.1 </w:t>
      </w:r>
      <w:r>
        <w:rPr>
          <w:rFonts w:hint="eastAsia" w:ascii="Times New Roman" w:hAnsi="Times New Roman"/>
          <w:b/>
          <w:color w:val="000000"/>
          <w:kern w:val="0"/>
          <w:sz w:val="24"/>
        </w:rPr>
        <w:t>银行间市场债券正回购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日止，本基金从事银行间市场债券正回购交易形成的卖出回购证券款余额为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7.4.12.3.2 </w:t>
      </w:r>
      <w:r>
        <w:rPr>
          <w:rFonts w:hint="eastAsia" w:ascii="Times New Roman" w:hAnsi="Times New Roman"/>
          <w:b/>
          <w:color w:val="000000"/>
          <w:kern w:val="0"/>
          <w:sz w:val="24"/>
        </w:rPr>
        <w:t>交易所市场债券正回购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日止，本基金从事交易所债券正回购交易形成的卖出回购证券款余额为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 </w:t>
      </w:r>
      <w:r>
        <w:rPr>
          <w:rFonts w:hint="eastAsia" w:ascii="Times New Roman" w:hAnsi="Times New Roman"/>
          <w:b/>
          <w:color w:val="000000"/>
          <w:kern w:val="0"/>
          <w:sz w:val="24"/>
        </w:rPr>
        <w:t>金融工具风险及管理</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7.4.13.1 </w:t>
      </w:r>
      <w:r>
        <w:rPr>
          <w:rFonts w:hint="eastAsia" w:ascii="Times New Roman" w:hAnsi="Times New Roman"/>
          <w:b/>
          <w:color w:val="000000"/>
          <w:kern w:val="0"/>
          <w:sz w:val="24"/>
        </w:rPr>
        <w:t>风险管理政策和组织架构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7.4.13.2</w:t>
      </w:r>
      <w:r>
        <w:rPr>
          <w:rFonts w:hint="eastAsia" w:ascii="Times New Roman" w:hAnsi="Times New Roman"/>
          <w:b/>
          <w:color w:val="000000"/>
          <w:kern w:val="0"/>
          <w:sz w:val="24"/>
        </w:rPr>
        <w:t>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交易前对交易对手的资信状况进行了充分的评估。本基金的活期银行存款存放在本基金的托管行中国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本基金债券投资的信用评级情况按《中国人民银行信用评级管理指导意见》设定的标准统计及汇总。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日，本基金未持有债券投资。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7.4.13.3 </w:t>
      </w:r>
      <w:r>
        <w:rPr>
          <w:rFonts w:hint="eastAsia" w:ascii="Times New Roman" w:hAnsi="Times New Roman"/>
          <w:b/>
          <w:color w:val="000000"/>
          <w:kern w:val="0"/>
          <w:sz w:val="24"/>
        </w:rPr>
        <w:t>流动性风险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hint="default" w:ascii="Times New Roman" w:hAnsi="Times New Roman"/>
          <w:color w:val="000000"/>
          <w:kern w:val="0"/>
          <w:sz w:val="24"/>
        </w:rPr>
        <w:t>10%</w:t>
      </w:r>
      <w:r>
        <w:rPr>
          <w:rFonts w:hint="eastAsia" w:ascii="Times New Roman" w:hAnsi="Times New Roman"/>
          <w:color w:val="000000"/>
          <w:kern w:val="0"/>
          <w:sz w:val="24"/>
        </w:rPr>
        <w:t>，且本基金与由本基金的基金管理人管理的其他基金共同持有一家公司发行的证券不得超过该证券的</w:t>
      </w:r>
      <w:r>
        <w:rPr>
          <w:rFonts w:hint="default" w:ascii="Times New Roman" w:hAnsi="Times New Roman"/>
          <w:color w:val="000000"/>
          <w:kern w:val="0"/>
          <w:sz w:val="24"/>
        </w:rPr>
        <w:t>10%</w:t>
      </w:r>
      <w:r>
        <w:rPr>
          <w:rFonts w:hint="eastAsia" w:ascii="Times New Roman" w:hAnsi="Times New Roman"/>
          <w:color w:val="000000"/>
          <w:kern w:val="0"/>
          <w:sz w:val="24"/>
        </w:rPr>
        <w:t>。本基金所持大部分证券在证券交易所上市，其余亦可在银行间同业市场交易，因此除附注</w:t>
      </w:r>
      <w:r>
        <w:rPr>
          <w:rFonts w:hint="default" w:ascii="Times New Roman" w:hAnsi="Times New Roman"/>
          <w:color w:val="000000"/>
          <w:kern w:val="0"/>
          <w:sz w:val="24"/>
        </w:rPr>
        <w:t>7.4.12</w:t>
      </w:r>
      <w:r>
        <w:rPr>
          <w:rFonts w:hint="eastAsia" w:ascii="Times New Roman" w:hAnsi="Times New Roman"/>
          <w:color w:val="000000"/>
          <w:kern w:val="0"/>
          <w:sz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 </w:t>
      </w:r>
      <w:r>
        <w:rPr>
          <w:rFonts w:hint="eastAsia" w:ascii="Times New Roman" w:hAnsi="Times New Roman"/>
          <w:b/>
          <w:color w:val="000000"/>
          <w:kern w:val="0"/>
          <w:sz w:val="24"/>
        </w:rPr>
        <w:t>市场风险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 </w:t>
      </w:r>
      <w:r>
        <w:rPr>
          <w:rFonts w:hint="eastAsia" w:ascii="Times New Roman" w:hAnsi="Times New Roman"/>
          <w:b/>
          <w:color w:val="000000"/>
          <w:kern w:val="0"/>
          <w:sz w:val="24"/>
        </w:rPr>
        <w:t>利率风险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本基金的基金管理人定期对本基金面临的利率敏感性缺口进行监控，并通过调整投资组合的久期等方法对上述利率风险进行管理。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7.4.13.4.1.1 </w:t>
      </w:r>
      <w:r>
        <w:rPr>
          <w:rFonts w:hint="eastAsia" w:ascii="Times New Roman" w:hAnsi="Times New Roman"/>
          <w:b/>
          <w:color w:val="000000"/>
          <w:kern w:val="0"/>
          <w:sz w:val="24"/>
        </w:rPr>
        <w:t>利率风险敞口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445"/>
        <w:gridCol w:w="1445"/>
        <w:gridCol w:w="1444"/>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11,184,474.88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11,184,474.88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303,926.67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303,926.67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30,012,675.00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30,012,675.00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14,654,682.93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14,654,682.93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118,250,985.09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1,718,129,796.63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1,836,380,781.72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967,767.56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967,767.56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2,069,861.38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2,069,861.38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344,976.87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344,976.87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156,105.07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156,105.07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4,765,022.35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4,765,022.35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118,250,985.09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 xml:space="preserve">1,713,364,774.28 </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 xml:space="preserve">1,831,615,759.37 </w:t>
            </w:r>
          </w:p>
        </w:tc>
      </w:tr>
    </w:tbl>
    <w:p>
      <w:pPr>
        <w:autoSpaceDE w:val="0"/>
        <w:autoSpaceDN w:val="0"/>
        <w:adjustRightInd w:val="0"/>
        <w:spacing w:before="145"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注：表中所示为本基金资产及负债的账面价值，并按照合约规定的利率重新定价日或到期日孰早者予以分类。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7.4.13.4.1.2 </w:t>
      </w:r>
      <w:r>
        <w:rPr>
          <w:rFonts w:hint="eastAsia" w:ascii="Times New Roman" w:hAnsi="Times New Roman"/>
          <w:b/>
          <w:color w:val="000000"/>
          <w:kern w:val="0"/>
          <w:sz w:val="24"/>
        </w:rPr>
        <w:t>利率风险的敏感性分析</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7.4.13.4.2 </w:t>
      </w:r>
      <w:r>
        <w:rPr>
          <w:rFonts w:hint="eastAsia" w:ascii="Times New Roman" w:hAnsi="Times New Roman"/>
          <w:b/>
          <w:color w:val="000000"/>
          <w:kern w:val="0"/>
          <w:sz w:val="24"/>
        </w:rPr>
        <w:t>外汇风险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 </w:t>
      </w:r>
      <w:r>
        <w:rPr>
          <w:rFonts w:hint="eastAsia" w:ascii="Times New Roman" w:hAnsi="Times New Roman"/>
          <w:b/>
          <w:color w:val="000000"/>
          <w:kern w:val="0"/>
          <w:sz w:val="24"/>
        </w:rPr>
        <w:t>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本基金的基金管理人在构建和管理投资组合的过程中，采用</w:t>
      </w:r>
      <w:r>
        <w:rPr>
          <w:rFonts w:hint="default" w:ascii="Times New Roman" w:hAnsi="Times New Roman"/>
          <w:color w:val="000000"/>
          <w:kern w:val="0"/>
          <w:sz w:val="24"/>
        </w:rPr>
        <w:t>"</w:t>
      </w:r>
      <w:r>
        <w:rPr>
          <w:rFonts w:hint="eastAsia" w:ascii="Times New Roman" w:hAnsi="Times New Roman"/>
          <w:color w:val="000000"/>
          <w:kern w:val="0"/>
          <w:sz w:val="24"/>
        </w:rPr>
        <w:t>自上而下</w:t>
      </w:r>
      <w:r>
        <w:rPr>
          <w:rFonts w:hint="default" w:ascii="Times New Roman" w:hAnsi="Times New Roman"/>
          <w:color w:val="000000"/>
          <w:kern w:val="0"/>
          <w:sz w:val="24"/>
        </w:rPr>
        <w:t>"</w:t>
      </w:r>
      <w:r>
        <w:rPr>
          <w:rFonts w:hint="eastAsia" w:ascii="Times New Roman" w:hAnsi="Times New Roman"/>
          <w:color w:val="000000"/>
          <w:kern w:val="0"/>
          <w:sz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7.4.13.4.3.1 </w:t>
      </w:r>
      <w:r>
        <w:rPr>
          <w:rFonts w:hint="eastAsia" w:ascii="Times New Roman" w:hAnsi="Times New Roman"/>
          <w:b/>
          <w:color w:val="000000"/>
          <w:kern w:val="0"/>
          <w:sz w:val="24"/>
        </w:rPr>
        <w:t>其他价格风险敞口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4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股票投资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基金投资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贵金属投资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衍生金融资产－权证投资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91.36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7.4.13.4.3.2 </w:t>
      </w:r>
      <w:r>
        <w:rPr>
          <w:rFonts w:hint="eastAsia" w:ascii="Times New Roman" w:hAnsi="Times New Roman"/>
          <w:b/>
          <w:color w:val="000000"/>
          <w:kern w:val="0"/>
          <w:sz w:val="24"/>
        </w:rPr>
        <w:t>其他价格风险的敏感性分析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2889"/>
        <w:gridCol w:w="5057"/>
      </w:tblGrid>
      <w:tr>
        <w:tblPrEx>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nil"/>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相关风险变量的变动</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nil"/>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比较基准上涨</w:t>
            </w:r>
            <w:r>
              <w:rPr>
                <w:rFonts w:hint="default" w:ascii="Times New Roman" w:hAnsi="Times New Roman"/>
                <w:color w:val="000000"/>
                <w:kern w:val="0"/>
                <w:sz w:val="24"/>
              </w:rPr>
              <w:t>5%</w:t>
            </w:r>
            <w:r>
              <w:rPr>
                <w:rFonts w:hint="eastAsia" w:ascii="Times New Roman" w:hAnsi="Times New Roman"/>
                <w:color w:val="000000"/>
                <w:kern w:val="0"/>
                <w:sz w:val="24"/>
              </w:rPr>
              <w:t>资产净值变动</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92,875,333.48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比较基准下降</w:t>
            </w:r>
            <w:r>
              <w:rPr>
                <w:rFonts w:hint="default" w:ascii="Times New Roman" w:hAnsi="Times New Roman"/>
                <w:color w:val="000000"/>
                <w:kern w:val="0"/>
                <w:sz w:val="24"/>
              </w:rPr>
              <w:t>5%</w:t>
            </w:r>
            <w:r>
              <w:rPr>
                <w:rFonts w:hint="eastAsia" w:ascii="Times New Roman" w:hAnsi="Times New Roman"/>
                <w:color w:val="000000"/>
                <w:kern w:val="0"/>
                <w:sz w:val="24"/>
              </w:rPr>
              <w:t>资产净值变动</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-92,875,333.48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7.4.14 </w:t>
      </w:r>
      <w:r>
        <w:rPr>
          <w:rFonts w:hint="eastAsia" w:ascii="Times New Roman" w:hAnsi="Times New Roman"/>
          <w:b/>
          <w:color w:val="000000"/>
          <w:kern w:val="0"/>
          <w:sz w:val="24"/>
        </w:rPr>
        <w:t>有助于理解和分析会计报表需要说明的其他事项</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金融工具公允价值计量的方法</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公允价值计量结果所属的层次，由对公允价值计量整体而言具有重要意义的输入值所属的最低层次决定：</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第一层次：相同资产或负债在活跃市场上未经调整的报价。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第二层次：除第一层次输入值外相关资产或负债直接或间接可观察的输入值。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第三层次：相关资产或负债的不可观察输入值。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w:t>
      </w:r>
      <w:r>
        <w:rPr>
          <w:rFonts w:hint="eastAsia" w:ascii="Times New Roman" w:hAnsi="Times New Roman"/>
          <w:color w:val="000000"/>
          <w:kern w:val="0"/>
          <w:sz w:val="24"/>
        </w:rPr>
        <w:t>各层次金融工具公允价值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日，本基金持有的以公允价值计量且其变动计入当期损益的金融资产中属于第一层次的余额为</w:t>
      </w:r>
      <w:r>
        <w:rPr>
          <w:rFonts w:hint="default" w:ascii="Times New Roman" w:hAnsi="Times New Roman"/>
          <w:color w:val="000000"/>
          <w:kern w:val="0"/>
          <w:sz w:val="24"/>
        </w:rPr>
        <w:t>1,636,281,318.02</w:t>
      </w:r>
      <w:r>
        <w:rPr>
          <w:rFonts w:hint="eastAsia" w:ascii="Times New Roman" w:hAnsi="Times New Roman"/>
          <w:color w:val="000000"/>
          <w:kern w:val="0"/>
          <w:sz w:val="24"/>
        </w:rPr>
        <w:t>元，属于第二层次的余额为</w:t>
      </w:r>
      <w:r>
        <w:rPr>
          <w:rFonts w:hint="default" w:ascii="Times New Roman" w:hAnsi="Times New Roman"/>
          <w:color w:val="000000"/>
          <w:kern w:val="0"/>
          <w:sz w:val="24"/>
        </w:rPr>
        <w:t>37,148,114.04</w:t>
      </w:r>
      <w:r>
        <w:rPr>
          <w:rFonts w:hint="eastAsia" w:ascii="Times New Roman" w:hAnsi="Times New Roman"/>
          <w:color w:val="000000"/>
          <w:kern w:val="0"/>
          <w:sz w:val="24"/>
        </w:rPr>
        <w:t>元，无属于第三层次的余额。</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(ii)</w:t>
      </w:r>
      <w:r>
        <w:rPr>
          <w:rFonts w:hint="eastAsia" w:ascii="Times New Roman" w:hAnsi="Times New Roman"/>
          <w:color w:val="000000"/>
          <w:kern w:val="0"/>
          <w:sz w:val="24"/>
        </w:rPr>
        <w:t>公允价值所属层次间的重大变动</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(iii)</w:t>
      </w:r>
      <w:r>
        <w:rPr>
          <w:rFonts w:hint="eastAsia" w:ascii="Times New Roman" w:hAnsi="Times New Roman"/>
          <w:color w:val="000000"/>
          <w:kern w:val="0"/>
          <w:sz w:val="24"/>
        </w:rPr>
        <w:t>第三层次公允价值余额和本期变动金额</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非持续的以公允价值计量的金融工具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日，本基金未持有非持续的以公允价值计量的金融工具。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不以公允价值计量的金融工具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不以公允价值计量的金融资产和负债主要包括应收款项和其他金融负债，其账面价值与公允价值相差很小。</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除公允价值外，截至资产负债表日本基金无需要说明的其他重要事项。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4" w:name="_Toc477899831"/>
      <w:r>
        <w:rPr>
          <w:rFonts w:hint="eastAsia" w:ascii="Times New Roman" w:hAnsi="Times New Roman"/>
          <w:b/>
          <w:color w:val="000000"/>
          <w:kern w:val="0"/>
          <w:sz w:val="24"/>
        </w:rPr>
        <w:t>§</w:t>
      </w:r>
      <w:r>
        <w:rPr>
          <w:rFonts w:hint="default" w:ascii="Times New Roman" w:hAnsi="Times New Roman"/>
          <w:b/>
          <w:color w:val="000000"/>
          <w:kern w:val="0"/>
          <w:sz w:val="24"/>
        </w:rPr>
        <w:t xml:space="preserve">8  </w:t>
      </w:r>
      <w:r>
        <w:rPr>
          <w:rFonts w:hint="eastAsia" w:ascii="Times New Roman" w:hAnsi="Times New Roman"/>
          <w:b/>
          <w:color w:val="000000"/>
          <w:kern w:val="0"/>
          <w:sz w:val="24"/>
        </w:rPr>
        <w:t>投资组合报告</w:t>
      </w:r>
      <w:bookmarkEnd w:id="34"/>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5" w:name="_Toc477899832"/>
      <w:r>
        <w:rPr>
          <w:rFonts w:hint="default" w:ascii="Times New Roman" w:hAnsi="Times New Roman"/>
          <w:b/>
          <w:color w:val="000000"/>
          <w:kern w:val="0"/>
          <w:sz w:val="24"/>
        </w:rPr>
        <w:t xml:space="preserve">8.1 </w:t>
      </w:r>
      <w:r>
        <w:rPr>
          <w:rFonts w:hint="eastAsia" w:ascii="Times New Roman" w:hAnsi="Times New Roman"/>
          <w:b/>
          <w:color w:val="000000"/>
          <w:kern w:val="0"/>
          <w:sz w:val="24"/>
        </w:rPr>
        <w:t>期末基金资产组合情况</w:t>
      </w:r>
      <w:bookmarkEnd w:id="35"/>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占基金总资产的比例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权益投资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固定收益投资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其中：债券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金融衍生品投资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117,947,058.42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其他各项资产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45,004,291.24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1,836,380,781.72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8.2 </w:t>
      </w:r>
      <w:r>
        <w:rPr>
          <w:rFonts w:hint="eastAsia" w:ascii="Times New Roman" w:hAnsi="Times New Roman"/>
          <w:b/>
          <w:color w:val="000000"/>
          <w:kern w:val="0"/>
          <w:sz w:val="24"/>
        </w:rPr>
        <w:t>报告期末按行业分类的股票投资组合</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974"/>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代码</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行业类别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公允价值（元）</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A</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农、林、牧、渔业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18,125,333.75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B</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采矿业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5,398,152.00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C</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制造业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1,136,907,204.62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D</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80,008,119.45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E</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建筑业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16,686,059.23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F</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批发和零售业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121,165,840.64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G</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交通运输、仓储和邮政业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68,853,405.98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住宿和餐饮业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5,209,794.00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I</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66,569,024.00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J</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K</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房地产业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51,288,891.69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L</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租赁和商务服务业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16,539,220.00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M</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科学研究和技术服务业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18,380,102.00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N</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39,502,934.70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O</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P</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教育</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5,378,956.00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Q</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卫生和社会工作</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R</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文化、体育和娱乐业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16,577,434.00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S</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综合</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6,732,180.00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91.36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6" w:name="_Toc477899834"/>
      <w:r>
        <w:rPr>
          <w:rFonts w:hint="default" w:ascii="Times New Roman" w:hAnsi="Times New Roman"/>
          <w:b/>
          <w:color w:val="000000"/>
          <w:kern w:val="0"/>
          <w:sz w:val="24"/>
        </w:rPr>
        <w:t xml:space="preserve">8.3 </w:t>
      </w:r>
      <w:r>
        <w:rPr>
          <w:rFonts w:hint="eastAsia" w:ascii="Times New Roman" w:hAnsi="Times New Roman"/>
          <w:b/>
          <w:color w:val="000000"/>
          <w:kern w:val="0"/>
          <w:sz w:val="24"/>
        </w:rPr>
        <w:t>期末按公允价值占基金资产净值比例大小排序的所有股票投资明细</w:t>
      </w:r>
      <w:bookmarkEnd w:id="36"/>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新奥股份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498,628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7,110,435.28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冀凯股份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218,824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7,065,826.96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智光电气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6,837,720.00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三友化工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6,824,652.00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华鲁恒升</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6,784,000.00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大连国际</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6,732,180.00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上柴股份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6,715,487.00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华建集团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6,696,216.00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杭州解百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6,596,874.00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湘电股份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445,100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6,547,421.00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登海种业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6,540,032.00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中钢天源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382,087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6,484,016.39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新乡化纤</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6,473,304.00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中百集团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695,488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6,454,128.64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w:t>
            </w:r>
            <w:r>
              <w:rPr>
                <w:rFonts w:hint="default" w:ascii="Times New Roman" w:hAnsi="Times New Roman"/>
                <w:color w:val="000000"/>
                <w:kern w:val="0"/>
                <w:sz w:val="24"/>
              </w:rPr>
              <w:t xml:space="preserve"> </w:t>
            </w:r>
            <w:r>
              <w:rPr>
                <w:rFonts w:hint="eastAsia" w:ascii="Times New Roman" w:hAnsi="Times New Roman"/>
                <w:color w:val="000000"/>
                <w:kern w:val="0"/>
                <w:sz w:val="24"/>
              </w:rPr>
              <w:t>利</w:t>
            </w:r>
            <w:r>
              <w:rPr>
                <w:rFonts w:hint="default" w:ascii="Times New Roman" w:hAnsi="Times New Roman"/>
                <w:color w:val="000000"/>
                <w:kern w:val="0"/>
                <w:sz w:val="24"/>
              </w:rPr>
              <w:t xml:space="preserve"> </w:t>
            </w:r>
            <w:r>
              <w:rPr>
                <w:rFonts w:hint="eastAsia" w:ascii="Times New Roman" w:hAnsi="Times New Roman"/>
                <w:color w:val="000000"/>
                <w:kern w:val="0"/>
                <w:sz w:val="24"/>
              </w:rPr>
              <w:t>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336,500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6,440,610.00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太阳电缆</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6,371,766.00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耀皮玻璃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785,672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6,356,086.48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明科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526,674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6,325,354.74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联明股份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208,742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6,320,707.76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东钽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6,256,150.00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重庆啤酒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338,900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6,252,705.00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三花智控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6,233,184.00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万年青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6,194,342.00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济川药业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6,192,606.00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九鼎投资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6,176,646.00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安徽合力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485,514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6,175,738.08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博信股份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251,943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6,175,122.93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九牧王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6,164,965.00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沃华医药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6,161,532.00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鲁阳节能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316,767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6,161,118.15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苏常柴Ａ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6,154,650.00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中金环境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6,138,720.00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泰胜风能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698,900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6,115,375.00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000159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国际实业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6,114,900.00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601965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中国汽研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573,873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6,111,747.45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北方股份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6,106,408.00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日科化学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6,085,794.00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太化股份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6,058,052.00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文化长城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6,053,208.00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惠天热电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6,045,486.00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博世科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148,300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6,040,259.00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联化科技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6,027,050.00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电子城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455,500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6,017,155.00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联环药业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344,097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6,007,933.62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百花</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323,601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6,006,034.56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涪陵电力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143,919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5,998,543.92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好利来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5,992,175.00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美克家居</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5,985,432.00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中牧股份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大连圣亚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5,983,744.00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东方日升</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5,980,520.00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中再资环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5,970,456.00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惠泉啤酒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383,900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5,969,645.00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大亚圣象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5,968,750.00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龙江交通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1,096,647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5,965,759.68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广百股份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5,965,700.00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森远股份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273,100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5,961,773.00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奥克股份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5,954,715.00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茂化实华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768,200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5,938,186.00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大金重工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5,937,225.00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四川成渝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5,936,898.00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歌力思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184,919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5,934,050.71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烟台冰轮</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395,800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5,933,042.00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天海防务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5,921,892.00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好莱客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182,900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5,920,473.00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伊之密</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5,920,233.00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恒顺醋业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505,500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5,904,240.00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象屿股份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5,888,000.00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创疗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5,884,675.00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康弘药业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103,496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5,877,537.84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漳泽电力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5,864,320.00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601890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亚星锚链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5,859,414.00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广博股份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5,847,142.00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江西长运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5,843,480.00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603306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华懋科技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5,836,956.00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会稽山</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5,824,812.00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建设机械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5,824,336.00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苏州高新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5,819,835.00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回天新材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5,817,842.00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通威股份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912,600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5,813,262.00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乐山电力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5,812,020.00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钱江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5,809,342.00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中顺洁柔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291,917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5,809,148.30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盈峰环境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5,793,312.00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金圆股份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511,764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5,793,168.48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索菲亚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5,789,704.00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精锻科技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5,786,302.00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恒丰纸业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5,781,435.00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弘业股份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5,772,195.00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中原环保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331,900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5,768,422.00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建研集团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424,300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5,761,994.00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黄山旅游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5,755,530.00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高升控股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5,754,045.00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裕兴股份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5,752,110.00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伊力特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5,748,183.00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601208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东材科技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5,743,661.00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603123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翠微股份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5,741,400.00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601799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星宇股份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149,100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5,740,350.00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长江通信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252,401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5,734,550.72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深高速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674,650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5,734,525.00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5,734,400.00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福建高速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5,714,190.00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首商股份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599,457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5,712,825.21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誉衡药业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5,712,089.00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德联集团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684,300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5,707,062.00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天地源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5,706,657.00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传化智联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5,696,400.00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天富能源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762,300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5,694,381.00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西部创业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5,689,696.00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瀚蓝环境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5,689,432.00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蓝丰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5,677,504.00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中国动力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5,677,386.00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大东方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610,193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5,674,794.90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东方雨虹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5,671,935.00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东旭蓝天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5,671,835.00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粤高速Ａ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829,100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5,671,044.00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齐心集团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5,670,210.00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太阳纸业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848,200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5,665,976.00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福日电子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482,600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5,665,724.00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亚太药业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193,274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5,662,928.20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锦州港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1,360,800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5,660,928.00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通富微电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5,654,722.00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百隆东方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905,700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5,651,568.00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北化股份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5,651,202.00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中原高速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5,651,114.00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万讯自控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395,400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5,650,266.00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新疆天业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5,649,004.00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健民集团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176,917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5,648,959.81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现代投资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699,700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5,646,579.00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国机汽车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5,644,890.00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雷鸣科化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5,643,435.00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富安娜</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640,900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5,639,920.00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浙江美大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5,639,400.00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延长化建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5,638,677.00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苏</w:t>
            </w:r>
            <w:r>
              <w:rPr>
                <w:rFonts w:hint="default" w:ascii="Times New Roman" w:hAnsi="Times New Roman"/>
                <w:color w:val="000000"/>
                <w:kern w:val="0"/>
                <w:sz w:val="24"/>
              </w:rPr>
              <w:t xml:space="preserve"> </w:t>
            </w:r>
            <w:r>
              <w:rPr>
                <w:rFonts w:hint="eastAsia" w:ascii="Times New Roman" w:hAnsi="Times New Roman"/>
                <w:color w:val="000000"/>
                <w:kern w:val="0"/>
                <w:sz w:val="24"/>
              </w:rPr>
              <w:t>泊</w:t>
            </w:r>
            <w:r>
              <w:rPr>
                <w:rFonts w:hint="default" w:ascii="Times New Roman" w:hAnsi="Times New Roman"/>
                <w:color w:val="000000"/>
                <w:kern w:val="0"/>
                <w:sz w:val="24"/>
              </w:rPr>
              <w:t xml:space="preserve"> </w:t>
            </w:r>
            <w:r>
              <w:rPr>
                <w:rFonts w:hint="eastAsia" w:ascii="Times New Roman" w:hAnsi="Times New Roman"/>
                <w:color w:val="000000"/>
                <w:kern w:val="0"/>
                <w:sz w:val="24"/>
              </w:rPr>
              <w:t>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5,632,596.00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湖北广电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5,632,032.00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白云机场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399,568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5,629,913.12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晨光生物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5,627,601.00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安诺其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654,098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5,625,242.80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永新股份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5,617,600.00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联发股份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317,700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5,616,936.00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安阳钢铁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1,878,300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5,616,117.00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永高股份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667,682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5,615,205.62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粤</w:t>
            </w:r>
            <w:r>
              <w:rPr>
                <w:rFonts w:hint="default" w:ascii="Times New Roman" w:hAnsi="Times New Roman"/>
                <w:color w:val="000000"/>
                <w:kern w:val="0"/>
                <w:sz w:val="24"/>
              </w:rPr>
              <w:t xml:space="preserve"> </w:t>
            </w:r>
            <w:r>
              <w:rPr>
                <w:rFonts w:hint="eastAsia" w:ascii="Times New Roman" w:hAnsi="Times New Roman"/>
                <w:color w:val="000000"/>
                <w:kern w:val="0"/>
                <w:sz w:val="24"/>
              </w:rPr>
              <w:t>水</w:t>
            </w:r>
            <w:r>
              <w:rPr>
                <w:rFonts w:hint="default" w:ascii="Times New Roman" w:hAnsi="Times New Roman"/>
                <w:color w:val="000000"/>
                <w:kern w:val="0"/>
                <w:sz w:val="24"/>
              </w:rPr>
              <w:t xml:space="preserve"> </w:t>
            </w:r>
            <w:r>
              <w:rPr>
                <w:rFonts w:hint="eastAsia" w:ascii="Times New Roman" w:hAnsi="Times New Roman"/>
                <w:color w:val="000000"/>
                <w:kern w:val="0"/>
                <w:sz w:val="24"/>
              </w:rPr>
              <w:t>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5,614,840.00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通宝能源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1,015,100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5,613,503.00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生益科技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5,603,400.00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德美化工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5,602,752.00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三元股份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5,600,190.00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辉煌科技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354,527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5,597,981.33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云海金属</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5,596,027.00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西泵股份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5,595,756.00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富奥股份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658,200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5,594,700.00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江中药业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5,593,830.00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伟星股份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390,300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5,592,999.00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洲明科技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5,590,524.00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蓝帆医疗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5,588,464.00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三湘印象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5,586,420.00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洪城水业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733,767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5,583,966.87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四川九洲</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525,087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5,581,674.81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瑞凌股份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5,579,984.00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华北制药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5,576,408.00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武汉控股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5,573,088.00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浙江东方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5,572,884.00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黑牡丹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645,063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5,566,893.69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山东威达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481,900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5,565,945.00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中利集团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5,564,636.00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金河生物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5,553,990.00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春兰股份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5,552,960.00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珠江啤酒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5,547,820.00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普洛药业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736,556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5,546,266.68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远东传动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650,900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5,545,668.00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西部牧业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5,543,477.75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603588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高能环境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177,009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5,540,381.70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鼎龙股份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5,538,975.00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浙江震元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423,700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5,537,759.00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永鼎股份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534,834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5,524,835.22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润邦股份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5,524,794.00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众业达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412,900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5,524,602.00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通化金马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5,522,620.00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潍柴重机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5,519,940.00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001696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宗申动力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5,519,680.00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创业软件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149,492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5,516,254.80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国药一致</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5,512,560.00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辉丰股份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5,511,330.00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京能电力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5,510,400.00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温州宏丰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5,507,056.00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恒华科技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132,700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5,507,050.00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九强生物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5,506,296.00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华意压缩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天康生物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5,503,992.00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奥瑞金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636,100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5,495,904.00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千金药业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5,495,845.00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伟星新材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5,493,080.00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合锻智能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475,800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5,490,732.00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北京文化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5,488,692.00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通润装备</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5,484,670.00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开开实业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284,308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5,475,772.08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顺发恒业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5,475,260.00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瑞普生物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318,432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5,473,846.08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聚飞光电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5,473,692.00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华西股份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5,469,673.00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烽火电子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5,469,653.00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哈尔斯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5,465,070.00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国睿科技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5,463,432.00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舒泰神</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5,462,613.00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山煤</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1,341,800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5,461,126.00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禾嘉股份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5,457,800.00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城市传媒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5,456,710.00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峨眉山Ａ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5,455,386.00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中通客车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5,446,584.00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太阳能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401,300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5,441,628.00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模塑科技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5,440,025.00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联创光电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5,438,400.00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鞍重股份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5,437,696.00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阳光照明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752,642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5,434,075.24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北京科锐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5,430,381.00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艾比森</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250,236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5,430,121.20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恒康医疗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5,429,336.00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远方光电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229,414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5,425,641.10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新宝股份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5,424,728.00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宏润建设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5,416,950.00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江南嘉捷</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458,200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5,415,924.00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金新农</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5,415,579.00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扬杰科技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275,147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5,414,892.96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680,900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5,413,155.00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南京公用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5,409,565.00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恒通股份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160,250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5,405,232.50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安控科技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584,900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5,404,476.00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捷成股份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5,403,471.00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南方轴承</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438,926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5,398,789.80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宏大爆破</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5,398,152.00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捷顺科技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5,395,200.00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双杰电气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5,390,400.00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丽江旅游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5,388,480.00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云赛智联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5,384,450.00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通光线缆</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364,773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5,380,401.75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新南洋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5,378,956.00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银邦股份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545,199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5,375,662.14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长荣股份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321,100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5,375,214.00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华光股份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5,374,530.00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金山股份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5,373,594.00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福成股份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410,600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5,370,648.00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康力电梯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5,368,544.00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诚志股份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5,363,280.00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中国重汽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5,358,480.00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华通医药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5,355,948.00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北部湾旅</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5,339,154.00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菲利华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229,799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5,324,442.83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汉钟精机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5,321,988.00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华东电脑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5,319,600.00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金达威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5,311,536.00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久其软件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5,307,925.00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完美世界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5,305,599.00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博雅生物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5,296,900.00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秋林集团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5,276,984.00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中威电子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5,273,968.00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新时达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5,270,130.00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香江控股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1,327,000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5,268,190.00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喜临门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5,257,590.00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双环传动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5,254,956.00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东华测试</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5,253,320.00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五洋科技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5,253,294.00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合康新能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5,235,318.00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苏州固锝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570,300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5,229,651.00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金信诺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5,211,134.00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首旅酒店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5,209,794.00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广电运通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5,201,776.00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宝莱特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5,201,040.00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三星医疗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5,200,440.00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交大昂立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5,199,750.00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梦洁股份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641,700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5,197,770.00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凯撒旅游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5,193,420.00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威海广泰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5,185,220.00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明泰铝业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5,180,000.00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金智科技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5,177,304.00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天孚通信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5,166,252.00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清水源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217,699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5,161,643.29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江铃汽车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190,316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5,138,532.00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华胜天成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472,200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5,132,814.00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青山纸业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5,132,460.00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楚天科技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5,130,624.00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万里股份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5,074,750.00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阳普医疗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5,072,844.00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瑞丰光电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5,066,433.00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朗姿股份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5,046,420.00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宝信软件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5,023,872.00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奋达科技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388,520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5,023,563.60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新研股份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4,987,934.00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神州数码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4,890,312.00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华宇软件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279,700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4,880,765.00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雷曼股份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340,100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4,863,430.00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蓝海华腾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4,740,411.00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华谊集团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339,044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4,556,751.36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大晟文化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2,396,286.00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江南化工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1,874,397.00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奥普光电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1,684,320.00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广东甘化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794,040.00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嘉事堂</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778,299.00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红</w:t>
            </w:r>
            <w:r>
              <w:rPr>
                <w:rFonts w:hint="default" w:ascii="Times New Roman" w:hAnsi="Times New Roman"/>
                <w:color w:val="000000"/>
                <w:kern w:val="0"/>
                <w:sz w:val="24"/>
              </w:rPr>
              <w:t xml:space="preserve"> </w:t>
            </w:r>
            <w:r>
              <w:rPr>
                <w:rFonts w:hint="eastAsia" w:ascii="Times New Roman" w:hAnsi="Times New Roman"/>
                <w:color w:val="000000"/>
                <w:kern w:val="0"/>
                <w:sz w:val="24"/>
              </w:rPr>
              <w:t>宝</w:t>
            </w:r>
            <w:r>
              <w:rPr>
                <w:rFonts w:hint="default" w:ascii="Times New Roman" w:hAnsi="Times New Roman"/>
                <w:color w:val="000000"/>
                <w:kern w:val="0"/>
                <w:sz w:val="24"/>
              </w:rPr>
              <w:t xml:space="preserve"> </w:t>
            </w:r>
            <w:r>
              <w:rPr>
                <w:rFonts w:hint="eastAsia" w:ascii="Times New Roman" w:hAnsi="Times New Roman"/>
                <w:color w:val="000000"/>
                <w:kern w:val="0"/>
                <w:sz w:val="24"/>
              </w:rPr>
              <w:t>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757,588.00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瑞丰高材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734,712.00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常宝股份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711,956.00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太阳鸟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704,236.00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神马股份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695,604.00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星河生物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671,176.00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昆百大Ａ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穗恒运Ａ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591,852.00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国创高新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451,656.00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华北高速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294,588.00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贵广网络</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234,875.00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百合花</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123,167.88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中原证券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26,695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杭叉集团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3,641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88,403.48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景旺电子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3,491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80,851.56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比音勒芬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70,290.60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603577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汇金通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69,642.60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日月股份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68,805.80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太平鸟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67,734.00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赛托生物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63,738.78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603416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信捷电气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53,886.08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弘亚数控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2,743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48,331.66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永吉股份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42,675.07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元祖股份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2,241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39,665.70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603689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皖天然气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37,917.66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英飞特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35,157.33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浙江仙通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29,059.80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同为股份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24,220.26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常熟汽饰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24,179.04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天龙股份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22,852.06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天铁股份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20,290.18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603929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亚翔集成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15,592.23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华统股份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11,881.70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道恩股份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10,405.68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603186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华正新材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10,063.38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德新交运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9,458.68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美联新材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9,355.80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万里马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7,355.72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熙菱信息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6,817.20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7" w:name="_Toc477899835"/>
      <w:r>
        <w:rPr>
          <w:rFonts w:hint="default" w:ascii="Times New Roman" w:hAnsi="Times New Roman"/>
          <w:b/>
          <w:color w:val="000000"/>
          <w:kern w:val="0"/>
          <w:sz w:val="24"/>
        </w:rPr>
        <w:t xml:space="preserve">8.4 </w:t>
      </w:r>
      <w:r>
        <w:rPr>
          <w:rFonts w:hint="eastAsia" w:ascii="Times New Roman" w:hAnsi="Times New Roman"/>
          <w:b/>
          <w:color w:val="000000"/>
          <w:kern w:val="0"/>
          <w:sz w:val="24"/>
        </w:rPr>
        <w:t>报告期内股票投资组合的重大变动</w:t>
      </w:r>
      <w:bookmarkEnd w:id="3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8.4.1 </w:t>
      </w:r>
      <w:r>
        <w:rPr>
          <w:rFonts w:hint="eastAsia" w:ascii="Times New Roman" w:hAnsi="Times New Roman"/>
          <w:b/>
          <w:color w:val="000000"/>
          <w:kern w:val="0"/>
          <w:sz w:val="24"/>
        </w:rPr>
        <w:t>累计买入金额超出期末基金资产净值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本期累计买入金额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占期末基金资产净值比例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京能电力</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11,015,640.38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双环传动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8,343,270.80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603123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翠微股份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8,342,110.96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电子城</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8,328,677.27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南京公用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8,147,599.95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600272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开开实业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8,140,452.19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九牧王</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8,119,325.46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诚志股份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8,030,060.08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600761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安徽合力</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7,987,216.24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汉钟精机</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7,880,261.11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600356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恒丰纸业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7,779,407.70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002548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金新农</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7,742,290.95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楚天科技</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7,710,522.19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002382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蓝帆医疗</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7,691,741.90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600985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雷鸣科化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7,677,514.20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新奥股份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7,648,997.62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龙江交通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7,635,798.42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601579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会稽山</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7,633,652.39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富安娜</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7,593,738.83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潍柴重机</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7,588,148.69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注：本期累计买入金额按买卖成交金额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8.4.2 </w:t>
      </w:r>
      <w:r>
        <w:rPr>
          <w:rFonts w:hint="eastAsia" w:ascii="Times New Roman" w:hAnsi="Times New Roman"/>
          <w:b/>
          <w:color w:val="000000"/>
          <w:kern w:val="0"/>
          <w:sz w:val="24"/>
        </w:rPr>
        <w:t>累计卖出金额超出期末基金资产净值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本期累计卖出金额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占期末基金资产净值比例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三江购物</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9,477,504.88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云意电气</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8,297,037.92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600679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上海凤凰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7,746,960.04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600992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贵绳股份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6,899,061.16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300371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汇中股份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6,635,958.87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黑猫股份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6,402,878.20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600613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神奇制药</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6,292,402.39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600114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东睦股份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6,240,673.00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达刚路机</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6,112,979.75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000822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山东海化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6,099,134.91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600619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海立股份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6,069,881.97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600982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宁波热电</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6,004,135.00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爱仕达</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6,000,902.86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600605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汇通能源</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5,971,110.04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建新股份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5,946,286.00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002541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鸿路钢构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5,939,478.16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300194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福安药业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5,923,563.87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600860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京城股份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5,917,721.02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601126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四方股份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5,838,267.44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振东制药</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5,828,634.00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注：本期累计卖出金额按买卖成交金额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8.4.3 </w:t>
      </w:r>
      <w:r>
        <w:rPr>
          <w:rFonts w:hint="eastAsia" w:ascii="Times New Roman" w:hAnsi="Times New Roman"/>
          <w:b/>
          <w:color w:val="000000"/>
          <w:kern w:val="0"/>
          <w:sz w:val="24"/>
        </w:rPr>
        <w:t>买入股票的成本总额及卖出股票的收入总额</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买入股票的成本（成交）总额</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3,327,088,992.60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卖出股票的收入（成交）总额</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1,644,422,834.66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注：买入股票成本、卖出股票收入均按买卖成交金额填列，不考虑相关交易费用。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8" w:name="_Toc477899836"/>
      <w:r>
        <w:rPr>
          <w:rFonts w:hint="default" w:ascii="Times New Roman" w:hAnsi="Times New Roman"/>
          <w:b/>
          <w:color w:val="000000"/>
          <w:kern w:val="0"/>
          <w:sz w:val="24"/>
        </w:rPr>
        <w:t xml:space="preserve">8.5 </w:t>
      </w:r>
      <w:r>
        <w:rPr>
          <w:rFonts w:hint="eastAsia" w:ascii="Times New Roman" w:hAnsi="Times New Roman"/>
          <w:b/>
          <w:color w:val="000000"/>
          <w:kern w:val="0"/>
          <w:sz w:val="24"/>
        </w:rPr>
        <w:t>期末按债券品种分类的债券投资组合</w:t>
      </w:r>
      <w:bookmarkEnd w:id="38"/>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9" w:name="_Toc477899837"/>
      <w:r>
        <w:rPr>
          <w:rFonts w:hint="default" w:ascii="Times New Roman" w:hAnsi="Times New Roman"/>
          <w:b/>
          <w:color w:val="000000"/>
          <w:kern w:val="0"/>
          <w:sz w:val="24"/>
        </w:rPr>
        <w:t xml:space="preserve">8.6 </w:t>
      </w:r>
      <w:r>
        <w:rPr>
          <w:rFonts w:hint="eastAsia" w:ascii="Times New Roman" w:hAnsi="Times New Roman"/>
          <w:b/>
          <w:color w:val="000000"/>
          <w:kern w:val="0"/>
          <w:sz w:val="24"/>
        </w:rPr>
        <w:t>期末按公允价值占基金资产净值比例大小排序的前五名债券投资明细</w:t>
      </w:r>
      <w:bookmarkEnd w:id="3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0" w:name="_Toc477899838"/>
      <w:r>
        <w:rPr>
          <w:rFonts w:hint="default" w:ascii="Times New Roman" w:hAnsi="Times New Roman"/>
          <w:b/>
          <w:color w:val="000000"/>
          <w:kern w:val="0"/>
          <w:sz w:val="24"/>
        </w:rPr>
        <w:t xml:space="preserve">8.7 </w:t>
      </w:r>
      <w:r>
        <w:rPr>
          <w:rFonts w:hint="eastAsia" w:ascii="Times New Roman" w:hAnsi="Times New Roman"/>
          <w:b/>
          <w:color w:val="000000"/>
          <w:kern w:val="0"/>
          <w:sz w:val="24"/>
        </w:rPr>
        <w:t>期末按公允价值占基金资产净值比例大小排序的所有资产支持证券投资明细</w:t>
      </w:r>
      <w:bookmarkEnd w:id="4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本基金本报告期末未持有资产支持证券。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1" w:name="_Toc477899839"/>
      <w:r>
        <w:rPr>
          <w:rFonts w:hint="default" w:ascii="Times New Roman" w:hAnsi="Times New Roman"/>
          <w:b/>
          <w:color w:val="000000"/>
          <w:kern w:val="0"/>
          <w:sz w:val="24"/>
        </w:rPr>
        <w:t xml:space="preserve">8.8 </w:t>
      </w:r>
      <w:r>
        <w:rPr>
          <w:rFonts w:hint="eastAsia" w:ascii="Times New Roman" w:hAnsi="Times New Roman"/>
          <w:b/>
          <w:color w:val="000000"/>
          <w:kern w:val="0"/>
          <w:sz w:val="24"/>
        </w:rPr>
        <w:t>报告期末按公允价值占基金资产净值比例大小排序的前五名贵金属投资明细</w:t>
      </w:r>
      <w:bookmarkEnd w:id="4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本基金本报告期末未持有贵金属。</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2" w:name="_Toc477899840"/>
      <w:r>
        <w:rPr>
          <w:rFonts w:hint="default" w:ascii="Times New Roman" w:hAnsi="Times New Roman"/>
          <w:b/>
          <w:color w:val="000000"/>
          <w:kern w:val="0"/>
          <w:sz w:val="24"/>
        </w:rPr>
        <w:t xml:space="preserve">8.9 </w:t>
      </w:r>
      <w:r>
        <w:rPr>
          <w:rFonts w:hint="eastAsia" w:ascii="Times New Roman" w:hAnsi="Times New Roman"/>
          <w:b/>
          <w:color w:val="000000"/>
          <w:kern w:val="0"/>
          <w:sz w:val="24"/>
        </w:rPr>
        <w:t>期末按公允价值占基金资产净值比例大小排序的前五名权证投资明细</w:t>
      </w:r>
      <w:bookmarkEnd w:id="4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本基金本报告期末未持有权证。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3" w:name="_Toc477899841"/>
      <w:r>
        <w:rPr>
          <w:rFonts w:hint="default" w:ascii="Times New Roman" w:hAnsi="Times New Roman"/>
          <w:b/>
          <w:color w:val="000000"/>
          <w:kern w:val="0"/>
          <w:sz w:val="24"/>
        </w:rPr>
        <w:t xml:space="preserve">8.10 </w:t>
      </w:r>
      <w:r>
        <w:rPr>
          <w:rFonts w:hint="eastAsia" w:ascii="Times New Roman" w:hAnsi="Times New Roman"/>
          <w:b/>
          <w:color w:val="000000"/>
          <w:kern w:val="0"/>
          <w:sz w:val="24"/>
        </w:rPr>
        <w:t>报告期末本基金投资的股指期货交易情况说明</w:t>
      </w:r>
      <w:bookmarkEnd w:id="43"/>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806"/>
        <w:gridCol w:w="1444"/>
        <w:gridCol w:w="1445"/>
        <w:gridCol w:w="1445"/>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持仓量</w:t>
            </w:r>
            <w:r>
              <w:rPr>
                <w:rFonts w:hint="default" w:ascii="Times New Roman" w:hAnsi="Times New Roman"/>
                <w:color w:val="000000"/>
                <w:kern w:val="0"/>
                <w:sz w:val="24"/>
              </w:rPr>
              <w:t xml:space="preserve"> </w:t>
            </w:r>
            <w:r>
              <w:rPr>
                <w:rFonts w:hint="eastAsia" w:ascii="Times New Roman" w:hAnsi="Times New Roman"/>
                <w:color w:val="000000"/>
                <w:kern w:val="0"/>
                <w:sz w:val="24"/>
              </w:rPr>
              <w:t>（买</w:t>
            </w:r>
            <w:r>
              <w:rPr>
                <w:rFonts w:hint="default" w:ascii="Times New Roman" w:hAnsi="Times New Roman"/>
                <w:color w:val="000000"/>
                <w:kern w:val="0"/>
                <w:sz w:val="24"/>
              </w:rPr>
              <w:t>/</w:t>
            </w:r>
            <w:r>
              <w:rPr>
                <w:rFonts w:hint="eastAsia" w:ascii="Times New Roman" w:hAnsi="Times New Roman"/>
                <w:color w:val="000000"/>
                <w:kern w:val="0"/>
                <w:sz w:val="24"/>
              </w:rPr>
              <w:t>卖）</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合约市值</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公允价值变动</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风险说明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eastAsia="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符合本基金的收益风险特征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2" w:type="dxa"/>
            <w:gridSpan w:val="5"/>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公允价值变动总额合计</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2" w:type="dxa"/>
            <w:gridSpan w:val="5"/>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股指期货投资本期收益</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168,136.00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2" w:type="dxa"/>
            <w:gridSpan w:val="5"/>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股指期货投资本期公允价值变动</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4" w:name="_Toc477899842"/>
      <w:r>
        <w:rPr>
          <w:rFonts w:hint="default" w:ascii="Times New Roman" w:hAnsi="Times New Roman"/>
          <w:b/>
          <w:color w:val="000000"/>
          <w:kern w:val="0"/>
          <w:sz w:val="24"/>
        </w:rPr>
        <w:t xml:space="preserve">8.11 </w:t>
      </w:r>
      <w:r>
        <w:rPr>
          <w:rFonts w:hint="eastAsia" w:ascii="Times New Roman" w:hAnsi="Times New Roman"/>
          <w:b/>
          <w:color w:val="000000"/>
          <w:kern w:val="0"/>
          <w:sz w:val="24"/>
        </w:rPr>
        <w:t>报告期末本基金投资的国债期货交易情况说明</w:t>
      </w:r>
      <w:bookmarkEnd w:id="4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本基金本报告期未投资国债期货。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5" w:name="_Toc477899843"/>
      <w:r>
        <w:rPr>
          <w:rFonts w:hint="default" w:ascii="Times New Roman" w:hAnsi="Times New Roman"/>
          <w:b/>
          <w:color w:val="000000"/>
          <w:kern w:val="0"/>
          <w:sz w:val="24"/>
        </w:rPr>
        <w:t xml:space="preserve">8.12 </w:t>
      </w:r>
      <w:r>
        <w:rPr>
          <w:rFonts w:hint="eastAsia" w:ascii="Times New Roman" w:hAnsi="Times New Roman"/>
          <w:b/>
          <w:color w:val="000000"/>
          <w:kern w:val="0"/>
          <w:sz w:val="24"/>
        </w:rPr>
        <w:t>投资组合报告附注</w:t>
      </w:r>
      <w:bookmarkEnd w:id="45"/>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8.12.1</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本报告期内基金投资的前十名证券发行主体未受到监管部门的立案调查，在编制日前一年内也未受到公开谴责和处罚。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8.12.2</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本基金投资的前十名股票未超出基金合同规定的备选股票库。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8.12.3 </w:t>
      </w:r>
      <w:r>
        <w:rPr>
          <w:rFonts w:hint="eastAsia" w:ascii="Times New Roman" w:hAnsi="Times New Roman"/>
          <w:b/>
          <w:color w:val="000000"/>
          <w:kern w:val="0"/>
          <w:sz w:val="24"/>
        </w:rPr>
        <w:t>期末其他各项资产构成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303,926.67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30,012,675.00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14,654,682.93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其他应收款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待摊费用</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45,004,291.24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8.12.4 </w:t>
      </w:r>
      <w:r>
        <w:rPr>
          <w:rFonts w:hint="eastAsia" w:ascii="Times New Roman" w:hAnsi="Times New Roman"/>
          <w:b/>
          <w:color w:val="000000"/>
          <w:kern w:val="0"/>
          <w:sz w:val="24"/>
        </w:rPr>
        <w:t>期末持有的处于转股期的可转换债券明细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本基金本报告期末未持有处于转股期的可转换债券。</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8.12.5 </w:t>
      </w:r>
      <w:r>
        <w:rPr>
          <w:rFonts w:hint="eastAsia" w:ascii="Times New Roman" w:hAnsi="Times New Roman"/>
          <w:b/>
          <w:color w:val="000000"/>
          <w:kern w:val="0"/>
          <w:sz w:val="24"/>
        </w:rPr>
        <w:t>期末前十名股票中存在流通受限情况的说明</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流通受限部分的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流通受限情况</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600814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杭州解百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6,596,874.00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重大事项停牌</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6" w:name="_Toc477899844"/>
      <w:r>
        <w:rPr>
          <w:rFonts w:hint="eastAsia" w:ascii="Times New Roman" w:hAnsi="Times New Roman"/>
          <w:b/>
          <w:color w:val="000000"/>
          <w:kern w:val="0"/>
          <w:sz w:val="24"/>
        </w:rPr>
        <w:t>§</w:t>
      </w:r>
      <w:r>
        <w:rPr>
          <w:rFonts w:hint="default" w:ascii="Times New Roman" w:hAnsi="Times New Roman"/>
          <w:b/>
          <w:color w:val="000000"/>
          <w:kern w:val="0"/>
          <w:sz w:val="24"/>
        </w:rPr>
        <w:t xml:space="preserve">9  </w:t>
      </w:r>
      <w:r>
        <w:rPr>
          <w:rFonts w:hint="eastAsia" w:ascii="Times New Roman" w:hAnsi="Times New Roman"/>
          <w:b/>
          <w:color w:val="000000"/>
          <w:kern w:val="0"/>
          <w:sz w:val="24"/>
        </w:rPr>
        <w:t>基金份额持有人信息</w:t>
      </w:r>
      <w:bookmarkEnd w:id="4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7" w:name="_Toc477899845"/>
      <w:r>
        <w:rPr>
          <w:rFonts w:hint="default" w:ascii="Times New Roman" w:hAnsi="Times New Roman"/>
          <w:b/>
          <w:color w:val="000000"/>
          <w:kern w:val="0"/>
          <w:sz w:val="24"/>
        </w:rPr>
        <w:t xml:space="preserve">9.1 </w:t>
      </w:r>
      <w:r>
        <w:rPr>
          <w:rFonts w:hint="eastAsia" w:ascii="Times New Roman" w:hAnsi="Times New Roman"/>
          <w:b/>
          <w:color w:val="000000"/>
          <w:kern w:val="0"/>
          <w:sz w:val="24"/>
        </w:rPr>
        <w:t>期末基金份额持有人户数及持有人结构</w:t>
      </w:r>
      <w:bookmarkEnd w:id="47"/>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806"/>
        <w:gridCol w:w="1806"/>
        <w:gridCol w:w="1083"/>
        <w:gridCol w:w="1806"/>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持有人户数</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户</w:t>
            </w:r>
            <w:r>
              <w:rPr>
                <w:rFonts w:hint="default" w:ascii="Times New Roman" w:hAnsi="Times New Roman"/>
                <w:color w:val="000000"/>
                <w:kern w:val="0"/>
                <w:sz w:val="24"/>
              </w:rPr>
              <w:t>)</w:t>
            </w:r>
          </w:p>
        </w:tc>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机构投资者</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个人投资者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42,364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34,649.86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267,802,550.28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1,200,104,044.43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81.76%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8" w:name="_Toc477899846"/>
      <w:r>
        <w:rPr>
          <w:rFonts w:hint="default" w:ascii="Times New Roman" w:hAnsi="Times New Roman"/>
          <w:b/>
          <w:color w:val="000000"/>
          <w:kern w:val="0"/>
          <w:sz w:val="24"/>
        </w:rPr>
        <w:t xml:space="preserve">9.2 </w:t>
      </w:r>
      <w:r>
        <w:rPr>
          <w:rFonts w:hint="eastAsia" w:ascii="Times New Roman" w:hAnsi="Times New Roman"/>
          <w:b/>
          <w:color w:val="000000"/>
          <w:kern w:val="0"/>
          <w:sz w:val="24"/>
        </w:rPr>
        <w:t>期末基金管理人的从业人员持有本基金的情况</w:t>
      </w:r>
      <w:bookmarkEnd w:id="4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持有份额总数（份）</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5,798,735.06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9" w:name="_Toc477899847"/>
      <w:r>
        <w:rPr>
          <w:rFonts w:hint="default" w:ascii="Times New Roman" w:hAnsi="Times New Roman"/>
          <w:b/>
          <w:color w:val="000000"/>
          <w:kern w:val="0"/>
          <w:sz w:val="24"/>
        </w:rPr>
        <w:t xml:space="preserve">9.3 </w:t>
      </w:r>
      <w:r>
        <w:rPr>
          <w:rFonts w:hint="eastAsia" w:ascii="Times New Roman" w:hAnsi="Times New Roman"/>
          <w:b/>
          <w:color w:val="000000"/>
          <w:kern w:val="0"/>
          <w:sz w:val="24"/>
        </w:rPr>
        <w:t>期末基金管理人的从业人员持有本开放式基金份额总量区间情况</w:t>
      </w:r>
      <w:bookmarkEnd w:id="4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持有基金份额总量的数量区间（万份）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10~50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0" w:name="_Toc477899848"/>
      <w:r>
        <w:rPr>
          <w:rFonts w:hint="eastAsia" w:ascii="Times New Roman" w:hAnsi="Times New Roman"/>
          <w:b/>
          <w:color w:val="000000"/>
          <w:kern w:val="0"/>
          <w:sz w:val="24"/>
        </w:rPr>
        <w:t>§</w:t>
      </w:r>
      <w:r>
        <w:rPr>
          <w:rFonts w:hint="default" w:ascii="Times New Roman" w:hAnsi="Times New Roman"/>
          <w:b/>
          <w:color w:val="000000"/>
          <w:kern w:val="0"/>
          <w:sz w:val="24"/>
        </w:rPr>
        <w:t xml:space="preserve">10 </w:t>
      </w:r>
      <w:r>
        <w:rPr>
          <w:rFonts w:hint="eastAsia" w:ascii="Times New Roman" w:hAnsi="Times New Roman"/>
          <w:b/>
          <w:color w:val="000000"/>
          <w:kern w:val="0"/>
          <w:sz w:val="24"/>
        </w:rPr>
        <w:t>开放式基金份额变动</w:t>
      </w:r>
      <w:bookmarkEnd w:id="5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3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1,801,174,179.52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535,906,800.28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1" w:name="_Toc477899849"/>
      <w:r>
        <w:rPr>
          <w:rFonts w:hint="eastAsia" w:ascii="Times New Roman" w:hAnsi="Times New Roman"/>
          <w:b/>
          <w:color w:val="000000"/>
          <w:kern w:val="0"/>
          <w:sz w:val="24"/>
        </w:rPr>
        <w:t>§</w:t>
      </w:r>
      <w:r>
        <w:rPr>
          <w:rFonts w:hint="default" w:ascii="Times New Roman" w:hAnsi="Times New Roman"/>
          <w:b/>
          <w:color w:val="000000"/>
          <w:kern w:val="0"/>
          <w:sz w:val="24"/>
        </w:rPr>
        <w:t xml:space="preserve">11 </w:t>
      </w:r>
      <w:r>
        <w:rPr>
          <w:rFonts w:hint="eastAsia" w:ascii="Times New Roman" w:hAnsi="Times New Roman"/>
          <w:b/>
          <w:color w:val="000000"/>
          <w:kern w:val="0"/>
          <w:sz w:val="24"/>
        </w:rPr>
        <w:t>重大事件揭示</w:t>
      </w:r>
      <w:bookmarkEnd w:id="5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2" w:name="_Toc477899850"/>
      <w:r>
        <w:rPr>
          <w:rFonts w:hint="default" w:ascii="Times New Roman" w:hAnsi="Times New Roman"/>
          <w:b/>
          <w:color w:val="000000"/>
          <w:kern w:val="0"/>
          <w:sz w:val="24"/>
        </w:rPr>
        <w:t xml:space="preserve">11.1 </w:t>
      </w:r>
      <w:r>
        <w:rPr>
          <w:rFonts w:hint="eastAsia" w:ascii="Times New Roman" w:hAnsi="Times New Roman"/>
          <w:b/>
          <w:color w:val="000000"/>
          <w:kern w:val="0"/>
          <w:sz w:val="24"/>
        </w:rPr>
        <w:t>基金份额持有人大会决议</w:t>
      </w:r>
      <w:bookmarkEnd w:id="5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本报告期内未召开基金份额持有人大会。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3" w:name="_Toc477899851"/>
      <w:r>
        <w:rPr>
          <w:rFonts w:hint="default" w:ascii="Times New Roman" w:hAnsi="Times New Roman"/>
          <w:b/>
          <w:color w:val="000000"/>
          <w:kern w:val="0"/>
          <w:sz w:val="24"/>
        </w:rPr>
        <w:t xml:space="preserve">11.2 </w:t>
      </w:r>
      <w:r>
        <w:rPr>
          <w:rFonts w:hint="eastAsia" w:ascii="Times New Roman" w:hAnsi="Times New Roman"/>
          <w:b/>
          <w:color w:val="000000"/>
          <w:kern w:val="0"/>
          <w:sz w:val="24"/>
        </w:rPr>
        <w:t>基金管理人、基金托管人的专门基金托管部门的重大人事变动</w:t>
      </w:r>
      <w:bookmarkEnd w:id="5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本报告期内基金管理人、基金托管人的专门基金托管部门未发生重大人事变动。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4" w:name="_Toc477899852"/>
      <w:r>
        <w:rPr>
          <w:rFonts w:hint="default" w:ascii="Times New Roman" w:hAnsi="Times New Roman"/>
          <w:b/>
          <w:color w:val="000000"/>
          <w:kern w:val="0"/>
          <w:sz w:val="24"/>
        </w:rPr>
        <w:t xml:space="preserve">11.3 </w:t>
      </w:r>
      <w:r>
        <w:rPr>
          <w:rFonts w:hint="eastAsia" w:ascii="Times New Roman" w:hAnsi="Times New Roman"/>
          <w:b/>
          <w:color w:val="000000"/>
          <w:kern w:val="0"/>
          <w:sz w:val="24"/>
        </w:rPr>
        <w:t>涉及基金管理人、基金财产、基金托管业务的诉讼</w:t>
      </w:r>
      <w:bookmarkEnd w:id="5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本报告期内，无涉及基金管理人、基金财产、基金托管业务的诉讼。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5" w:name="_Toc477899853"/>
      <w:r>
        <w:rPr>
          <w:rFonts w:hint="default" w:ascii="Times New Roman" w:hAnsi="Times New Roman"/>
          <w:b/>
          <w:color w:val="000000"/>
          <w:kern w:val="0"/>
          <w:sz w:val="24"/>
        </w:rPr>
        <w:t xml:space="preserve">11.4 </w:t>
      </w:r>
      <w:r>
        <w:rPr>
          <w:rFonts w:hint="eastAsia" w:ascii="Times New Roman" w:hAnsi="Times New Roman"/>
          <w:b/>
          <w:color w:val="000000"/>
          <w:kern w:val="0"/>
          <w:sz w:val="24"/>
        </w:rPr>
        <w:t>基金投资策略的改变</w:t>
      </w:r>
      <w:bookmarkEnd w:id="5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本报告期内，基金投资策略无重大改变。</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6" w:name="_Toc477899854"/>
      <w:r>
        <w:rPr>
          <w:rFonts w:hint="default" w:ascii="Times New Roman" w:hAnsi="Times New Roman"/>
          <w:b/>
          <w:color w:val="000000"/>
          <w:kern w:val="0"/>
          <w:sz w:val="24"/>
        </w:rPr>
        <w:t xml:space="preserve">11.5 </w:t>
      </w:r>
      <w:r>
        <w:rPr>
          <w:rFonts w:hint="eastAsia" w:ascii="Times New Roman" w:hAnsi="Times New Roman"/>
          <w:b/>
          <w:color w:val="000000"/>
          <w:kern w:val="0"/>
          <w:sz w:val="24"/>
        </w:rPr>
        <w:t>为基金进行审计的会计师事务所情况</w:t>
      </w:r>
      <w:bookmarkEnd w:id="56"/>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本报告期内本基金未更换会计师事务所，本年度支付给普华永道中天会计师事务所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审计费用</w:t>
      </w:r>
      <w:r>
        <w:rPr>
          <w:rFonts w:hint="default" w:ascii="Times New Roman" w:hAnsi="Times New Roman"/>
          <w:color w:val="000000"/>
          <w:kern w:val="0"/>
          <w:sz w:val="24"/>
        </w:rPr>
        <w:t>65,000.00</w:t>
      </w:r>
      <w:r>
        <w:rPr>
          <w:rFonts w:hint="eastAsia" w:ascii="Times New Roman" w:hAnsi="Times New Roman"/>
          <w:color w:val="000000"/>
          <w:kern w:val="0"/>
          <w:sz w:val="24"/>
        </w:rPr>
        <w:t>元，该审计机构连续提供审计服务的年限为</w:t>
      </w:r>
      <w:r>
        <w:rPr>
          <w:rFonts w:hint="default" w:ascii="Times New Roman" w:hAnsi="Times New Roman"/>
          <w:color w:val="000000"/>
          <w:kern w:val="0"/>
          <w:sz w:val="24"/>
        </w:rPr>
        <w:t>1</w:t>
      </w:r>
      <w:r>
        <w:rPr>
          <w:rFonts w:hint="eastAsia" w:ascii="Times New Roman" w:hAnsi="Times New Roman"/>
          <w:color w:val="000000"/>
          <w:kern w:val="0"/>
          <w:sz w:val="24"/>
        </w:rPr>
        <w:t>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7" w:name="_Toc477899855"/>
      <w:r>
        <w:rPr>
          <w:rFonts w:hint="default" w:ascii="Times New Roman" w:hAnsi="Times New Roman"/>
          <w:b/>
          <w:color w:val="000000"/>
          <w:kern w:val="0"/>
          <w:sz w:val="24"/>
        </w:rPr>
        <w:t xml:space="preserve">11.6 </w:t>
      </w:r>
      <w:r>
        <w:rPr>
          <w:rFonts w:hint="eastAsia" w:ascii="Times New Roman" w:hAnsi="Times New Roman"/>
          <w:b/>
          <w:color w:val="000000"/>
          <w:kern w:val="0"/>
          <w:sz w:val="24"/>
        </w:rPr>
        <w:t>管理人、托管人及其高级管理人员受稽查或处罚等情况</w:t>
      </w:r>
      <w:bookmarkEnd w:id="57"/>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本报告期内，基金管理人、基金托管人及其高级管理人员没有受到监管部门稽查或处罚等情况。</w:t>
      </w: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8" w:name="_Toc477899856"/>
      <w:r>
        <w:rPr>
          <w:rFonts w:hint="default" w:ascii="Times New Roman" w:hAnsi="Times New Roman"/>
          <w:b/>
          <w:color w:val="000000"/>
          <w:kern w:val="0"/>
          <w:sz w:val="24"/>
        </w:rPr>
        <w:t xml:space="preserve">11.7 </w:t>
      </w:r>
      <w:r>
        <w:rPr>
          <w:rFonts w:hint="eastAsia" w:ascii="Times New Roman" w:hAnsi="Times New Roman"/>
          <w:b/>
          <w:color w:val="000000"/>
          <w:kern w:val="0"/>
          <w:sz w:val="24"/>
        </w:rPr>
        <w:t>基金租用证券公司交易单元的有关情况</w:t>
      </w:r>
      <w:bookmarkEnd w:id="58"/>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11.7.1 </w:t>
      </w:r>
      <w:r>
        <w:rPr>
          <w:rFonts w:hint="eastAsia" w:ascii="Times New Roman" w:hAnsi="Times New Roman"/>
          <w:b/>
          <w:color w:val="000000"/>
          <w:kern w:val="0"/>
          <w:sz w:val="24"/>
        </w:rPr>
        <w:t>基金租用证券公司交易单元进行股票投资及佣金支付情况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交易单元</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股票交易</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占股票</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占当期佣金</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480,309,261.46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441,391.60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20.72%</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中银国际证券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216,004,047.91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155,390.08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7.29%</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214,011,993.14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152,222.73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7.15%</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1,898,011,756.81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699,734.19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32.85%</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1,798,980,228.63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395,296.22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18.56%</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130,483,706.04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120,084.81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121,038,725.98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87,235.84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4.09%</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109,646,418.89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79,040.30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3.71%</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中信建投证券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注：交易单元的选择标准和程序：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1</w:t>
      </w:r>
      <w:r>
        <w:rPr>
          <w:rFonts w:hint="eastAsia" w:ascii="Times New Roman" w:hAnsi="Times New Roman"/>
          <w:color w:val="000000"/>
          <w:kern w:val="0"/>
          <w:sz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2</w:t>
      </w:r>
      <w:r>
        <w:rPr>
          <w:rFonts w:hint="eastAsia" w:ascii="Times New Roman" w:hAnsi="Times New Roman"/>
          <w:color w:val="000000"/>
          <w:kern w:val="0"/>
          <w:sz w:val="21"/>
        </w:rPr>
        <w:t>）财务状况良好，各项财务指标显示公司经营状况稳定；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3</w:t>
      </w:r>
      <w:r>
        <w:rPr>
          <w:rFonts w:hint="eastAsia" w:ascii="Times New Roman" w:hAnsi="Times New Roman"/>
          <w:color w:val="000000"/>
          <w:kern w:val="0"/>
          <w:sz w:val="21"/>
        </w:rPr>
        <w:t>）经营行为规范，内部管理规范、严格，具备健全的内部控制制度，并能满足基金运作高度保密的要求；</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4</w:t>
      </w:r>
      <w:r>
        <w:rPr>
          <w:rFonts w:hint="eastAsia" w:ascii="Times New Roman" w:hAnsi="Times New Roman"/>
          <w:color w:val="000000"/>
          <w:kern w:val="0"/>
          <w:sz w:val="21"/>
        </w:rPr>
        <w:t>）具备基金运作所需的高效、安全的通讯条件，交易设施符合代理基金进行证券交易的需要，并能为基金提供全面的信息服务。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基金管理人根据以上标准进行考察后确定租用券商的交易单元，并与被选中的证券经营机构签订交易单元租用协议。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本基金在报告期内成立，交易单元均于本期内新增。</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11.7.2 </w:t>
      </w:r>
      <w:r>
        <w:rPr>
          <w:rFonts w:hint="eastAsia" w:ascii="Times New Roman" w:hAnsi="Times New Roman"/>
          <w:b/>
          <w:color w:val="000000"/>
          <w:kern w:val="0"/>
          <w:sz w:val="24"/>
        </w:rPr>
        <w:t>基金租用证券公司交易单元进行其他证券投资的情况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权证交易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占债券回购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占权证</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中银国际证券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1,149,000,000.00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336,000,000.00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中信建投证券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9" w:name="_Toc477899857"/>
      <w:r>
        <w:rPr>
          <w:rFonts w:hint="default" w:ascii="Times New Roman" w:hAnsi="Times New Roman"/>
          <w:b/>
          <w:color w:val="000000"/>
          <w:kern w:val="0"/>
          <w:sz w:val="24"/>
        </w:rPr>
        <w:t xml:space="preserve">11.8 </w:t>
      </w:r>
      <w:r>
        <w:rPr>
          <w:rFonts w:hint="eastAsia" w:ascii="Times New Roman" w:hAnsi="Times New Roman"/>
          <w:b/>
          <w:color w:val="000000"/>
          <w:kern w:val="0"/>
          <w:sz w:val="24"/>
        </w:rPr>
        <w:t>其他重大事件</w:t>
      </w:r>
      <w:bookmarkEnd w:id="5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890"/>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公告事项</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法定披露方式</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创金合信基金管理有限公司关于增加招商银行为创金合信量化多因子股票型证券投资基金基金代销机构的公告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创金合信基金管理有限公司旗下基金增加海通证券为代销机构并参与其费率优惠的公告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创金合信基金管理有限公司关于延长创金合信量化多因子股票型证券投资基金募集期的公告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创金合信基金管理有限公司关于创金合信量化多因子股票型证券投资基金提前结束募集的公告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创金合信量化多因子股票型证券投资基金基金合同生效公告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创金合信量化多因子股票型证券投资基金基金经理变更公告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创金合信基金管理有限公司旗下基金增加华夏银行为代销机构并参与其费率优惠的公告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创金合信基金管理有限公司关于旗下基金增加定期定额投资业务代销机构的公告（工行）</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创金合信基金管理有限公司旗下基金参与工商银行费率优惠的公告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w:t>
            </w:r>
            <w:r>
              <w:rPr>
                <w:rFonts w:hint="default" w:ascii="Times New Roman" w:hAnsi="Times New Roman"/>
                <w:color w:val="000000"/>
                <w:kern w:val="0"/>
                <w:sz w:val="24"/>
              </w:rPr>
              <w:t xml:space="preserve"> </w:t>
            </w:r>
            <w:r>
              <w:rPr>
                <w:rFonts w:hint="eastAsia" w:ascii="Times New Roman" w:hAnsi="Times New Roman"/>
                <w:color w:val="000000"/>
                <w:kern w:val="0"/>
                <w:sz w:val="24"/>
              </w:rPr>
              <w:t>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r>
              <w:rPr>
                <w:rFonts w:hint="default" w:ascii="Times New Roman" w:hAnsi="Times New Roman"/>
                <w:color w:val="000000"/>
                <w:kern w:val="0"/>
                <w:sz w:val="24"/>
              </w:rPr>
              <w:t xml:space="preserve"> </w:t>
            </w:r>
            <w:r>
              <w:rPr>
                <w:rFonts w:hint="eastAsia" w:ascii="Times New Roman" w:hAnsi="Times New Roman"/>
                <w:color w:val="000000"/>
                <w:kern w:val="0"/>
                <w:sz w:val="24"/>
              </w:rPr>
              <w:t>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创金合信基金关于调整创金合信量化多因子股票型证券投资基金申购金额下限的公告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w:t>
            </w:r>
            <w:r>
              <w:rPr>
                <w:rFonts w:hint="default" w:ascii="Times New Roman" w:hAnsi="Times New Roman"/>
                <w:color w:val="000000"/>
                <w:kern w:val="0"/>
                <w:sz w:val="24"/>
              </w:rPr>
              <w:t xml:space="preserve"> </w:t>
            </w:r>
            <w:r>
              <w:rPr>
                <w:rFonts w:hint="eastAsia" w:ascii="Times New Roman" w:hAnsi="Times New Roman"/>
                <w:color w:val="000000"/>
                <w:kern w:val="0"/>
                <w:sz w:val="24"/>
              </w:rPr>
              <w:t>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3</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创金合信基金管理有限公司关于旗下部分产品增加代销机构的公告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创金合信基金管理有限公司关于旗下创金合信量化多因子股票型证券投资基金调整申购金额起点的公告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2016-12-28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0" w:name="_Toc477899858"/>
      <w:r>
        <w:rPr>
          <w:rFonts w:hint="eastAsia" w:ascii="Times New Roman" w:hAnsi="Times New Roman"/>
          <w:b/>
          <w:color w:val="000000"/>
          <w:kern w:val="0"/>
          <w:sz w:val="24"/>
        </w:rPr>
        <w:t>§</w:t>
      </w:r>
      <w:r>
        <w:rPr>
          <w:rFonts w:hint="default" w:ascii="Times New Roman" w:hAnsi="Times New Roman"/>
          <w:b/>
          <w:color w:val="000000"/>
          <w:kern w:val="0"/>
          <w:sz w:val="24"/>
        </w:rPr>
        <w:t xml:space="preserve">12  </w:t>
      </w:r>
      <w:r>
        <w:rPr>
          <w:rFonts w:hint="eastAsia" w:ascii="Times New Roman" w:hAnsi="Times New Roman"/>
          <w:b/>
          <w:color w:val="000000"/>
          <w:kern w:val="0"/>
          <w:sz w:val="24"/>
        </w:rPr>
        <w:t>影响投资者决策的其他重要信息</w:t>
      </w:r>
      <w:bookmarkEnd w:id="60"/>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145"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本报告期内未出现影响投资者决策的其他重要信息。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1" w:name="_Toc477899859"/>
      <w:r>
        <w:rPr>
          <w:rFonts w:hint="eastAsia" w:ascii="Times New Roman" w:hAnsi="Times New Roman"/>
          <w:b/>
          <w:color w:val="000000"/>
          <w:kern w:val="0"/>
          <w:sz w:val="24"/>
        </w:rPr>
        <w:t>§</w:t>
      </w:r>
      <w:r>
        <w:rPr>
          <w:rFonts w:hint="default" w:ascii="Times New Roman" w:hAnsi="Times New Roman"/>
          <w:b/>
          <w:color w:val="000000"/>
          <w:kern w:val="0"/>
          <w:sz w:val="24"/>
        </w:rPr>
        <w:t xml:space="preserve">13 </w:t>
      </w:r>
      <w:r>
        <w:rPr>
          <w:rFonts w:hint="eastAsia" w:ascii="Times New Roman" w:hAnsi="Times New Roman"/>
          <w:b/>
          <w:color w:val="000000"/>
          <w:kern w:val="0"/>
          <w:sz w:val="24"/>
        </w:rPr>
        <w:t>备查文件目录</w:t>
      </w:r>
      <w:bookmarkEnd w:id="6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2" w:name="_Toc477899860"/>
      <w:r>
        <w:rPr>
          <w:rFonts w:hint="default" w:ascii="Times New Roman" w:hAnsi="Times New Roman"/>
          <w:b/>
          <w:color w:val="000000"/>
          <w:kern w:val="0"/>
          <w:sz w:val="24"/>
        </w:rPr>
        <w:t xml:space="preserve">13.1 </w:t>
      </w:r>
      <w:r>
        <w:rPr>
          <w:rFonts w:hint="eastAsia" w:ascii="Times New Roman" w:hAnsi="Times New Roman"/>
          <w:b/>
          <w:color w:val="000000"/>
          <w:kern w:val="0"/>
          <w:sz w:val="24"/>
        </w:rPr>
        <w:t>备查文件目录</w:t>
      </w:r>
      <w:bookmarkEnd w:id="6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、《创金合信量化多因子股票型证券投资基金基金合同》；</w:t>
      </w:r>
      <w:r>
        <w:rPr>
          <w:rFonts w:hint="default" w:ascii="Times New Roman" w:hAnsi="Times New Roman"/>
          <w:color w:val="000000"/>
          <w:kern w:val="0"/>
          <w:sz w:val="24"/>
        </w:rPr>
        <w:t>2</w:t>
      </w:r>
      <w:r>
        <w:rPr>
          <w:rFonts w:hint="eastAsia" w:ascii="Times New Roman" w:hAnsi="Times New Roman"/>
          <w:color w:val="000000"/>
          <w:kern w:val="0"/>
          <w:sz w:val="24"/>
        </w:rPr>
        <w:t>、《创金合信量化多因子股票型证券投资基金托管协议》；</w:t>
      </w:r>
      <w:r>
        <w:rPr>
          <w:rFonts w:hint="default" w:ascii="Times New Roman" w:hAnsi="Times New Roman"/>
          <w:color w:val="000000"/>
          <w:kern w:val="0"/>
          <w:sz w:val="24"/>
        </w:rPr>
        <w:t>3</w:t>
      </w: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年年度报告原文</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3" w:name="_Toc477899861"/>
      <w:r>
        <w:rPr>
          <w:rFonts w:hint="default" w:ascii="Times New Roman" w:hAnsi="Times New Roman"/>
          <w:b/>
          <w:color w:val="000000"/>
          <w:kern w:val="0"/>
          <w:sz w:val="24"/>
        </w:rPr>
        <w:t xml:space="preserve">13.2 </w:t>
      </w:r>
      <w:r>
        <w:rPr>
          <w:rFonts w:hint="eastAsia" w:ascii="Times New Roman" w:hAnsi="Times New Roman"/>
          <w:b/>
          <w:color w:val="000000"/>
          <w:kern w:val="0"/>
          <w:sz w:val="24"/>
        </w:rPr>
        <w:t>存放地点</w:t>
      </w:r>
      <w:bookmarkEnd w:id="6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4" w:name="_Toc477899862"/>
      <w:r>
        <w:rPr>
          <w:rFonts w:hint="default" w:ascii="Times New Roman" w:hAnsi="Times New Roman"/>
          <w:b/>
          <w:color w:val="000000"/>
          <w:kern w:val="0"/>
          <w:sz w:val="24"/>
        </w:rPr>
        <w:t xml:space="preserve">13.3 </w:t>
      </w:r>
      <w:r>
        <w:rPr>
          <w:rFonts w:hint="eastAsia" w:ascii="Times New Roman" w:hAnsi="Times New Roman"/>
          <w:b/>
          <w:color w:val="000000"/>
          <w:kern w:val="0"/>
          <w:sz w:val="24"/>
        </w:rPr>
        <w:t>查阅方式</w:t>
      </w:r>
      <w:bookmarkEnd w:id="64"/>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创金合信基金管理有限公司</w:t>
      </w: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beforeLines="0" w:afterLines="0"/>
      <w:jc w:val="left"/>
      <w:rPr>
        <w:rFonts w:hint="default" w:ascii="宋体"/>
        <w:kern w:val="0"/>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nil"/>
            <w:left w:val="nil"/>
            <w:bottom w:val="nil"/>
            <w:right w:val="nil"/>
            <w:tl2br w:val="nil"/>
            <w:tr2bl w:val="nil"/>
          </w:tcBorders>
          <w:noWrap w:val="0"/>
          <w:vAlign w:val="top"/>
        </w:tcPr>
        <w:p>
          <w:pPr>
            <w:autoSpaceDE w:val="0"/>
            <w:autoSpaceDN w:val="0"/>
            <w:adjustRightInd w:val="0"/>
            <w:spacing w:beforeLines="0" w:afterLines="0" w:line="240" w:lineRule="atLeast"/>
            <w:jc w:val="left"/>
            <w:rPr>
              <w:rFonts w:hint="default" w:ascii="宋体"/>
              <w:kern w:val="0"/>
              <w:sz w:val="24"/>
            </w:rPr>
          </w:pPr>
          <w:r>
            <w:rPr>
              <w:rFonts w:hint="default" w:ascii="宋体" w:eastAsia="Times New Roman"/>
              <w:kern w:val="0"/>
              <w:sz w:val="24"/>
            </w:rPr>
            <w:pict>
              <v:shape id="_x0000_i1025" o:spt="75" type="#_x0000_t75" style="height:16.2pt;width:14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l2br w:val="nil"/>
            <w:tr2bl w:val="nil"/>
          </w:tcBorders>
          <w:noWrap w:val="0"/>
          <w:vAlign w:val="center"/>
        </w:tcPr>
        <w:p>
          <w:pPr>
            <w:autoSpaceDE w:val="0"/>
            <w:autoSpaceDN w:val="0"/>
            <w:adjustRightInd w:val="0"/>
            <w:spacing w:before="30" w:beforeLines="0" w:afterLines="0" w:line="211" w:lineRule="exact"/>
            <w:ind w:left="15"/>
            <w:jc w:val="right"/>
            <w:rPr>
              <w:rFonts w:hint="default" w:ascii="宋体"/>
              <w:color w:val="000000"/>
              <w:kern w:val="0"/>
              <w:sz w:val="21"/>
            </w:rPr>
          </w:pPr>
          <w:r>
            <w:rPr>
              <w:rFonts w:hint="eastAsia" w:ascii="宋体"/>
              <w:color w:val="000000"/>
              <w:kern w:val="0"/>
              <w:sz w:val="21"/>
            </w:rPr>
            <w:t>创金合信量化多因子股票型证券投资基金2016年年度报告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gridSpan w:val="2"/>
          <w:tcBorders>
            <w:top w:val="single" w:color="000000" w:sz="8" w:space="0"/>
            <w:left w:val="nil"/>
            <w:bottom w:val="nil"/>
            <w:right w:val="nil"/>
            <w:tl2br w:val="nil"/>
            <w:tr2bl w:val="nil"/>
          </w:tcBorders>
          <w:noWrap w:val="0"/>
          <w:vAlign w:val="top"/>
        </w:tcPr>
        <w:p>
          <w:pPr>
            <w:autoSpaceDE w:val="0"/>
            <w:autoSpaceDN w:val="0"/>
            <w:adjustRightInd w:val="0"/>
            <w:spacing w:beforeLines="0" w:afterLines="0"/>
            <w:jc w:val="left"/>
            <w:rPr>
              <w:rFonts w:hint="default" w:ascii="Arial"/>
              <w:color w:val="000000"/>
              <w:kern w:val="0"/>
              <w:sz w:val="11"/>
            </w:rPr>
          </w:pPr>
        </w:p>
      </w:tc>
    </w:tr>
  </w:tbl>
  <w:p>
    <w:pPr>
      <w:spacing w:beforeLines="0" w:afterLines="0"/>
      <w:rPr>
        <w:rFonts w:hint="default"/>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3A8F21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qFormat="1" w:uiPriority="99" w:name="toa heading"/>
    <w:lsdException w:unhideWhenUsed="0" w:uiPriority="99" w:semiHidden="0" w:name="List"/>
    <w:lsdException w:unhideWhenUsed="0" w:uiPriority="99" w:semiHidden="0" w:name="List Bullet"/>
    <w:lsdException w:qFormat="1" w:uiPriority="99" w:name="List Number"/>
    <w:lsdException w:qFormat="1"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uiPriority="1"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qFormat="1" w:uiPriority="99" w:name="List Continue 4"/>
    <w:lsdException w:qFormat="1" w:uiPriority="99" w:name="List Continue 5"/>
    <w:lsdException w:qFormat="1" w:uiPriority="99"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iPriority="22" w:name="Strong"/>
    <w:lsdException w:qFormat="1" w:uiPriority="20" w:name="Emphasis"/>
    <w:lsdException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semiHidden="0" w:name="Balloon Text"/>
    <w:lsdException w:qFormat="1" w:uiPriority="59" w:name="Table Grid"/>
    <w:lsdException w:unhideWhenUsed="0" w:uiPriority="99" w:semiHidden="0"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0"/>
    <w:pPr>
      <w:widowControl w:val="0"/>
      <w:spacing w:beforeLines="0" w:afterLines="0"/>
      <w:jc w:val="both"/>
    </w:pPr>
    <w:rPr>
      <w:rFonts w:hint="eastAsia" w:ascii="Calibri" w:hAnsi="Calibri" w:eastAsia="宋体"/>
      <w:kern w:val="2"/>
      <w:sz w:val="21"/>
      <w:lang w:val="en-US" w:eastAsia="zh-CN"/>
    </w:rPr>
  </w:style>
  <w:style w:type="character" w:default="1" w:styleId="9">
    <w:name w:val="Default Paragraph Font"/>
    <w:unhideWhenUsed/>
    <w:uiPriority w:val="1"/>
    <w:rPr>
      <w:rFonts w:hint="default"/>
      <w:sz w:val="24"/>
    </w:rPr>
  </w:style>
  <w:style w:type="table" w:default="1" w:styleId="8">
    <w:name w:val="Normal Table"/>
    <w:uiPriority w:val="99"/>
    <w:tblPr>
      <w:tblCellMar>
        <w:top w:w="0" w:type="dxa"/>
        <w:left w:w="108" w:type="dxa"/>
        <w:bottom w:w="0" w:type="dxa"/>
        <w:right w:w="108" w:type="dxa"/>
      </w:tblCellMar>
    </w:tblPr>
  </w:style>
  <w:style w:type="paragraph" w:styleId="2">
    <w:name w:val="Document Map"/>
    <w:basedOn w:val="1"/>
    <w:link w:val="13"/>
    <w:unhideWhenUsed/>
    <w:uiPriority w:val="99"/>
    <w:pPr>
      <w:spacing w:beforeLines="0" w:afterLines="0"/>
    </w:pPr>
    <w:rPr>
      <w:rFonts w:hint="eastAsia" w:ascii="宋体"/>
      <w:sz w:val="18"/>
    </w:rPr>
  </w:style>
  <w:style w:type="paragraph" w:styleId="3">
    <w:name w:val="Balloon Text"/>
    <w:basedOn w:val="1"/>
    <w:link w:val="11"/>
    <w:unhideWhenUsed/>
    <w:uiPriority w:val="99"/>
    <w:pPr>
      <w:spacing w:beforeLines="0" w:afterLines="0"/>
    </w:pPr>
    <w:rPr>
      <w:rFonts w:hint="eastAsia"/>
      <w:sz w:val="18"/>
    </w:rPr>
  </w:style>
  <w:style w:type="paragraph" w:styleId="4">
    <w:name w:val="footer"/>
    <w:basedOn w:val="1"/>
    <w:link w:val="14"/>
    <w:unhideWhenUsed/>
    <w:uiPriority w:val="99"/>
    <w:pPr>
      <w:tabs>
        <w:tab w:val="center" w:pos="4153"/>
        <w:tab w:val="right" w:pos="8306"/>
      </w:tabs>
      <w:snapToGrid w:val="0"/>
      <w:spacing w:beforeLines="0" w:afterLines="0"/>
      <w:jc w:val="left"/>
    </w:pPr>
    <w:rPr>
      <w:rFonts w:hint="eastAsia"/>
      <w:sz w:val="18"/>
    </w:rPr>
  </w:style>
  <w:style w:type="paragraph" w:styleId="5">
    <w:name w:val="header"/>
    <w:basedOn w:val="1"/>
    <w:link w:val="12"/>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6">
    <w:name w:val="toc 1"/>
    <w:basedOn w:val="1"/>
    <w:next w:val="1"/>
    <w:unhideWhenUsed/>
    <w:uiPriority w:val="39"/>
    <w:pPr>
      <w:spacing w:beforeLines="0" w:afterLines="0"/>
    </w:pPr>
    <w:rPr>
      <w:rFonts w:hint="eastAsia"/>
      <w:sz w:val="21"/>
    </w:rPr>
  </w:style>
  <w:style w:type="paragraph" w:styleId="7">
    <w:name w:val="toc 2"/>
    <w:basedOn w:val="1"/>
    <w:next w:val="1"/>
    <w:unhideWhenUsed/>
    <w:uiPriority w:val="39"/>
    <w:pPr>
      <w:spacing w:beforeLines="0" w:afterLines="0"/>
      <w:ind w:left="420" w:leftChars="200"/>
    </w:pPr>
    <w:rPr>
      <w:rFonts w:hint="eastAsia"/>
      <w:sz w:val="21"/>
    </w:rPr>
  </w:style>
  <w:style w:type="character" w:styleId="10">
    <w:name w:val="Hyperlink"/>
    <w:basedOn w:val="9"/>
    <w:unhideWhenUsed/>
    <w:uiPriority w:val="99"/>
    <w:rPr>
      <w:rFonts w:hint="default" w:ascii="Times New Roman"/>
      <w:color w:val="0000FF"/>
      <w:sz w:val="24"/>
      <w:u w:val="single"/>
    </w:rPr>
  </w:style>
  <w:style w:type="character" w:customStyle="1" w:styleId="11">
    <w:name w:val="批注框文本 字符"/>
    <w:basedOn w:val="9"/>
    <w:link w:val="3"/>
    <w:unhideWhenUsed/>
    <w:locked/>
    <w:uiPriority w:val="99"/>
    <w:rPr>
      <w:rFonts w:hint="default" w:ascii="Calibri"/>
      <w:sz w:val="18"/>
    </w:rPr>
  </w:style>
  <w:style w:type="character" w:customStyle="1" w:styleId="12">
    <w:name w:val="页眉 字符"/>
    <w:basedOn w:val="9"/>
    <w:link w:val="5"/>
    <w:unhideWhenUsed/>
    <w:locked/>
    <w:uiPriority w:val="99"/>
    <w:rPr>
      <w:rFonts w:hint="default" w:ascii="Calibri"/>
      <w:sz w:val="18"/>
    </w:rPr>
  </w:style>
  <w:style w:type="character" w:customStyle="1" w:styleId="13">
    <w:name w:val="文档结构图 字符"/>
    <w:basedOn w:val="9"/>
    <w:link w:val="2"/>
    <w:unhideWhenUsed/>
    <w:locked/>
    <w:uiPriority w:val="99"/>
    <w:rPr>
      <w:rFonts w:hint="eastAsia" w:ascii="宋体" w:hAnsi="Calibri" w:eastAsia="宋体"/>
      <w:sz w:val="18"/>
    </w:rPr>
  </w:style>
  <w:style w:type="character" w:customStyle="1" w:styleId="14">
    <w:name w:val="页脚 字符"/>
    <w:basedOn w:val="9"/>
    <w:link w:val="4"/>
    <w:unhideWhenUsed/>
    <w:locked/>
    <w:uiPriority w:val="99"/>
    <w:rPr>
      <w:rFonts w:hint="default" w:ascii="Calibri"/>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2019-12-26T14:04:48Z</dcterms:created>
  <cp:lastModifiedBy>Administrator</cp:lastModifiedBy>
  <dcterms:modified xsi:type="dcterms:W3CDTF">2019-12-26T14:04:51Z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