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1" w:name="_GoBack"/>
      <w:bookmarkEnd w:id="71"/>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创金合信中证500指数增强型发起式证券投资基金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7882"/>
      <w:r>
        <w:rPr>
          <w:rFonts w:hint="eastAsia" w:hAnsi="Calibri"/>
          <w:b/>
          <w:color w:val="000000"/>
        </w:rPr>
        <w:t>§1  重要提示及目录</w:t>
      </w:r>
      <w:bookmarkEnd w:id="0"/>
      <w:r>
        <w:rPr>
          <w:rFonts w:hint="eastAsia"/>
        </w:rPr>
        <w:t xml:space="preserve"> </w:t>
      </w:r>
    </w:p>
    <w:p>
      <w:pPr>
        <w:pStyle w:val="14"/>
        <w:rPr>
          <w:rFonts w:hint="eastAsia"/>
        </w:rPr>
      </w:pPr>
      <w:bookmarkStart w:id="1" w:name="_Toc51010788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7884"/>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"_Toc510107882"</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_Toc510107882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"_Toc510107883"</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_Toc510107883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"_Toc510107884"</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_Toc510107884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"_Toc510107885"</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_Toc510107885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"_Toc510107886"</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_Toc510107886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"_Toc510107887"</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_Toc510107887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"_Toc510107888"</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_Toc510107888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"_Toc510107889"</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_Toc510107889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"_Toc510107890"</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_Toc510107890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"_Toc510107891"</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_Toc510107891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"_Toc510107892"</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_Toc510107892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"_Toc510107893"</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_Toc510107893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"_Toc510107894"</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_Toc510107894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"_Toc510107895"</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_Toc510107895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"_Toc510107896"</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_Toc510107896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"_Toc510107897"</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_Toc510107897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"_Toc510107898"</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_Toc510107898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"_Toc510107899"</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_Toc510107899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"_Toc510107900"</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_Toc510107900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"_Toc510107901"</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_Toc510107901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"_Toc510107902"</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_Toc510107902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"_Toc510107903"</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_Toc510107903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"_Toc510107904"</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_Toc510107904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"_Toc510107905"</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_Toc510107905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"_Toc510107906"</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_Toc510107906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"_Toc510107907"</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_Toc510107907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"_Toc510107908"</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_Toc510107908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"_Toc510107909"</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_Toc510107909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"_Toc510107910"</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_Toc510107910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"_Toc510107911"</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_Toc510107911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"_Toc510107912"</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_Toc510107912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"_Toc510107913"</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_Toc510107913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"_Toc510107914"</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_Toc510107914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"_Toc510107915"</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_Toc510107915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"_Toc510107916"</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_Toc510107916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"_Toc510107917"</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_Toc510107917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"_Toc510107918"</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_Toc510107918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"_Toc510107919"</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_Toc510107919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"_Toc510107920"</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_Toc510107920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"_Toc510107921"</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_Toc510107921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"_Toc510107922"</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_Toc510107922 \h </w:instrText>
      </w:r>
      <w:r>
        <w:rPr>
          <w:lang/>
        </w:rPr>
        <w:fldChar w:fldCharType="separate"/>
      </w:r>
      <w:r>
        <w:rPr>
          <w:lang/>
        </w:rPr>
        <w:t>80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"_Toc510107923"</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_Toc510107923 \h </w:instrText>
      </w:r>
      <w:r>
        <w:rPr>
          <w:lang/>
        </w:rPr>
        <w:fldChar w:fldCharType="separate"/>
      </w:r>
      <w:r>
        <w:rPr>
          <w:lang/>
        </w:rPr>
        <w:t>80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"_Toc510107924"</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_Toc510107924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"_Toc510107925"</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_Toc510107925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"_Toc510107926"</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_Toc510107926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"_Toc510107927"</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_Toc510107927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"_Toc510107928"</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_Toc510107928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"_Toc510107929"</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_Toc510107929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"_Toc510107930"</w:instrText>
      </w:r>
      <w:r>
        <w:rPr>
          <w:rStyle w:val="11"/>
          <w:lang/>
        </w:rPr>
        <w:instrText xml:space="preserve"> </w:instrText>
      </w:r>
      <w:r>
        <w:rPr>
          <w:rStyle w:val="11"/>
          <w:lang/>
        </w:rPr>
        <w:fldChar w:fldCharType="separate"/>
      </w:r>
      <w:r>
        <w:rPr>
          <w:rStyle w:val="11"/>
          <w:b/>
          <w:bCs/>
          <w:lang/>
        </w:rPr>
        <w:t xml:space="preserve">8.12.5 </w:t>
      </w:r>
      <w:r>
        <w:rPr>
          <w:rStyle w:val="11"/>
          <w:rFonts w:hint="eastAsia"/>
          <w:b/>
          <w:bCs/>
          <w:lang/>
        </w:rPr>
        <w:t>期末前十名股票中存在流通受限情况的说明</w:t>
      </w:r>
      <w:r>
        <w:rPr>
          <w:lang/>
        </w:rPr>
        <w:tab/>
      </w:r>
      <w:r>
        <w:rPr>
          <w:lang/>
        </w:rPr>
        <w:fldChar w:fldCharType="begin"/>
      </w:r>
      <w:r>
        <w:rPr>
          <w:lang/>
        </w:rPr>
        <w:instrText xml:space="preserve"> PAGEREF _Toc510107930 \h </w:instrText>
      </w:r>
      <w:r>
        <w:rPr>
          <w:lang/>
        </w:rPr>
        <w:fldChar w:fldCharType="separate"/>
      </w:r>
      <w:r>
        <w:rPr>
          <w:lang/>
        </w:rPr>
        <w:t>82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"_Toc510107931"</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_Toc510107931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"_Toc510107932"</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_Toc510107932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"_Toc510107933"</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_Toc510107933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"_Toc510107934"</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_Toc510107934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"_Toc510107935"</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_Toc510107935 \h </w:instrText>
      </w:r>
      <w:r>
        <w:rPr>
          <w:lang/>
        </w:rPr>
        <w:fldChar w:fldCharType="separate"/>
      </w:r>
      <w:r>
        <w:rPr>
          <w:lang/>
        </w:rPr>
        <w:t>84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"_Toc510107936"</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_Toc510107936 \h </w:instrText>
      </w:r>
      <w:r>
        <w:rPr>
          <w:lang/>
        </w:rPr>
        <w:fldChar w:fldCharType="separate"/>
      </w:r>
      <w:r>
        <w:rPr>
          <w:lang/>
        </w:rPr>
        <w:t>84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"_Toc510107937"</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_Toc510107937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"_Toc510107938"</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_Toc510107938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"_Toc510107939"</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_Toc510107939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"_Toc510107940"</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_Toc510107940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"_Toc510107941"</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_Toc510107941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"_Toc510107942"</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_Toc510107942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"_Toc510107943"</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_Toc510107943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"_Toc510107944"</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_Toc510107944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"_Toc510107945"</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_Toc510107945 \h </w:instrText>
      </w:r>
      <w:r>
        <w:rPr>
          <w:lang/>
        </w:rPr>
        <w:fldChar w:fldCharType="separate"/>
      </w:r>
      <w:r>
        <w:rPr>
          <w:lang/>
        </w:rPr>
        <w:t>86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"_Toc510107946"</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_Toc510107946 \h </w:instrText>
      </w:r>
      <w:r>
        <w:rPr>
          <w:lang/>
        </w:rPr>
        <w:fldChar w:fldCharType="separate"/>
      </w:r>
      <w:r>
        <w:rPr>
          <w:lang/>
        </w:rPr>
        <w:t>91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"_Toc510107947"</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_Toc510107947 \h </w:instrText>
      </w:r>
      <w:r>
        <w:rPr>
          <w:lang/>
        </w:rPr>
        <w:fldChar w:fldCharType="separate"/>
      </w:r>
      <w:r>
        <w:rPr>
          <w:lang/>
        </w:rPr>
        <w:t>91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"_Toc510107948"</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_Toc510107948 \h </w:instrText>
      </w:r>
      <w:r>
        <w:rPr>
          <w:lang/>
        </w:rPr>
        <w:fldChar w:fldCharType="separate"/>
      </w:r>
      <w:r>
        <w:rPr>
          <w:lang/>
        </w:rPr>
        <w:t>92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"_Toc510107949"</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_Toc510107949 \h </w:instrText>
      </w:r>
      <w:r>
        <w:rPr>
          <w:lang/>
        </w:rPr>
        <w:fldChar w:fldCharType="separate"/>
      </w:r>
      <w:r>
        <w:rPr>
          <w:lang/>
        </w:rPr>
        <w:t>92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"_Toc510107950"</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_Toc510107950 \h </w:instrText>
      </w:r>
      <w:r>
        <w:rPr>
          <w:lang/>
        </w:rPr>
        <w:fldChar w:fldCharType="separate"/>
      </w:r>
      <w:r>
        <w:rPr>
          <w:lang/>
        </w:rPr>
        <w:t>92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"_Toc510107951"</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_Toc510107951 \h </w:instrText>
      </w:r>
      <w:r>
        <w:rPr>
          <w:lang/>
        </w:rPr>
        <w:fldChar w:fldCharType="separate"/>
      </w:r>
      <w:r>
        <w:rPr>
          <w:lang/>
        </w:rPr>
        <w:t>92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"_Toc510107952"</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_Toc510107952 \h </w:instrText>
      </w:r>
      <w:r>
        <w:rPr>
          <w:lang/>
        </w:rPr>
        <w:fldChar w:fldCharType="separate"/>
      </w:r>
      <w:r>
        <w:rPr>
          <w:lang/>
        </w:rPr>
        <w:t>92</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788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788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创金合信中证500指数增强型发起式证券投资基金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187,372,943.19份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002316</w:t>
            </w:r>
          </w:p>
        </w:tc>
      </w:tr>
      <w:tr>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177,986,119.86份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9,386,823.33份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788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中证500指数收益率×95%＋一年期人民币定期存款利率（税后）×5%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本基金为股票型基金，理论上其预期风险收益水平高于混合型基金、债券型基金和货币市场基金。本基金主要投资于标的指数成份股及其备选成份股，具有与标的指数类似的风险收益特征。</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788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51010788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789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789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789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407"/>
        <w:gridCol w:w="1237"/>
        <w:gridCol w:w="1237"/>
        <w:gridCol w:w="1237"/>
        <w:gridCol w:w="1237"/>
        <w:gridCol w:w="1345"/>
        <w:gridCol w:w="1345"/>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2015年12月31日（基金合同生效日）-2015年12月31日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16,570,999.88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2,912,953.32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-443,392.77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-247,670.83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18,534,513.80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1,852,451.34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-2,090,291.02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-377,087.28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5,643,105.94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346,524.19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-12,791,044.93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-548,327.55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183,629,225.80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9,733,347.52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163,079,262.58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6,937,498.01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pStyle w:val="14"/>
        <w:rPr>
          <w:rFonts w:hint="eastAsia"/>
        </w:rPr>
      </w:pPr>
      <w:bookmarkStart w:id="11" w:name="_Toc510107893"/>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创金合信中证500增强A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pStyle w:val="17"/>
        <w:rPr>
          <w:rFonts w:hint="eastAsia"/>
        </w:rPr>
      </w:pPr>
      <w:r>
        <w:rPr>
          <w:rFonts w:hint="eastAsia" w:hAnsi="Calibri"/>
          <w:color w:val="000000"/>
        </w:rPr>
        <w:t>创金合信中证500增强C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2311_FB010010_20180002_2.jpg" type="#_x0000_t75" style="height:286.2pt;width:441pt;" filled="f" stroked="f" coordsize="21600,21600">
            <v:path/>
            <v:fill on="f" focussize="0,0"/>
            <v:stroke on="f"/>
            <v:imagedata r:id="rId10" grayscale="f" bilevel="f" o:title="CN_50990000_002311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2311_FB010010_20180002_3.jpg" type="#_x0000_t75" style="height:286.2pt;width:441pt;" filled="f" stroked="f" coordsize="21600,21600">
            <v:path/>
            <v:fill on="f" focussize="0,0"/>
            <v:stroke on="f"/>
            <v:imagedata r:id="rId11" grayscale="f" bilevel="f" o:title="CN_50990000_002311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2311_FB010010_20180002_4.jpg" type="#_x0000_t75" style="height:285.95pt;width:440.6pt;" filled="f" stroked="f" coordsize="21600,21600">
            <v:path/>
            <v:fill on="f" focussize="0,0"/>
            <v:stroke on="f"/>
            <v:imagedata r:id="rId12" grayscale="f" bilevel="f" o:title="CN_50990000_002311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2311_FB010010_20180002_5.jpg" type="#_x0000_t75" style="height:285.95pt;width:440.6pt;" filled="f" stroked="f" coordsize="21600,21600">
            <v:path/>
            <v:fill on="f" focussize="0,0"/>
            <v:stroke on="f"/>
            <v:imagedata r:id="rId13" grayscale="f" bilevel="f" o:title="CN_50990000_002311_FB010010_20180002_5"/>
            <o:lock v:ext="edit" grouping="f" rotation="f" aspectratio="t"/>
            <w10:wrap type="none"/>
            <w10:anchorlock/>
          </v:shape>
        </w:pict>
      </w:r>
    </w:p>
    <w:p>
      <w:pPr>
        <w:pStyle w:val="14"/>
        <w:rPr>
          <w:rFonts w:hint="eastAsia"/>
        </w:rPr>
      </w:pPr>
      <w:bookmarkStart w:id="12" w:name="_Toc510107894"/>
      <w:r>
        <w:rPr>
          <w:rFonts w:hint="eastAsia" w:hAnsi="Calibri"/>
          <w:b/>
          <w:color w:val="000000"/>
        </w:rPr>
        <w:t>3.3 过去三年基金的利润分配情况</w:t>
      </w:r>
      <w:bookmarkEnd w:id="12"/>
    </w:p>
    <w:p>
      <w:pPr>
        <w:pStyle w:val="20"/>
        <w:rPr>
          <w:rFonts w:hint="eastAsia"/>
        </w:rPr>
      </w:pPr>
      <w:r>
        <w:rPr>
          <w:rFonts w:hint="eastAsia"/>
        </w:rPr>
        <w:t>本基金自基金合同生效日(2015年12月31日)至本报告期末未发生利润分配。</w:t>
      </w:r>
    </w:p>
    <w:p>
      <w:pPr>
        <w:pStyle w:val="13"/>
        <w:rPr>
          <w:rFonts w:hint="eastAsia"/>
        </w:rPr>
      </w:pPr>
      <w:bookmarkStart w:id="13" w:name="_Toc51010789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7896"/>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7897"/>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7898"/>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22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7899"/>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中证500增强A基金份额净值为1.0317元;本报告期内，基金份额净值增长率为11.26%，同期业绩比较基准收益率为-0.07%;截至报告期末创金合信中证500增强C基金份额净值为1.0369元;本报告期内，基金份额净值增长率为11.88%，同期业绩比较基准收益率为-0.07%。</w:t>
      </w:r>
    </w:p>
    <w:p>
      <w:pPr>
        <w:widowControl/>
        <w:jc w:val="left"/>
        <w:rPr>
          <w:rFonts w:hint="eastAsia" w:ascii="宋体" w:hAnsi="宋体" w:cs="宋体"/>
          <w:kern w:val="0"/>
          <w:sz w:val="24"/>
          <w:szCs w:val="24"/>
        </w:rPr>
      </w:pPr>
    </w:p>
    <w:p>
      <w:pPr>
        <w:pStyle w:val="14"/>
        <w:rPr>
          <w:rFonts w:hint="eastAsia"/>
        </w:rPr>
      </w:pPr>
      <w:bookmarkStart w:id="18" w:name="_Toc510107900"/>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107901"/>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7902"/>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7903"/>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7904"/>
      <w:r>
        <w:rPr>
          <w:rFonts w:hint="eastAsia"/>
          <w:b/>
          <w:bCs/>
        </w:rPr>
        <w:t>4.9 报告期内管理人对本基金持有人数或基金资产净值预警情形的说明</w:t>
      </w:r>
      <w:bookmarkEnd w:id="22"/>
    </w:p>
    <w:p>
      <w:pPr>
        <w:pStyle w:val="20"/>
        <w:rPr>
          <w:rFonts w:hint="eastAsia"/>
        </w:rPr>
      </w:pPr>
      <w:r>
        <w:rPr>
          <w:rFonts w:hint="eastAsia"/>
        </w:rPr>
        <w:t>  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51010790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7906"/>
      <w:r>
        <w:rPr>
          <w:rFonts w:hint="eastAsia"/>
          <w:b/>
          <w:bCs/>
        </w:rPr>
        <w:t>5.1 报告期内本基金托管人遵规守信情况声明</w:t>
      </w:r>
      <w:bookmarkEnd w:id="24"/>
    </w:p>
    <w:p>
      <w:pPr>
        <w:pStyle w:val="20"/>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7907"/>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7908"/>
      <w:r>
        <w:rPr>
          <w:rFonts w:hint="eastAsia"/>
          <w:b/>
          <w:bCs/>
        </w:rPr>
        <w:t>5.3 托管人对本年度报告中财务信息等内容的真实、准确和完整发表意见</w:t>
      </w:r>
      <w:bookmarkEnd w:id="26"/>
    </w:p>
    <w:p>
      <w:pPr>
        <w:pStyle w:val="20"/>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3"/>
        <w:rPr>
          <w:rFonts w:hint="eastAsia"/>
        </w:rPr>
      </w:pPr>
      <w:bookmarkStart w:id="27" w:name="_Toc51010790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791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普华永道中天审字（2018）第21832号</w:t>
            </w:r>
          </w:p>
        </w:tc>
      </w:tr>
    </w:tbl>
    <w:p>
      <w:pPr>
        <w:widowControl/>
        <w:jc w:val="left"/>
        <w:rPr>
          <w:rFonts w:hint="eastAsia" w:ascii="宋体" w:hAnsi="宋体" w:cs="宋体"/>
          <w:kern w:val="0"/>
          <w:sz w:val="24"/>
          <w:szCs w:val="24"/>
        </w:rPr>
      </w:pPr>
    </w:p>
    <w:p>
      <w:pPr>
        <w:pStyle w:val="14"/>
        <w:rPr>
          <w:rFonts w:hint="eastAsia"/>
        </w:rPr>
      </w:pPr>
      <w:bookmarkStart w:id="29" w:name="_Toc51010791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创金合信中证500指数增强型发起式证券投资基金全体基金份额持有人</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我们审计了创金合信中证500指数增强型发起式证券投资基金 (以下简称"创金合信中证500增强基金")的财务报表，包括2017年12月31日的资产负债表，2017年度的利润表和所有者权益(基金净值)变动表以及财务报表附注。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中证500增强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按照中国注册会计师职业道德守则，我们独立于创金合信中证500增强基金，并履行了职业道德方面的其他责任。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中证500增强基金的持续经营能力，披露与持续经营相关的事项(如适用)，并运用持续经营假设，除非基金管理人管理层计划清算创金合信中证500增强基金、终止运营或别无其他现实的选择。 基金管理人治理层负责监督创金合信中证500增强基金的财务报告过程。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中证500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中证500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791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7913"/>
      <w:r>
        <w:rPr>
          <w:rFonts w:hint="eastAsia"/>
          <w:b/>
          <w:bCs/>
        </w:rPr>
        <w:t>7.1 资产负债表</w:t>
      </w:r>
      <w:bookmarkEnd w:id="31"/>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2,074,116.62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55,879.49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92,251.35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2,546.16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188,433,576.88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10,781.53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26,001.46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170,282,320.00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3,082.87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129,241.55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34,603.84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16,155.21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4,325.50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183,088.16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802,459.90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265,559.41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187,372,943.19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183,356,133.07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5,989,630.13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-13,339,372.48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170,016,760.59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170,282,320.00</w:t>
            </w:r>
          </w:p>
        </w:tc>
      </w:tr>
    </w:tbl>
    <w:p>
      <w:pPr>
        <w:pStyle w:val="20"/>
        <w:rPr>
          <w:rFonts w:hint="eastAsia"/>
        </w:rPr>
      </w:pPr>
      <w:r>
        <w:rPr>
          <w:rFonts w:hint="eastAsia"/>
        </w:rPr>
        <w:t>注：报告截止日2017年12月31日，基金份额总额187,372,943.19份，其中下属A类基金份额177,986,119.86份，C类基金份额9,386,823.33份。下属A类基金份额净值1.0317元，C类基金份额净值1.0369元。</w:t>
      </w:r>
    </w:p>
    <w:p>
      <w:pPr>
        <w:pStyle w:val="14"/>
        <w:rPr>
          <w:rFonts w:hint="eastAsia"/>
        </w:rPr>
      </w:pPr>
      <w:bookmarkStart w:id="32" w:name="_Toc510107914"/>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27,151,866.49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-1,931,713.16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115,057.55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15,668.49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103,036.56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15,668.49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26,017,138.58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-175,858.88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24,426,363.38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-252,020.51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76,161.63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4,791.93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6,764,901.35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535,665.14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1,547,010.45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100,694.56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193,376.29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12,586.79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4,662.51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346,146.38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178,388.44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71,574.90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-2,467,378.30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-2,467,378.30</w:t>
            </w:r>
          </w:p>
        </w:tc>
      </w:tr>
    </w:tbl>
    <w:p>
      <w:pPr>
        <w:pStyle w:val="14"/>
        <w:rPr>
          <w:rFonts w:hint="eastAsia"/>
        </w:rPr>
      </w:pPr>
      <w:bookmarkStart w:id="33" w:name="_Toc510107915"/>
      <w:r>
        <w:rPr>
          <w:rFonts w:hint="eastAsia"/>
          <w:b/>
          <w:bCs/>
        </w:rPr>
        <w:t>7.3 所有者权益（基金净值）变动表</w:t>
      </w:r>
      <w:bookmarkEnd w:id="33"/>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183,356,133.07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-13,339,372.48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170,016,760.59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4,016,810.12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-1,057,962.53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2,958,847.59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76,197,293.10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-1,553,884.15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74,643,408.95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-72,180,482.98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495,921.62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-71,684,561.36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187,372,943.19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5,989,630.13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-2,467,378.30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-2,467,378.30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173,356,133.07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-10,872,394.18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162,483,738.89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175,269,475.92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-11,053,790.72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164,215,685.20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-1,913,342.85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181,396.54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-1,731,946.31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183,356,133.07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-13,339,372.48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170,016,760.59</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7916"/>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中证500指数增强型发起式证券投资基金(以下简称"本基金")经中国证券监督管理委员会(以下简称"中国证监会")证监许可[2015]3049号《关于准予创金合信中证500指数增强型发起式证券投资基金注册的批复》核准，由创金合信基金管理有限公司依照《中华人民共和国证券投资基金法》和《创金合信中证500指数增强型发起式证券投资基金基金合同》负责公开募集。本基金为契约型开放式，存续期限不定，首次设立募集不包括认购资金利息共募集人民币10,000,000.00元，业经普华永道中天会计师事务所(特殊普通合伙)普华永道中天验字(2015)第1505号验资报告予以验证。经向中国证监会备案，《创金合信中证500指数增强型发起式证券投资基金基金合同》于2015年12月31日正式生效，基金合同生效日的基金份额总额为10,000,000.00份基金份额。本基金的基金管理人为创金合信基金管理有限公司，基金托管人为招商银行股份有限公司(以下简称"招商银行")。</w:t>
      </w:r>
      <w:r>
        <w:rPr>
          <w:rFonts w:hint="eastAsia"/>
        </w:rPr>
        <w:br w:type="textWrapping"/>
      </w:r>
      <w:r>
        <w:rPr>
          <w:rFonts w:hint="eastAsia"/>
        </w:rPr>
        <w:t>  本基金为发起式基金，发起资金认购部分为10,000,000.00份基金份额，发起资金认购方承诺使用发起资金认购的基金份额持有期限不少于3年。</w:t>
      </w:r>
      <w:r>
        <w:rPr>
          <w:rFonts w:hint="eastAsia"/>
        </w:rPr>
        <w:br w:type="textWrapping"/>
      </w:r>
      <w:r>
        <w:rPr>
          <w:rFonts w:hint="eastAsia"/>
        </w:rPr>
        <w:t>  根据《中华人民共和国证券投资基金法》和《创金合信中证500指数增强型发起式证券投资基金基金合同》的有关规定，本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中证500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中证500指数增强型发起式证券投资基金基金合同》和在财务报表附注7.4.4所列示的中国证监会、中国基金业协会发布的有关规定及允许的基金行业实务操作编制。</w:t>
      </w:r>
      <w:r>
        <w:rPr>
          <w:rFonts w:hint="eastAsia"/>
        </w:rPr>
        <w:br w:type="textWrapping"/>
      </w:r>
      <w:r>
        <w:rPr>
          <w:rFonts w:hint="eastAsia"/>
        </w:rPr>
        <w:t>  根据《公开募集证券投资基金运作管理办法》的相关规定，发起式基金的基金合同生效三年后，若基金资产净值低于人民币两亿元的，基金合同自动终止。于2017年12月31日，本基金的基金资产净值为人民币193,362,573.32元，且本基金的基金合同将于未来12个月内生效满三年，本基金的管理人预计基金资产净值届时将高于人民币两亿元，故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 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w:t>
      </w:r>
      <w:r>
        <w:rPr>
          <w:rFonts w:hint="eastAsia"/>
        </w:rPr>
        <w:br w:type="textWrapping"/>
      </w:r>
      <w:r>
        <w:rPr>
          <w:rFonts w:hint="eastAsia"/>
        </w:rPr>
        <w:t>  (2) 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w:t>
      </w:r>
      <w:r>
        <w:rPr>
          <w:rFonts w:hint="eastAsia"/>
        </w:rPr>
        <w:br w:type="textWrapping"/>
      </w:r>
      <w:r>
        <w:rPr>
          <w:rFonts w:hint="eastAsia"/>
        </w:rPr>
        <w:t>  (1)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w:t>
      </w:r>
      <w:r>
        <w:rPr>
          <w:rFonts w:hint="eastAsia"/>
        </w:rPr>
        <w:br w:type="textWrapping"/>
      </w:r>
      <w:r>
        <w:rPr>
          <w:rFonts w:hint="eastAsia"/>
        </w:rPr>
        <w:t>  (2)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w:t>
      </w:r>
      <w:r>
        <w:rPr>
          <w:rFonts w:hint="eastAsia"/>
        </w:rPr>
        <w:br w:type="textWrapping"/>
      </w:r>
      <w:r>
        <w:rPr>
          <w:rFonts w:hint="eastAsia"/>
        </w:rPr>
        <w:t>  (3)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w:t>
      </w:r>
      <w:r>
        <w:rPr>
          <w:rFonts w:hint="eastAsia"/>
        </w:rPr>
        <w:br w:type="textWrapping"/>
      </w:r>
      <w:r>
        <w:rPr>
          <w:rFonts w:hint="eastAsia"/>
        </w:rPr>
        <w:t>  (2)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 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 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 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179,249,624.64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-853,832.16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189,306,879.64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188,433,576.88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-873,302.76</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163,000,914.67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163,000,914.67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10,752.71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10,781.53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183,088.16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183,088.16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创金合信中证500增强A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175,870,307.51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175,870,307.51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3,884,924.23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3,884,924.23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-1,769,111.88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-1,769,111.88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177,986,119.86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177,986,119.86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创金合信中证500增强C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7,485,825.56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7,485,825.56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72,312,368.87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72,312,368.87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-70,411,371.10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-70,411,371.10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9,386,823.33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9,386,823.33</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创金合信中证500增强A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-9,181,639.65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-3,609,405.28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-12,791,044.93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16,570,999.88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1,963,513.92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18,534,513.80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-59,917.01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-40,445.92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-100,362.93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-34,557.65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-34,952.37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-69,510.02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-25,359.36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-5,493.55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-30,852.91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7,329,443.22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-1,686,337.28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5,643,105.94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创金合信中证500增强C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-394,556.86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-153,770.69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-548,327.55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2,912,953.32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-1,060,501.98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1,852,451.34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-2,083,601.24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1,126,001.64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-957,599.60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-1,946,240.86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461,866.73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-1,484,374.13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-137,360.38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664,134.91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526,774.53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434,795.22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-88,271.03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346,524.19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14,804.68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31,596.14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103,036.56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15,668.49</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2,491,213,475.14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62,827,417.68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2,466,787,111.76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63,079,438.19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24,426,363.38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-252,020.51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386,941.45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76,161.63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76,161.63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922,482.54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116,542.08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4,791.93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346,146.38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346,146.38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178,388.44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71,574.90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293"/>
        <w:gridCol w:w="1762"/>
        <w:gridCol w:w="1117"/>
        <w:gridCol w:w="176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2,980,649,538.39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42,301,857.45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14.64%</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955,926.23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410,570.62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79.56%</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7"/>
        <w:gridCol w:w="1997"/>
        <w:gridCol w:w="823"/>
        <w:gridCol w:w="199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10,002,196.45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7"/>
        <w:gridCol w:w="1997"/>
        <w:gridCol w:w="823"/>
        <w:gridCol w:w="199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1,547,010.45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100,694.56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976.06</w:t>
            </w:r>
          </w:p>
        </w:tc>
      </w:tr>
    </w:tbl>
    <w:p>
      <w:pPr>
        <w:pStyle w:val="20"/>
        <w:rPr>
          <w:rFonts w:hint="eastAsia"/>
        </w:rPr>
      </w:pPr>
      <w:r>
        <w:rPr>
          <w:rFonts w:hint="eastAsia"/>
        </w:rPr>
        <w:t>注：支付基金管理人创金合信的管理人报酬按前一日基金资产净值0.80%的年费率计提，逐日累计至每月月底，按月支付。其计算公式为：</w:t>
      </w:r>
      <w:r>
        <w:rPr>
          <w:rFonts w:hint="eastAsia"/>
        </w:rPr>
        <w:br w:type="textWrapping"/>
      </w:r>
      <w:r>
        <w:rPr>
          <w:rFonts w:hint="eastAsia"/>
        </w:rPr>
        <w:t>日管理人报酬＝前一日基金资产净值X 0.80% / 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193,376.29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12,586.79</w:t>
            </w:r>
          </w:p>
        </w:tc>
      </w:tr>
    </w:tbl>
    <w:p>
      <w:pPr>
        <w:pStyle w:val="20"/>
        <w:rPr>
          <w:rFonts w:hint="eastAsia"/>
        </w:rPr>
      </w:pPr>
      <w:r>
        <w:rPr>
          <w:rFonts w:hint="eastAsia"/>
        </w:rPr>
        <w:t>注：支付基金托管人招商银行股份有限公司的托管费按前一日基金资产净值0.10%的年费率计提，逐日累计至每月月底，按月支付。其计算公式为：</w:t>
      </w:r>
      <w:r>
        <w:rPr>
          <w:rFonts w:hint="eastAsia"/>
        </w:rPr>
        <w:br w:type="textWrapping"/>
      </w:r>
      <w:r>
        <w:rPr>
          <w:rFonts w:hint="eastAsia"/>
        </w:rPr>
        <w:t>日托管费＝前一日基金资产净值X 0.10% / 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608"/>
        <w:gridCol w:w="2608"/>
        <w:gridCol w:w="1302"/>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16,264.20</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4,429.28</w:t>
            </w:r>
          </w:p>
        </w:tc>
      </w:tr>
    </w:tbl>
    <w:p>
      <w:pPr>
        <w:pStyle w:val="20"/>
        <w:rPr>
          <w:rFonts w:hint="eastAsia"/>
        </w:rPr>
      </w:pPr>
      <w:r>
        <w:rPr>
          <w:rFonts w:hint="eastAsia"/>
        </w:rPr>
        <w:t>注：支付基金销售机构的销售服务费按前一日C类基金的基金资产净值0.1%的年费率计提，逐日累计至每月月底，按月支付给创金合信基金管理有限公司，再由创金合信基金管理有限公司计算并支付给各基金销售机构。其计算公式为：日销售服务费＝C类基金前一日基金资产净值× 0.1%/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创金合信中证500增强A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w:t>
            </w:r>
          </w:p>
        </w:tc>
      </w:tr>
    </w:tbl>
    <w:p>
      <w:pPr>
        <w:pStyle w:val="17"/>
        <w:rPr>
          <w:rFonts w:hint="eastAsia"/>
        </w:rPr>
      </w:pPr>
      <w:r>
        <w:rPr>
          <w:rFonts w:hint="eastAsia" w:hAnsi="Calibri"/>
          <w:color w:val="000000"/>
        </w:rPr>
        <w:t>创金合信中证500增强C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66.79%</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本基金本报告期末及上年度末除基金管理人以外的其他关联方未投资本基金。</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556"/>
        <w:gridCol w:w="1556"/>
        <w:gridCol w:w="1651"/>
        <w:gridCol w:w="1651"/>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14,804.68</w:t>
            </w:r>
          </w:p>
        </w:tc>
      </w:tr>
    </w:tbl>
    <w:p>
      <w:pPr>
        <w:pStyle w:val="20"/>
        <w:rPr>
          <w:rFonts w:hint="eastAsia"/>
        </w:rPr>
      </w:pPr>
      <w:r>
        <w:rPr>
          <w:rFonts w:hint="eastAsia"/>
        </w:rPr>
        <w:t>注：本基金的银行存款由基金托管人招商银行保管，按金融机构同业存款利率计息。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2,525,614.27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2,335,341.00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1,496,318.01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1,330,113.30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453,204.83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深圳惠程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198,644.92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截至本报告期末2017年12月31日止，本基金从事交易所市场债券正回购交易形成的卖出回购证券款余额为0，无抵押债券。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183540559.58元，超过经确认的当日净赎回金额。于2017年12月31日，本基金持有的流动性受限资产的估值占基金资产净值的比例为4.37%%，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债券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70"/>
        <w:gridCol w:w="1461"/>
        <w:gridCol w:w="1191"/>
        <w:gridCol w:w="1021"/>
        <w:gridCol w:w="1551"/>
        <w:gridCol w:w="1551"/>
      </w:tblGrid>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2,074,116.62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2,074,116.62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92,251.35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92,251.35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429,933.40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188,433,576.88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15,261,151.60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178,473,948.22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129,241.55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129,241.55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16,155.21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16,155.21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802,459.90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802,459.90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15,261,151.60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177,671,488.32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55,879.49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55,879.49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2,546.16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2,546.16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26,001.46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9,020,937.04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161,261,382.96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170,282,320.00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3,082.87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34,603.84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34,603.84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4,325.50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183,088.16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183,088.16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265,559.41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265,559.41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9,020,937.04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160,995,823.55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170,016,760.59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-19,633.51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209"/>
        <w:gridCol w:w="1698"/>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178,395,792.48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161,224,599.97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178,395,792.48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161,224,599.97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94.83</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8,947,965.30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-8,947,965.30</w:t>
            </w:r>
          </w:p>
        </w:tc>
      </w:tr>
    </w:tbl>
    <w:p>
      <w:pPr>
        <w:pStyle w:val="20"/>
        <w:rPr>
          <w:rFonts w:hint="eastAsia"/>
        </w:rPr>
      </w:pPr>
      <w:r>
        <w:rPr>
          <w:rFonts w:hint="eastAsia"/>
        </w:rPr>
        <w:t>本基金的业绩比较基准=中证500指数收益率×95%＋一年期人民币定期存款利率(税后)×5%</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 公允价值</w:t>
      </w:r>
      <w:r>
        <w:rPr>
          <w:rFonts w:hint="eastAsia"/>
        </w:rPr>
        <w:br w:type="textWrapping"/>
      </w:r>
      <w:r>
        <w:rPr>
          <w:rFonts w:hint="eastAsia"/>
        </w:rPr>
        <w:t>  </w:t>
      </w:r>
      <w:r>
        <w:rPr>
          <w:rFonts w:hint="eastAsia"/>
        </w:rPr>
        <w:br w:type="textWrapping"/>
      </w:r>
      <w:r>
        <w:rPr>
          <w:rFonts w:hint="eastAsia"/>
        </w:rPr>
        <w:t>  (a) 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w:t>
      </w:r>
      <w:r>
        <w:rPr>
          <w:rFonts w:hint="eastAsia"/>
        </w:rPr>
        <w:br w:type="textWrapping"/>
      </w:r>
      <w:r>
        <w:rPr>
          <w:rFonts w:hint="eastAsia"/>
        </w:rPr>
        <w:t>  (b) 持续的以公允价值计量的金融工具</w:t>
      </w:r>
      <w:r>
        <w:rPr>
          <w:rFonts w:hint="eastAsia"/>
        </w:rPr>
        <w:br w:type="textWrapping"/>
      </w:r>
      <w:r>
        <w:rPr>
          <w:rFonts w:hint="eastAsia"/>
        </w:rPr>
        <w:t>  (i) 各层次金融工具公允价值</w:t>
      </w:r>
      <w:r>
        <w:rPr>
          <w:rFonts w:hint="eastAsia"/>
        </w:rPr>
        <w:br w:type="textWrapping"/>
      </w:r>
      <w:r>
        <w:rPr>
          <w:rFonts w:hint="eastAsia"/>
        </w:rPr>
        <w:t>  于2017年12月31日，本基金持有的以公允价值计量且其变动计入当期损益的金融资产中属于第一层次的余额为169,940,205.82元，属于第二层次的余额为18,493,371.06元，无属于第三层次的余额(2016年12月31日：第一层次159,190,747.67元，第二层次2,033,852.30元，无第三层次)。</w:t>
      </w:r>
      <w:r>
        <w:rPr>
          <w:rFonts w:hint="eastAsia"/>
        </w:rPr>
        <w:br w:type="textWrapping"/>
      </w:r>
      <w:r>
        <w:rPr>
          <w:rFonts w:hint="eastAsia"/>
        </w:rPr>
        <w:t>  </w:t>
      </w:r>
      <w:r>
        <w:rPr>
          <w:rFonts w:hint="eastAsia"/>
        </w:rPr>
        <w:br w:type="textWrapping"/>
      </w:r>
      <w:r>
        <w:rPr>
          <w:rFonts w:hint="eastAsia"/>
        </w:rPr>
        <w:t>  (ii) 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w:t>
      </w:r>
      <w:r>
        <w:rPr>
          <w:rFonts w:hint="eastAsia"/>
        </w:rPr>
        <w:br w:type="textWrapping"/>
      </w:r>
      <w:r>
        <w:rPr>
          <w:rFonts w:hint="eastAsia"/>
        </w:rPr>
        <w:t>  (iii) 第三层次公允价值余额和本期变动金额</w:t>
      </w:r>
      <w:r>
        <w:rPr>
          <w:rFonts w:hint="eastAsia"/>
        </w:rPr>
        <w:br w:type="textWrapping"/>
      </w:r>
      <w:r>
        <w:rPr>
          <w:rFonts w:hint="eastAsia"/>
        </w:rPr>
        <w:t>  无。</w:t>
      </w:r>
      <w:r>
        <w:rPr>
          <w:rFonts w:hint="eastAsia"/>
        </w:rPr>
        <w:br w:type="textWrapping"/>
      </w:r>
      <w:r>
        <w:rPr>
          <w:rFonts w:hint="eastAsia"/>
        </w:rPr>
        <w:t>  </w:t>
      </w:r>
      <w:r>
        <w:rPr>
          <w:rFonts w:hint="eastAsia"/>
        </w:rPr>
        <w:br w:type="textWrapping"/>
      </w:r>
      <w:r>
        <w:rPr>
          <w:rFonts w:hint="eastAsia"/>
        </w:rPr>
        <w:t>  (c) 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w:t>
      </w:r>
      <w:r>
        <w:rPr>
          <w:rFonts w:hint="eastAsia"/>
        </w:rPr>
        <w:br w:type="textWrapping"/>
      </w:r>
      <w:r>
        <w:rPr>
          <w:rFonts w:hint="eastAsia"/>
        </w:rPr>
        <w:t>  (d) 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w:t>
      </w:r>
      <w:r>
        <w:rPr>
          <w:rFonts w:hint="eastAsia"/>
        </w:rPr>
        <w:br w:type="textWrapping"/>
      </w:r>
      <w:r>
        <w:rPr>
          <w:rFonts w:hint="eastAsia"/>
        </w:rPr>
        <w:t>  (2) 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w:t>
      </w:r>
      <w:r>
        <w:rPr>
          <w:rFonts w:hint="eastAsia"/>
        </w:rPr>
        <w:br w:type="textWrapping"/>
      </w:r>
      <w:r>
        <w:rPr>
          <w:rFonts w:hint="eastAsia"/>
        </w:rPr>
        <w:t>  (3) 除公允价值和增值税外，截至资产负债表日本基金无需要说明的其他重要事项。</w:t>
      </w:r>
    </w:p>
    <w:p>
      <w:pPr>
        <w:pStyle w:val="13"/>
        <w:rPr>
          <w:rFonts w:hint="eastAsia"/>
        </w:rPr>
      </w:pPr>
      <w:bookmarkStart w:id="35" w:name="_Toc510107917"/>
      <w:r>
        <w:rPr>
          <w:rFonts w:hint="eastAsia" w:hAnsi="Calibri"/>
          <w:b/>
          <w:color w:val="000000"/>
        </w:rPr>
        <w:t>§8 投资组合报告</w:t>
      </w:r>
      <w:bookmarkEnd w:id="35"/>
    </w:p>
    <w:p>
      <w:pPr>
        <w:pStyle w:val="14"/>
        <w:rPr>
          <w:rFonts w:hint="eastAsia"/>
        </w:rPr>
      </w:pPr>
      <w:bookmarkStart w:id="36" w:name="_Toc510107918"/>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5,561,049.25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170,407.09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7919"/>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2,218,494.00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87,994,214.11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7,330,759.00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3,646,437.84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12,064,320.00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1,890,440.00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1,123,692.00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16,756,128.50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690,787.00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9,915,285.00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3,093,009.00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146,723,566.45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75.88</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p>
      <w:pPr>
        <w:widowControl/>
        <w:spacing w:before="100" w:beforeAutospacing="1" w:after="100" w:afterAutospacing="1"/>
        <w:jc w:val="left"/>
        <w:rPr>
          <w:rFonts w:hint="eastAsia" w:ascii="宋体" w:hAnsi="宋体" w:cs="宋体"/>
          <w:kern w:val="0"/>
          <w:sz w:val="24"/>
          <w:szCs w:val="24"/>
        </w:rPr>
      </w:pPr>
      <w:r>
        <w:rPr>
          <w:rFonts w:hint="eastAsia" w:ascii="宋体" w:hAnsi="宋体" w:cs="宋体"/>
          <w:b/>
          <w:bCs/>
          <w:kern w:val="0"/>
          <w:sz w:val="24"/>
          <w:szCs w:val="24"/>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88,885.00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19,940,645.92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4,576,333.20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3,001,718.00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2,732,702.76</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424,150.55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55,460.00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734,258.40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118,072.20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31,672,226.03</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4"/>
      </w:pPr>
      <w:bookmarkStart w:id="38" w:name="_Toc510107920"/>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2,588,599.00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2,461,621.00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2,345,685.00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2,335,341.00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2,293,928.00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2,274,534.00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2,261,595.00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2,237,365.90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2,207,692.84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2,193,136.00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2,185,170.00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2,167,486.32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2,167,101.09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2,094,009.00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2,081,898.00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2,028,010.00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1,988,295.00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1,978,139.80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1,913,072.00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1,669,349.00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1,627,234.00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1,557,286.50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星辉娱乐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1,511,640.00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1,442,292.00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1,399,224.00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1,391,040.00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1,128,520.00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新华文轩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1,064,999.00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983,307.00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华工科技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820,143.50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安图生物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491,181.25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飞科电器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371,705.25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华业资本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江阴银行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无锡银行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氯碱化工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欧普照明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广西广电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bl>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666"/>
        <w:gridCol w:w="170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2,601,385.00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1,196,910.00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951,974.00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734,258.40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井神股份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409,281.80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唐人神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宁波东力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完美世界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231,707.00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思维列控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深圳惠程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14"/>
        <w:rPr>
          <w:rFonts w:hint="eastAsia"/>
        </w:rPr>
      </w:pPr>
      <w:bookmarkStart w:id="39" w:name="_Toc510107921"/>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19,554,719.37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18,300,155.03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17,496,008.90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15,825,433.95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15,792,162.47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14,385,293.02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14,335,963.72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14,247,199.45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13,925,630.25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13,890,869.08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13,736,648.18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13,434,008.00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13,246,606.80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13,057,406.08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12,949,921.98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12,902,832.69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12,859,194.04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12,700,631.07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12,680,636.49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12,413,248.81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老百姓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12,356,876.62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12,290,862.00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12,273,799.26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12,245,977.42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12,232,283.51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12,223,569.80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12,096,136.76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12,095,119.88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11,956,006.70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11,820,400.99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11,580,949.00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11,309,118.79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11,281,687.46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11,094,063.21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11,084,584.85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11,018,991.19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10,981,232.83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兴源环境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10,981,104.90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10,827,937.82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10,546,343.42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10,486,017.60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10,323,537.86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10,199,000.24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10,196,644.00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10,061,264.44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10,035,764.00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10,010,022.63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9,987,854.96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9,978,971.99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9,966,492.43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9,952,260.65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9,944,763.70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9,936,864.00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9,868,067.79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9,863,577.00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9,846,791.75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9,788,636.49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9,629,307.92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9,628,056.74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风华高科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9,618,631.90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9,598,884.86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9,572,442.11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9,546,352.05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9,524,457.26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9,392,372.00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9,346,543.69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9,321,892.72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9,291,765.06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9,271,017.57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9,270,627.00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9,264,066.95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9,108,198.95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8,986,783.98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8,925,792.00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8,874,088.50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8,831,579.51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8,807,617.29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8,692,970.32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8,649,372.36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8,639,565.16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8,599,536.66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8,593,038.37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8,531,347.96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8,440,304.00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8,343,274.00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8,265,656.00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8,219,311.76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8,151,562.00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8,128,709.66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8,084,014.95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8,079,238.25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8,058,259.18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8,025,866.22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7,988,910.00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7,983,718.91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7,941,323.73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7,894,088.56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7,855,765.39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7,787,163.48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7,752,362.58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7,698,184.00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7,678,015.54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7,659,119.00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7,630,512.79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7,480,282.96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7,476,020.00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7,452,657.00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7,386,856.00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7,347,260.14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7,327,413.87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7,301,030.13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7,255,945.40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7,051,426.90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7,025,514.50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7,010,329.61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6,967,984.42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6,962,584.24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6,928,753.31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紫鑫药业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6,902,383.21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6,882,944.00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6,860,216.80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6,773,997.32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6,677,062.20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6,664,970.76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6,642,426.85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6,614,297.00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金鸿控股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6,578,344.00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6,567,770.00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华业资本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6,519,618.00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6,511,328.90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6,442,545.97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6,282,894.00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6,274,753.00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6,269,459.56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6,218,384.61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6,211,846.70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6,204,489.85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6,201,378.00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富春环保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6,187,022.40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6,143,432.08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6,137,227.00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6,114,266.00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青青稞酒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6,092,606.92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5,994,114.00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5,986,748.32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5,977,586.00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5,950,763.25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5,942,818.00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5,909,169.48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5,889,855.00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5,841,180.83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5,772,059.00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5,728,991.27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5,635,154.00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5,507,286.93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5,499,722.04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5,430,778.20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5,378,686.14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5,359,465.46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5,354,209.48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5,319,971.00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5,310,848.88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5,281,455.48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祁连山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5,275,917.00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清新环境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5,271,597.00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5,262,640.58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保龄宝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5,256,765.98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常山北明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5,249,430.49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5,242,213.92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5,228,774.74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5,219,228.00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5,215,540.56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5,183,529.00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5,133,285.95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5,113,177.00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5,051,022.00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士兰微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5,035,883.62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4,973,391.00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4,967,917.73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4,966,241.71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4,955,317.00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宗申动力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4,954,114.00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4,950,353.68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隆鑫通用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4,941,837.64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4,940,105.00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4,935,156.52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4,928,172.00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4,915,613.53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4,905,705.00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誉衡药业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4,882,639.32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4,863,066.00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4,855,993.39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4,725,427.00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4,697,286.00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4,694,856.00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4,694,245.00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4,692,510.00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拓维信息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4,615,711.64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4,601,776.00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九鼎投资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4,577,354.00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4,574,454.00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4,558,752.00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4,489,551.32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4,488,571.61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4,464,278.00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4,452,534.00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4,415,266.44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4,386,692.00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4,374,858.00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4,374,764.74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4,357,511.57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4,355,252.00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4,344,178.08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4,309,047.40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4,268,359.94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伟明环保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4,237,129.21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百利电气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4,174,860.17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4,148,517.99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4,117,599.00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4,063,274.00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4,047,182.00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4,033,012.00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4,031,870.00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4,031,601.84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梅泰诺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3,999,286.00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3,997,456.02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3,996,116.00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坚瑞沃能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3,995,073.00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3,984,537.20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瑞茂通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3,970,612.93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3,968,939.00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冠城大通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3,960,250.69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3,944,167.44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3,917,019.00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3,914,545.86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3,894,477.00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3,882,528.94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3,881,688.00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3,879,979.34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3,837,874.97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3,834,124.45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3,821,963.05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马应龙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3,811,325.30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3,801,469.50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3,751,482.78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天海投资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3,714,148.00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3,693,507.96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3,671,503.50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3,638,568.00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3,565,783.00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3,565,149.28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3,556,683.00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3,556,185.00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奥康国际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3,548,481.54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3,546,169.00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综艺股份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3,529,816.00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3,510,633.00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3,492,321.00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3,486,675.00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中央商场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3,467,733.00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3,438,587.00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19,716,360.94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16,122,415.00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15,993,848.58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15,100,317.98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14,789,090.60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14,320,312.39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14,279,979.49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14,133,431.68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13,716,400.17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13,565,172.15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13,407,333.06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13,393,027.50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老百姓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13,312,021.90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13,289,170.55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13,178,229.76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13,122,367.91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12,720,384.00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12,618,699.90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12,567,556.04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12,532,016.31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12,352,098.02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12,343,235.71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12,239,261.00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11,990,945.40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风华高科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11,985,308.00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11,864,910.16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11,792,618.72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11,773,967.00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11,637,257.72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兴源环境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11,516,447.09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11,422,493.76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11,302,695.40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11,216,881.75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11,149,525.00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11,048,435.83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11,047,189.19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10,904,391.51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10,892,338.00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10,721,535.40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10,702,941.16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10,444,968.30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10,371,276.60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10,277,569.50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10,184,225.39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10,005,029.55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9,904,743.18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9,883,644.03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9,707,625.00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9,665,007.97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9,619,927.30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9,618,306.91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9,612,786.94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9,534,043.85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9,525,896.72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9,344,545.43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9,340,426.79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9,079,895.00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9,065,944.07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9,063,576.00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9,035,181.69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8,967,386.68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8,965,992.65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8,942,296.10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8,928,005.00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8,884,927.00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8,750,457.40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8,719,664.96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8,607,604.38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8,544,663.00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8,527,425.90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8,496,234.00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8,489,703.00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8,474,086.03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8,419,808.81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8,382,906.29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8,349,711.20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8,309,651.00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8,294,018.55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紫鑫药业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8,292,181.94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8,189,764.43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8,161,770.49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8,155,555.44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8,150,892.00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8,103,429.10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8,067,550.00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8,033,739.50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7,959,312.34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7,922,656.50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7,890,010.13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7,887,095.00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7,884,871.00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7,848,395.77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7,801,887.50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7,793,340.00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7,778,226.82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7,776,888.41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7,744,601.81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7,740,230.80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7,686,542.48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7,604,266.50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7,597,748.53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7,572,473.81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7,455,891.00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7,412,862.00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7,376,202.38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7,338,488.38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7,305,950.46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7,254,979.71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7,194,411.00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7,143,911.93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7,091,710.35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7,077,501.90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华业资本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7,076,375.98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7,009,930.76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6,958,505.05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6,951,935.19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6,932,117.70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6,883,330.70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6,708,990.45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6,634,476.41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6,632,863.10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6,618,916.00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6,601,801.00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6,551,044.00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6,538,296.08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6,490,971.80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6,396,122.00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6,345,689.94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6,335,514.01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6,257,658.31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6,169,790.15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宗申动力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6,151,040.00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6,137,688.83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金鸿控股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6,119,236.02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6,054,012.48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青青稞酒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6,036,618.22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6,025,240.85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富春环保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6,014,384.18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清新环境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5,955,325.20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5,952,424.21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伟明环保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5,903,191.16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5,901,641.61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5,898,674.00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5,855,066.13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5,805,325.00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5,792,616.88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5,788,298.15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5,777,841.00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5,761,089.16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5,732,763.60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5,728,369.81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5,719,496.95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5,709,415.00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5,694,571.00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5,679,724.29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5,666,207.00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5,640,302.00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誉衡药业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5,574,637.75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5,570,454.03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常山北明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5,544,398.50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5,514,484.50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5,501,041.00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5,496,914.00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5,404,889.06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5,356,538.00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士兰微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5,354,308.00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5,318,646.60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5,289,409.00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5,230,357.91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保龄宝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5,166,142.13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5,164,233.00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5,138,658.00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5,128,807.42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瑞茂通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5,125,699.18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5,124,153.30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5,084,846.54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5,053,730.77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祁连山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5,046,560.01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4,997,484.00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4,977,583.17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4,937,043.00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未名医药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4,898,607.01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4,893,502.68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4,889,150.00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隆鑫通用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4,863,136.50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天海投资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4,861,052.21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4,856,692.00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拓维信息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4,845,710.79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4,845,630.61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4,814,444.00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4,746,630.00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4,729,880.50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4,654,559.78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4,612,788.39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4,555,650.00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塔牌集团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4,545,281.00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4,534,105.55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4,528,998.86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4,494,960.24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4,487,594.01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4,418,619.49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4,417,475.98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4,403,429.00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4,388,288.24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4,378,265.26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栋梁新材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4,349,198.00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九鼎投资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4,335,873.12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4,328,251.00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4,307,986.29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4,276,603.81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4,250,231.77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4,246,071.53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4,216,921.00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4,215,571.42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4,212,865.00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4,209,316.20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百利电气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4,194,886.28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坚瑞沃能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4,181,440.20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4,119,555.00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4,103,540.25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4,101,554.05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4,061,592.50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4,058,938.00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4,047,763.00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4,000,789.14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3,998,776.24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3,966,538.00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3,950,587.00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梅泰诺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3,935,644.00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3,918,422.52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马应龙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3,866,212.00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冠城大通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3,826,643.78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3,801,842.43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华新水泥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3,799,963.85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3,777,764.03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3,754,205.45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综艺股份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3,748,787.50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雏鹰农牧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3,731,249.31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3,705,760.94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3,698,014.00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3,624,720.64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3,603,248.69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3,568,038.00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奥康国际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3,549,718.31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3,538,398.76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3,529,861.00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3,499,534.00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3,474,810.63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中央商场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3,470,376.90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3,462,820.00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奋达科技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3,449,618.40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3,448,159.00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3,416,432.00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3,412,475.95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3,410,672.68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2,483,023,135.91</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2,491,213,475.14</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7922"/>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5.19</w:t>
            </w:r>
          </w:p>
        </w:tc>
      </w:tr>
    </w:tbl>
    <w:p>
      <w:pPr>
        <w:pStyle w:val="14"/>
        <w:rPr>
          <w:rFonts w:hint="eastAsia"/>
        </w:rPr>
      </w:pPr>
      <w:bookmarkStart w:id="41" w:name="_Toc510107923"/>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17国债24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9,607,851.00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bl>
    <w:p>
      <w:pPr>
        <w:pStyle w:val="14"/>
        <w:rPr>
          <w:rFonts w:hint="eastAsia"/>
        </w:rPr>
      </w:pPr>
      <w:bookmarkStart w:id="42" w:name="_Toc510107924"/>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792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792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792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7928"/>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7929"/>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92,251.35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19,229.91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170,407.09</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48" w:name="_Toc510107930"/>
      <w:r>
        <w:rPr>
          <w:rFonts w:hint="eastAsia"/>
          <w:b/>
          <w:bCs/>
        </w:rPr>
        <w:t>8.12.5 期末前十名股票中存在流通受限情况的说明</w:t>
      </w:r>
      <w:bookmarkEnd w:id="48"/>
    </w:p>
    <w:p>
      <w:pPr>
        <w:pStyle w:val="15"/>
        <w:rPr>
          <w:rFonts w:hint="eastAsia"/>
        </w:rPr>
      </w:pPr>
      <w:r>
        <w:rPr>
          <w:rFonts w:hint="eastAsia"/>
          <w:b/>
          <w:bCs/>
        </w:rPr>
        <w:t>8.12.5.1 期末指数投资前十名股票中存在流通受限情况的说明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2,335,341.00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8.12.5.2 期末积极投资前五名股票中存在流通受限情况的说明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本基金本报告期末积极投资前五名股票不存在流通受限的情况。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9" w:name="_Toc510107931"/>
      <w:r>
        <w:rPr>
          <w:rFonts w:hint="eastAsia" w:hAnsi="Calibri"/>
          <w:b/>
          <w:color w:val="000000"/>
        </w:rPr>
        <w:t>§9  基金份额持有人信息</w:t>
      </w:r>
      <w:bookmarkEnd w:id="49"/>
    </w:p>
    <w:p>
      <w:pPr>
        <w:pStyle w:val="14"/>
        <w:rPr>
          <w:rFonts w:hint="eastAsia"/>
        </w:rPr>
      </w:pPr>
      <w:bookmarkStart w:id="50" w:name="_Toc510107932"/>
      <w:r>
        <w:rPr>
          <w:rFonts w:hint="eastAsia"/>
          <w:b/>
          <w:bCs/>
        </w:rPr>
        <w:t>9.1 期末基金份额持有人户数及持有人结构</w:t>
      </w:r>
      <w:bookmarkEnd w:id="50"/>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717,685.97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175,683,806.27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2,302,313.59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21,931.83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4,386,723.33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46.73%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286,065.56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180,683,906.27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6,689,036.92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w:t>
            </w:r>
          </w:p>
        </w:tc>
      </w:tr>
    </w:tbl>
    <w:p>
      <w:pPr>
        <w:widowControl/>
        <w:jc w:val="left"/>
        <w:rPr>
          <w:rFonts w:hint="eastAsia" w:ascii="宋体" w:hAnsi="宋体" w:cs="宋体"/>
          <w:kern w:val="0"/>
          <w:sz w:val="24"/>
          <w:szCs w:val="24"/>
        </w:rPr>
      </w:pPr>
    </w:p>
    <w:p>
      <w:pPr>
        <w:pStyle w:val="14"/>
        <w:rPr>
          <w:rFonts w:hint="eastAsia"/>
        </w:rPr>
      </w:pPr>
      <w:bookmarkStart w:id="51" w:name="_Toc510107933"/>
      <w:r>
        <w:rPr>
          <w:rFonts w:hint="eastAsia" w:hAnsi="Calibri"/>
          <w:b/>
          <w:color w:val="000000"/>
        </w:rPr>
        <w:t>9.2期末基金管理人的从业人员持有本基金的情况</w:t>
      </w:r>
      <w:bookmarkEnd w:id="51"/>
    </w:p>
    <w:tbl>
      <w:tblPr>
        <w:tblStyle w:val="7"/>
        <w:tblW w:w="9045" w:type="dxa"/>
        <w:jc w:val="center"/>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108,734.13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261,249.29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369,983.42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0.2000%</w:t>
            </w:r>
          </w:p>
        </w:tc>
      </w:tr>
    </w:tbl>
    <w:p>
      <w:pPr>
        <w:widowControl/>
        <w:jc w:val="left"/>
        <w:rPr>
          <w:rFonts w:hint="eastAsia" w:ascii="宋体" w:hAnsi="宋体" w:cs="宋体"/>
          <w:kern w:val="0"/>
          <w:sz w:val="24"/>
          <w:szCs w:val="24"/>
        </w:rPr>
      </w:pPr>
    </w:p>
    <w:p>
      <w:pPr>
        <w:pStyle w:val="14"/>
        <w:rPr>
          <w:rFonts w:hint="eastAsia"/>
        </w:rPr>
      </w:pPr>
      <w:bookmarkStart w:id="52" w:name="_Toc510107934"/>
      <w:r>
        <w:rPr>
          <w:rFonts w:hint="eastAsia"/>
          <w:b/>
          <w:bCs/>
        </w:rPr>
        <w:t>9.3期末基金管理人的从业人员持有本开放式基金份额总量区间情况</w:t>
      </w:r>
      <w:bookmarkEnd w:id="52"/>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4"/>
        <w:rPr>
          <w:rFonts w:hint="eastAsia"/>
        </w:rPr>
      </w:pPr>
      <w:bookmarkStart w:id="53" w:name="_Toc510107935"/>
      <w:r>
        <w:rPr>
          <w:rFonts w:hint="eastAsia"/>
          <w:b/>
          <w:bCs/>
        </w:rPr>
        <w:t>9.4发起式基金发起资金持有份额情况</w:t>
      </w:r>
      <w:bookmarkEnd w:id="53"/>
    </w:p>
    <w:tbl>
      <w:tblPr>
        <w:tblStyle w:val="7"/>
        <w:tblW w:w="9045" w:type="dxa"/>
        <w:tblInd w:w="108" w:type="dxa"/>
        <w:tblLayout w:type="autofit"/>
        <w:tblCellMar>
          <w:top w:w="0" w:type="dxa"/>
          <w:left w:w="108" w:type="dxa"/>
          <w:bottom w:w="0" w:type="dxa"/>
          <w:right w:w="108" w:type="dxa"/>
        </w:tblCellMar>
      </w:tblPr>
      <w:tblGrid>
        <w:gridCol w:w="2808"/>
        <w:gridCol w:w="1757"/>
        <w:gridCol w:w="1126"/>
        <w:gridCol w:w="1757"/>
        <w:gridCol w:w="1126"/>
        <w:gridCol w:w="471"/>
      </w:tblGrid>
      <w:tr>
        <w:tblPrEx>
          <w:tblCellMar>
            <w:top w:w="0" w:type="dxa"/>
            <w:left w:w="108" w:type="dxa"/>
            <w:bottom w:w="0" w:type="dxa"/>
            <w:right w:w="108" w:type="dxa"/>
          </w:tblCellMar>
        </w:tblPrEx>
        <w:trPr>
          <w:wBefore w:w="0" w:type="auto"/>
        </w:trPr>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pStyle w:val="13"/>
        <w:rPr>
          <w:rFonts w:hint="eastAsia"/>
        </w:rPr>
      </w:pPr>
      <w:bookmarkStart w:id="54" w:name="_Toc510107936"/>
      <w:r>
        <w:rPr>
          <w:rFonts w:hint="eastAsia" w:hAnsi="Calibri"/>
          <w:b/>
          <w:color w:val="000000"/>
        </w:rPr>
        <w:t>§10  开放式基金份额变动</w:t>
      </w:r>
      <w:bookmarkEnd w:id="5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基金合同生效日(2015年12月31日)基金份额总额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175,870,307.51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7,485,825.56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3,884,924.23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72,312,368.87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1,769,111.88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70,411,371.10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177,986,119.86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9,386,823.33</w:t>
            </w:r>
          </w:p>
        </w:tc>
      </w:tr>
    </w:tbl>
    <w:p>
      <w:pPr>
        <w:pStyle w:val="13"/>
        <w:rPr>
          <w:rFonts w:hint="eastAsia"/>
        </w:rPr>
      </w:pPr>
      <w:bookmarkStart w:id="55" w:name="_Toc510107937"/>
      <w:r>
        <w:rPr>
          <w:rFonts w:hint="eastAsia" w:hAnsi="Calibri"/>
          <w:b/>
          <w:color w:val="000000"/>
        </w:rPr>
        <w:t>§11  重大事件揭示</w:t>
      </w:r>
      <w:bookmarkEnd w:id="55"/>
    </w:p>
    <w:p>
      <w:pPr>
        <w:widowControl/>
        <w:jc w:val="left"/>
        <w:rPr>
          <w:rFonts w:hint="eastAsia" w:ascii="宋体" w:hAnsi="宋体" w:cs="宋体"/>
          <w:kern w:val="0"/>
          <w:sz w:val="24"/>
          <w:szCs w:val="24"/>
        </w:rPr>
      </w:pPr>
    </w:p>
    <w:p>
      <w:pPr>
        <w:pStyle w:val="14"/>
        <w:rPr>
          <w:rFonts w:hint="eastAsia"/>
        </w:rPr>
      </w:pPr>
      <w:bookmarkStart w:id="56" w:name="_Toc510107938"/>
      <w:r>
        <w:rPr>
          <w:rFonts w:hint="eastAsia"/>
          <w:b/>
          <w:bCs/>
        </w:rPr>
        <w:t>11.1 基金份额持有人大会决议</w:t>
      </w:r>
      <w:bookmarkEnd w:id="56"/>
    </w:p>
    <w:p>
      <w:pPr>
        <w:pStyle w:val="20"/>
        <w:rPr>
          <w:rFonts w:hint="eastAsia"/>
        </w:rPr>
      </w:pPr>
      <w:r>
        <w:rPr>
          <w:rFonts w:hint="eastAsia"/>
        </w:rPr>
        <w:t>  本报告期内未召开基金份额持有人大会。</w:t>
      </w:r>
    </w:p>
    <w:p>
      <w:pPr>
        <w:pStyle w:val="14"/>
        <w:rPr>
          <w:rFonts w:hint="eastAsia"/>
        </w:rPr>
      </w:pPr>
      <w:bookmarkStart w:id="57" w:name="_Toc510107939"/>
      <w:r>
        <w:rPr>
          <w:rFonts w:hint="eastAsia"/>
          <w:b/>
          <w:bCs/>
        </w:rPr>
        <w:t>11.2 基金管理人、基金托管人的专门基金托管部门的重大人事变动</w:t>
      </w:r>
      <w:bookmarkEnd w:id="57"/>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8" w:name="_Toc510107940"/>
      <w:r>
        <w:rPr>
          <w:rFonts w:hint="eastAsia"/>
          <w:b/>
          <w:bCs/>
        </w:rPr>
        <w:t>11.3 涉及基金管理人、基金财产、基金托管业务的诉讼</w:t>
      </w:r>
      <w:bookmarkEnd w:id="58"/>
    </w:p>
    <w:p>
      <w:pPr>
        <w:pStyle w:val="20"/>
        <w:rPr>
          <w:rFonts w:hint="eastAsia"/>
        </w:rPr>
      </w:pPr>
      <w:r>
        <w:rPr>
          <w:rFonts w:hint="eastAsia"/>
        </w:rPr>
        <w:t>  本报告期内，未出现涉及基金管理人、基金财产、基金托管业务的诉讼。</w:t>
      </w:r>
    </w:p>
    <w:p>
      <w:pPr>
        <w:pStyle w:val="14"/>
        <w:rPr>
          <w:rFonts w:hint="eastAsia"/>
        </w:rPr>
      </w:pPr>
      <w:bookmarkStart w:id="59" w:name="_Toc510107941"/>
      <w:r>
        <w:rPr>
          <w:rFonts w:hint="eastAsia"/>
          <w:b/>
          <w:bCs/>
        </w:rPr>
        <w:t>11.4 基金投资策略的改变</w:t>
      </w:r>
      <w:bookmarkEnd w:id="59"/>
    </w:p>
    <w:p>
      <w:pPr>
        <w:pStyle w:val="20"/>
        <w:rPr>
          <w:rFonts w:hint="eastAsia"/>
        </w:rPr>
      </w:pPr>
      <w:r>
        <w:rPr>
          <w:rFonts w:hint="eastAsia"/>
        </w:rPr>
        <w:t>  本报告期内基金投资策略无重大改变。</w:t>
      </w:r>
    </w:p>
    <w:p>
      <w:pPr>
        <w:pStyle w:val="14"/>
        <w:rPr>
          <w:rFonts w:hint="eastAsia"/>
        </w:rPr>
      </w:pPr>
      <w:bookmarkStart w:id="60" w:name="_Toc510107942"/>
      <w:r>
        <w:rPr>
          <w:rFonts w:hint="eastAsia"/>
          <w:b/>
          <w:bCs/>
        </w:rPr>
        <w:t>11.5 为基金进行审计的会计师事务所情况</w:t>
      </w:r>
      <w:bookmarkEnd w:id="60"/>
    </w:p>
    <w:p>
      <w:pPr>
        <w:pStyle w:val="20"/>
        <w:rPr>
          <w:rFonts w:hint="eastAsia"/>
        </w:rPr>
      </w:pPr>
      <w:r>
        <w:rPr>
          <w:rFonts w:hint="eastAsia"/>
        </w:rPr>
        <w:t>  本报告期内本基金未更换会计师事务所,本年度支付给普华永道中天会计师事务所(特殊普通合伙)审计费用30,000.00元,该审计机构连续提供审计服务的年限为2年。</w:t>
      </w:r>
    </w:p>
    <w:p>
      <w:pPr>
        <w:pStyle w:val="14"/>
        <w:rPr>
          <w:rFonts w:hint="eastAsia"/>
        </w:rPr>
      </w:pPr>
      <w:bookmarkStart w:id="61" w:name="_Toc510107943"/>
      <w:r>
        <w:rPr>
          <w:rFonts w:hint="eastAsia"/>
          <w:b/>
          <w:bCs/>
        </w:rPr>
        <w:t>11.6 管理人、托管人及其高级管理人员受稽查或处罚等情况</w:t>
      </w:r>
      <w:bookmarkEnd w:id="61"/>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2" w:name="_Toc510107944"/>
      <w:r>
        <w:rPr>
          <w:rFonts w:hint="eastAsia"/>
          <w:b/>
          <w:bCs/>
        </w:rPr>
        <w:t>11.7 基金租用证券公司交易单元的有关情况</w:t>
      </w:r>
      <w:bookmarkEnd w:id="62"/>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2102"/>
        <w:gridCol w:w="1050"/>
        <w:gridCol w:w="1388"/>
        <w:gridCol w:w="1050"/>
        <w:gridCol w:w="704"/>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1,987,176,573.86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935,534.35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2,980,649,538.39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955,926.23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75"/>
        <w:gridCol w:w="1071"/>
        <w:gridCol w:w="875"/>
        <w:gridCol w:w="1071"/>
        <w:gridCol w:w="691"/>
        <w:gridCol w:w="1050"/>
        <w:gridCol w:w="691"/>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10,002,196.45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7945"/>
      <w:r>
        <w:rPr>
          <w:rFonts w:hint="eastAsia"/>
          <w:b/>
          <w:bCs/>
        </w:rPr>
        <w:t>11.8 其他重大事件</w:t>
      </w:r>
      <w:bookmarkEnd w:id="63"/>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创金合信中证500指数增强型发起式证券投资基金（2016年第2号）招募说明书（更新）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创金合信中证500指数增强型发起式证券投资基金招募说明书（更新）摘要（2016年第2号）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创金合信基金管理有限公司关于旗下部分开放式证券投资基金增加华润银行为代销机构的公告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关于创金合信中证500指数增强型发起式证券投资基金恢复大额申购、大额转换转入业务的公告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4" w:name="_Toc510107946"/>
      <w:r>
        <w:rPr>
          <w:rFonts w:hint="eastAsia" w:hAnsi="Calibri"/>
          <w:b/>
          <w:color w:val="000000"/>
        </w:rPr>
        <w:t>§12  影响投资者决策的其他重要信息</w:t>
      </w:r>
      <w:bookmarkEnd w:id="64"/>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5" w:name="_Toc510107947"/>
      <w:r>
        <w:rPr>
          <w:rFonts w:hint="eastAsia"/>
          <w:b/>
          <w:bCs/>
        </w:rPr>
        <w:t>12.1 报告期内单一投资者持有基金份额比例达到或超过20%的情况</w:t>
      </w:r>
      <w:bookmarkEnd w:id="65"/>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170,683,806.27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170,683,806.27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91.09%</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6" w:name="_Toc510107948"/>
      <w:r>
        <w:rPr>
          <w:rFonts w:hint="eastAsia"/>
          <w:b/>
          <w:bCs/>
        </w:rPr>
        <w:t>12.2 影响投资者决策的其他重要信息</w:t>
      </w:r>
      <w:bookmarkEnd w:id="66"/>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7" w:name="_Toc510107949"/>
      <w:r>
        <w:rPr>
          <w:rFonts w:hint="eastAsia" w:hAnsi="Calibri"/>
          <w:b/>
          <w:color w:val="000000"/>
        </w:rPr>
        <w:t>§13  备查文件目录</w:t>
      </w:r>
      <w:bookmarkEnd w:id="67"/>
    </w:p>
    <w:p>
      <w:pPr>
        <w:widowControl/>
        <w:jc w:val="left"/>
        <w:rPr>
          <w:rFonts w:hint="eastAsia" w:ascii="宋体" w:hAnsi="宋体" w:cs="宋体"/>
          <w:kern w:val="0"/>
          <w:sz w:val="24"/>
          <w:szCs w:val="24"/>
        </w:rPr>
      </w:pPr>
    </w:p>
    <w:p>
      <w:pPr>
        <w:pStyle w:val="14"/>
        <w:rPr>
          <w:rFonts w:hint="eastAsia"/>
        </w:rPr>
      </w:pPr>
      <w:bookmarkStart w:id="68" w:name="_Toc510107950"/>
      <w:r>
        <w:rPr>
          <w:rFonts w:hint="eastAsia"/>
          <w:b/>
          <w:bCs/>
        </w:rPr>
        <w:t>13.1 备查文件目录</w:t>
      </w:r>
      <w:r>
        <w:rPr>
          <w:rFonts w:hint="eastAsia"/>
        </w:rPr>
        <w:t>.</w:t>
      </w:r>
      <w:bookmarkEnd w:id="68"/>
    </w:p>
    <w:p>
      <w:pPr>
        <w:pStyle w:val="20"/>
        <w:rPr>
          <w:rFonts w:hint="eastAsia"/>
        </w:rPr>
      </w:pPr>
      <w:r>
        <w:rPr>
          <w:rFonts w:hint="eastAsia"/>
        </w:rPr>
        <w:t>  1、《创金合信中证500指数增强型发起式证券投资基金基金合同》;</w:t>
      </w:r>
      <w:r>
        <w:rPr>
          <w:rFonts w:hint="eastAsia"/>
        </w:rPr>
        <w:br w:type="textWrapping"/>
      </w:r>
      <w:r>
        <w:rPr>
          <w:rFonts w:hint="eastAsia"/>
        </w:rPr>
        <w:t>  2、《创金合信中证500指数增强型发起式证券投资基金托管协议》;</w:t>
      </w:r>
      <w:r>
        <w:rPr>
          <w:rFonts w:hint="eastAsia"/>
        </w:rPr>
        <w:br w:type="textWrapping"/>
      </w:r>
      <w:r>
        <w:rPr>
          <w:rFonts w:hint="eastAsia"/>
        </w:rPr>
        <w:t>  3、创金合信中证500指数增强型发起式证券投资基金2017年年度报告</w:t>
      </w:r>
    </w:p>
    <w:p>
      <w:pPr>
        <w:pStyle w:val="14"/>
        <w:rPr>
          <w:rFonts w:hint="eastAsia"/>
        </w:rPr>
      </w:pPr>
      <w:bookmarkStart w:id="69" w:name="_Toc510107951"/>
      <w:r>
        <w:rPr>
          <w:rFonts w:hint="eastAsia"/>
          <w:b/>
          <w:bCs/>
        </w:rPr>
        <w:t>13.2 存放地点</w:t>
      </w:r>
      <w:bookmarkEnd w:id="69"/>
    </w:p>
    <w:p>
      <w:pPr>
        <w:pStyle w:val="20"/>
        <w:rPr>
          <w:rFonts w:hint="eastAsia"/>
        </w:rPr>
      </w:pPr>
      <w:r>
        <w:rPr>
          <w:rFonts w:hint="eastAsia"/>
        </w:rPr>
        <w:t>  深圳市福田中心区福华一路115号投行大厦15楼</w:t>
      </w:r>
    </w:p>
    <w:p>
      <w:pPr>
        <w:pStyle w:val="14"/>
        <w:rPr>
          <w:rFonts w:hint="eastAsia"/>
        </w:rPr>
      </w:pPr>
      <w:bookmarkStart w:id="70" w:name="_Toc510107952"/>
      <w:r>
        <w:rPr>
          <w:rFonts w:hint="eastAsia"/>
          <w:b/>
          <w:bCs/>
        </w:rPr>
        <w:t>13.3 查阅方式</w:t>
      </w:r>
      <w:bookmarkEnd w:id="70"/>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w:t>
    </w:r>
    <w:r>
      <w:rPr>
        <w:rStyle w:val="10"/>
      </w:rPr>
      <w:fldChar w:fldCharType="end"/>
    </w:r>
  </w:p>
  <w:p>
    <w:pPr>
      <w:pStyle w:val="2"/>
      <w:jc w:val="center"/>
    </w:pPr>
    <w:r>
      <w:rPr>
        <w:rFonts w:hint="eastAsia"/>
      </w:rPr>
      <w:t xml:space="preserve">                   第       页，共95页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创金合信中证500指数增强型发起式证券投资基金2017年年度报告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118B"/>
    <w:rsid w:val="0072118B"/>
    <w:rsid w:val="00801FA9"/>
    <w:rsid w:val="00877C02"/>
    <w:rsid w:val="00BA0E30"/>
    <w:rsid w:val="5046625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93</Pages>
  <Words>11510</Words>
  <Characters>65608</Characters>
  <Lines>546</Lines>
  <Paragraphs>153</Paragraphs>
  <TotalTime>0</TotalTime>
  <ScaleCrop>false</ScaleCrop>
  <LinksUpToDate>false</LinksUpToDate>
  <CharactersWithSpaces>76965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2018-03-29T09:27:00Z</dcterms:created>
  <dc:creator>贺祎琪</dc:creator>
  <cp:lastModifiedBy>Administrator</cp:lastModifiedBy>
  <dcterms:modified xsi:type="dcterms:W3CDTF">2019-12-26T14:05:21Z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