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left"/>
        <w:rPr>
          <w:rFonts w:ascii="MS Sans Serif" w:hAnsi="MS Sans Serif"/>
          <w:color w:val="000000"/>
          <w:kern w:val="0"/>
          <w:sz w:val="2"/>
          <w:szCs w:val="24"/>
        </w:rPr>
      </w:pPr>
      <w:bookmarkStart w:id="64" w:name="_GoBack"/>
      <w:bookmarkEnd w:id="64"/>
    </w:p>
    <w:p>
      <w:pPr>
        <w:autoSpaceDE w:val="0"/>
        <w:autoSpaceDN w:val="0"/>
        <w:adjustRightInd w:val="0"/>
        <w:spacing w:line="288" w:lineRule="auto"/>
        <w:jc w:val="left"/>
        <w:rPr>
          <w:rFonts w:ascii="MS Sans Serif" w:hAnsi="MS Sans Serif"/>
          <w:color w:val="000000"/>
          <w:kern w:val="0"/>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hint="eastAsia" w:ascii="宋体"/>
          <w:b/>
          <w:color w:val="000000"/>
          <w:kern w:val="0"/>
          <w:sz w:val="24"/>
          <w:szCs w:val="24"/>
        </w:rPr>
        <w:t>创金合信沪深</w:t>
      </w:r>
      <w:r>
        <w:rPr>
          <w:rFonts w:ascii="宋体"/>
          <w:b/>
          <w:color w:val="000000"/>
          <w:kern w:val="0"/>
          <w:sz w:val="24"/>
          <w:szCs w:val="24"/>
        </w:rPr>
        <w:t>300</w:t>
      </w:r>
      <w:r>
        <w:rPr>
          <w:rFonts w:hint="eastAsia" w:ascii="宋体"/>
          <w:b/>
          <w:color w:val="000000"/>
          <w:kern w:val="0"/>
          <w:sz w:val="24"/>
          <w:szCs w:val="24"/>
        </w:rPr>
        <w:t>指数增强型发起式证券投资基金</w:t>
      </w:r>
      <w:r>
        <w:rPr>
          <w:rFonts w:ascii="宋体"/>
          <w:b/>
          <w:color w:val="000000"/>
          <w:kern w:val="0"/>
          <w:sz w:val="24"/>
          <w:szCs w:val="24"/>
        </w:rPr>
        <w:t>2016</w:t>
      </w:r>
      <w:r>
        <w:rPr>
          <w:rFonts w:hint="eastAsia" w:ascii="宋体"/>
          <w:b/>
          <w:color w:val="000000"/>
          <w:kern w:val="0"/>
          <w:sz w:val="24"/>
          <w:szCs w:val="24"/>
        </w:rPr>
        <w:t>年年度报告</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基金管理人：创金合信基金管理有限公司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基金托管人：招商银行股份有限公司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送出日期：</w:t>
      </w:r>
      <w:r>
        <w:rPr>
          <w:rFonts w:ascii="宋体"/>
          <w:b/>
          <w:color w:val="000000"/>
          <w:kern w:val="0"/>
          <w:sz w:val="24"/>
          <w:szCs w:val="24"/>
        </w:rPr>
        <w:t>2017</w:t>
      </w:r>
      <w:r>
        <w:rPr>
          <w:rFonts w:hint="eastAsia" w:ascii="宋体"/>
          <w:b/>
          <w:color w:val="000000"/>
          <w:kern w:val="0"/>
          <w:sz w:val="24"/>
          <w:szCs w:val="24"/>
        </w:rPr>
        <w:t>年</w:t>
      </w:r>
      <w:r>
        <w:rPr>
          <w:rFonts w:ascii="宋体"/>
          <w:b/>
          <w:color w:val="000000"/>
          <w:kern w:val="0"/>
          <w:sz w:val="24"/>
          <w:szCs w:val="24"/>
        </w:rPr>
        <w:t>03</w:t>
      </w:r>
      <w:r>
        <w:rPr>
          <w:rFonts w:hint="eastAsia" w:ascii="宋体"/>
          <w:b/>
          <w:color w:val="000000"/>
          <w:kern w:val="0"/>
          <w:sz w:val="24"/>
          <w:szCs w:val="24"/>
        </w:rPr>
        <w:t>月</w:t>
      </w:r>
      <w:r>
        <w:rPr>
          <w:rFonts w:ascii="宋体"/>
          <w:b/>
          <w:color w:val="000000"/>
          <w:kern w:val="0"/>
          <w:sz w:val="24"/>
          <w:szCs w:val="24"/>
        </w:rPr>
        <w:t>27</w:t>
      </w:r>
      <w:r>
        <w:rPr>
          <w:rFonts w:hint="eastAsia" w:ascii="宋体"/>
          <w:b/>
          <w:color w:val="000000"/>
          <w:kern w:val="0"/>
          <w:sz w:val="24"/>
          <w:szCs w:val="24"/>
        </w:rPr>
        <w:t>日</w:t>
      </w:r>
    </w:p>
    <w:p>
      <w:pPr>
        <w:autoSpaceDE w:val="0"/>
        <w:autoSpaceDN w:val="0"/>
        <w:adjustRightInd w:val="0"/>
        <w:spacing w:line="288" w:lineRule="auto"/>
        <w:jc w:val="left"/>
        <w:rPr>
          <w:rFonts w:ascii="宋体"/>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宋体"/>
          <w:b/>
          <w:color w:val="000000"/>
          <w:kern w:val="0"/>
          <w:sz w:val="24"/>
          <w:szCs w:val="24"/>
        </w:rPr>
      </w:pPr>
      <w:bookmarkStart w:id="0" w:name="_Toc478044544"/>
      <w:r>
        <w:rPr>
          <w:rFonts w:hint="eastAsia" w:ascii="宋体"/>
          <w:b/>
          <w:color w:val="000000"/>
          <w:kern w:val="0"/>
          <w:sz w:val="24"/>
          <w:szCs w:val="24"/>
        </w:rPr>
        <w:t>§</w:t>
      </w:r>
      <w:r>
        <w:rPr>
          <w:rFonts w:ascii="宋体"/>
          <w:b/>
          <w:color w:val="000000"/>
          <w:kern w:val="0"/>
          <w:sz w:val="24"/>
          <w:szCs w:val="24"/>
        </w:rPr>
        <w:t xml:space="preserve">1  </w:t>
      </w:r>
      <w:r>
        <w:rPr>
          <w:rFonts w:hint="eastAsia" w:ascii="宋体"/>
          <w:b/>
          <w:color w:val="000000"/>
          <w:kern w:val="0"/>
          <w:sz w:val="24"/>
          <w:szCs w:val="24"/>
        </w:rPr>
        <w:t>重要提示及目录</w:t>
      </w:r>
      <w:bookmarkEnd w:id="0"/>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30" w:line="288" w:lineRule="auto"/>
        <w:ind w:left="15"/>
        <w:jc w:val="left"/>
        <w:outlineLvl w:val="1"/>
        <w:rPr>
          <w:rFonts w:ascii="宋体"/>
          <w:b/>
          <w:color w:val="000000"/>
          <w:kern w:val="0"/>
          <w:sz w:val="24"/>
          <w:szCs w:val="24"/>
        </w:rPr>
      </w:pPr>
      <w:bookmarkStart w:id="1" w:name="_Toc478044545"/>
      <w:r>
        <w:rPr>
          <w:rFonts w:ascii="宋体"/>
          <w:b/>
          <w:color w:val="000000"/>
          <w:kern w:val="0"/>
          <w:sz w:val="24"/>
          <w:szCs w:val="24"/>
        </w:rPr>
        <w:t xml:space="preserve">1.1 </w:t>
      </w:r>
      <w:r>
        <w:rPr>
          <w:rFonts w:hint="eastAsia" w:ascii="宋体"/>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30"/>
      </w:tblGrid>
      <w:tr>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基金托管人招商银行股份有限公司根据本基金合同规定，于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3</w:t>
            </w:r>
            <w:r>
              <w:rPr>
                <w:rFonts w:hint="eastAsia" w:ascii="宋体"/>
                <w:color w:val="000000"/>
                <w:kern w:val="0"/>
                <w:sz w:val="24"/>
                <w:szCs w:val="24"/>
              </w:rPr>
              <w:t>月</w:t>
            </w:r>
            <w:r>
              <w:rPr>
                <w:rFonts w:ascii="宋体"/>
                <w:color w:val="000000"/>
                <w:kern w:val="0"/>
                <w:sz w:val="24"/>
                <w:szCs w:val="24"/>
              </w:rPr>
              <w:t>22</w:t>
            </w:r>
            <w:r>
              <w:rPr>
                <w:rFonts w:hint="eastAsia" w:ascii="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本报告期自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w:t>
            </w:r>
          </w:p>
        </w:tc>
      </w:tr>
    </w:tbl>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宋体"/>
          <w:b/>
          <w:color w:val="000000"/>
          <w:kern w:val="0"/>
          <w:sz w:val="24"/>
          <w:szCs w:val="24"/>
        </w:rPr>
      </w:pPr>
      <w:bookmarkStart w:id="2" w:name="_Toc478044546"/>
      <w:r>
        <w:rPr>
          <w:rFonts w:ascii="宋体"/>
          <w:b/>
          <w:color w:val="000000"/>
          <w:kern w:val="0"/>
          <w:sz w:val="24"/>
          <w:szCs w:val="24"/>
        </w:rPr>
        <w:t xml:space="preserve">1.2  </w:t>
      </w:r>
      <w:r>
        <w:rPr>
          <w:rFonts w:hint="eastAsia" w:ascii="宋体"/>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"_Toc478044544"</w:instrText>
      </w:r>
      <w:r>
        <w:rPr>
          <w:rStyle w:val="10"/>
          <w:lang/>
        </w:rPr>
        <w:instrText xml:space="preserve"> </w:instrText>
      </w:r>
      <w:r>
        <w:rPr>
          <w:rStyle w:val="10"/>
          <w:lang/>
        </w:rPr>
        <w:fldChar w:fldCharType="separate"/>
      </w:r>
      <w:r>
        <w:rPr>
          <w:rStyle w:val="10"/>
          <w:rFonts w:ascii="宋体"/>
          <w:b/>
          <w:kern w:val="0"/>
          <w:lang/>
        </w:rPr>
        <w:t xml:space="preserve">§1  </w:t>
      </w:r>
      <w:r>
        <w:rPr>
          <w:rStyle w:val="10"/>
          <w:rFonts w:hint="eastAsia" w:ascii="宋体"/>
          <w:b/>
          <w:kern w:val="0"/>
          <w:lang/>
        </w:rPr>
        <w:t>重要提示及目录</w:t>
      </w:r>
      <w:r>
        <w:rPr>
          <w:lang/>
        </w:rPr>
        <w:tab/>
      </w:r>
      <w:r>
        <w:rPr>
          <w:lang/>
        </w:rPr>
        <w:fldChar w:fldCharType="begin"/>
      </w:r>
      <w:r>
        <w:rPr>
          <w:lang/>
        </w:rPr>
        <w:instrText xml:space="preserve"> PAGEREF _Toc478044544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"_Toc478044545"</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重要提示</w:t>
      </w:r>
      <w:r>
        <w:rPr>
          <w:lang/>
        </w:rPr>
        <w:tab/>
      </w:r>
      <w:r>
        <w:rPr>
          <w:lang/>
        </w:rPr>
        <w:fldChar w:fldCharType="begin"/>
      </w:r>
      <w:r>
        <w:rPr>
          <w:lang/>
        </w:rPr>
        <w:instrText xml:space="preserve"> PAGEREF _Toc478044545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"_Toc478044546"</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目录</w:t>
      </w:r>
      <w:r>
        <w:rPr>
          <w:lang/>
        </w:rPr>
        <w:tab/>
      </w:r>
      <w:r>
        <w:rPr>
          <w:lang/>
        </w:rPr>
        <w:fldChar w:fldCharType="begin"/>
      </w:r>
      <w:r>
        <w:rPr>
          <w:lang/>
        </w:rPr>
        <w:instrText xml:space="preserve"> PAGEREF _Toc478044546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"_Toc478044547"</w:instrText>
      </w:r>
      <w:r>
        <w:rPr>
          <w:rStyle w:val="10"/>
          <w:lang/>
        </w:rPr>
        <w:instrText xml:space="preserve"> </w:instrText>
      </w:r>
      <w:r>
        <w:rPr>
          <w:rStyle w:val="10"/>
          <w:lang/>
        </w:rPr>
        <w:fldChar w:fldCharType="separate"/>
      </w:r>
      <w:r>
        <w:rPr>
          <w:rStyle w:val="10"/>
          <w:rFonts w:ascii="宋体"/>
          <w:b/>
          <w:kern w:val="0"/>
          <w:lang/>
        </w:rPr>
        <w:t xml:space="preserve">§2  </w:t>
      </w:r>
      <w:r>
        <w:rPr>
          <w:rStyle w:val="10"/>
          <w:rFonts w:hint="eastAsia" w:ascii="宋体"/>
          <w:b/>
          <w:kern w:val="0"/>
          <w:lang/>
        </w:rPr>
        <w:t>基金简介</w:t>
      </w:r>
      <w:r>
        <w:rPr>
          <w:lang/>
        </w:rPr>
        <w:tab/>
      </w:r>
      <w:r>
        <w:rPr>
          <w:lang/>
        </w:rPr>
        <w:fldChar w:fldCharType="begin"/>
      </w:r>
      <w:r>
        <w:rPr>
          <w:lang/>
        </w:rPr>
        <w:instrText xml:space="preserve"> PAGEREF _Toc478044547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"_Toc478044548"</w:instrText>
      </w:r>
      <w:r>
        <w:rPr>
          <w:rStyle w:val="10"/>
          <w:lang/>
        </w:rPr>
        <w:instrText xml:space="preserve"> </w:instrText>
      </w:r>
      <w:r>
        <w:rPr>
          <w:rStyle w:val="10"/>
          <w:lang/>
        </w:rPr>
        <w:fldChar w:fldCharType="separate"/>
      </w:r>
      <w:r>
        <w:rPr>
          <w:rStyle w:val="10"/>
          <w:rFonts w:ascii="宋体"/>
          <w:b/>
          <w:kern w:val="0"/>
          <w:lang/>
        </w:rPr>
        <w:t xml:space="preserve">2.1 </w:t>
      </w:r>
      <w:r>
        <w:rPr>
          <w:rStyle w:val="10"/>
          <w:rFonts w:hint="eastAsia" w:ascii="宋体"/>
          <w:b/>
          <w:kern w:val="0"/>
          <w:lang/>
        </w:rPr>
        <w:t>基金基本情况</w:t>
      </w:r>
      <w:r>
        <w:rPr>
          <w:lang/>
        </w:rPr>
        <w:tab/>
      </w:r>
      <w:r>
        <w:rPr>
          <w:lang/>
        </w:rPr>
        <w:fldChar w:fldCharType="begin"/>
      </w:r>
      <w:r>
        <w:rPr>
          <w:lang/>
        </w:rPr>
        <w:instrText xml:space="preserve"> PAGEREF _Toc478044548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"_Toc478044549"</w:instrText>
      </w:r>
      <w:r>
        <w:rPr>
          <w:rStyle w:val="10"/>
          <w:lang/>
        </w:rPr>
        <w:instrText xml:space="preserve"> </w:instrText>
      </w:r>
      <w:r>
        <w:rPr>
          <w:rStyle w:val="10"/>
          <w:lang/>
        </w:rPr>
        <w:fldChar w:fldCharType="separate"/>
      </w:r>
      <w:r>
        <w:rPr>
          <w:rStyle w:val="10"/>
          <w:rFonts w:ascii="宋体"/>
          <w:b/>
          <w:kern w:val="0"/>
          <w:lang/>
        </w:rPr>
        <w:t xml:space="preserve">2.2 </w:t>
      </w:r>
      <w:r>
        <w:rPr>
          <w:rStyle w:val="10"/>
          <w:rFonts w:hint="eastAsia" w:ascii="宋体"/>
          <w:b/>
          <w:kern w:val="0"/>
          <w:lang/>
        </w:rPr>
        <w:t>基金产品说明</w:t>
      </w:r>
      <w:r>
        <w:rPr>
          <w:lang/>
        </w:rPr>
        <w:tab/>
      </w:r>
      <w:r>
        <w:rPr>
          <w:lang/>
        </w:rPr>
        <w:fldChar w:fldCharType="begin"/>
      </w:r>
      <w:r>
        <w:rPr>
          <w:lang/>
        </w:rPr>
        <w:instrText xml:space="preserve"> PAGEREF _Toc478044549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"_Toc478044550"</w:instrText>
      </w:r>
      <w:r>
        <w:rPr>
          <w:rStyle w:val="10"/>
          <w:lang/>
        </w:rPr>
        <w:instrText xml:space="preserve"> </w:instrText>
      </w:r>
      <w:r>
        <w:rPr>
          <w:rStyle w:val="10"/>
          <w:lang/>
        </w:rPr>
        <w:fldChar w:fldCharType="separate"/>
      </w:r>
      <w:r>
        <w:rPr>
          <w:rStyle w:val="10"/>
          <w:rFonts w:ascii="宋体"/>
          <w:b/>
          <w:kern w:val="0"/>
          <w:lang/>
        </w:rPr>
        <w:t xml:space="preserve">2.3 </w:t>
      </w:r>
      <w:r>
        <w:rPr>
          <w:rStyle w:val="10"/>
          <w:rFonts w:hint="eastAsia" w:ascii="宋体"/>
          <w:b/>
          <w:kern w:val="0"/>
          <w:lang/>
        </w:rPr>
        <w:t>基金管理人和基金托管人</w:t>
      </w:r>
      <w:r>
        <w:rPr>
          <w:lang/>
        </w:rPr>
        <w:tab/>
      </w:r>
      <w:r>
        <w:rPr>
          <w:lang/>
        </w:rPr>
        <w:fldChar w:fldCharType="begin"/>
      </w:r>
      <w:r>
        <w:rPr>
          <w:lang/>
        </w:rPr>
        <w:instrText xml:space="preserve"> PAGEREF _Toc478044550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"_Toc478044551"</w:instrText>
      </w:r>
      <w:r>
        <w:rPr>
          <w:rStyle w:val="10"/>
          <w:lang/>
        </w:rPr>
        <w:instrText xml:space="preserve"> </w:instrText>
      </w:r>
      <w:r>
        <w:rPr>
          <w:rStyle w:val="10"/>
          <w:lang/>
        </w:rPr>
        <w:fldChar w:fldCharType="separate"/>
      </w:r>
      <w:r>
        <w:rPr>
          <w:rStyle w:val="10"/>
          <w:rFonts w:ascii="宋体"/>
          <w:b/>
          <w:kern w:val="0"/>
          <w:lang/>
        </w:rPr>
        <w:t xml:space="preserve">2.4 </w:t>
      </w:r>
      <w:r>
        <w:rPr>
          <w:rStyle w:val="10"/>
          <w:rFonts w:hint="eastAsia" w:ascii="宋体"/>
          <w:b/>
          <w:kern w:val="0"/>
          <w:lang/>
        </w:rPr>
        <w:t>信息披露方式</w:t>
      </w:r>
      <w:r>
        <w:rPr>
          <w:lang/>
        </w:rPr>
        <w:tab/>
      </w:r>
      <w:r>
        <w:rPr>
          <w:lang/>
        </w:rPr>
        <w:fldChar w:fldCharType="begin"/>
      </w:r>
      <w:r>
        <w:rPr>
          <w:lang/>
        </w:rPr>
        <w:instrText xml:space="preserve"> PAGEREF _Toc478044551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"_Toc478044552"</w:instrText>
      </w:r>
      <w:r>
        <w:rPr>
          <w:rStyle w:val="10"/>
          <w:lang/>
        </w:rPr>
        <w:instrText xml:space="preserve"> </w:instrText>
      </w:r>
      <w:r>
        <w:rPr>
          <w:rStyle w:val="10"/>
          <w:lang/>
        </w:rPr>
        <w:fldChar w:fldCharType="separate"/>
      </w:r>
      <w:r>
        <w:rPr>
          <w:rStyle w:val="10"/>
          <w:rFonts w:ascii="宋体"/>
          <w:b/>
          <w:kern w:val="0"/>
          <w:lang/>
        </w:rPr>
        <w:t xml:space="preserve">2.5 </w:t>
      </w:r>
      <w:r>
        <w:rPr>
          <w:rStyle w:val="10"/>
          <w:rFonts w:hint="eastAsia" w:ascii="宋体"/>
          <w:b/>
          <w:kern w:val="0"/>
          <w:lang/>
        </w:rPr>
        <w:t>其他相关资料</w:t>
      </w:r>
      <w:r>
        <w:rPr>
          <w:lang/>
        </w:rPr>
        <w:tab/>
      </w:r>
      <w:r>
        <w:rPr>
          <w:lang/>
        </w:rPr>
        <w:fldChar w:fldCharType="begin"/>
      </w:r>
      <w:r>
        <w:rPr>
          <w:lang/>
        </w:rPr>
        <w:instrText xml:space="preserve"> PAGEREF _Toc478044552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"_Toc478044553"</w:instrText>
      </w:r>
      <w:r>
        <w:rPr>
          <w:rStyle w:val="10"/>
          <w:lang/>
        </w:rPr>
        <w:instrText xml:space="preserve"> </w:instrText>
      </w:r>
      <w:r>
        <w:rPr>
          <w:rStyle w:val="10"/>
          <w:lang/>
        </w:rPr>
        <w:fldChar w:fldCharType="separate"/>
      </w:r>
      <w:r>
        <w:rPr>
          <w:rStyle w:val="10"/>
          <w:rFonts w:ascii="宋体"/>
          <w:b/>
          <w:kern w:val="0"/>
          <w:lang/>
        </w:rPr>
        <w:t xml:space="preserve">§3  </w:t>
      </w:r>
      <w:r>
        <w:rPr>
          <w:rStyle w:val="10"/>
          <w:rFonts w:hint="eastAsia" w:ascii="宋体"/>
          <w:b/>
          <w:kern w:val="0"/>
          <w:lang/>
        </w:rPr>
        <w:t>主要财务指标、基金净值表现及利润分配情况</w:t>
      </w:r>
      <w:r>
        <w:rPr>
          <w:lang/>
        </w:rPr>
        <w:tab/>
      </w:r>
      <w:r>
        <w:rPr>
          <w:lang/>
        </w:rPr>
        <w:fldChar w:fldCharType="begin"/>
      </w:r>
      <w:r>
        <w:rPr>
          <w:lang/>
        </w:rPr>
        <w:instrText xml:space="preserve"> PAGEREF _Toc478044553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"_Toc478044554"</w:instrText>
      </w:r>
      <w:r>
        <w:rPr>
          <w:rStyle w:val="10"/>
          <w:lang/>
        </w:rPr>
        <w:instrText xml:space="preserve"> </w:instrText>
      </w:r>
      <w:r>
        <w:rPr>
          <w:rStyle w:val="10"/>
          <w:lang/>
        </w:rPr>
        <w:fldChar w:fldCharType="separate"/>
      </w:r>
      <w:r>
        <w:rPr>
          <w:rStyle w:val="10"/>
          <w:rFonts w:ascii="宋体"/>
          <w:b/>
          <w:kern w:val="0"/>
          <w:lang/>
        </w:rPr>
        <w:t xml:space="preserve">3.1 </w:t>
      </w:r>
      <w:r>
        <w:rPr>
          <w:rStyle w:val="10"/>
          <w:rFonts w:hint="eastAsia" w:ascii="宋体"/>
          <w:b/>
          <w:kern w:val="0"/>
          <w:lang/>
        </w:rPr>
        <w:t>主要会计数据和财务指标</w:t>
      </w:r>
      <w:r>
        <w:rPr>
          <w:lang/>
        </w:rPr>
        <w:tab/>
      </w:r>
      <w:r>
        <w:rPr>
          <w:lang/>
        </w:rPr>
        <w:fldChar w:fldCharType="begin"/>
      </w:r>
      <w:r>
        <w:rPr>
          <w:lang/>
        </w:rPr>
        <w:instrText xml:space="preserve"> PAGEREF _Toc478044554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"_Toc478044555"</w:instrText>
      </w:r>
      <w:r>
        <w:rPr>
          <w:rStyle w:val="10"/>
          <w:lang/>
        </w:rPr>
        <w:instrText xml:space="preserve"> </w:instrText>
      </w:r>
      <w:r>
        <w:rPr>
          <w:rStyle w:val="10"/>
          <w:lang/>
        </w:rPr>
        <w:fldChar w:fldCharType="separate"/>
      </w:r>
      <w:r>
        <w:rPr>
          <w:rStyle w:val="10"/>
          <w:rFonts w:ascii="宋体"/>
          <w:b/>
          <w:kern w:val="0"/>
          <w:lang/>
        </w:rPr>
        <w:t xml:space="preserve">3.2 </w:t>
      </w:r>
      <w:r>
        <w:rPr>
          <w:rStyle w:val="10"/>
          <w:rFonts w:hint="eastAsia" w:ascii="宋体"/>
          <w:b/>
          <w:kern w:val="0"/>
          <w:lang/>
        </w:rPr>
        <w:t>基金净值表现</w:t>
      </w:r>
      <w:r>
        <w:rPr>
          <w:lang/>
        </w:rPr>
        <w:tab/>
      </w:r>
      <w:r>
        <w:rPr>
          <w:lang/>
        </w:rPr>
        <w:fldChar w:fldCharType="begin"/>
      </w:r>
      <w:r>
        <w:rPr>
          <w:lang/>
        </w:rPr>
        <w:instrText xml:space="preserve"> PAGEREF _Toc478044555 \h </w:instrText>
      </w:r>
      <w:r>
        <w:rPr>
          <w:lang/>
        </w:rPr>
        <w:fldChar w:fldCharType="separate"/>
      </w:r>
      <w:r>
        <w:rPr>
          <w:lang/>
        </w:rPr>
        <w:t>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"_Toc478044556"</w:instrText>
      </w:r>
      <w:r>
        <w:rPr>
          <w:rStyle w:val="10"/>
          <w:lang/>
        </w:rPr>
        <w:instrText xml:space="preserve"> </w:instrText>
      </w:r>
      <w:r>
        <w:rPr>
          <w:rStyle w:val="10"/>
          <w:lang/>
        </w:rPr>
        <w:fldChar w:fldCharType="separate"/>
      </w:r>
      <w:r>
        <w:rPr>
          <w:rStyle w:val="10"/>
          <w:rFonts w:ascii="宋体"/>
          <w:b/>
          <w:kern w:val="0"/>
          <w:lang/>
        </w:rPr>
        <w:t xml:space="preserve">§4  </w:t>
      </w:r>
      <w:r>
        <w:rPr>
          <w:rStyle w:val="10"/>
          <w:rFonts w:hint="eastAsia" w:ascii="宋体"/>
          <w:b/>
          <w:kern w:val="0"/>
          <w:lang/>
        </w:rPr>
        <w:t>管理人报告</w:t>
      </w:r>
      <w:r>
        <w:rPr>
          <w:lang/>
        </w:rPr>
        <w:tab/>
      </w:r>
      <w:r>
        <w:rPr>
          <w:lang/>
        </w:rPr>
        <w:fldChar w:fldCharType="begin"/>
      </w:r>
      <w:r>
        <w:rPr>
          <w:lang/>
        </w:rPr>
        <w:instrText xml:space="preserve"> PAGEREF _Toc478044556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"_Toc478044557"</w:instrText>
      </w:r>
      <w:r>
        <w:rPr>
          <w:rStyle w:val="10"/>
          <w:lang/>
        </w:rPr>
        <w:instrText xml:space="preserve"> </w:instrText>
      </w:r>
      <w:r>
        <w:rPr>
          <w:rStyle w:val="10"/>
          <w:lang/>
        </w:rPr>
        <w:fldChar w:fldCharType="separate"/>
      </w:r>
      <w:r>
        <w:rPr>
          <w:rStyle w:val="10"/>
          <w:rFonts w:ascii="宋体"/>
          <w:b/>
          <w:kern w:val="0"/>
          <w:lang/>
        </w:rPr>
        <w:t xml:space="preserve">4.1 </w:t>
      </w:r>
      <w:r>
        <w:rPr>
          <w:rStyle w:val="10"/>
          <w:rFonts w:hint="eastAsia" w:ascii="宋体"/>
          <w:b/>
          <w:kern w:val="0"/>
          <w:lang/>
        </w:rPr>
        <w:t>基金管理人及基金经理情况</w:t>
      </w:r>
      <w:r>
        <w:rPr>
          <w:lang/>
        </w:rPr>
        <w:tab/>
      </w:r>
      <w:r>
        <w:rPr>
          <w:lang/>
        </w:rPr>
        <w:fldChar w:fldCharType="begin"/>
      </w:r>
      <w:r>
        <w:rPr>
          <w:lang/>
        </w:rPr>
        <w:instrText xml:space="preserve"> PAGEREF _Toc478044557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"_Toc478044558"</w:instrText>
      </w:r>
      <w:r>
        <w:rPr>
          <w:rStyle w:val="10"/>
          <w:lang/>
        </w:rPr>
        <w:instrText xml:space="preserve"> </w:instrText>
      </w:r>
      <w:r>
        <w:rPr>
          <w:rStyle w:val="10"/>
          <w:lang/>
        </w:rPr>
        <w:fldChar w:fldCharType="separate"/>
      </w:r>
      <w:r>
        <w:rPr>
          <w:rStyle w:val="10"/>
          <w:rFonts w:ascii="宋体"/>
          <w:b/>
          <w:kern w:val="0"/>
          <w:lang/>
        </w:rPr>
        <w:t xml:space="preserve">4.2 </w:t>
      </w:r>
      <w:r>
        <w:rPr>
          <w:rStyle w:val="10"/>
          <w:rFonts w:hint="eastAsia" w:ascii="宋体"/>
          <w:b/>
          <w:kern w:val="0"/>
          <w:lang/>
        </w:rPr>
        <w:t>管理人对报告期内本基金运作遵规守信情况的说明</w:t>
      </w:r>
      <w:r>
        <w:rPr>
          <w:lang/>
        </w:rPr>
        <w:tab/>
      </w:r>
      <w:r>
        <w:rPr>
          <w:lang/>
        </w:rPr>
        <w:fldChar w:fldCharType="begin"/>
      </w:r>
      <w:r>
        <w:rPr>
          <w:lang/>
        </w:rPr>
        <w:instrText xml:space="preserve"> PAGEREF _Toc478044558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"_Toc478044559"</w:instrText>
      </w:r>
      <w:r>
        <w:rPr>
          <w:rStyle w:val="10"/>
          <w:lang/>
        </w:rPr>
        <w:instrText xml:space="preserve"> </w:instrText>
      </w:r>
      <w:r>
        <w:rPr>
          <w:rStyle w:val="10"/>
          <w:lang/>
        </w:rPr>
        <w:fldChar w:fldCharType="separate"/>
      </w:r>
      <w:r>
        <w:rPr>
          <w:rStyle w:val="10"/>
          <w:rFonts w:ascii="宋体"/>
          <w:b/>
          <w:kern w:val="0"/>
          <w:lang/>
        </w:rPr>
        <w:t xml:space="preserve">4.3 </w:t>
      </w:r>
      <w:r>
        <w:rPr>
          <w:rStyle w:val="10"/>
          <w:rFonts w:hint="eastAsia" w:ascii="宋体"/>
          <w:b/>
          <w:kern w:val="0"/>
          <w:lang/>
        </w:rPr>
        <w:t>管理人对报告期内公平交易情况的专项说明</w:t>
      </w:r>
      <w:r>
        <w:rPr>
          <w:lang/>
        </w:rPr>
        <w:tab/>
      </w:r>
      <w:r>
        <w:rPr>
          <w:lang/>
        </w:rPr>
        <w:fldChar w:fldCharType="begin"/>
      </w:r>
      <w:r>
        <w:rPr>
          <w:lang/>
        </w:rPr>
        <w:instrText xml:space="preserve"> PAGEREF _Toc478044559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"_Toc478044560"</w:instrText>
      </w:r>
      <w:r>
        <w:rPr>
          <w:rStyle w:val="10"/>
          <w:lang/>
        </w:rPr>
        <w:instrText xml:space="preserve"> </w:instrText>
      </w:r>
      <w:r>
        <w:rPr>
          <w:rStyle w:val="10"/>
          <w:lang/>
        </w:rPr>
        <w:fldChar w:fldCharType="separate"/>
      </w:r>
      <w:r>
        <w:rPr>
          <w:rStyle w:val="10"/>
          <w:rFonts w:ascii="宋体"/>
          <w:b/>
          <w:kern w:val="0"/>
          <w:lang/>
        </w:rPr>
        <w:t xml:space="preserve">4.4 </w:t>
      </w:r>
      <w:r>
        <w:rPr>
          <w:rStyle w:val="10"/>
          <w:rFonts w:hint="eastAsia" w:ascii="宋体"/>
          <w:b/>
          <w:kern w:val="0"/>
          <w:lang/>
        </w:rPr>
        <w:t>管理人对报告期内基金的投资策略和业绩表现说明</w:t>
      </w:r>
      <w:r>
        <w:rPr>
          <w:lang/>
        </w:rPr>
        <w:tab/>
      </w:r>
      <w:r>
        <w:rPr>
          <w:lang/>
        </w:rPr>
        <w:fldChar w:fldCharType="begin"/>
      </w:r>
      <w:r>
        <w:rPr>
          <w:lang/>
        </w:rPr>
        <w:instrText xml:space="preserve"> PAGEREF _Toc478044560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"_Toc478044561"</w:instrText>
      </w:r>
      <w:r>
        <w:rPr>
          <w:rStyle w:val="10"/>
          <w:lang/>
        </w:rPr>
        <w:instrText xml:space="preserve"> </w:instrText>
      </w:r>
      <w:r>
        <w:rPr>
          <w:rStyle w:val="10"/>
          <w:lang/>
        </w:rPr>
        <w:fldChar w:fldCharType="separate"/>
      </w:r>
      <w:r>
        <w:rPr>
          <w:rStyle w:val="10"/>
          <w:rFonts w:ascii="宋体"/>
          <w:b/>
          <w:kern w:val="0"/>
          <w:lang/>
        </w:rPr>
        <w:t xml:space="preserve">4.5 </w:t>
      </w:r>
      <w:r>
        <w:rPr>
          <w:rStyle w:val="10"/>
          <w:rFonts w:hint="eastAsia" w:ascii="宋体"/>
          <w:b/>
          <w:kern w:val="0"/>
          <w:lang/>
        </w:rPr>
        <w:t>管理人对宏观经济、证券市场及行业走势的简要展望</w:t>
      </w:r>
      <w:r>
        <w:rPr>
          <w:lang/>
        </w:rPr>
        <w:tab/>
      </w:r>
      <w:r>
        <w:rPr>
          <w:lang/>
        </w:rPr>
        <w:fldChar w:fldCharType="begin"/>
      </w:r>
      <w:r>
        <w:rPr>
          <w:lang/>
        </w:rPr>
        <w:instrText xml:space="preserve"> PAGEREF _Toc478044561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"_Toc478044562"</w:instrText>
      </w:r>
      <w:r>
        <w:rPr>
          <w:rStyle w:val="10"/>
          <w:lang/>
        </w:rPr>
        <w:instrText xml:space="preserve"> </w:instrText>
      </w:r>
      <w:r>
        <w:rPr>
          <w:rStyle w:val="10"/>
          <w:lang/>
        </w:rPr>
        <w:fldChar w:fldCharType="separate"/>
      </w:r>
      <w:r>
        <w:rPr>
          <w:rStyle w:val="10"/>
          <w:rFonts w:ascii="宋体"/>
          <w:b/>
          <w:kern w:val="0"/>
          <w:lang/>
        </w:rPr>
        <w:t xml:space="preserve">4.6 </w:t>
      </w:r>
      <w:r>
        <w:rPr>
          <w:rStyle w:val="10"/>
          <w:rFonts w:hint="eastAsia" w:ascii="宋体"/>
          <w:b/>
          <w:kern w:val="0"/>
          <w:lang/>
        </w:rPr>
        <w:t>管理人内部有关本基金的监察稽核工作情况</w:t>
      </w:r>
      <w:r>
        <w:rPr>
          <w:lang/>
        </w:rPr>
        <w:tab/>
      </w:r>
      <w:r>
        <w:rPr>
          <w:lang/>
        </w:rPr>
        <w:fldChar w:fldCharType="begin"/>
      </w:r>
      <w:r>
        <w:rPr>
          <w:lang/>
        </w:rPr>
        <w:instrText xml:space="preserve"> PAGEREF _Toc478044562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"_Toc478044563"</w:instrText>
      </w:r>
      <w:r>
        <w:rPr>
          <w:rStyle w:val="10"/>
          <w:lang/>
        </w:rPr>
        <w:instrText xml:space="preserve"> </w:instrText>
      </w:r>
      <w:r>
        <w:rPr>
          <w:rStyle w:val="10"/>
          <w:lang/>
        </w:rPr>
        <w:fldChar w:fldCharType="separate"/>
      </w:r>
      <w:r>
        <w:rPr>
          <w:rStyle w:val="10"/>
          <w:rFonts w:ascii="宋体"/>
          <w:b/>
          <w:kern w:val="0"/>
          <w:lang/>
        </w:rPr>
        <w:t xml:space="preserve">4.7 </w:t>
      </w:r>
      <w:r>
        <w:rPr>
          <w:rStyle w:val="10"/>
          <w:rFonts w:hint="eastAsia" w:ascii="宋体"/>
          <w:b/>
          <w:kern w:val="0"/>
          <w:lang/>
        </w:rPr>
        <w:t>管理人对报告期内基金估值程序等事项的说明</w:t>
      </w:r>
      <w:r>
        <w:rPr>
          <w:lang/>
        </w:rPr>
        <w:tab/>
      </w:r>
      <w:r>
        <w:rPr>
          <w:lang/>
        </w:rPr>
        <w:fldChar w:fldCharType="begin"/>
      </w:r>
      <w:r>
        <w:rPr>
          <w:lang/>
        </w:rPr>
        <w:instrText xml:space="preserve"> PAGEREF _Toc478044563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"_Toc478044564"</w:instrText>
      </w:r>
      <w:r>
        <w:rPr>
          <w:rStyle w:val="10"/>
          <w:lang/>
        </w:rPr>
        <w:instrText xml:space="preserve"> </w:instrText>
      </w:r>
      <w:r>
        <w:rPr>
          <w:rStyle w:val="10"/>
          <w:lang/>
        </w:rPr>
        <w:fldChar w:fldCharType="separate"/>
      </w:r>
      <w:r>
        <w:rPr>
          <w:rStyle w:val="10"/>
          <w:rFonts w:ascii="宋体"/>
          <w:b/>
          <w:kern w:val="0"/>
          <w:lang/>
        </w:rPr>
        <w:t xml:space="preserve">4.8 </w:t>
      </w:r>
      <w:r>
        <w:rPr>
          <w:rStyle w:val="10"/>
          <w:rFonts w:hint="eastAsia" w:ascii="宋体"/>
          <w:b/>
          <w:kern w:val="0"/>
          <w:lang/>
        </w:rPr>
        <w:t>管理人对报告期内基金利润分配情况的说明</w:t>
      </w:r>
      <w:r>
        <w:rPr>
          <w:lang/>
        </w:rPr>
        <w:tab/>
      </w:r>
      <w:r>
        <w:rPr>
          <w:lang/>
        </w:rPr>
        <w:fldChar w:fldCharType="begin"/>
      </w:r>
      <w:r>
        <w:rPr>
          <w:lang/>
        </w:rPr>
        <w:instrText xml:space="preserve"> PAGEREF _Toc478044564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"_Toc478044565"</w:instrText>
      </w:r>
      <w:r>
        <w:rPr>
          <w:rStyle w:val="10"/>
          <w:lang/>
        </w:rPr>
        <w:instrText xml:space="preserve"> </w:instrText>
      </w:r>
      <w:r>
        <w:rPr>
          <w:rStyle w:val="10"/>
          <w:lang/>
        </w:rPr>
        <w:fldChar w:fldCharType="separate"/>
      </w:r>
      <w:r>
        <w:rPr>
          <w:rStyle w:val="10"/>
          <w:rFonts w:ascii="宋体"/>
          <w:b/>
          <w:kern w:val="0"/>
          <w:lang/>
        </w:rPr>
        <w:t xml:space="preserve">§5  </w:t>
      </w:r>
      <w:r>
        <w:rPr>
          <w:rStyle w:val="10"/>
          <w:rFonts w:hint="eastAsia" w:ascii="宋体"/>
          <w:b/>
          <w:kern w:val="0"/>
          <w:lang/>
        </w:rPr>
        <w:t>托管人报告</w:t>
      </w:r>
      <w:r>
        <w:rPr>
          <w:lang/>
        </w:rPr>
        <w:tab/>
      </w:r>
      <w:r>
        <w:rPr>
          <w:lang/>
        </w:rPr>
        <w:fldChar w:fldCharType="begin"/>
      </w:r>
      <w:r>
        <w:rPr>
          <w:lang/>
        </w:rPr>
        <w:instrText xml:space="preserve"> PAGEREF _Toc478044565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"_Toc478044566"</w:instrText>
      </w:r>
      <w:r>
        <w:rPr>
          <w:rStyle w:val="10"/>
          <w:lang/>
        </w:rPr>
        <w:instrText xml:space="preserve"> </w:instrText>
      </w:r>
      <w:r>
        <w:rPr>
          <w:rStyle w:val="10"/>
          <w:lang/>
        </w:rPr>
        <w:fldChar w:fldCharType="separate"/>
      </w:r>
      <w:r>
        <w:rPr>
          <w:rStyle w:val="10"/>
          <w:rFonts w:ascii="宋体"/>
          <w:b/>
          <w:kern w:val="0"/>
          <w:lang/>
        </w:rPr>
        <w:t xml:space="preserve">5.1 </w:t>
      </w:r>
      <w:r>
        <w:rPr>
          <w:rStyle w:val="10"/>
          <w:rFonts w:hint="eastAsia" w:ascii="宋体"/>
          <w:b/>
          <w:kern w:val="0"/>
          <w:lang/>
        </w:rPr>
        <w:t>报告期内本基金托管人遵规守信情况声明</w:t>
      </w:r>
      <w:r>
        <w:rPr>
          <w:lang/>
        </w:rPr>
        <w:tab/>
      </w:r>
      <w:r>
        <w:rPr>
          <w:lang/>
        </w:rPr>
        <w:fldChar w:fldCharType="begin"/>
      </w:r>
      <w:r>
        <w:rPr>
          <w:lang/>
        </w:rPr>
        <w:instrText xml:space="preserve"> PAGEREF _Toc478044566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"_Toc478044567"</w:instrText>
      </w:r>
      <w:r>
        <w:rPr>
          <w:rStyle w:val="10"/>
          <w:lang/>
        </w:rPr>
        <w:instrText xml:space="preserve"> </w:instrText>
      </w:r>
      <w:r>
        <w:rPr>
          <w:rStyle w:val="10"/>
          <w:lang/>
        </w:rPr>
        <w:fldChar w:fldCharType="separate"/>
      </w:r>
      <w:r>
        <w:rPr>
          <w:rStyle w:val="10"/>
          <w:rFonts w:ascii="宋体"/>
          <w:b/>
          <w:kern w:val="0"/>
          <w:lang/>
        </w:rPr>
        <w:t xml:space="preserve">5.2 </w:t>
      </w:r>
      <w:r>
        <w:rPr>
          <w:rStyle w:val="10"/>
          <w:rFonts w:hint="eastAsia" w:ascii="宋体"/>
          <w:b/>
          <w:kern w:val="0"/>
          <w:lang/>
        </w:rPr>
        <w:t>托管人对报告期内本基金投资运作遵规守信、净值计算、利润分配等情况的说明</w:t>
      </w:r>
      <w:r>
        <w:rPr>
          <w:lang/>
        </w:rPr>
        <w:tab/>
      </w:r>
      <w:r>
        <w:rPr>
          <w:lang/>
        </w:rPr>
        <w:fldChar w:fldCharType="begin"/>
      </w:r>
      <w:r>
        <w:rPr>
          <w:lang/>
        </w:rPr>
        <w:instrText xml:space="preserve"> PAGEREF _Toc478044567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"_Toc478044568"</w:instrText>
      </w:r>
      <w:r>
        <w:rPr>
          <w:rStyle w:val="10"/>
          <w:lang/>
        </w:rPr>
        <w:instrText xml:space="preserve"> </w:instrText>
      </w:r>
      <w:r>
        <w:rPr>
          <w:rStyle w:val="10"/>
          <w:lang/>
        </w:rPr>
        <w:fldChar w:fldCharType="separate"/>
      </w:r>
      <w:r>
        <w:rPr>
          <w:rStyle w:val="10"/>
          <w:rFonts w:ascii="宋体"/>
          <w:b/>
          <w:kern w:val="0"/>
          <w:lang/>
        </w:rPr>
        <w:t xml:space="preserve">5.3 </w:t>
      </w:r>
      <w:r>
        <w:rPr>
          <w:rStyle w:val="10"/>
          <w:rFonts w:hint="eastAsia" w:ascii="宋体"/>
          <w:b/>
          <w:kern w:val="0"/>
          <w:lang/>
        </w:rPr>
        <w:t>托管人对本年度报告中财务信息等内容的真实、准确和完整发表意见</w:t>
      </w:r>
      <w:r>
        <w:rPr>
          <w:lang/>
        </w:rPr>
        <w:tab/>
      </w:r>
      <w:r>
        <w:rPr>
          <w:lang/>
        </w:rPr>
        <w:fldChar w:fldCharType="begin"/>
      </w:r>
      <w:r>
        <w:rPr>
          <w:lang/>
        </w:rPr>
        <w:instrText xml:space="preserve"> PAGEREF _Toc478044568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"_Toc478044569"</w:instrText>
      </w:r>
      <w:r>
        <w:rPr>
          <w:rStyle w:val="10"/>
          <w:lang/>
        </w:rPr>
        <w:instrText xml:space="preserve"> </w:instrText>
      </w:r>
      <w:r>
        <w:rPr>
          <w:rStyle w:val="10"/>
          <w:lang/>
        </w:rPr>
        <w:fldChar w:fldCharType="separate"/>
      </w:r>
      <w:r>
        <w:rPr>
          <w:rStyle w:val="10"/>
          <w:rFonts w:ascii="宋体"/>
          <w:b/>
          <w:kern w:val="0"/>
          <w:lang/>
        </w:rPr>
        <w:t xml:space="preserve">§6 </w:t>
      </w:r>
      <w:r>
        <w:rPr>
          <w:rStyle w:val="10"/>
          <w:rFonts w:hint="eastAsia" w:ascii="宋体"/>
          <w:b/>
          <w:kern w:val="0"/>
          <w:lang/>
        </w:rPr>
        <w:t>审计报告</w:t>
      </w:r>
      <w:r>
        <w:rPr>
          <w:lang/>
        </w:rPr>
        <w:tab/>
      </w:r>
      <w:r>
        <w:rPr>
          <w:lang/>
        </w:rPr>
        <w:fldChar w:fldCharType="begin"/>
      </w:r>
      <w:r>
        <w:rPr>
          <w:lang/>
        </w:rPr>
        <w:instrText xml:space="preserve"> PAGEREF _Toc478044569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"_Toc478044570"</w:instrText>
      </w:r>
      <w:r>
        <w:rPr>
          <w:rStyle w:val="10"/>
          <w:lang/>
        </w:rPr>
        <w:instrText xml:space="preserve"> </w:instrText>
      </w:r>
      <w:r>
        <w:rPr>
          <w:rStyle w:val="10"/>
          <w:lang/>
        </w:rPr>
        <w:fldChar w:fldCharType="separate"/>
      </w:r>
      <w:r>
        <w:rPr>
          <w:rStyle w:val="10"/>
          <w:rFonts w:ascii="宋体"/>
          <w:b/>
          <w:kern w:val="0"/>
          <w:lang/>
        </w:rPr>
        <w:t xml:space="preserve">6.1 </w:t>
      </w:r>
      <w:r>
        <w:rPr>
          <w:rStyle w:val="10"/>
          <w:rFonts w:hint="eastAsia" w:ascii="宋体"/>
          <w:b/>
          <w:kern w:val="0"/>
          <w:lang/>
        </w:rPr>
        <w:t>审计报告基本信息</w:t>
      </w:r>
      <w:r>
        <w:rPr>
          <w:lang/>
        </w:rPr>
        <w:tab/>
      </w:r>
      <w:r>
        <w:rPr>
          <w:lang/>
        </w:rPr>
        <w:fldChar w:fldCharType="begin"/>
      </w:r>
      <w:r>
        <w:rPr>
          <w:lang/>
        </w:rPr>
        <w:instrText xml:space="preserve"> PAGEREF _Toc478044570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"_Toc478044571"</w:instrText>
      </w:r>
      <w:r>
        <w:rPr>
          <w:rStyle w:val="10"/>
          <w:lang/>
        </w:rPr>
        <w:instrText xml:space="preserve"> </w:instrText>
      </w:r>
      <w:r>
        <w:rPr>
          <w:rStyle w:val="10"/>
          <w:lang/>
        </w:rPr>
        <w:fldChar w:fldCharType="separate"/>
      </w:r>
      <w:r>
        <w:rPr>
          <w:rStyle w:val="10"/>
          <w:rFonts w:ascii="宋体"/>
          <w:b/>
          <w:kern w:val="0"/>
          <w:lang/>
        </w:rPr>
        <w:t xml:space="preserve">6.2 </w:t>
      </w:r>
      <w:r>
        <w:rPr>
          <w:rStyle w:val="10"/>
          <w:rFonts w:hint="eastAsia" w:ascii="宋体"/>
          <w:b/>
          <w:kern w:val="0"/>
          <w:lang/>
        </w:rPr>
        <w:t>审计报告的基本内容</w:t>
      </w:r>
      <w:r>
        <w:rPr>
          <w:lang/>
        </w:rPr>
        <w:tab/>
      </w:r>
      <w:r>
        <w:rPr>
          <w:lang/>
        </w:rPr>
        <w:fldChar w:fldCharType="begin"/>
      </w:r>
      <w:r>
        <w:rPr>
          <w:lang/>
        </w:rPr>
        <w:instrText xml:space="preserve"> PAGEREF _Toc478044571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"_Toc478044572"</w:instrText>
      </w:r>
      <w:r>
        <w:rPr>
          <w:rStyle w:val="10"/>
          <w:lang/>
        </w:rPr>
        <w:instrText xml:space="preserve"> </w:instrText>
      </w:r>
      <w:r>
        <w:rPr>
          <w:rStyle w:val="10"/>
          <w:lang/>
        </w:rPr>
        <w:fldChar w:fldCharType="separate"/>
      </w:r>
      <w:r>
        <w:rPr>
          <w:rStyle w:val="10"/>
          <w:rFonts w:ascii="宋体"/>
          <w:b/>
          <w:kern w:val="0"/>
          <w:lang/>
        </w:rPr>
        <w:t xml:space="preserve">§7 </w:t>
      </w:r>
      <w:r>
        <w:rPr>
          <w:rStyle w:val="10"/>
          <w:rFonts w:hint="eastAsia" w:ascii="宋体"/>
          <w:b/>
          <w:kern w:val="0"/>
          <w:lang/>
        </w:rPr>
        <w:t>年度财务报表</w:t>
      </w:r>
      <w:r>
        <w:rPr>
          <w:lang/>
        </w:rPr>
        <w:tab/>
      </w:r>
      <w:r>
        <w:rPr>
          <w:lang/>
        </w:rPr>
        <w:fldChar w:fldCharType="begin"/>
      </w:r>
      <w:r>
        <w:rPr>
          <w:lang/>
        </w:rPr>
        <w:instrText xml:space="preserve"> PAGEREF _Toc478044572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"_Toc478044573"</w:instrText>
      </w:r>
      <w:r>
        <w:rPr>
          <w:rStyle w:val="10"/>
          <w:lang/>
        </w:rPr>
        <w:instrText xml:space="preserve"> </w:instrText>
      </w:r>
      <w:r>
        <w:rPr>
          <w:rStyle w:val="10"/>
          <w:lang/>
        </w:rPr>
        <w:fldChar w:fldCharType="separate"/>
      </w:r>
      <w:r>
        <w:rPr>
          <w:rStyle w:val="10"/>
          <w:rFonts w:ascii="宋体"/>
          <w:b/>
          <w:kern w:val="0"/>
          <w:lang/>
        </w:rPr>
        <w:t xml:space="preserve">7.1 </w:t>
      </w:r>
      <w:r>
        <w:rPr>
          <w:rStyle w:val="10"/>
          <w:rFonts w:hint="eastAsia" w:ascii="宋体"/>
          <w:b/>
          <w:kern w:val="0"/>
          <w:lang/>
        </w:rPr>
        <w:t>资产负债表</w:t>
      </w:r>
      <w:r>
        <w:rPr>
          <w:lang/>
        </w:rPr>
        <w:tab/>
      </w:r>
      <w:r>
        <w:rPr>
          <w:lang/>
        </w:rPr>
        <w:fldChar w:fldCharType="begin"/>
      </w:r>
      <w:r>
        <w:rPr>
          <w:lang/>
        </w:rPr>
        <w:instrText xml:space="preserve"> PAGEREF _Toc478044573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"_Toc478044574"</w:instrText>
      </w:r>
      <w:r>
        <w:rPr>
          <w:rStyle w:val="10"/>
          <w:lang/>
        </w:rPr>
        <w:instrText xml:space="preserve"> </w:instrText>
      </w:r>
      <w:r>
        <w:rPr>
          <w:rStyle w:val="10"/>
          <w:lang/>
        </w:rPr>
        <w:fldChar w:fldCharType="separate"/>
      </w:r>
      <w:r>
        <w:rPr>
          <w:rStyle w:val="10"/>
          <w:rFonts w:ascii="宋体"/>
          <w:b/>
          <w:kern w:val="0"/>
          <w:lang/>
        </w:rPr>
        <w:t xml:space="preserve">7.2 </w:t>
      </w:r>
      <w:r>
        <w:rPr>
          <w:rStyle w:val="10"/>
          <w:rFonts w:hint="eastAsia" w:ascii="宋体"/>
          <w:b/>
          <w:kern w:val="0"/>
          <w:lang/>
        </w:rPr>
        <w:t>利润表</w:t>
      </w:r>
      <w:r>
        <w:rPr>
          <w:lang/>
        </w:rPr>
        <w:tab/>
      </w:r>
      <w:r>
        <w:rPr>
          <w:lang/>
        </w:rPr>
        <w:fldChar w:fldCharType="begin"/>
      </w:r>
      <w:r>
        <w:rPr>
          <w:lang/>
        </w:rPr>
        <w:instrText xml:space="preserve"> PAGEREF _Toc478044574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"_Toc478044575"</w:instrText>
      </w:r>
      <w:r>
        <w:rPr>
          <w:rStyle w:val="10"/>
          <w:lang/>
        </w:rPr>
        <w:instrText xml:space="preserve"> </w:instrText>
      </w:r>
      <w:r>
        <w:rPr>
          <w:rStyle w:val="10"/>
          <w:lang/>
        </w:rPr>
        <w:fldChar w:fldCharType="separate"/>
      </w:r>
      <w:r>
        <w:rPr>
          <w:rStyle w:val="10"/>
          <w:rFonts w:ascii="宋体"/>
          <w:b/>
          <w:kern w:val="0"/>
          <w:lang/>
        </w:rPr>
        <w:t xml:space="preserve">7.3 </w:t>
      </w:r>
      <w:r>
        <w:rPr>
          <w:rStyle w:val="10"/>
          <w:rFonts w:hint="eastAsia" w:ascii="宋体"/>
          <w:b/>
          <w:kern w:val="0"/>
          <w:lang/>
        </w:rPr>
        <w:t>所有者权益（基金净值）变动表</w:t>
      </w:r>
      <w:r>
        <w:rPr>
          <w:lang/>
        </w:rPr>
        <w:tab/>
      </w:r>
      <w:r>
        <w:rPr>
          <w:lang/>
        </w:rPr>
        <w:fldChar w:fldCharType="begin"/>
      </w:r>
      <w:r>
        <w:rPr>
          <w:lang/>
        </w:rPr>
        <w:instrText xml:space="preserve"> PAGEREF _Toc478044575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"_Toc478044576"</w:instrText>
      </w:r>
      <w:r>
        <w:rPr>
          <w:rStyle w:val="10"/>
          <w:lang/>
        </w:rPr>
        <w:instrText xml:space="preserve"> </w:instrText>
      </w:r>
      <w:r>
        <w:rPr>
          <w:rStyle w:val="10"/>
          <w:lang/>
        </w:rPr>
        <w:fldChar w:fldCharType="separate"/>
      </w:r>
      <w:r>
        <w:rPr>
          <w:rStyle w:val="10"/>
          <w:rFonts w:ascii="宋体"/>
          <w:b/>
          <w:kern w:val="0"/>
          <w:lang/>
        </w:rPr>
        <w:t xml:space="preserve">7.4 </w:t>
      </w:r>
      <w:r>
        <w:rPr>
          <w:rStyle w:val="10"/>
          <w:rFonts w:hint="eastAsia" w:ascii="宋体"/>
          <w:b/>
          <w:kern w:val="0"/>
          <w:lang/>
        </w:rPr>
        <w:t>报表附注</w:t>
      </w:r>
      <w:r>
        <w:rPr>
          <w:lang/>
        </w:rPr>
        <w:tab/>
      </w:r>
      <w:r>
        <w:rPr>
          <w:lang/>
        </w:rPr>
        <w:fldChar w:fldCharType="begin"/>
      </w:r>
      <w:r>
        <w:rPr>
          <w:lang/>
        </w:rPr>
        <w:instrText xml:space="preserve"> PAGEREF _Toc478044576 \h </w:instrText>
      </w:r>
      <w:r>
        <w:rPr>
          <w:lang/>
        </w:rPr>
        <w:fldChar w:fldCharType="separate"/>
      </w:r>
      <w:r>
        <w:rPr>
          <w:lang/>
        </w:rPr>
        <w:t>23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"_Toc478044577"</w:instrText>
      </w:r>
      <w:r>
        <w:rPr>
          <w:rStyle w:val="10"/>
          <w:lang/>
        </w:rPr>
        <w:instrText xml:space="preserve"> </w:instrText>
      </w:r>
      <w:r>
        <w:rPr>
          <w:rStyle w:val="10"/>
          <w:lang/>
        </w:rPr>
        <w:fldChar w:fldCharType="separate"/>
      </w:r>
      <w:r>
        <w:rPr>
          <w:rStyle w:val="10"/>
          <w:rFonts w:ascii="宋体"/>
          <w:b/>
          <w:kern w:val="0"/>
          <w:lang/>
        </w:rPr>
        <w:t xml:space="preserve">§8  </w:t>
      </w:r>
      <w:r>
        <w:rPr>
          <w:rStyle w:val="10"/>
          <w:rFonts w:hint="eastAsia" w:ascii="宋体"/>
          <w:b/>
          <w:kern w:val="0"/>
          <w:lang/>
        </w:rPr>
        <w:t>投资组合报告</w:t>
      </w:r>
      <w:r>
        <w:rPr>
          <w:lang/>
        </w:rPr>
        <w:tab/>
      </w:r>
      <w:r>
        <w:rPr>
          <w:lang/>
        </w:rPr>
        <w:fldChar w:fldCharType="begin"/>
      </w:r>
      <w:r>
        <w:rPr>
          <w:lang/>
        </w:rPr>
        <w:instrText xml:space="preserve"> PAGEREF _Toc478044577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"_Toc478044578"</w:instrText>
      </w:r>
      <w:r>
        <w:rPr>
          <w:rStyle w:val="10"/>
          <w:lang/>
        </w:rPr>
        <w:instrText xml:space="preserve"> </w:instrText>
      </w:r>
      <w:r>
        <w:rPr>
          <w:rStyle w:val="10"/>
          <w:lang/>
        </w:rPr>
        <w:fldChar w:fldCharType="separate"/>
      </w:r>
      <w:r>
        <w:rPr>
          <w:rStyle w:val="10"/>
          <w:rFonts w:ascii="宋体"/>
          <w:b/>
          <w:kern w:val="0"/>
          <w:lang/>
        </w:rPr>
        <w:t xml:space="preserve">8.1 </w:t>
      </w:r>
      <w:r>
        <w:rPr>
          <w:rStyle w:val="10"/>
          <w:rFonts w:hint="eastAsia" w:ascii="宋体"/>
          <w:b/>
          <w:kern w:val="0"/>
          <w:lang/>
        </w:rPr>
        <w:t>期末基金资产组合情况</w:t>
      </w:r>
      <w:r>
        <w:rPr>
          <w:lang/>
        </w:rPr>
        <w:tab/>
      </w:r>
      <w:r>
        <w:rPr>
          <w:lang/>
        </w:rPr>
        <w:fldChar w:fldCharType="begin"/>
      </w:r>
      <w:r>
        <w:rPr>
          <w:lang/>
        </w:rPr>
        <w:instrText xml:space="preserve"> PAGEREF _Toc478044578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"_Toc478044579"</w:instrText>
      </w:r>
      <w:r>
        <w:rPr>
          <w:rStyle w:val="10"/>
          <w:lang/>
        </w:rPr>
        <w:instrText xml:space="preserve"> </w:instrText>
      </w:r>
      <w:r>
        <w:rPr>
          <w:rStyle w:val="10"/>
          <w:lang/>
        </w:rPr>
        <w:fldChar w:fldCharType="separate"/>
      </w:r>
      <w:r>
        <w:rPr>
          <w:rStyle w:val="10"/>
          <w:rFonts w:ascii="宋体"/>
          <w:b/>
          <w:kern w:val="0"/>
          <w:lang/>
        </w:rPr>
        <w:t xml:space="preserve">8.3 </w:t>
      </w:r>
      <w:r>
        <w:rPr>
          <w:rStyle w:val="10"/>
          <w:rFonts w:hint="eastAsia" w:ascii="宋体"/>
          <w:b/>
          <w:kern w:val="0"/>
          <w:lang/>
        </w:rPr>
        <w:t>期末按公允价值占基金资产净值比例大小排序的股票投资明细</w:t>
      </w:r>
      <w:r>
        <w:rPr>
          <w:lang/>
        </w:rPr>
        <w:tab/>
      </w:r>
      <w:r>
        <w:rPr>
          <w:lang/>
        </w:rPr>
        <w:fldChar w:fldCharType="begin"/>
      </w:r>
      <w:r>
        <w:rPr>
          <w:lang/>
        </w:rPr>
        <w:instrText xml:space="preserve"> PAGEREF _Toc478044579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"_Toc478044580"</w:instrText>
      </w:r>
      <w:r>
        <w:rPr>
          <w:rStyle w:val="10"/>
          <w:lang/>
        </w:rPr>
        <w:instrText xml:space="preserve"> </w:instrText>
      </w:r>
      <w:r>
        <w:rPr>
          <w:rStyle w:val="10"/>
          <w:lang/>
        </w:rPr>
        <w:fldChar w:fldCharType="separate"/>
      </w:r>
      <w:r>
        <w:rPr>
          <w:rStyle w:val="10"/>
          <w:rFonts w:ascii="宋体"/>
          <w:b/>
          <w:kern w:val="0"/>
          <w:lang/>
        </w:rPr>
        <w:t xml:space="preserve">8.4 </w:t>
      </w:r>
      <w:r>
        <w:rPr>
          <w:rStyle w:val="10"/>
          <w:rFonts w:hint="eastAsia" w:ascii="宋体"/>
          <w:b/>
          <w:kern w:val="0"/>
          <w:lang/>
        </w:rPr>
        <w:t>报告期内股票投资组合的重大变动</w:t>
      </w:r>
      <w:r>
        <w:rPr>
          <w:lang/>
        </w:rPr>
        <w:tab/>
      </w:r>
      <w:r>
        <w:rPr>
          <w:lang/>
        </w:rPr>
        <w:fldChar w:fldCharType="begin"/>
      </w:r>
      <w:r>
        <w:rPr>
          <w:lang/>
        </w:rPr>
        <w:instrText xml:space="preserve"> PAGEREF _Toc478044580 \h </w:instrText>
      </w:r>
      <w:r>
        <w:rPr>
          <w:lang/>
        </w:rPr>
        <w:fldChar w:fldCharType="separate"/>
      </w:r>
      <w:r>
        <w:rPr>
          <w:lang/>
        </w:rPr>
        <w:t>54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"_Toc478044581"</w:instrText>
      </w:r>
      <w:r>
        <w:rPr>
          <w:rStyle w:val="10"/>
          <w:lang/>
        </w:rPr>
        <w:instrText xml:space="preserve"> </w:instrText>
      </w:r>
      <w:r>
        <w:rPr>
          <w:rStyle w:val="10"/>
          <w:lang/>
        </w:rPr>
        <w:fldChar w:fldCharType="separate"/>
      </w:r>
      <w:r>
        <w:rPr>
          <w:rStyle w:val="10"/>
          <w:rFonts w:ascii="宋体"/>
          <w:b/>
          <w:kern w:val="0"/>
          <w:lang/>
        </w:rPr>
        <w:t xml:space="preserve">8.5 </w:t>
      </w:r>
      <w:r>
        <w:rPr>
          <w:rStyle w:val="10"/>
          <w:rFonts w:hint="eastAsia" w:ascii="宋体"/>
          <w:b/>
          <w:kern w:val="0"/>
          <w:lang/>
        </w:rPr>
        <w:t>期末按债券品种分类的债券投资组合</w:t>
      </w:r>
      <w:r>
        <w:rPr>
          <w:lang/>
        </w:rPr>
        <w:tab/>
      </w:r>
      <w:r>
        <w:rPr>
          <w:lang/>
        </w:rPr>
        <w:fldChar w:fldCharType="begin"/>
      </w:r>
      <w:r>
        <w:rPr>
          <w:lang/>
        </w:rPr>
        <w:instrText xml:space="preserve"> PAGEREF _Toc478044581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"_Toc478044582"</w:instrText>
      </w:r>
      <w:r>
        <w:rPr>
          <w:rStyle w:val="10"/>
          <w:lang/>
        </w:rPr>
        <w:instrText xml:space="preserve"> </w:instrText>
      </w:r>
      <w:r>
        <w:rPr>
          <w:rStyle w:val="10"/>
          <w:lang/>
        </w:rPr>
        <w:fldChar w:fldCharType="separate"/>
      </w:r>
      <w:r>
        <w:rPr>
          <w:rStyle w:val="10"/>
          <w:rFonts w:ascii="宋体"/>
          <w:b/>
          <w:kern w:val="0"/>
          <w:lang/>
        </w:rPr>
        <w:t xml:space="preserve">8.6 </w:t>
      </w:r>
      <w:r>
        <w:rPr>
          <w:rStyle w:val="10"/>
          <w:rFonts w:hint="eastAsia" w:ascii="宋体"/>
          <w:b/>
          <w:kern w:val="0"/>
          <w:lang/>
        </w:rPr>
        <w:t>期末按公允价值占基金资产净值比例大小排序的前五名债券投资明细</w:t>
      </w:r>
      <w:r>
        <w:rPr>
          <w:lang/>
        </w:rPr>
        <w:tab/>
      </w:r>
      <w:r>
        <w:rPr>
          <w:lang/>
        </w:rPr>
        <w:fldChar w:fldCharType="begin"/>
      </w:r>
      <w:r>
        <w:rPr>
          <w:lang/>
        </w:rPr>
        <w:instrText xml:space="preserve"> PAGEREF _Toc478044582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"_Toc478044583"</w:instrText>
      </w:r>
      <w:r>
        <w:rPr>
          <w:rStyle w:val="10"/>
          <w:lang/>
        </w:rPr>
        <w:instrText xml:space="preserve"> </w:instrText>
      </w:r>
      <w:r>
        <w:rPr>
          <w:rStyle w:val="10"/>
          <w:lang/>
        </w:rPr>
        <w:fldChar w:fldCharType="separate"/>
      </w:r>
      <w:r>
        <w:rPr>
          <w:rStyle w:val="10"/>
          <w:rFonts w:ascii="宋体"/>
          <w:b/>
          <w:kern w:val="0"/>
          <w:lang/>
        </w:rPr>
        <w:t xml:space="preserve">8.7 </w:t>
      </w:r>
      <w:r>
        <w:rPr>
          <w:rStyle w:val="10"/>
          <w:rFonts w:hint="eastAsia" w:ascii="宋体"/>
          <w:b/>
          <w:kern w:val="0"/>
          <w:lang/>
        </w:rPr>
        <w:t>期末按公允价值占基金资产净值比例大小排序的所有资产支持证券投资明细</w:t>
      </w:r>
      <w:r>
        <w:rPr>
          <w:lang/>
        </w:rPr>
        <w:tab/>
      </w:r>
      <w:r>
        <w:rPr>
          <w:lang/>
        </w:rPr>
        <w:fldChar w:fldCharType="begin"/>
      </w:r>
      <w:r>
        <w:rPr>
          <w:lang/>
        </w:rPr>
        <w:instrText xml:space="preserve"> PAGEREF _Toc478044583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"_Toc478044584"</w:instrText>
      </w:r>
      <w:r>
        <w:rPr>
          <w:rStyle w:val="10"/>
          <w:lang/>
        </w:rPr>
        <w:instrText xml:space="preserve"> </w:instrText>
      </w:r>
      <w:r>
        <w:rPr>
          <w:rStyle w:val="10"/>
          <w:lang/>
        </w:rPr>
        <w:fldChar w:fldCharType="separate"/>
      </w:r>
      <w:r>
        <w:rPr>
          <w:rStyle w:val="10"/>
          <w:rFonts w:ascii="宋体"/>
          <w:b/>
          <w:kern w:val="0"/>
          <w:lang/>
        </w:rPr>
        <w:t xml:space="preserve">8.8 </w:t>
      </w:r>
      <w:r>
        <w:rPr>
          <w:rStyle w:val="10"/>
          <w:rFonts w:hint="eastAsia" w:ascii="宋体"/>
          <w:b/>
          <w:kern w:val="0"/>
          <w:lang/>
        </w:rPr>
        <w:t>报告期末按公允价值占基金资产净值比例大小排序的前五名贵金属投资明细</w:t>
      </w:r>
      <w:r>
        <w:rPr>
          <w:lang/>
        </w:rPr>
        <w:tab/>
      </w:r>
      <w:r>
        <w:rPr>
          <w:lang/>
        </w:rPr>
        <w:fldChar w:fldCharType="begin"/>
      </w:r>
      <w:r>
        <w:rPr>
          <w:lang/>
        </w:rPr>
        <w:instrText xml:space="preserve"> PAGEREF _Toc478044584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"_Toc478044585"</w:instrText>
      </w:r>
      <w:r>
        <w:rPr>
          <w:rStyle w:val="10"/>
          <w:lang/>
        </w:rPr>
        <w:instrText xml:space="preserve"> </w:instrText>
      </w:r>
      <w:r>
        <w:rPr>
          <w:rStyle w:val="10"/>
          <w:lang/>
        </w:rPr>
        <w:fldChar w:fldCharType="separate"/>
      </w:r>
      <w:r>
        <w:rPr>
          <w:rStyle w:val="10"/>
          <w:rFonts w:ascii="宋体"/>
          <w:b/>
          <w:kern w:val="0"/>
          <w:lang/>
        </w:rPr>
        <w:t xml:space="preserve">8.9 </w:t>
      </w:r>
      <w:r>
        <w:rPr>
          <w:rStyle w:val="10"/>
          <w:rFonts w:hint="eastAsia" w:ascii="宋体"/>
          <w:b/>
          <w:kern w:val="0"/>
          <w:lang/>
        </w:rPr>
        <w:t>期末按公允价值占基金资产净值比例大小排序的前五名权证投资明细</w:t>
      </w:r>
      <w:r>
        <w:rPr>
          <w:lang/>
        </w:rPr>
        <w:tab/>
      </w:r>
      <w:r>
        <w:rPr>
          <w:lang/>
        </w:rPr>
        <w:fldChar w:fldCharType="begin"/>
      </w:r>
      <w:r>
        <w:rPr>
          <w:lang/>
        </w:rPr>
        <w:instrText xml:space="preserve"> PAGEREF _Toc478044585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"_Toc478044586"</w:instrText>
      </w:r>
      <w:r>
        <w:rPr>
          <w:rStyle w:val="10"/>
          <w:lang/>
        </w:rPr>
        <w:instrText xml:space="preserve"> </w:instrText>
      </w:r>
      <w:r>
        <w:rPr>
          <w:rStyle w:val="10"/>
          <w:lang/>
        </w:rPr>
        <w:fldChar w:fldCharType="separate"/>
      </w:r>
      <w:r>
        <w:rPr>
          <w:rStyle w:val="10"/>
          <w:rFonts w:ascii="宋体"/>
          <w:b/>
          <w:kern w:val="0"/>
          <w:lang/>
        </w:rPr>
        <w:t xml:space="preserve">8.10 </w:t>
      </w:r>
      <w:r>
        <w:rPr>
          <w:rStyle w:val="10"/>
          <w:rFonts w:hint="eastAsia" w:ascii="宋体"/>
          <w:b/>
          <w:kern w:val="0"/>
          <w:lang/>
        </w:rPr>
        <w:t>报告期末本基金投资的股指期货交易情况说明</w:t>
      </w:r>
      <w:r>
        <w:rPr>
          <w:lang/>
        </w:rPr>
        <w:tab/>
      </w:r>
      <w:r>
        <w:rPr>
          <w:lang/>
        </w:rPr>
        <w:fldChar w:fldCharType="begin"/>
      </w:r>
      <w:r>
        <w:rPr>
          <w:lang/>
        </w:rPr>
        <w:instrText xml:space="preserve"> PAGEREF _Toc478044586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"_Toc478044587"</w:instrText>
      </w:r>
      <w:r>
        <w:rPr>
          <w:rStyle w:val="10"/>
          <w:lang/>
        </w:rPr>
        <w:instrText xml:space="preserve"> </w:instrText>
      </w:r>
      <w:r>
        <w:rPr>
          <w:rStyle w:val="10"/>
          <w:lang/>
        </w:rPr>
        <w:fldChar w:fldCharType="separate"/>
      </w:r>
      <w:r>
        <w:rPr>
          <w:rStyle w:val="10"/>
          <w:rFonts w:ascii="宋体"/>
          <w:b/>
          <w:kern w:val="0"/>
          <w:lang/>
        </w:rPr>
        <w:t xml:space="preserve">8.11 </w:t>
      </w:r>
      <w:r>
        <w:rPr>
          <w:rStyle w:val="10"/>
          <w:rFonts w:hint="eastAsia" w:ascii="宋体"/>
          <w:b/>
          <w:kern w:val="0"/>
          <w:lang/>
        </w:rPr>
        <w:t>报告期末本基金投资的国债期货交易情况说明</w:t>
      </w:r>
      <w:r>
        <w:rPr>
          <w:lang/>
        </w:rPr>
        <w:tab/>
      </w:r>
      <w:r>
        <w:rPr>
          <w:lang/>
        </w:rPr>
        <w:fldChar w:fldCharType="begin"/>
      </w:r>
      <w:r>
        <w:rPr>
          <w:lang/>
        </w:rPr>
        <w:instrText xml:space="preserve"> PAGEREF _Toc478044587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"_Toc478044588"</w:instrText>
      </w:r>
      <w:r>
        <w:rPr>
          <w:rStyle w:val="10"/>
          <w:lang/>
        </w:rPr>
        <w:instrText xml:space="preserve"> </w:instrText>
      </w:r>
      <w:r>
        <w:rPr>
          <w:rStyle w:val="10"/>
          <w:lang/>
        </w:rPr>
        <w:fldChar w:fldCharType="separate"/>
      </w:r>
      <w:r>
        <w:rPr>
          <w:rStyle w:val="10"/>
          <w:rFonts w:ascii="宋体"/>
          <w:b/>
          <w:kern w:val="0"/>
          <w:lang/>
        </w:rPr>
        <w:t xml:space="preserve">8.12 </w:t>
      </w:r>
      <w:r>
        <w:rPr>
          <w:rStyle w:val="10"/>
          <w:rFonts w:hint="eastAsia" w:ascii="宋体"/>
          <w:b/>
          <w:kern w:val="0"/>
          <w:lang/>
        </w:rPr>
        <w:t>投资组合报告附注</w:t>
      </w:r>
      <w:r>
        <w:rPr>
          <w:lang/>
        </w:rPr>
        <w:tab/>
      </w:r>
      <w:r>
        <w:rPr>
          <w:lang/>
        </w:rPr>
        <w:fldChar w:fldCharType="begin"/>
      </w:r>
      <w:r>
        <w:rPr>
          <w:lang/>
        </w:rPr>
        <w:instrText xml:space="preserve"> PAGEREF _Toc478044588 \h </w:instrText>
      </w:r>
      <w:r>
        <w:rPr>
          <w:lang/>
        </w:rPr>
        <w:fldChar w:fldCharType="separate"/>
      </w:r>
      <w:r>
        <w:rPr>
          <w:lang/>
        </w:rPr>
        <w:t>65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"_Toc478044589"</w:instrText>
      </w:r>
      <w:r>
        <w:rPr>
          <w:rStyle w:val="10"/>
          <w:lang/>
        </w:rPr>
        <w:instrText xml:space="preserve"> </w:instrText>
      </w:r>
      <w:r>
        <w:rPr>
          <w:rStyle w:val="10"/>
          <w:lang/>
        </w:rPr>
        <w:fldChar w:fldCharType="separate"/>
      </w:r>
      <w:r>
        <w:rPr>
          <w:rStyle w:val="10"/>
          <w:rFonts w:ascii="宋体"/>
          <w:b/>
          <w:kern w:val="0"/>
          <w:lang/>
        </w:rPr>
        <w:t xml:space="preserve">§9 </w:t>
      </w:r>
      <w:r>
        <w:rPr>
          <w:rStyle w:val="10"/>
          <w:rFonts w:hint="eastAsia" w:ascii="宋体"/>
          <w:b/>
          <w:kern w:val="0"/>
          <w:lang/>
        </w:rPr>
        <w:t>基金份额持有人信息</w:t>
      </w:r>
      <w:r>
        <w:rPr>
          <w:lang/>
        </w:rPr>
        <w:tab/>
      </w:r>
      <w:r>
        <w:rPr>
          <w:lang/>
        </w:rPr>
        <w:fldChar w:fldCharType="begin"/>
      </w:r>
      <w:r>
        <w:rPr>
          <w:lang/>
        </w:rPr>
        <w:instrText xml:space="preserve"> PAGEREF _Toc478044589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"_Toc478044590"</w:instrText>
      </w:r>
      <w:r>
        <w:rPr>
          <w:rStyle w:val="10"/>
          <w:lang/>
        </w:rPr>
        <w:instrText xml:space="preserve"> </w:instrText>
      </w:r>
      <w:r>
        <w:rPr>
          <w:rStyle w:val="10"/>
          <w:lang/>
        </w:rPr>
        <w:fldChar w:fldCharType="separate"/>
      </w:r>
      <w:r>
        <w:rPr>
          <w:rStyle w:val="10"/>
          <w:rFonts w:ascii="宋体"/>
          <w:b/>
          <w:kern w:val="0"/>
          <w:lang/>
        </w:rPr>
        <w:t xml:space="preserve">9.1 </w:t>
      </w:r>
      <w:r>
        <w:rPr>
          <w:rStyle w:val="10"/>
          <w:rFonts w:hint="eastAsia" w:ascii="宋体"/>
          <w:b/>
          <w:kern w:val="0"/>
          <w:lang/>
        </w:rPr>
        <w:t>期末基金份额持有人户数及持有人结构</w:t>
      </w:r>
      <w:r>
        <w:rPr>
          <w:lang/>
        </w:rPr>
        <w:tab/>
      </w:r>
      <w:r>
        <w:rPr>
          <w:lang/>
        </w:rPr>
        <w:fldChar w:fldCharType="begin"/>
      </w:r>
      <w:r>
        <w:rPr>
          <w:lang/>
        </w:rPr>
        <w:instrText xml:space="preserve"> PAGEREF _Toc478044590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"_Toc478044591"</w:instrText>
      </w:r>
      <w:r>
        <w:rPr>
          <w:rStyle w:val="10"/>
          <w:lang/>
        </w:rPr>
        <w:instrText xml:space="preserve"> </w:instrText>
      </w:r>
      <w:r>
        <w:rPr>
          <w:rStyle w:val="10"/>
          <w:lang/>
        </w:rPr>
        <w:fldChar w:fldCharType="separate"/>
      </w:r>
      <w:r>
        <w:rPr>
          <w:rStyle w:val="10"/>
          <w:rFonts w:ascii="宋体"/>
          <w:b/>
          <w:kern w:val="0"/>
          <w:lang/>
        </w:rPr>
        <w:t xml:space="preserve">9.2 </w:t>
      </w:r>
      <w:r>
        <w:rPr>
          <w:rStyle w:val="10"/>
          <w:rFonts w:hint="eastAsia" w:ascii="宋体"/>
          <w:b/>
          <w:kern w:val="0"/>
          <w:lang/>
        </w:rPr>
        <w:t>期末基金管理人的从业人员持有本基金的情况</w:t>
      </w:r>
      <w:r>
        <w:rPr>
          <w:lang/>
        </w:rPr>
        <w:tab/>
      </w:r>
      <w:r>
        <w:rPr>
          <w:lang/>
        </w:rPr>
        <w:fldChar w:fldCharType="begin"/>
      </w:r>
      <w:r>
        <w:rPr>
          <w:lang/>
        </w:rPr>
        <w:instrText xml:space="preserve"> PAGEREF _Toc478044591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"_Toc478044592"</w:instrText>
      </w:r>
      <w:r>
        <w:rPr>
          <w:rStyle w:val="10"/>
          <w:lang/>
        </w:rPr>
        <w:instrText xml:space="preserve"> </w:instrText>
      </w:r>
      <w:r>
        <w:rPr>
          <w:rStyle w:val="10"/>
          <w:lang/>
        </w:rPr>
        <w:fldChar w:fldCharType="separate"/>
      </w:r>
      <w:r>
        <w:rPr>
          <w:rStyle w:val="10"/>
          <w:rFonts w:ascii="宋体"/>
          <w:b/>
          <w:kern w:val="0"/>
          <w:lang/>
        </w:rPr>
        <w:t xml:space="preserve">9.3 </w:t>
      </w:r>
      <w:r>
        <w:rPr>
          <w:rStyle w:val="10"/>
          <w:rFonts w:hint="eastAsia" w:ascii="宋体"/>
          <w:b/>
          <w:kern w:val="0"/>
          <w:lang/>
        </w:rPr>
        <w:t>期末基金管理人的从业人员持有本开放式基金份额总量区间情况</w:t>
      </w:r>
      <w:r>
        <w:rPr>
          <w:lang/>
        </w:rPr>
        <w:tab/>
      </w:r>
      <w:r>
        <w:rPr>
          <w:lang/>
        </w:rPr>
        <w:fldChar w:fldCharType="begin"/>
      </w:r>
      <w:r>
        <w:rPr>
          <w:lang/>
        </w:rPr>
        <w:instrText xml:space="preserve"> PAGEREF _Toc478044592 \h </w:instrText>
      </w:r>
      <w:r>
        <w:rPr>
          <w:lang/>
        </w:rPr>
        <w:fldChar w:fldCharType="separate"/>
      </w:r>
      <w:r>
        <w:rPr>
          <w:lang/>
        </w:rPr>
        <w:t>67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"_Toc478044593"</w:instrText>
      </w:r>
      <w:r>
        <w:rPr>
          <w:rStyle w:val="10"/>
          <w:lang/>
        </w:rPr>
        <w:instrText xml:space="preserve"> </w:instrText>
      </w:r>
      <w:r>
        <w:rPr>
          <w:rStyle w:val="10"/>
          <w:lang/>
        </w:rPr>
        <w:fldChar w:fldCharType="separate"/>
      </w:r>
      <w:r>
        <w:rPr>
          <w:rStyle w:val="10"/>
          <w:rFonts w:ascii="宋体"/>
          <w:b/>
          <w:kern w:val="0"/>
          <w:lang/>
        </w:rPr>
        <w:t xml:space="preserve">§10 </w:t>
      </w:r>
      <w:r>
        <w:rPr>
          <w:rStyle w:val="10"/>
          <w:rFonts w:hint="eastAsia" w:ascii="宋体"/>
          <w:b/>
          <w:kern w:val="0"/>
          <w:lang/>
        </w:rPr>
        <w:t>开放式基金份额变动</w:t>
      </w:r>
      <w:r>
        <w:rPr>
          <w:lang/>
        </w:rPr>
        <w:tab/>
      </w:r>
      <w:r>
        <w:rPr>
          <w:lang/>
        </w:rPr>
        <w:fldChar w:fldCharType="begin"/>
      </w:r>
      <w:r>
        <w:rPr>
          <w:lang/>
        </w:rPr>
        <w:instrText xml:space="preserve"> PAGEREF _Toc478044593 \h </w:instrText>
      </w:r>
      <w:r>
        <w:rPr>
          <w:lang/>
        </w:rPr>
        <w:fldChar w:fldCharType="separate"/>
      </w:r>
      <w:r>
        <w:rPr>
          <w:lang/>
        </w:rPr>
        <w:t>67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"_Toc478044594"</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重大事件揭示</w:t>
      </w:r>
      <w:r>
        <w:rPr>
          <w:lang/>
        </w:rPr>
        <w:tab/>
      </w:r>
      <w:r>
        <w:rPr>
          <w:lang/>
        </w:rPr>
        <w:fldChar w:fldCharType="begin"/>
      </w:r>
      <w:r>
        <w:rPr>
          <w:lang/>
        </w:rPr>
        <w:instrText xml:space="preserve"> PAGEREF _Toc478044594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"_Toc478044595"</w:instrText>
      </w:r>
      <w:r>
        <w:rPr>
          <w:rStyle w:val="10"/>
          <w:lang/>
        </w:rPr>
        <w:instrText xml:space="preserve"> </w:instrText>
      </w:r>
      <w:r>
        <w:rPr>
          <w:rStyle w:val="10"/>
          <w:lang/>
        </w:rPr>
        <w:fldChar w:fldCharType="separate"/>
      </w:r>
      <w:r>
        <w:rPr>
          <w:rStyle w:val="10"/>
          <w:rFonts w:ascii="宋体"/>
          <w:b/>
          <w:kern w:val="0"/>
          <w:lang/>
        </w:rPr>
        <w:t xml:space="preserve">11.1 </w:t>
      </w:r>
      <w:r>
        <w:rPr>
          <w:rStyle w:val="10"/>
          <w:rFonts w:hint="eastAsia" w:ascii="宋体"/>
          <w:b/>
          <w:kern w:val="0"/>
          <w:lang/>
        </w:rPr>
        <w:t>基金份额持有人大会决议</w:t>
      </w:r>
      <w:r>
        <w:rPr>
          <w:lang/>
        </w:rPr>
        <w:tab/>
      </w:r>
      <w:r>
        <w:rPr>
          <w:lang/>
        </w:rPr>
        <w:fldChar w:fldCharType="begin"/>
      </w:r>
      <w:r>
        <w:rPr>
          <w:lang/>
        </w:rPr>
        <w:instrText xml:space="preserve"> PAGEREF _Toc478044595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"_Toc478044596"</w:instrText>
      </w:r>
      <w:r>
        <w:rPr>
          <w:rStyle w:val="10"/>
          <w:lang/>
        </w:rPr>
        <w:instrText xml:space="preserve"> </w:instrText>
      </w:r>
      <w:r>
        <w:rPr>
          <w:rStyle w:val="10"/>
          <w:lang/>
        </w:rPr>
        <w:fldChar w:fldCharType="separate"/>
      </w:r>
      <w:r>
        <w:rPr>
          <w:rStyle w:val="10"/>
          <w:rFonts w:ascii="宋体"/>
          <w:b/>
          <w:kern w:val="0"/>
          <w:lang/>
        </w:rPr>
        <w:t xml:space="preserve">11.2 </w:t>
      </w:r>
      <w:r>
        <w:rPr>
          <w:rStyle w:val="10"/>
          <w:rFonts w:hint="eastAsia" w:ascii="宋体"/>
          <w:b/>
          <w:kern w:val="0"/>
          <w:lang/>
        </w:rPr>
        <w:t>基金管理人、基金托管人的专门基金托管部门的重大人事变动</w:t>
      </w:r>
      <w:r>
        <w:rPr>
          <w:lang/>
        </w:rPr>
        <w:tab/>
      </w:r>
      <w:r>
        <w:rPr>
          <w:lang/>
        </w:rPr>
        <w:fldChar w:fldCharType="begin"/>
      </w:r>
      <w:r>
        <w:rPr>
          <w:lang/>
        </w:rPr>
        <w:instrText xml:space="preserve"> PAGEREF _Toc478044596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"_Toc478044597"</w:instrText>
      </w:r>
      <w:r>
        <w:rPr>
          <w:rStyle w:val="10"/>
          <w:lang/>
        </w:rPr>
        <w:instrText xml:space="preserve"> </w:instrText>
      </w:r>
      <w:r>
        <w:rPr>
          <w:rStyle w:val="10"/>
          <w:lang/>
        </w:rPr>
        <w:fldChar w:fldCharType="separate"/>
      </w:r>
      <w:r>
        <w:rPr>
          <w:rStyle w:val="10"/>
          <w:rFonts w:ascii="宋体"/>
          <w:b/>
          <w:kern w:val="0"/>
          <w:lang/>
        </w:rPr>
        <w:t xml:space="preserve">11.3 </w:t>
      </w:r>
      <w:r>
        <w:rPr>
          <w:rStyle w:val="10"/>
          <w:rFonts w:hint="eastAsia" w:ascii="宋体"/>
          <w:b/>
          <w:kern w:val="0"/>
          <w:lang/>
        </w:rPr>
        <w:t>涉及基金管理人、基金财产、基金托管业务的诉讼</w:t>
      </w:r>
      <w:r>
        <w:rPr>
          <w:lang/>
        </w:rPr>
        <w:tab/>
      </w:r>
      <w:r>
        <w:rPr>
          <w:lang/>
        </w:rPr>
        <w:fldChar w:fldCharType="begin"/>
      </w:r>
      <w:r>
        <w:rPr>
          <w:lang/>
        </w:rPr>
        <w:instrText xml:space="preserve"> PAGEREF _Toc478044597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"_Toc478044598"</w:instrText>
      </w:r>
      <w:r>
        <w:rPr>
          <w:rStyle w:val="10"/>
          <w:lang/>
        </w:rPr>
        <w:instrText xml:space="preserve"> </w:instrText>
      </w:r>
      <w:r>
        <w:rPr>
          <w:rStyle w:val="10"/>
          <w:lang/>
        </w:rPr>
        <w:fldChar w:fldCharType="separate"/>
      </w:r>
      <w:r>
        <w:rPr>
          <w:rStyle w:val="10"/>
          <w:rFonts w:ascii="宋体"/>
          <w:b/>
          <w:kern w:val="0"/>
          <w:lang/>
        </w:rPr>
        <w:t xml:space="preserve">11.4 </w:t>
      </w:r>
      <w:r>
        <w:rPr>
          <w:rStyle w:val="10"/>
          <w:rFonts w:hint="eastAsia" w:ascii="宋体"/>
          <w:b/>
          <w:kern w:val="0"/>
          <w:lang/>
        </w:rPr>
        <w:t>基金投资策略的改变</w:t>
      </w:r>
      <w:r>
        <w:rPr>
          <w:lang/>
        </w:rPr>
        <w:tab/>
      </w:r>
      <w:r>
        <w:rPr>
          <w:lang/>
        </w:rPr>
        <w:fldChar w:fldCharType="begin"/>
      </w:r>
      <w:r>
        <w:rPr>
          <w:lang/>
        </w:rPr>
        <w:instrText xml:space="preserve"> PAGEREF _Toc478044598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"_Toc478044599"</w:instrText>
      </w:r>
      <w:r>
        <w:rPr>
          <w:rStyle w:val="10"/>
          <w:lang/>
        </w:rPr>
        <w:instrText xml:space="preserve"> </w:instrText>
      </w:r>
      <w:r>
        <w:rPr>
          <w:rStyle w:val="10"/>
          <w:lang/>
        </w:rPr>
        <w:fldChar w:fldCharType="separate"/>
      </w:r>
      <w:r>
        <w:rPr>
          <w:rStyle w:val="10"/>
          <w:rFonts w:ascii="宋体"/>
          <w:b/>
          <w:kern w:val="0"/>
          <w:lang/>
        </w:rPr>
        <w:t xml:space="preserve">11.5 </w:t>
      </w:r>
      <w:r>
        <w:rPr>
          <w:rStyle w:val="10"/>
          <w:rFonts w:hint="eastAsia" w:ascii="宋体"/>
          <w:b/>
          <w:kern w:val="0"/>
          <w:lang/>
        </w:rPr>
        <w:t>为基金进行审计的会计师事务所情况</w:t>
      </w:r>
      <w:r>
        <w:rPr>
          <w:lang/>
        </w:rPr>
        <w:tab/>
      </w:r>
      <w:r>
        <w:rPr>
          <w:lang/>
        </w:rPr>
        <w:fldChar w:fldCharType="begin"/>
      </w:r>
      <w:r>
        <w:rPr>
          <w:lang/>
        </w:rPr>
        <w:instrText xml:space="preserve"> PAGEREF _Toc478044599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"_Toc478044600"</w:instrText>
      </w:r>
      <w:r>
        <w:rPr>
          <w:rStyle w:val="10"/>
          <w:lang/>
        </w:rPr>
        <w:instrText xml:space="preserve"> </w:instrText>
      </w:r>
      <w:r>
        <w:rPr>
          <w:rStyle w:val="10"/>
          <w:lang/>
        </w:rPr>
        <w:fldChar w:fldCharType="separate"/>
      </w:r>
      <w:r>
        <w:rPr>
          <w:rStyle w:val="10"/>
          <w:rFonts w:ascii="宋体"/>
          <w:b/>
          <w:kern w:val="0"/>
          <w:lang/>
        </w:rPr>
        <w:t xml:space="preserve">11.6 </w:t>
      </w:r>
      <w:r>
        <w:rPr>
          <w:rStyle w:val="10"/>
          <w:rFonts w:hint="eastAsia" w:ascii="宋体"/>
          <w:b/>
          <w:kern w:val="0"/>
          <w:lang/>
        </w:rPr>
        <w:t>管理人、托管人及其高级管理人员受稽查或处罚等情况</w:t>
      </w:r>
      <w:r>
        <w:rPr>
          <w:lang/>
        </w:rPr>
        <w:tab/>
      </w:r>
      <w:r>
        <w:rPr>
          <w:lang/>
        </w:rPr>
        <w:fldChar w:fldCharType="begin"/>
      </w:r>
      <w:r>
        <w:rPr>
          <w:lang/>
        </w:rPr>
        <w:instrText xml:space="preserve"> PAGEREF _Toc478044600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"_Toc478044601"</w:instrText>
      </w:r>
      <w:r>
        <w:rPr>
          <w:rStyle w:val="10"/>
          <w:lang/>
        </w:rPr>
        <w:instrText xml:space="preserve"> </w:instrText>
      </w:r>
      <w:r>
        <w:rPr>
          <w:rStyle w:val="10"/>
          <w:lang/>
        </w:rPr>
        <w:fldChar w:fldCharType="separate"/>
      </w:r>
      <w:r>
        <w:rPr>
          <w:rStyle w:val="10"/>
          <w:rFonts w:ascii="宋体"/>
          <w:b/>
          <w:kern w:val="0"/>
          <w:lang/>
        </w:rPr>
        <w:t xml:space="preserve">11.7 </w:t>
      </w:r>
      <w:r>
        <w:rPr>
          <w:rStyle w:val="10"/>
          <w:rFonts w:hint="eastAsia" w:ascii="宋体"/>
          <w:b/>
          <w:kern w:val="0"/>
          <w:lang/>
        </w:rPr>
        <w:t>基金租用证券公司交易单元的有关情况</w:t>
      </w:r>
      <w:r>
        <w:rPr>
          <w:lang/>
        </w:rPr>
        <w:tab/>
      </w:r>
      <w:r>
        <w:rPr>
          <w:lang/>
        </w:rPr>
        <w:fldChar w:fldCharType="begin"/>
      </w:r>
      <w:r>
        <w:rPr>
          <w:lang/>
        </w:rPr>
        <w:instrText xml:space="preserve"> PAGEREF _Toc478044601 \h </w:instrText>
      </w:r>
      <w:r>
        <w:rPr>
          <w:lang/>
        </w:rPr>
        <w:fldChar w:fldCharType="separate"/>
      </w:r>
      <w:r>
        <w:rPr>
          <w:lang/>
        </w:rPr>
        <w:t>68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"_Toc478044602"</w:instrText>
      </w:r>
      <w:r>
        <w:rPr>
          <w:rStyle w:val="10"/>
          <w:lang/>
        </w:rPr>
        <w:instrText xml:space="preserve"> </w:instrText>
      </w:r>
      <w:r>
        <w:rPr>
          <w:rStyle w:val="10"/>
          <w:lang/>
        </w:rPr>
        <w:fldChar w:fldCharType="separate"/>
      </w:r>
      <w:r>
        <w:rPr>
          <w:rStyle w:val="10"/>
          <w:rFonts w:ascii="宋体"/>
          <w:b/>
          <w:kern w:val="0"/>
          <w:lang/>
        </w:rPr>
        <w:t xml:space="preserve">11.8 </w:t>
      </w:r>
      <w:r>
        <w:rPr>
          <w:rStyle w:val="10"/>
          <w:rFonts w:hint="eastAsia" w:ascii="宋体"/>
          <w:b/>
          <w:kern w:val="0"/>
          <w:lang/>
        </w:rPr>
        <w:t>其他重大事件</w:t>
      </w:r>
      <w:r>
        <w:rPr>
          <w:lang/>
        </w:rPr>
        <w:tab/>
      </w:r>
      <w:r>
        <w:rPr>
          <w:lang/>
        </w:rPr>
        <w:fldChar w:fldCharType="begin"/>
      </w:r>
      <w:r>
        <w:rPr>
          <w:lang/>
        </w:rPr>
        <w:instrText xml:space="preserve"> PAGEREF _Toc478044602 \h </w:instrText>
      </w:r>
      <w:r>
        <w:rPr>
          <w:lang/>
        </w:rPr>
        <w:fldChar w:fldCharType="separate"/>
      </w:r>
      <w:r>
        <w:rPr>
          <w:lang/>
        </w:rPr>
        <w:t>69</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"_Toc478044603"</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影响投资者决策的其他重要信息</w:t>
      </w:r>
      <w:r>
        <w:rPr>
          <w:lang/>
        </w:rPr>
        <w:tab/>
      </w:r>
      <w:r>
        <w:rPr>
          <w:lang/>
        </w:rPr>
        <w:fldChar w:fldCharType="begin"/>
      </w:r>
      <w:r>
        <w:rPr>
          <w:lang/>
        </w:rPr>
        <w:instrText xml:space="preserve"> PAGEREF _Toc478044603 \h </w:instrText>
      </w:r>
      <w:r>
        <w:rPr>
          <w:lang/>
        </w:rPr>
        <w:fldChar w:fldCharType="separate"/>
      </w:r>
      <w:r>
        <w:rPr>
          <w:lang/>
        </w:rPr>
        <w:t>72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"_Toc478044604"</w:instrText>
      </w:r>
      <w:r>
        <w:rPr>
          <w:rStyle w:val="10"/>
          <w:lang/>
        </w:rPr>
        <w:instrText xml:space="preserve"> </w:instrText>
      </w:r>
      <w:r>
        <w:rPr>
          <w:rStyle w:val="10"/>
          <w:lang/>
        </w:rPr>
        <w:fldChar w:fldCharType="separate"/>
      </w:r>
      <w:r>
        <w:rPr>
          <w:rStyle w:val="10"/>
          <w:rFonts w:ascii="宋体"/>
          <w:b/>
          <w:kern w:val="0"/>
          <w:lang/>
        </w:rPr>
        <w:t xml:space="preserve">§13 </w:t>
      </w:r>
      <w:r>
        <w:rPr>
          <w:rStyle w:val="10"/>
          <w:rFonts w:hint="eastAsia" w:ascii="宋体"/>
          <w:b/>
          <w:kern w:val="0"/>
          <w:lang/>
        </w:rPr>
        <w:t>备查文件目录</w:t>
      </w:r>
      <w:r>
        <w:rPr>
          <w:lang/>
        </w:rPr>
        <w:tab/>
      </w:r>
      <w:r>
        <w:rPr>
          <w:lang/>
        </w:rPr>
        <w:fldChar w:fldCharType="begin"/>
      </w:r>
      <w:r>
        <w:rPr>
          <w:lang/>
        </w:rPr>
        <w:instrText xml:space="preserve"> PAGEREF _Toc478044604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"_Toc478044605"</w:instrText>
      </w:r>
      <w:r>
        <w:rPr>
          <w:rStyle w:val="10"/>
          <w:lang/>
        </w:rPr>
        <w:instrText xml:space="preserve"> </w:instrText>
      </w:r>
      <w:r>
        <w:rPr>
          <w:rStyle w:val="10"/>
          <w:lang/>
        </w:rPr>
        <w:fldChar w:fldCharType="separate"/>
      </w:r>
      <w:r>
        <w:rPr>
          <w:rStyle w:val="10"/>
          <w:rFonts w:ascii="宋体"/>
          <w:b/>
          <w:kern w:val="0"/>
          <w:lang/>
        </w:rPr>
        <w:t xml:space="preserve">13.1 </w:t>
      </w:r>
      <w:r>
        <w:rPr>
          <w:rStyle w:val="10"/>
          <w:rFonts w:hint="eastAsia" w:ascii="宋体"/>
          <w:b/>
          <w:kern w:val="0"/>
          <w:lang/>
        </w:rPr>
        <w:t>备查文件目录</w:t>
      </w:r>
      <w:r>
        <w:rPr>
          <w:lang/>
        </w:rPr>
        <w:tab/>
      </w:r>
      <w:r>
        <w:rPr>
          <w:lang/>
        </w:rPr>
        <w:fldChar w:fldCharType="begin"/>
      </w:r>
      <w:r>
        <w:rPr>
          <w:lang/>
        </w:rPr>
        <w:instrText xml:space="preserve"> PAGEREF _Toc478044605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"_Toc478044606"</w:instrText>
      </w:r>
      <w:r>
        <w:rPr>
          <w:rStyle w:val="10"/>
          <w:lang/>
        </w:rPr>
        <w:instrText xml:space="preserve"> </w:instrText>
      </w:r>
      <w:r>
        <w:rPr>
          <w:rStyle w:val="10"/>
          <w:lang/>
        </w:rPr>
        <w:fldChar w:fldCharType="separate"/>
      </w:r>
      <w:r>
        <w:rPr>
          <w:rStyle w:val="10"/>
          <w:rFonts w:ascii="宋体"/>
          <w:b/>
          <w:kern w:val="0"/>
          <w:lang/>
        </w:rPr>
        <w:t xml:space="preserve">13.2 </w:t>
      </w:r>
      <w:r>
        <w:rPr>
          <w:rStyle w:val="10"/>
          <w:rFonts w:hint="eastAsia" w:ascii="宋体"/>
          <w:b/>
          <w:kern w:val="0"/>
          <w:lang/>
        </w:rPr>
        <w:t>存放地点</w:t>
      </w:r>
      <w:r>
        <w:rPr>
          <w:lang/>
        </w:rPr>
        <w:tab/>
      </w:r>
      <w:r>
        <w:rPr>
          <w:lang/>
        </w:rPr>
        <w:fldChar w:fldCharType="begin"/>
      </w:r>
      <w:r>
        <w:rPr>
          <w:lang/>
        </w:rPr>
        <w:instrText xml:space="preserve"> PAGEREF _Toc478044606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"_Toc478044607"</w:instrText>
      </w:r>
      <w:r>
        <w:rPr>
          <w:rStyle w:val="10"/>
          <w:lang/>
        </w:rPr>
        <w:instrText xml:space="preserve"> </w:instrText>
      </w:r>
      <w:r>
        <w:rPr>
          <w:rStyle w:val="10"/>
          <w:lang/>
        </w:rPr>
        <w:fldChar w:fldCharType="separate"/>
      </w:r>
      <w:r>
        <w:rPr>
          <w:rStyle w:val="10"/>
          <w:rFonts w:ascii="宋体"/>
          <w:b/>
          <w:kern w:val="0"/>
          <w:lang/>
        </w:rPr>
        <w:t xml:space="preserve">13.3 </w:t>
      </w:r>
      <w:r>
        <w:rPr>
          <w:rStyle w:val="10"/>
          <w:rFonts w:hint="eastAsia" w:ascii="宋体"/>
          <w:b/>
          <w:kern w:val="0"/>
          <w:lang/>
        </w:rPr>
        <w:t>查阅方式</w:t>
      </w:r>
      <w:r>
        <w:rPr>
          <w:lang/>
        </w:rPr>
        <w:tab/>
      </w:r>
      <w:r>
        <w:rPr>
          <w:lang/>
        </w:rPr>
        <w:fldChar w:fldCharType="begin"/>
      </w:r>
      <w:r>
        <w:rPr>
          <w:lang/>
        </w:rPr>
        <w:instrText xml:space="preserve"> PAGEREF _Toc478044607 \h </w:instrText>
      </w:r>
      <w:r>
        <w:rPr>
          <w:lang/>
        </w:rPr>
        <w:fldChar w:fldCharType="separate"/>
      </w:r>
      <w:r>
        <w:rPr>
          <w:lang/>
        </w:rPr>
        <w:t>73</w:t>
      </w:r>
      <w:r>
        <w:rPr>
          <w:lang/>
        </w:rPr>
        <w:fldChar w:fldCharType="end"/>
      </w:r>
      <w:r>
        <w:rPr>
          <w:rStyle w:val="10"/>
          <w:lang/>
        </w:rPr>
        <w:fldChar w:fldCharType="end"/>
      </w:r>
    </w:p>
    <w:p>
      <w:pPr>
        <w:autoSpaceDE w:val="0"/>
        <w:autoSpaceDN w:val="0"/>
        <w:adjustRightInd w:val="0"/>
        <w:spacing w:before="30" w:line="288" w:lineRule="auto"/>
        <w:ind w:left="15"/>
        <w:jc w:val="left"/>
        <w:rPr>
          <w:rFonts w:ascii="宋体"/>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宋体"/>
          <w:b/>
          <w:color w:val="000000"/>
          <w:kern w:val="0"/>
          <w:sz w:val="24"/>
          <w:szCs w:val="24"/>
        </w:rPr>
      </w:pPr>
      <w:bookmarkStart w:id="3" w:name="_Toc478044547"/>
      <w:r>
        <w:rPr>
          <w:rFonts w:hint="eastAsia" w:ascii="宋体"/>
          <w:b/>
          <w:color w:val="000000"/>
          <w:kern w:val="0"/>
          <w:sz w:val="24"/>
          <w:szCs w:val="24"/>
        </w:rPr>
        <w:t>§</w:t>
      </w:r>
      <w:r>
        <w:rPr>
          <w:rFonts w:ascii="宋体"/>
          <w:b/>
          <w:color w:val="000000"/>
          <w:kern w:val="0"/>
          <w:sz w:val="24"/>
          <w:szCs w:val="24"/>
        </w:rPr>
        <w:t xml:space="preserve">2  </w:t>
      </w:r>
      <w:r>
        <w:rPr>
          <w:rFonts w:hint="eastAsia" w:ascii="宋体"/>
          <w:b/>
          <w:color w:val="000000"/>
          <w:kern w:val="0"/>
          <w:sz w:val="24"/>
          <w:szCs w:val="24"/>
        </w:rPr>
        <w:t>基金简介</w:t>
      </w:r>
      <w:bookmarkEnd w:id="3"/>
    </w:p>
    <w:p>
      <w:pPr>
        <w:autoSpaceDE w:val="0"/>
        <w:autoSpaceDN w:val="0"/>
        <w:adjustRightInd w:val="0"/>
        <w:spacing w:before="29" w:line="288" w:lineRule="auto"/>
        <w:ind w:left="15"/>
        <w:jc w:val="left"/>
        <w:outlineLvl w:val="1"/>
        <w:rPr>
          <w:rFonts w:ascii="宋体"/>
          <w:b/>
          <w:color w:val="000000"/>
          <w:kern w:val="0"/>
          <w:sz w:val="24"/>
          <w:szCs w:val="24"/>
        </w:rPr>
      </w:pPr>
      <w:bookmarkStart w:id="4" w:name="_Toc478044548"/>
      <w:r>
        <w:rPr>
          <w:rFonts w:ascii="宋体"/>
          <w:b/>
          <w:color w:val="000000"/>
          <w:kern w:val="0"/>
          <w:sz w:val="24"/>
          <w:szCs w:val="24"/>
        </w:rPr>
        <w:t xml:space="preserve">2.1 </w:t>
      </w:r>
      <w:r>
        <w:rPr>
          <w:rFonts w:hint="eastAsia" w:ascii="宋体"/>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219,660,945.77</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214,235,996.89</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5,424,948.88</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 w:name="_Toc478044549"/>
      <w:r>
        <w:rPr>
          <w:rFonts w:ascii="宋体"/>
          <w:b/>
          <w:color w:val="000000"/>
          <w:kern w:val="0"/>
          <w:sz w:val="24"/>
          <w:szCs w:val="24"/>
        </w:rPr>
        <w:t xml:space="preserve">2.2 </w:t>
      </w:r>
      <w:r>
        <w:rPr>
          <w:rFonts w:hint="eastAsia" w:ascii="宋体"/>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本基金为指数增强型股票基金，采取定量方法进行组合管理，力争在控制本基金净值增长率与业绩比较基准之间的日均跟踪偏离度的绝对值不超过</w:t>
            </w:r>
            <w:r>
              <w:rPr>
                <w:rFonts w:ascii="宋体"/>
                <w:color w:val="000000"/>
                <w:kern w:val="0"/>
                <w:sz w:val="24"/>
                <w:szCs w:val="24"/>
              </w:rPr>
              <w:t>0.5%</w:t>
            </w:r>
            <w:r>
              <w:rPr>
                <w:rFonts w:hint="eastAsia" w:ascii="宋体"/>
                <w:color w:val="000000"/>
                <w:kern w:val="0"/>
                <w:sz w:val="24"/>
                <w:szCs w:val="24"/>
              </w:rPr>
              <w:t>、年跟踪误差不超过</w:t>
            </w:r>
            <w:r>
              <w:rPr>
                <w:rFonts w:ascii="宋体"/>
                <w:color w:val="000000"/>
                <w:kern w:val="0"/>
                <w:sz w:val="24"/>
                <w:szCs w:val="24"/>
              </w:rPr>
              <w:t>7.5%</w:t>
            </w:r>
            <w:r>
              <w:rPr>
                <w:rFonts w:hint="eastAsia" w:ascii="宋体"/>
                <w:color w:val="000000"/>
                <w:kern w:val="0"/>
                <w:sz w:val="24"/>
                <w:szCs w:val="24"/>
              </w:rPr>
              <w:t>的基础上，追求获得超越标的指数的回报。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的投资策略为严格的指数增强策略。投资组合的构建以国际通行的多因子模型为基础框架，并根据预先设定的风险预算、交易成本、投资限制等时机情况的需要进行组合优化。在保证基金流动性的前提下，通过量化模型严格控制本基金与业绩比较基准之间的偏离，并追求增强收益的最大化。</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＋一年期人民币定期存款利率（税后）×</w:t>
            </w:r>
            <w:r>
              <w:rPr>
                <w:rFonts w:ascii="宋体"/>
                <w:color w:val="000000"/>
                <w:kern w:val="0"/>
                <w:sz w:val="24"/>
                <w:szCs w:val="24"/>
              </w:rPr>
              <w:t>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 w:name="_Toc478044550"/>
      <w:r>
        <w:rPr>
          <w:rFonts w:ascii="宋体"/>
          <w:b/>
          <w:color w:val="000000"/>
          <w:kern w:val="0"/>
          <w:sz w:val="24"/>
          <w:szCs w:val="24"/>
        </w:rPr>
        <w:t xml:space="preserve">2.3 </w:t>
      </w:r>
      <w:r>
        <w:rPr>
          <w:rFonts w:hint="eastAsia" w:ascii="宋体"/>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张燕</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0755-83199084</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95555</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0755-83195201</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深圳市前海深港合作区前湾一路</w:t>
            </w:r>
            <w:r>
              <w:rPr>
                <w:rFonts w:ascii="宋体"/>
                <w:color w:val="000000"/>
                <w:kern w:val="0"/>
                <w:sz w:val="24"/>
                <w:szCs w:val="24"/>
              </w:rPr>
              <w:t xml:space="preserve"> 1</w:t>
            </w:r>
            <w:r>
              <w:rPr>
                <w:rFonts w:hint="eastAsia" w:ascii="宋体"/>
                <w:color w:val="000000"/>
                <w:kern w:val="0"/>
                <w:sz w:val="24"/>
                <w:szCs w:val="24"/>
              </w:rPr>
              <w:t>号</w:t>
            </w:r>
            <w:r>
              <w:rPr>
                <w:rFonts w:ascii="宋体"/>
                <w:color w:val="000000"/>
                <w:kern w:val="0"/>
                <w:sz w:val="24"/>
                <w:szCs w:val="24"/>
              </w:rPr>
              <w:t>A</w:t>
            </w:r>
            <w:r>
              <w:rPr>
                <w:rFonts w:hint="eastAsia" w:ascii="宋体"/>
                <w:color w:val="000000"/>
                <w:kern w:val="0"/>
                <w:sz w:val="24"/>
                <w:szCs w:val="24"/>
              </w:rPr>
              <w:t>栋</w:t>
            </w:r>
            <w:r>
              <w:rPr>
                <w:rFonts w:ascii="宋体"/>
                <w:color w:val="000000"/>
                <w:kern w:val="0"/>
                <w:sz w:val="24"/>
                <w:szCs w:val="24"/>
              </w:rPr>
              <w:t xml:space="preserve">201 </w:t>
            </w:r>
            <w:r>
              <w:rPr>
                <w:rFonts w:hint="eastAsia" w:ascii="宋体"/>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李建红</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7" w:name="_Toc478044551"/>
      <w:r>
        <w:rPr>
          <w:rFonts w:ascii="宋体"/>
          <w:b/>
          <w:color w:val="000000"/>
          <w:kern w:val="0"/>
          <w:sz w:val="24"/>
          <w:szCs w:val="24"/>
        </w:rPr>
        <w:t xml:space="preserve">2.4 </w:t>
      </w:r>
      <w:r>
        <w:rPr>
          <w:rFonts w:hint="eastAsia" w:ascii="宋体"/>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证券日报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8" w:name="_Toc478044552"/>
      <w:r>
        <w:rPr>
          <w:rFonts w:ascii="宋体"/>
          <w:b/>
          <w:color w:val="000000"/>
          <w:kern w:val="0"/>
          <w:sz w:val="24"/>
          <w:szCs w:val="24"/>
        </w:rPr>
        <w:t xml:space="preserve">2.5 </w:t>
      </w:r>
      <w:r>
        <w:rPr>
          <w:rFonts w:hint="eastAsia" w:ascii="宋体"/>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806"/>
        <w:gridCol w:w="3612"/>
        <w:gridCol w:w="3612"/>
      </w:tblGrid>
      <w:tr>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上海市黄浦区湖滨路</w:t>
            </w:r>
            <w:r>
              <w:rPr>
                <w:rFonts w:ascii="宋体"/>
                <w:color w:val="000000"/>
                <w:kern w:val="0"/>
                <w:sz w:val="24"/>
                <w:szCs w:val="24"/>
              </w:rPr>
              <w:t>202</w:t>
            </w:r>
            <w:r>
              <w:rPr>
                <w:rFonts w:hint="eastAsia" w:ascii="宋体"/>
                <w:color w:val="000000"/>
                <w:kern w:val="0"/>
                <w:sz w:val="24"/>
                <w:szCs w:val="24"/>
              </w:rPr>
              <w:t>号普华永道中心</w:t>
            </w:r>
            <w:r>
              <w:rPr>
                <w:rFonts w:ascii="宋体"/>
                <w:color w:val="000000"/>
                <w:kern w:val="0"/>
                <w:sz w:val="24"/>
                <w:szCs w:val="24"/>
              </w:rPr>
              <w:t>11</w:t>
            </w:r>
            <w:r>
              <w:rPr>
                <w:rFonts w:hint="eastAsia" w:ascii="宋体"/>
                <w:color w:val="000000"/>
                <w:kern w:val="0"/>
                <w:sz w:val="24"/>
                <w:szCs w:val="24"/>
              </w:rPr>
              <w:t>楼</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9" w:name="_Toc478044553"/>
      <w:r>
        <w:rPr>
          <w:rFonts w:hint="eastAsia" w:ascii="宋体"/>
          <w:b/>
          <w:color w:val="000000"/>
          <w:kern w:val="0"/>
          <w:sz w:val="24"/>
          <w:szCs w:val="24"/>
        </w:rPr>
        <w:t>§</w:t>
      </w:r>
      <w:r>
        <w:rPr>
          <w:rFonts w:ascii="宋体"/>
          <w:b/>
          <w:color w:val="000000"/>
          <w:kern w:val="0"/>
          <w:sz w:val="24"/>
          <w:szCs w:val="24"/>
        </w:rPr>
        <w:t xml:space="preserve">3  </w:t>
      </w:r>
      <w:r>
        <w:rPr>
          <w:rFonts w:hint="eastAsia" w:ascii="宋体"/>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0" w:name="_Toc478044554"/>
      <w:r>
        <w:rPr>
          <w:rFonts w:ascii="宋体"/>
          <w:b/>
          <w:color w:val="000000"/>
          <w:kern w:val="0"/>
          <w:sz w:val="24"/>
          <w:szCs w:val="24"/>
        </w:rPr>
        <w:t xml:space="preserve">3.1 </w:t>
      </w:r>
      <w:r>
        <w:rPr>
          <w:rFonts w:hint="eastAsia" w:ascii="宋体"/>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3.1.1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-564,150.41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-1,098,812.30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3.1.2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-11,873,179.91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204,205,414.52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0.9532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3.1.3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3.1.4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-245,874.56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-545,590.40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3.1.5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-270,384.78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5,200,757.64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0.9587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3.1.6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上述基金业绩指标不包括持有人认购或交易基金的各项费用</w:t>
      </w:r>
      <w:r>
        <w:rPr>
          <w:rFonts w:ascii="宋体"/>
          <w:color w:val="000000"/>
          <w:kern w:val="0"/>
          <w:szCs w:val="24"/>
        </w:rPr>
        <w:t>,</w:t>
      </w:r>
      <w:r>
        <w:rPr>
          <w:rFonts w:hint="eastAsia" w:ascii="宋体"/>
          <w:color w:val="000000"/>
          <w:kern w:val="0"/>
          <w:szCs w:val="24"/>
        </w:rPr>
        <w:t>计入费用后实际收益水平要低于所列数字。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本期已实现收益指基金本期利息收入、投资收益、其他收入</w:t>
      </w:r>
      <w:r>
        <w:rPr>
          <w:rFonts w:ascii="宋体"/>
          <w:color w:val="000000"/>
          <w:kern w:val="0"/>
          <w:szCs w:val="24"/>
        </w:rPr>
        <w:t>(</w:t>
      </w:r>
      <w:r>
        <w:rPr>
          <w:rFonts w:hint="eastAsia" w:ascii="宋体"/>
          <w:color w:val="000000"/>
          <w:kern w:val="0"/>
          <w:szCs w:val="24"/>
        </w:rPr>
        <w:t>不含公允价值变动收益</w:t>
      </w:r>
      <w:r>
        <w:rPr>
          <w:rFonts w:ascii="宋体"/>
          <w:color w:val="000000"/>
          <w:kern w:val="0"/>
          <w:szCs w:val="24"/>
        </w:rPr>
        <w:t>)</w:t>
      </w:r>
      <w:r>
        <w:rPr>
          <w:rFonts w:hint="eastAsia" w:ascii="宋体"/>
          <w:color w:val="000000"/>
          <w:kern w:val="0"/>
          <w:szCs w:val="24"/>
        </w:rPr>
        <w:t>扣除相关费用后的余额</w:t>
      </w:r>
      <w:r>
        <w:rPr>
          <w:rFonts w:ascii="宋体"/>
          <w:color w:val="000000"/>
          <w:kern w:val="0"/>
          <w:szCs w:val="24"/>
        </w:rPr>
        <w:t>,</w:t>
      </w:r>
      <w:r>
        <w:rPr>
          <w:rFonts w:hint="eastAsia" w:ascii="宋体"/>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期末可供分配利润是采用期末资产负债表中未分配利润与未分配利润中已实现部分的孰低数。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1" w:name="_Toc478044555"/>
      <w:r>
        <w:rPr>
          <w:rFonts w:ascii="宋体"/>
          <w:b/>
          <w:color w:val="000000"/>
          <w:kern w:val="0"/>
          <w:sz w:val="24"/>
          <w:szCs w:val="24"/>
        </w:rPr>
        <w:t xml:space="preserve">3.2 </w:t>
      </w:r>
      <w:r>
        <w:rPr>
          <w:rFonts w:hint="eastAsia" w:ascii="宋体"/>
          <w:b/>
          <w:color w:val="000000"/>
          <w:kern w:val="0"/>
          <w:sz w:val="24"/>
          <w:szCs w:val="24"/>
        </w:rPr>
        <w:t>基金净值表现</w:t>
      </w:r>
      <w:bookmarkEnd w:id="11"/>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3.2.1 </w:t>
      </w:r>
      <w:r>
        <w:rPr>
          <w:rFonts w:hint="eastAsia" w:ascii="宋体"/>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3.2.2 </w:t>
      </w:r>
      <w:r>
        <w:rPr>
          <w:rFonts w:hint="eastAsia" w:ascii="宋体"/>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3.2.3 </w:t>
      </w:r>
      <w:r>
        <w:rPr>
          <w:rFonts w:hint="eastAsia" w:ascii="宋体"/>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3.3 </w:t>
      </w:r>
      <w:r>
        <w:rPr>
          <w:rFonts w:hint="eastAsia" w:ascii="宋体"/>
          <w:b/>
          <w:color w:val="000000"/>
          <w:kern w:val="0"/>
          <w:sz w:val="24"/>
          <w:szCs w:val="24"/>
        </w:rPr>
        <w:t>过去三年基金的利润分配情况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本基金自基金合同生效日（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日）至本报告期末未发生利润分配。</w:t>
      </w:r>
      <w:r>
        <w:rPr>
          <w:rFonts w:ascii="宋体"/>
          <w:color w:val="000000"/>
          <w:kern w:val="0"/>
          <w:sz w:val="24"/>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2" w:name="_Toc478044556"/>
      <w:r>
        <w:rPr>
          <w:rFonts w:hint="eastAsia" w:ascii="宋体"/>
          <w:b/>
          <w:color w:val="000000"/>
          <w:kern w:val="0"/>
          <w:sz w:val="24"/>
          <w:szCs w:val="24"/>
        </w:rPr>
        <w:t>§</w:t>
      </w:r>
      <w:r>
        <w:rPr>
          <w:rFonts w:ascii="宋体"/>
          <w:b/>
          <w:color w:val="000000"/>
          <w:kern w:val="0"/>
          <w:sz w:val="24"/>
          <w:szCs w:val="24"/>
        </w:rPr>
        <w:t xml:space="preserve">4  </w:t>
      </w:r>
      <w:r>
        <w:rPr>
          <w:rFonts w:hint="eastAsia" w:ascii="宋体"/>
          <w:b/>
          <w:color w:val="000000"/>
          <w:kern w:val="0"/>
          <w:sz w:val="24"/>
          <w:szCs w:val="24"/>
        </w:rPr>
        <w:t>管理人报告</w:t>
      </w:r>
      <w:bookmarkEnd w:id="12"/>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3" w:name="_Toc478044557"/>
      <w:r>
        <w:rPr>
          <w:rFonts w:ascii="宋体"/>
          <w:b/>
          <w:color w:val="000000"/>
          <w:kern w:val="0"/>
          <w:sz w:val="24"/>
          <w:szCs w:val="24"/>
        </w:rPr>
        <w:t xml:space="preserve">4.1 </w:t>
      </w:r>
      <w:r>
        <w:rPr>
          <w:rFonts w:hint="eastAsia" w:ascii="宋体"/>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4.1.1 </w:t>
      </w:r>
      <w:r>
        <w:rPr>
          <w:rFonts w:hint="eastAsia" w:ascii="宋体"/>
          <w:b/>
          <w:color w:val="000000"/>
          <w:kern w:val="0"/>
          <w:sz w:val="24"/>
          <w:szCs w:val="24"/>
        </w:rPr>
        <w:t>基金管理人及其管理基金的经验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创金合信基金管理有限公司于</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3</w:t>
      </w:r>
      <w:r>
        <w:rPr>
          <w:rFonts w:hint="eastAsia" w:ascii="宋体"/>
          <w:color w:val="000000"/>
          <w:kern w:val="0"/>
          <w:sz w:val="24"/>
          <w:szCs w:val="24"/>
        </w:rPr>
        <w:t>日获得中国证监会批复，</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9</w:t>
      </w:r>
      <w:r>
        <w:rPr>
          <w:rFonts w:hint="eastAsia" w:ascii="宋体"/>
          <w:color w:val="000000"/>
          <w:kern w:val="0"/>
          <w:sz w:val="24"/>
          <w:szCs w:val="24"/>
        </w:rPr>
        <w:t>日正式注册设立，注册地为深圳市。公司由第一创业证券股份有限公司、深圳市金合信投资合伙企业（有限合伙）共同出资设立。公司注册资本</w:t>
      </w:r>
      <w:r>
        <w:rPr>
          <w:rFonts w:ascii="宋体"/>
          <w:color w:val="000000"/>
          <w:kern w:val="0"/>
          <w:sz w:val="24"/>
          <w:szCs w:val="24"/>
        </w:rPr>
        <w:t>1.7</w:t>
      </w:r>
      <w:r>
        <w:rPr>
          <w:rFonts w:hint="eastAsia" w:ascii="宋体"/>
          <w:color w:val="000000"/>
          <w:kern w:val="0"/>
          <w:sz w:val="24"/>
          <w:szCs w:val="24"/>
        </w:rPr>
        <w:t>亿元人民币，股东出资情况为：第一创业证券股份有限公司出资</w:t>
      </w:r>
      <w:r>
        <w:rPr>
          <w:rFonts w:ascii="宋体"/>
          <w:color w:val="000000"/>
          <w:kern w:val="0"/>
          <w:sz w:val="24"/>
          <w:szCs w:val="24"/>
        </w:rPr>
        <w:t>11,900</w:t>
      </w:r>
      <w:r>
        <w:rPr>
          <w:rFonts w:hint="eastAsia" w:ascii="宋体"/>
          <w:color w:val="000000"/>
          <w:kern w:val="0"/>
          <w:sz w:val="24"/>
          <w:szCs w:val="24"/>
        </w:rPr>
        <w:t>万元，占公司注册资本的</w:t>
      </w:r>
      <w:r>
        <w:rPr>
          <w:rFonts w:ascii="宋体"/>
          <w:color w:val="000000"/>
          <w:kern w:val="0"/>
          <w:sz w:val="24"/>
          <w:szCs w:val="24"/>
        </w:rPr>
        <w:t>70%</w:t>
      </w:r>
      <w:r>
        <w:rPr>
          <w:rFonts w:hint="eastAsia" w:ascii="宋体"/>
          <w:color w:val="000000"/>
          <w:kern w:val="0"/>
          <w:sz w:val="24"/>
          <w:szCs w:val="24"/>
        </w:rPr>
        <w:t>；深圳市金合信投资合伙企业（有限合伙）出资</w:t>
      </w:r>
      <w:r>
        <w:rPr>
          <w:rFonts w:ascii="宋体"/>
          <w:color w:val="000000"/>
          <w:kern w:val="0"/>
          <w:sz w:val="24"/>
          <w:szCs w:val="24"/>
        </w:rPr>
        <w:t>5,100</w:t>
      </w:r>
      <w:r>
        <w:rPr>
          <w:rFonts w:hint="eastAsia" w:ascii="宋体"/>
          <w:color w:val="000000"/>
          <w:kern w:val="0"/>
          <w:sz w:val="24"/>
          <w:szCs w:val="24"/>
        </w:rPr>
        <w:t>万元，占公司注册资本的</w:t>
      </w:r>
      <w:r>
        <w:rPr>
          <w:rFonts w:ascii="宋体"/>
          <w:color w:val="000000"/>
          <w:kern w:val="0"/>
          <w:sz w:val="24"/>
          <w:szCs w:val="24"/>
        </w:rPr>
        <w:t>30%</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公司始终坚持</w:t>
      </w:r>
      <w:r>
        <w:rPr>
          <w:rFonts w:ascii="宋体"/>
          <w:color w:val="000000"/>
          <w:kern w:val="0"/>
          <w:sz w:val="24"/>
          <w:szCs w:val="24"/>
        </w:rPr>
        <w:t>"</w:t>
      </w:r>
      <w:r>
        <w:rPr>
          <w:rFonts w:hint="eastAsia" w:ascii="宋体"/>
          <w:color w:val="000000"/>
          <w:kern w:val="0"/>
          <w:sz w:val="24"/>
          <w:szCs w:val="24"/>
        </w:rPr>
        <w:t>客户利益至上</w:t>
      </w:r>
      <w:r>
        <w:rPr>
          <w:rFonts w:ascii="宋体"/>
          <w:color w:val="000000"/>
          <w:kern w:val="0"/>
          <w:sz w:val="24"/>
          <w:szCs w:val="24"/>
        </w:rPr>
        <w:t>"</w:t>
      </w:r>
      <w:r>
        <w:rPr>
          <w:rFonts w:hint="eastAsia" w:ascii="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报告期内，本公司共发行</w:t>
      </w:r>
      <w:r>
        <w:rPr>
          <w:rFonts w:ascii="宋体"/>
          <w:color w:val="000000"/>
          <w:kern w:val="0"/>
          <w:sz w:val="24"/>
          <w:szCs w:val="24"/>
        </w:rPr>
        <w:t>17</w:t>
      </w:r>
      <w:r>
        <w:rPr>
          <w:rFonts w:hint="eastAsia" w:ascii="宋体"/>
          <w:color w:val="000000"/>
          <w:kern w:val="0"/>
          <w:sz w:val="24"/>
          <w:szCs w:val="24"/>
        </w:rPr>
        <w:t>只公募基金。截至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日，本公司共管理</w:t>
      </w:r>
      <w:r>
        <w:rPr>
          <w:rFonts w:ascii="宋体"/>
          <w:color w:val="000000"/>
          <w:kern w:val="0"/>
          <w:sz w:val="24"/>
          <w:szCs w:val="24"/>
        </w:rPr>
        <w:t>24</w:t>
      </w:r>
      <w:r>
        <w:rPr>
          <w:rFonts w:hint="eastAsia" w:ascii="宋体"/>
          <w:color w:val="000000"/>
          <w:kern w:val="0"/>
          <w:sz w:val="24"/>
          <w:szCs w:val="24"/>
        </w:rPr>
        <w:t>只公募基金，其中混合型产品</w:t>
      </w:r>
      <w:r>
        <w:rPr>
          <w:rFonts w:ascii="宋体"/>
          <w:color w:val="000000"/>
          <w:kern w:val="0"/>
          <w:sz w:val="24"/>
          <w:szCs w:val="24"/>
        </w:rPr>
        <w:t>9</w:t>
      </w:r>
      <w:r>
        <w:rPr>
          <w:rFonts w:hint="eastAsia" w:ascii="宋体"/>
          <w:color w:val="000000"/>
          <w:kern w:val="0"/>
          <w:sz w:val="24"/>
          <w:szCs w:val="24"/>
        </w:rPr>
        <w:t>只、指数型产品</w:t>
      </w:r>
      <w:r>
        <w:rPr>
          <w:rFonts w:ascii="宋体"/>
          <w:color w:val="000000"/>
          <w:kern w:val="0"/>
          <w:sz w:val="24"/>
          <w:szCs w:val="24"/>
        </w:rPr>
        <w:t>3</w:t>
      </w:r>
      <w:r>
        <w:rPr>
          <w:rFonts w:hint="eastAsia" w:ascii="宋体"/>
          <w:color w:val="000000"/>
          <w:kern w:val="0"/>
          <w:sz w:val="24"/>
          <w:szCs w:val="24"/>
        </w:rPr>
        <w:t>只、债券型产品</w:t>
      </w:r>
      <w:r>
        <w:rPr>
          <w:rFonts w:ascii="宋体"/>
          <w:color w:val="000000"/>
          <w:kern w:val="0"/>
          <w:sz w:val="24"/>
          <w:szCs w:val="24"/>
        </w:rPr>
        <w:t>8</w:t>
      </w:r>
      <w:r>
        <w:rPr>
          <w:rFonts w:hint="eastAsia" w:ascii="宋体"/>
          <w:color w:val="000000"/>
          <w:kern w:val="0"/>
          <w:sz w:val="24"/>
          <w:szCs w:val="24"/>
        </w:rPr>
        <w:t>只、股票型产品</w:t>
      </w:r>
      <w:r>
        <w:rPr>
          <w:rFonts w:ascii="宋体"/>
          <w:color w:val="000000"/>
          <w:kern w:val="0"/>
          <w:sz w:val="24"/>
          <w:szCs w:val="24"/>
        </w:rPr>
        <w:t>3</w:t>
      </w:r>
      <w:r>
        <w:rPr>
          <w:rFonts w:hint="eastAsia" w:ascii="宋体"/>
          <w:color w:val="000000"/>
          <w:kern w:val="0"/>
          <w:sz w:val="24"/>
          <w:szCs w:val="24"/>
        </w:rPr>
        <w:t>只、货币型产品</w:t>
      </w:r>
      <w:r>
        <w:rPr>
          <w:rFonts w:ascii="宋体"/>
          <w:color w:val="000000"/>
          <w:kern w:val="0"/>
          <w:sz w:val="24"/>
          <w:szCs w:val="24"/>
        </w:rPr>
        <w:t>1</w:t>
      </w:r>
      <w:r>
        <w:rPr>
          <w:rFonts w:hint="eastAsia" w:ascii="宋体"/>
          <w:color w:val="000000"/>
          <w:kern w:val="0"/>
          <w:sz w:val="24"/>
          <w:szCs w:val="24"/>
        </w:rPr>
        <w:t>只；管理的公募基金规模约</w:t>
      </w:r>
      <w:r>
        <w:rPr>
          <w:rFonts w:ascii="宋体"/>
          <w:color w:val="000000"/>
          <w:kern w:val="0"/>
          <w:sz w:val="24"/>
          <w:szCs w:val="24"/>
        </w:rPr>
        <w:t>142.74</w:t>
      </w:r>
      <w:r>
        <w:rPr>
          <w:rFonts w:hint="eastAsia" w:ascii="宋体"/>
          <w:color w:val="000000"/>
          <w:kern w:val="0"/>
          <w:sz w:val="24"/>
          <w:szCs w:val="24"/>
        </w:rPr>
        <w:t>亿元。</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4.1.2 </w:t>
      </w:r>
      <w:r>
        <w:rPr>
          <w:rFonts w:hint="eastAsia" w:ascii="宋体"/>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程志田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程志田先生，中国国籍，金融学硕士，</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月加入长江证券股份有限公司任高级研究经理。</w:t>
            </w:r>
            <w:r>
              <w:rPr>
                <w:rFonts w:ascii="宋体"/>
                <w:color w:val="000000"/>
                <w:kern w:val="0"/>
                <w:sz w:val="24"/>
                <w:szCs w:val="24"/>
              </w:rPr>
              <w:t>2009</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月加入国海证券股份有限公司任金融工程总监。</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月加入摩根士丹利华鑫基金管理有限公司，于</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4</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日担任大摩深证</w:t>
            </w:r>
            <w:r>
              <w:rPr>
                <w:rFonts w:ascii="宋体"/>
                <w:color w:val="000000"/>
                <w:kern w:val="0"/>
                <w:sz w:val="24"/>
                <w:szCs w:val="24"/>
              </w:rPr>
              <w:t>300</w:t>
            </w:r>
            <w:r>
              <w:rPr>
                <w:rFonts w:hint="eastAsia" w:ascii="宋体"/>
                <w:color w:val="000000"/>
                <w:kern w:val="0"/>
                <w:sz w:val="24"/>
                <w:szCs w:val="24"/>
              </w:rPr>
              <w:t>基金的基金经理。</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月加入泰康资产管理有限责任公司任量化投资总监。</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庞世恩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08</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庞世恩先生，中国国籍，中国人民大学理学硕士。</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月加入泰康资产管理有限责任公司，历任金融工程助理研究员、金融工程研究经理、金融工程研究高级经理、金融工程研究总监、执行投资经理。</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、证券从业年限计算的起止时间按照从事证券行业开始时间计算。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4" w:name="_Toc478044558"/>
      <w:r>
        <w:rPr>
          <w:rFonts w:ascii="宋体"/>
          <w:b/>
          <w:color w:val="000000"/>
          <w:kern w:val="0"/>
          <w:sz w:val="24"/>
          <w:szCs w:val="24"/>
        </w:rPr>
        <w:t xml:space="preserve">4.2 </w:t>
      </w:r>
      <w:r>
        <w:rPr>
          <w:rFonts w:hint="eastAsia" w:ascii="宋体"/>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5" w:name="_Toc478044559"/>
      <w:r>
        <w:rPr>
          <w:rFonts w:ascii="宋体"/>
          <w:b/>
          <w:color w:val="000000"/>
          <w:kern w:val="0"/>
          <w:sz w:val="24"/>
          <w:szCs w:val="24"/>
        </w:rPr>
        <w:t xml:space="preserve">4.3 </w:t>
      </w:r>
      <w:r>
        <w:rPr>
          <w:rFonts w:hint="eastAsia" w:ascii="宋体"/>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4.3.1 </w:t>
      </w:r>
      <w:r>
        <w:rPr>
          <w:rFonts w:hint="eastAsia" w:ascii="宋体"/>
          <w:b/>
          <w:color w:val="000000"/>
          <w:kern w:val="0"/>
          <w:sz w:val="24"/>
          <w:szCs w:val="24"/>
        </w:rPr>
        <w:t>公平交易制度和控制方法</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为了进一步规范和完善本基金管理人（以下简称</w:t>
      </w:r>
      <w:r>
        <w:rPr>
          <w:rFonts w:ascii="宋体"/>
          <w:color w:val="000000"/>
          <w:kern w:val="0"/>
          <w:sz w:val="24"/>
          <w:szCs w:val="24"/>
        </w:rPr>
        <w:t>"</w:t>
      </w:r>
      <w:r>
        <w:rPr>
          <w:rFonts w:hint="eastAsia" w:ascii="宋体"/>
          <w:color w:val="000000"/>
          <w:kern w:val="0"/>
          <w:sz w:val="24"/>
          <w:szCs w:val="24"/>
        </w:rPr>
        <w:t>本公司</w:t>
      </w:r>
      <w:r>
        <w:rPr>
          <w:rFonts w:ascii="宋体"/>
          <w:color w:val="000000"/>
          <w:kern w:val="0"/>
          <w:sz w:val="24"/>
          <w:szCs w:val="24"/>
        </w:rPr>
        <w:t>"</w:t>
      </w:r>
      <w:r>
        <w:rPr>
          <w:rFonts w:hint="eastAsia" w:ascii="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宋体"/>
          <w:color w:val="000000"/>
          <w:kern w:val="0"/>
          <w:sz w:val="24"/>
          <w:szCs w:val="24"/>
        </w:rPr>
        <w:t>2011</w:t>
      </w:r>
      <w:r>
        <w:rPr>
          <w:rFonts w:hint="eastAsia" w:ascii="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、交易执行的内部控制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、交易指令分配的控制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、公平交易监控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宋体"/>
          <w:color w:val="000000"/>
          <w:kern w:val="0"/>
          <w:sz w:val="24"/>
          <w:szCs w:val="24"/>
        </w:rPr>
        <w:t>1</w:t>
      </w:r>
      <w:r>
        <w:rPr>
          <w:rFonts w:hint="eastAsia" w:ascii="宋体"/>
          <w:color w:val="000000"/>
          <w:kern w:val="0"/>
          <w:sz w:val="24"/>
          <w:szCs w:val="24"/>
        </w:rPr>
        <w:t>日内、</w:t>
      </w:r>
      <w:r>
        <w:rPr>
          <w:rFonts w:ascii="宋体"/>
          <w:color w:val="000000"/>
          <w:kern w:val="0"/>
          <w:sz w:val="24"/>
          <w:szCs w:val="24"/>
        </w:rPr>
        <w:t>3</w:t>
      </w:r>
      <w:r>
        <w:rPr>
          <w:rFonts w:hint="eastAsia" w:ascii="宋体"/>
          <w:color w:val="000000"/>
          <w:kern w:val="0"/>
          <w:sz w:val="24"/>
          <w:szCs w:val="24"/>
        </w:rPr>
        <w:t>日、</w:t>
      </w:r>
      <w:r>
        <w:rPr>
          <w:rFonts w:ascii="宋体"/>
          <w:color w:val="000000"/>
          <w:kern w:val="0"/>
          <w:sz w:val="24"/>
          <w:szCs w:val="24"/>
        </w:rPr>
        <w:t>5</w:t>
      </w:r>
      <w:r>
        <w:rPr>
          <w:rFonts w:hint="eastAsia" w:ascii="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4.3.2 </w:t>
      </w:r>
      <w:r>
        <w:rPr>
          <w:rFonts w:hint="eastAsia" w:ascii="宋体"/>
          <w:b/>
          <w:color w:val="000000"/>
          <w:kern w:val="0"/>
          <w:sz w:val="24"/>
          <w:szCs w:val="24"/>
        </w:rPr>
        <w:t>公平交易制度的执行情况</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本基金管理人严格执行《证券投资基金管理公司公平交易制度指导意见（</w:t>
      </w:r>
      <w:r>
        <w:rPr>
          <w:rFonts w:ascii="宋体"/>
          <w:color w:val="000000"/>
          <w:kern w:val="0"/>
          <w:sz w:val="24"/>
          <w:szCs w:val="24"/>
        </w:rPr>
        <w:t>2011</w:t>
      </w:r>
      <w:r>
        <w:rPr>
          <w:rFonts w:hint="eastAsia" w:ascii="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4.3.3 </w:t>
      </w:r>
      <w:r>
        <w:rPr>
          <w:rFonts w:hint="eastAsia" w:ascii="宋体"/>
          <w:b/>
          <w:color w:val="000000"/>
          <w:kern w:val="0"/>
          <w:sz w:val="24"/>
          <w:szCs w:val="24"/>
        </w:rPr>
        <w:t>异常交易行为的专项说明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本报告期内，公司旗下所有投资组合参与的交易所公开竞价交易中，同日反向交易成交较少的单边交易量超过该证券当日成交量的</w:t>
      </w:r>
      <w:r>
        <w:rPr>
          <w:rFonts w:ascii="宋体"/>
          <w:color w:val="000000"/>
          <w:kern w:val="0"/>
          <w:sz w:val="24"/>
          <w:szCs w:val="24"/>
        </w:rPr>
        <w:t>5%</w:t>
      </w:r>
      <w:r>
        <w:rPr>
          <w:rFonts w:hint="eastAsia" w:ascii="宋体"/>
          <w:color w:val="000000"/>
          <w:kern w:val="0"/>
          <w:sz w:val="24"/>
          <w:szCs w:val="24"/>
        </w:rPr>
        <w:t>的交易共</w:t>
      </w:r>
      <w:r>
        <w:rPr>
          <w:rFonts w:ascii="宋体"/>
          <w:color w:val="000000"/>
          <w:kern w:val="0"/>
          <w:sz w:val="24"/>
          <w:szCs w:val="24"/>
        </w:rPr>
        <w:t>1</w:t>
      </w:r>
      <w:r>
        <w:rPr>
          <w:rFonts w:hint="eastAsia" w:ascii="宋体"/>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6" w:name="_Toc478044560"/>
      <w:r>
        <w:rPr>
          <w:rFonts w:ascii="宋体"/>
          <w:b/>
          <w:color w:val="000000"/>
          <w:kern w:val="0"/>
          <w:sz w:val="24"/>
          <w:szCs w:val="24"/>
        </w:rPr>
        <w:t xml:space="preserve">4.4 </w:t>
      </w:r>
      <w:r>
        <w:rPr>
          <w:rFonts w:hint="eastAsia" w:ascii="宋体"/>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4.4.1 </w:t>
      </w:r>
      <w:r>
        <w:rPr>
          <w:rFonts w:hint="eastAsia" w:ascii="宋体"/>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回顾</w:t>
      </w:r>
      <w:r>
        <w:rPr>
          <w:rFonts w:ascii="宋体"/>
          <w:color w:val="000000"/>
          <w:kern w:val="0"/>
          <w:sz w:val="24"/>
          <w:szCs w:val="24"/>
        </w:rPr>
        <w:t>2016</w:t>
      </w:r>
      <w:r>
        <w:rPr>
          <w:rFonts w:hint="eastAsia" w:ascii="宋体"/>
          <w:color w:val="000000"/>
          <w:kern w:val="0"/>
          <w:sz w:val="24"/>
          <w:szCs w:val="24"/>
        </w:rPr>
        <w:t>年，我们严格依据量化模型进行投资，并严格进行风险管理。一方面，量化选股模型提供了选股依据；另一方面，仓位管理上我们严格按照量化择时模型进行操作。</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4.4.2 </w:t>
      </w:r>
      <w:r>
        <w:rPr>
          <w:rFonts w:hint="eastAsia" w:ascii="宋体"/>
          <w:b/>
          <w:color w:val="000000"/>
          <w:kern w:val="0"/>
          <w:sz w:val="24"/>
          <w:szCs w:val="24"/>
        </w:rPr>
        <w:t>报告期内基金的业绩表现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本报告期，本基金</w:t>
      </w:r>
      <w:r>
        <w:rPr>
          <w:rFonts w:ascii="宋体"/>
          <w:color w:val="000000"/>
          <w:kern w:val="0"/>
          <w:sz w:val="24"/>
          <w:szCs w:val="24"/>
        </w:rPr>
        <w:t>A</w:t>
      </w:r>
      <w:r>
        <w:rPr>
          <w:rFonts w:hint="eastAsia" w:ascii="宋体"/>
          <w:color w:val="000000"/>
          <w:kern w:val="0"/>
          <w:sz w:val="24"/>
          <w:szCs w:val="24"/>
        </w:rPr>
        <w:t>级净值增长率</w:t>
      </w:r>
      <w:r>
        <w:rPr>
          <w:rFonts w:ascii="宋体"/>
          <w:color w:val="000000"/>
          <w:kern w:val="0"/>
          <w:sz w:val="24"/>
          <w:szCs w:val="24"/>
        </w:rPr>
        <w:t>-4.68%</w:t>
      </w:r>
      <w:r>
        <w:rPr>
          <w:rFonts w:hint="eastAsia" w:ascii="宋体"/>
          <w:color w:val="000000"/>
          <w:kern w:val="0"/>
          <w:sz w:val="24"/>
          <w:szCs w:val="24"/>
        </w:rPr>
        <w:t>，</w:t>
      </w:r>
      <w:r>
        <w:rPr>
          <w:rFonts w:ascii="宋体"/>
          <w:color w:val="000000"/>
          <w:kern w:val="0"/>
          <w:sz w:val="24"/>
          <w:szCs w:val="24"/>
        </w:rPr>
        <w:t>C</w:t>
      </w:r>
      <w:r>
        <w:rPr>
          <w:rFonts w:hint="eastAsia" w:ascii="宋体"/>
          <w:color w:val="000000"/>
          <w:kern w:val="0"/>
          <w:sz w:val="24"/>
          <w:szCs w:val="24"/>
        </w:rPr>
        <w:t>级净值增长率</w:t>
      </w:r>
      <w:r>
        <w:rPr>
          <w:rFonts w:ascii="宋体"/>
          <w:color w:val="000000"/>
          <w:kern w:val="0"/>
          <w:sz w:val="24"/>
          <w:szCs w:val="24"/>
        </w:rPr>
        <w:t>-4.13%</w:t>
      </w:r>
      <w:r>
        <w:rPr>
          <w:rFonts w:hint="eastAsia" w:ascii="宋体"/>
          <w:color w:val="000000"/>
          <w:kern w:val="0"/>
          <w:sz w:val="24"/>
          <w:szCs w:val="24"/>
        </w:rPr>
        <w:t>，同期业绩比较基准收益率为</w:t>
      </w:r>
      <w:r>
        <w:rPr>
          <w:rFonts w:ascii="宋体"/>
          <w:color w:val="000000"/>
          <w:kern w:val="0"/>
          <w:sz w:val="24"/>
          <w:szCs w:val="24"/>
        </w:rPr>
        <w:t>-10.58%</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17" w:name="_Toc478044561"/>
      <w:r>
        <w:rPr>
          <w:rFonts w:ascii="宋体"/>
          <w:b/>
          <w:color w:val="000000"/>
          <w:kern w:val="0"/>
          <w:sz w:val="24"/>
          <w:szCs w:val="24"/>
        </w:rPr>
        <w:t>4.</w:t>
      </w:r>
      <w:r>
        <w:rPr>
          <w:rFonts w:hint="eastAsia" w:ascii="宋体"/>
          <w:b/>
          <w:color w:val="000000"/>
          <w:kern w:val="0"/>
          <w:sz w:val="24"/>
          <w:szCs w:val="24"/>
        </w:rPr>
        <w:t>5</w:t>
      </w:r>
      <w:r>
        <w:rPr>
          <w:rFonts w:ascii="宋体"/>
          <w:b/>
          <w:color w:val="000000"/>
          <w:kern w:val="0"/>
          <w:sz w:val="24"/>
          <w:szCs w:val="24"/>
        </w:rPr>
        <w:t xml:space="preserve"> </w:t>
      </w:r>
      <w:r>
        <w:rPr>
          <w:rFonts w:hint="eastAsia" w:ascii="宋体"/>
          <w:b/>
          <w:color w:val="000000"/>
          <w:kern w:val="0"/>
          <w:sz w:val="24"/>
          <w:szCs w:val="24"/>
        </w:rPr>
        <w:t>管理人对宏观</w:t>
      </w:r>
      <w:r>
        <w:rPr>
          <w:rFonts w:ascii="宋体"/>
          <w:b/>
          <w:color w:val="000000"/>
          <w:kern w:val="0"/>
          <w:sz w:val="24"/>
          <w:szCs w:val="24"/>
        </w:rPr>
        <w:t>经济、证券市场</w:t>
      </w:r>
      <w:r>
        <w:rPr>
          <w:rFonts w:hint="eastAsia" w:ascii="宋体"/>
          <w:b/>
          <w:color w:val="000000"/>
          <w:kern w:val="0"/>
          <w:sz w:val="24"/>
          <w:szCs w:val="24"/>
        </w:rPr>
        <w:t>及</w:t>
      </w:r>
      <w:r>
        <w:rPr>
          <w:rFonts w:ascii="宋体"/>
          <w:b/>
          <w:color w:val="000000"/>
          <w:kern w:val="0"/>
          <w:sz w:val="24"/>
          <w:szCs w:val="24"/>
        </w:rPr>
        <w:t>行业走势的简要展望</w:t>
      </w:r>
      <w:bookmarkEnd w:id="17"/>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在过去的半年里，</w:t>
      </w:r>
      <w:r>
        <w:rPr>
          <w:rFonts w:ascii="宋体"/>
          <w:color w:val="000000"/>
          <w:kern w:val="0"/>
          <w:sz w:val="24"/>
          <w:szCs w:val="24"/>
        </w:rPr>
        <w:t>PPI</w:t>
      </w:r>
      <w:r>
        <w:rPr>
          <w:rFonts w:hint="eastAsia" w:ascii="宋体"/>
          <w:color w:val="000000"/>
          <w:kern w:val="0"/>
          <w:sz w:val="24"/>
          <w:szCs w:val="24"/>
        </w:rPr>
        <w:t>快速上行带动名义</w:t>
      </w:r>
      <w:r>
        <w:rPr>
          <w:rFonts w:ascii="宋体"/>
          <w:color w:val="000000"/>
          <w:kern w:val="0"/>
          <w:sz w:val="24"/>
          <w:szCs w:val="24"/>
        </w:rPr>
        <w:t>GDP</w:t>
      </w:r>
      <w:r>
        <w:rPr>
          <w:rFonts w:hint="eastAsia" w:ascii="宋体"/>
          <w:color w:val="000000"/>
          <w:kern w:val="0"/>
          <w:sz w:val="24"/>
          <w:szCs w:val="24"/>
        </w:rPr>
        <w:t>增速上行，有望带动工业企业净利润增速提高；</w:t>
      </w:r>
      <w:r>
        <w:rPr>
          <w:rFonts w:ascii="宋体"/>
          <w:color w:val="000000"/>
          <w:kern w:val="0"/>
          <w:sz w:val="24"/>
          <w:szCs w:val="24"/>
        </w:rPr>
        <w:t>PPI</w:t>
      </w:r>
      <w:r>
        <w:rPr>
          <w:rFonts w:hint="eastAsia" w:ascii="宋体"/>
          <w:color w:val="000000"/>
          <w:kern w:val="0"/>
          <w:sz w:val="24"/>
          <w:szCs w:val="24"/>
        </w:rPr>
        <w:t>上行对</w:t>
      </w:r>
      <w:r>
        <w:rPr>
          <w:rFonts w:ascii="宋体"/>
          <w:color w:val="000000"/>
          <w:kern w:val="0"/>
          <w:sz w:val="24"/>
          <w:szCs w:val="24"/>
        </w:rPr>
        <w:t>CPI</w:t>
      </w:r>
      <w:r>
        <w:rPr>
          <w:rFonts w:hint="eastAsia" w:ascii="宋体"/>
          <w:color w:val="000000"/>
          <w:kern w:val="0"/>
          <w:sz w:val="24"/>
          <w:szCs w:val="24"/>
        </w:rPr>
        <w:t>的传导作用不明显，目前</w:t>
      </w:r>
      <w:r>
        <w:rPr>
          <w:rFonts w:ascii="宋体"/>
          <w:color w:val="000000"/>
          <w:kern w:val="0"/>
          <w:sz w:val="24"/>
          <w:szCs w:val="24"/>
        </w:rPr>
        <w:t>CPI</w:t>
      </w:r>
      <w:r>
        <w:rPr>
          <w:rFonts w:hint="eastAsia" w:ascii="宋体"/>
          <w:color w:val="000000"/>
          <w:kern w:val="0"/>
          <w:sz w:val="24"/>
          <w:szCs w:val="24"/>
        </w:rPr>
        <w:t>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line="288" w:lineRule="auto"/>
        <w:jc w:val="left"/>
        <w:rPr>
          <w:rFonts w:hint="eastAsia"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8" w:name="_Toc478044562"/>
      <w:r>
        <w:rPr>
          <w:rFonts w:ascii="宋体"/>
          <w:b/>
          <w:color w:val="000000"/>
          <w:kern w:val="0"/>
          <w:sz w:val="24"/>
          <w:szCs w:val="24"/>
        </w:rPr>
        <w:t xml:space="preserve">4.6 </w:t>
      </w:r>
      <w:r>
        <w:rPr>
          <w:rFonts w:hint="eastAsia" w:ascii="宋体"/>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1</w:t>
      </w:r>
      <w:r>
        <w:rPr>
          <w:rFonts w:hint="eastAsia" w:ascii="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2</w:t>
      </w:r>
      <w:r>
        <w:rPr>
          <w:rFonts w:hint="eastAsia" w:ascii="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3</w:t>
      </w:r>
      <w:r>
        <w:rPr>
          <w:rFonts w:hint="eastAsia" w:ascii="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4</w:t>
      </w:r>
      <w:r>
        <w:rPr>
          <w:rFonts w:hint="eastAsia" w:ascii="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6</w:t>
      </w:r>
      <w:r>
        <w:rPr>
          <w:rFonts w:hint="eastAsia" w:ascii="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7</w:t>
      </w:r>
      <w:r>
        <w:rPr>
          <w:rFonts w:hint="eastAsia" w:ascii="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8</w:t>
      </w:r>
      <w:r>
        <w:rPr>
          <w:rFonts w:hint="eastAsia" w:ascii="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9</w:t>
      </w:r>
      <w:r>
        <w:rPr>
          <w:rFonts w:hint="eastAsia" w:ascii="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9" w:name="_Toc478044563"/>
      <w:r>
        <w:rPr>
          <w:rFonts w:ascii="宋体"/>
          <w:b/>
          <w:color w:val="000000"/>
          <w:kern w:val="0"/>
          <w:sz w:val="24"/>
          <w:szCs w:val="24"/>
        </w:rPr>
        <w:t xml:space="preserve">4.7 </w:t>
      </w:r>
      <w:r>
        <w:rPr>
          <w:rFonts w:hint="eastAsia" w:ascii="宋体"/>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定价服务机构按照商业合同约定提供定价服务。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0" w:name="_Toc478044564"/>
      <w:r>
        <w:rPr>
          <w:rFonts w:ascii="宋体"/>
          <w:b/>
          <w:color w:val="000000"/>
          <w:kern w:val="0"/>
          <w:sz w:val="24"/>
          <w:szCs w:val="24"/>
        </w:rPr>
        <w:t xml:space="preserve">4.8 </w:t>
      </w:r>
      <w:r>
        <w:rPr>
          <w:rFonts w:hint="eastAsia" w:ascii="宋体"/>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本报告期内，本基金未进行利润分配，符合合同约定。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4.9 </w:t>
      </w:r>
      <w:r>
        <w:rPr>
          <w:rFonts w:hint="eastAsia" w:ascii="宋体"/>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本基金为发起式基金，不适用本项要求。</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1" w:name="_Toc478044565"/>
      <w:r>
        <w:rPr>
          <w:rFonts w:hint="eastAsia" w:ascii="宋体"/>
          <w:b/>
          <w:color w:val="000000"/>
          <w:kern w:val="0"/>
          <w:sz w:val="24"/>
          <w:szCs w:val="24"/>
        </w:rPr>
        <w:t>§</w:t>
      </w:r>
      <w:r>
        <w:rPr>
          <w:rFonts w:ascii="宋体"/>
          <w:b/>
          <w:color w:val="000000"/>
          <w:kern w:val="0"/>
          <w:sz w:val="24"/>
          <w:szCs w:val="24"/>
        </w:rPr>
        <w:t xml:space="preserve">5  </w:t>
      </w:r>
      <w:r>
        <w:rPr>
          <w:rFonts w:hint="eastAsia" w:ascii="宋体"/>
          <w:b/>
          <w:color w:val="000000"/>
          <w:kern w:val="0"/>
          <w:sz w:val="24"/>
          <w:szCs w:val="24"/>
        </w:rPr>
        <w:t>托管人报告</w:t>
      </w:r>
      <w:bookmarkEnd w:id="21"/>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2" w:name="_Toc478044566"/>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托管人声明，在本报告期内，基金托管人</w:t>
      </w:r>
      <w:r>
        <w:rPr>
          <w:rFonts w:ascii="宋体"/>
          <w:color w:val="000000"/>
          <w:kern w:val="0"/>
          <w:sz w:val="24"/>
          <w:szCs w:val="24"/>
        </w:rPr>
        <w:t>-</w:t>
      </w:r>
      <w:r>
        <w:rPr>
          <w:rFonts w:hint="eastAsia" w:ascii="宋体"/>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3" w:name="_Toc478044567"/>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4" w:name="_Toc478044568"/>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本年度报告中财务指标、净值表现、财务会计报告、利润分配、投资组合报告等内容真实、准确和完整</w:t>
      </w:r>
      <w:r>
        <w:rPr>
          <w:rFonts w:ascii="宋体"/>
          <w:color w:val="000000"/>
          <w:kern w:val="0"/>
          <w:sz w:val="24"/>
          <w:szCs w:val="24"/>
        </w:rPr>
        <w:t>,</w:t>
      </w:r>
      <w:r>
        <w:rPr>
          <w:rFonts w:hint="eastAsia" w:ascii="宋体"/>
          <w:color w:val="000000"/>
          <w:kern w:val="0"/>
          <w:sz w:val="24"/>
          <w:szCs w:val="24"/>
        </w:rPr>
        <w:t>不存在虚假记载、误导性陈述或者重大遗漏。</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5" w:name="_Toc478044569"/>
      <w:r>
        <w:rPr>
          <w:rFonts w:hint="eastAsia" w:ascii="宋体"/>
          <w:b/>
          <w:color w:val="000000"/>
          <w:kern w:val="0"/>
          <w:sz w:val="24"/>
          <w:szCs w:val="24"/>
        </w:rPr>
        <w:t>§</w:t>
      </w:r>
      <w:r>
        <w:rPr>
          <w:rFonts w:ascii="宋体"/>
          <w:b/>
          <w:color w:val="000000"/>
          <w:kern w:val="0"/>
          <w:sz w:val="24"/>
          <w:szCs w:val="24"/>
        </w:rPr>
        <w:t xml:space="preserve">6 </w:t>
      </w:r>
      <w:r>
        <w:rPr>
          <w:rFonts w:hint="eastAsia" w:ascii="宋体"/>
          <w:b/>
          <w:color w:val="000000"/>
          <w:kern w:val="0"/>
          <w:sz w:val="24"/>
          <w:szCs w:val="24"/>
        </w:rPr>
        <w:t>审计报告</w:t>
      </w:r>
      <w:bookmarkEnd w:id="2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6" w:name="_Toc478044570"/>
      <w:r>
        <w:rPr>
          <w:rFonts w:ascii="宋体"/>
          <w:b/>
          <w:color w:val="000000"/>
          <w:kern w:val="0"/>
          <w:sz w:val="24"/>
          <w:szCs w:val="24"/>
        </w:rPr>
        <w:t xml:space="preserve">6.1 </w:t>
      </w:r>
      <w:r>
        <w:rPr>
          <w:rFonts w:hint="eastAsia" w:ascii="宋体"/>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22105</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宋体"/>
          <w:b/>
          <w:color w:val="000000"/>
          <w:kern w:val="0"/>
          <w:sz w:val="24"/>
          <w:szCs w:val="24"/>
        </w:rPr>
      </w:pPr>
      <w:bookmarkStart w:id="27" w:name="_Toc478044571"/>
      <w:r>
        <w:rPr>
          <w:rFonts w:ascii="宋体"/>
          <w:b/>
          <w:color w:val="000000"/>
          <w:kern w:val="0"/>
          <w:sz w:val="24"/>
          <w:szCs w:val="24"/>
        </w:rPr>
        <w:t xml:space="preserve">6.2 </w:t>
      </w:r>
      <w:r>
        <w:rPr>
          <w:rFonts w:hint="eastAsia" w:ascii="宋体"/>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指数增强型发起式证券投资基金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全体基金份额持有人</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指数增强型发起式证券投资基金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增强基金的基金管理人创金合信基金管理有限公司</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增强基金的财务报表在所有重大方面按照企业会计准则和在财务报表附注中所列示的中国证监会、中国基金业协会发布的有关规定及允许的基金行业实务操作编制，公允反映了</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日的经营成果和基金净值变动情况。</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8" w:name="_Toc478044572"/>
      <w:r>
        <w:rPr>
          <w:rFonts w:hint="eastAsia" w:ascii="宋体"/>
          <w:b/>
          <w:color w:val="000000"/>
          <w:kern w:val="0"/>
          <w:sz w:val="24"/>
          <w:szCs w:val="24"/>
        </w:rPr>
        <w:t>§</w:t>
      </w:r>
      <w:r>
        <w:rPr>
          <w:rFonts w:ascii="宋体"/>
          <w:b/>
          <w:color w:val="000000"/>
          <w:kern w:val="0"/>
          <w:sz w:val="24"/>
          <w:szCs w:val="24"/>
        </w:rPr>
        <w:t xml:space="preserve">7 </w:t>
      </w:r>
      <w:r>
        <w:rPr>
          <w:rFonts w:hint="eastAsia" w:ascii="宋体"/>
          <w:b/>
          <w:color w:val="000000"/>
          <w:kern w:val="0"/>
          <w:sz w:val="24"/>
          <w:szCs w:val="24"/>
        </w:rPr>
        <w:t>年度财务报表</w:t>
      </w:r>
      <w:bookmarkEnd w:id="28"/>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9" w:name="_Toc478044573"/>
      <w:r>
        <w:rPr>
          <w:rFonts w:ascii="宋体"/>
          <w:b/>
          <w:color w:val="000000"/>
          <w:kern w:val="0"/>
          <w:sz w:val="24"/>
          <w:szCs w:val="24"/>
        </w:rPr>
        <w:t xml:space="preserve">7.1 </w:t>
      </w:r>
      <w:r>
        <w:rPr>
          <w:rFonts w:hint="eastAsia" w:ascii="宋体"/>
          <w:b/>
          <w:color w:val="000000"/>
          <w:kern w:val="0"/>
          <w:sz w:val="24"/>
          <w:szCs w:val="24"/>
        </w:rPr>
        <w:t>资产负债表</w:t>
      </w:r>
      <w:bookmarkEnd w:id="2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会计主体：创金合信沪深</w:t>
      </w:r>
      <w:r>
        <w:rPr>
          <w:rFonts w:ascii="宋体"/>
          <w:color w:val="000000"/>
          <w:kern w:val="0"/>
          <w:sz w:val="24"/>
          <w:szCs w:val="24"/>
        </w:rPr>
        <w:t>300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报告截止日：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90"/>
        <w:gridCol w:w="1083"/>
        <w:gridCol w:w="2529"/>
        <w:gridCol w:w="2528"/>
      </w:tblGrid>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11,077,737.55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88,701.48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3,768.48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198,542,580.46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198,542,580.46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11,774.86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5,491.76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209,730,054.59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负</w:t>
            </w:r>
            <w:r>
              <w:rPr>
                <w:rFonts w:ascii="宋体"/>
                <w:b/>
                <w:color w:val="000000"/>
                <w:kern w:val="0"/>
                <w:sz w:val="24"/>
                <w:szCs w:val="24"/>
              </w:rPr>
              <w:t xml:space="preserve"> </w:t>
            </w:r>
            <w:r>
              <w:rPr>
                <w:rFonts w:hint="eastAsia" w:ascii="宋体"/>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3,054.09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41,472.39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5,184.04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727.61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233,444.07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40,000.23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323,882.43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219,660,945.77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-10,254,773.61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209,406,172.16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209,730,054.59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报告截止日</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日，基金份额总额</w:t>
      </w:r>
      <w:r>
        <w:rPr>
          <w:rFonts w:ascii="宋体"/>
          <w:color w:val="000000"/>
          <w:kern w:val="0"/>
          <w:szCs w:val="24"/>
        </w:rPr>
        <w:t>219,660,945.77</w:t>
      </w:r>
      <w:r>
        <w:rPr>
          <w:rFonts w:hint="eastAsia" w:ascii="宋体"/>
          <w:color w:val="000000"/>
          <w:kern w:val="0"/>
          <w:szCs w:val="24"/>
        </w:rPr>
        <w:t>份，其中下属</w:t>
      </w:r>
      <w:r>
        <w:rPr>
          <w:rFonts w:ascii="宋体"/>
          <w:color w:val="000000"/>
          <w:kern w:val="0"/>
          <w:szCs w:val="24"/>
        </w:rPr>
        <w:t>A</w:t>
      </w:r>
      <w:r>
        <w:rPr>
          <w:rFonts w:hint="eastAsia" w:ascii="宋体"/>
          <w:color w:val="000000"/>
          <w:kern w:val="0"/>
          <w:szCs w:val="24"/>
        </w:rPr>
        <w:t>类基金份额</w:t>
      </w:r>
      <w:r>
        <w:rPr>
          <w:rFonts w:ascii="宋体"/>
          <w:color w:val="000000"/>
          <w:kern w:val="0"/>
          <w:szCs w:val="24"/>
        </w:rPr>
        <w:t>214,235,996.89</w:t>
      </w:r>
      <w:r>
        <w:rPr>
          <w:rFonts w:hint="eastAsia" w:ascii="宋体"/>
          <w:color w:val="000000"/>
          <w:kern w:val="0"/>
          <w:szCs w:val="24"/>
        </w:rPr>
        <w:t>份，</w:t>
      </w:r>
      <w:r>
        <w:rPr>
          <w:rFonts w:ascii="宋体"/>
          <w:color w:val="000000"/>
          <w:kern w:val="0"/>
          <w:szCs w:val="24"/>
        </w:rPr>
        <w:t>C</w:t>
      </w:r>
      <w:r>
        <w:rPr>
          <w:rFonts w:hint="eastAsia" w:ascii="宋体"/>
          <w:color w:val="000000"/>
          <w:kern w:val="0"/>
          <w:szCs w:val="24"/>
        </w:rPr>
        <w:t>类基金份额</w:t>
      </w:r>
      <w:r>
        <w:rPr>
          <w:rFonts w:ascii="宋体"/>
          <w:color w:val="000000"/>
          <w:kern w:val="0"/>
          <w:szCs w:val="24"/>
        </w:rPr>
        <w:t>5,424,948.88</w:t>
      </w:r>
      <w:r>
        <w:rPr>
          <w:rFonts w:hint="eastAsia" w:ascii="宋体"/>
          <w:color w:val="000000"/>
          <w:kern w:val="0"/>
          <w:szCs w:val="24"/>
        </w:rPr>
        <w:t>份。下属</w:t>
      </w:r>
      <w:r>
        <w:rPr>
          <w:rFonts w:ascii="宋体"/>
          <w:color w:val="000000"/>
          <w:kern w:val="0"/>
          <w:szCs w:val="24"/>
        </w:rPr>
        <w:t>A</w:t>
      </w:r>
      <w:r>
        <w:rPr>
          <w:rFonts w:hint="eastAsia" w:ascii="宋体"/>
          <w:color w:val="000000"/>
          <w:kern w:val="0"/>
          <w:szCs w:val="24"/>
        </w:rPr>
        <w:t>类基金份额净值</w:t>
      </w:r>
      <w:r>
        <w:rPr>
          <w:rFonts w:ascii="宋体"/>
          <w:color w:val="000000"/>
          <w:kern w:val="0"/>
          <w:szCs w:val="24"/>
        </w:rPr>
        <w:t>0.9532</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类基金份额净值</w:t>
      </w:r>
      <w:r>
        <w:rPr>
          <w:rFonts w:ascii="宋体"/>
          <w:color w:val="000000"/>
          <w:kern w:val="0"/>
          <w:szCs w:val="24"/>
        </w:rPr>
        <w:t>0.9587</w:t>
      </w:r>
      <w:r>
        <w:rPr>
          <w:rFonts w:hint="eastAsia" w:ascii="宋体"/>
          <w:color w:val="000000"/>
          <w:kern w:val="0"/>
          <w:szCs w:val="24"/>
        </w:rPr>
        <w:t>元。</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日，上年度可比期间为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0" w:name="_Toc478044574"/>
      <w:r>
        <w:rPr>
          <w:rFonts w:ascii="宋体"/>
          <w:b/>
          <w:color w:val="000000"/>
          <w:kern w:val="0"/>
          <w:sz w:val="24"/>
          <w:szCs w:val="24"/>
        </w:rPr>
        <w:t xml:space="preserve">7.2 </w:t>
      </w:r>
      <w:r>
        <w:rPr>
          <w:rFonts w:hint="eastAsia" w:ascii="宋体"/>
          <w:b/>
          <w:color w:val="000000"/>
          <w:kern w:val="0"/>
          <w:sz w:val="24"/>
          <w:szCs w:val="24"/>
        </w:rPr>
        <w:t>利润表</w:t>
      </w:r>
      <w:bookmarkEnd w:id="30"/>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会计主体：创金合信沪深</w:t>
      </w:r>
      <w:r>
        <w:rPr>
          <w:rFonts w:ascii="宋体"/>
          <w:color w:val="000000"/>
          <w:kern w:val="0"/>
          <w:sz w:val="24"/>
          <w:szCs w:val="24"/>
        </w:rPr>
        <w:t>300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1083"/>
        <w:gridCol w:w="2348"/>
        <w:gridCol w:w="2348"/>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-1,066,228.33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16,972.22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16,972.22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投资收益（损失以“</w:t>
            </w:r>
            <w:r>
              <w:rPr>
                <w:rFonts w:ascii="宋体"/>
                <w:color w:val="000000"/>
                <w:kern w:val="0"/>
                <w:sz w:val="24"/>
                <w:szCs w:val="24"/>
              </w:rPr>
              <w:t>-</w:t>
            </w:r>
            <w:r>
              <w:rPr>
                <w:rFonts w:hint="eastAsia" w:ascii="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-290,615.09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-469,250.01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178,634.92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公允价值变动收益（损失以“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-834,377.73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其他收入（损失以“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41,792.27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578,174.37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109,469.67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13,683.69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5,043.57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378,370.84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r>
              <w:rPr>
                <w:rFonts w:hint="eastAsia" w:ascii="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71,606.60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三、利润总额（亏损总额以“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四、净利润（净亏损以“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日，上年度可比期间为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1" w:name="_Toc478044575"/>
      <w:r>
        <w:rPr>
          <w:rFonts w:ascii="宋体"/>
          <w:b/>
          <w:color w:val="000000"/>
          <w:kern w:val="0"/>
          <w:sz w:val="24"/>
          <w:szCs w:val="24"/>
        </w:rPr>
        <w:t xml:space="preserve">7.3 </w:t>
      </w:r>
      <w:r>
        <w:rPr>
          <w:rFonts w:hint="eastAsia" w:ascii="宋体"/>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会计主体：创金合信沪深</w:t>
      </w:r>
      <w:r>
        <w:rPr>
          <w:rFonts w:ascii="宋体"/>
          <w:color w:val="000000"/>
          <w:kern w:val="0"/>
          <w:sz w:val="24"/>
          <w:szCs w:val="24"/>
        </w:rPr>
        <w:t>300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-1,644,402.70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209,660,945.77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-8,610,770.91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201,050,174.86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218,984,563.23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-8,972,737.82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210,011,825.41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-9,323,617.46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361,966.91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-8,961,650.55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219,660,945.77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209,406,172.16</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日，上年度可比期间为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报表附注为财务报表的组成部分。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w:t>
      </w:r>
      <w:r>
        <w:rPr>
          <w:rFonts w:ascii="宋体"/>
          <w:color w:val="000000"/>
          <w:kern w:val="0"/>
          <w:sz w:val="24"/>
          <w:szCs w:val="24"/>
        </w:rPr>
        <w:t>7.1</w:t>
      </w:r>
      <w:r>
        <w:rPr>
          <w:rFonts w:hint="eastAsia" w:ascii="宋体"/>
          <w:color w:val="000000"/>
          <w:kern w:val="0"/>
          <w:sz w:val="24"/>
          <w:szCs w:val="24"/>
        </w:rPr>
        <w:t>至</w:t>
      </w:r>
      <w:r>
        <w:rPr>
          <w:rFonts w:ascii="宋体"/>
          <w:color w:val="000000"/>
          <w:kern w:val="0"/>
          <w:sz w:val="24"/>
          <w:szCs w:val="24"/>
        </w:rPr>
        <w:t>7.4</w:t>
      </w:r>
      <w:r>
        <w:rPr>
          <w:rFonts w:hint="eastAsia" w:ascii="宋体"/>
          <w:color w:val="000000"/>
          <w:kern w:val="0"/>
          <w:sz w:val="24"/>
          <w:szCs w:val="24"/>
        </w:rPr>
        <w:t>财务报表由下列负责人签署</w:t>
      </w:r>
      <w:r>
        <w:rPr>
          <w:rFonts w:ascii="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苏彦祝</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黄越岷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安兆国</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会计机构负责人</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2" w:name="_Toc478044576"/>
      <w:r>
        <w:rPr>
          <w:rFonts w:ascii="宋体"/>
          <w:b/>
          <w:color w:val="000000"/>
          <w:kern w:val="0"/>
          <w:sz w:val="24"/>
          <w:szCs w:val="24"/>
        </w:rPr>
        <w:t xml:space="preserve">7.4 </w:t>
      </w:r>
      <w:r>
        <w:rPr>
          <w:rFonts w:hint="eastAsia" w:ascii="宋体"/>
          <w:b/>
          <w:color w:val="000000"/>
          <w:kern w:val="0"/>
          <w:sz w:val="24"/>
          <w:szCs w:val="24"/>
        </w:rPr>
        <w:t>报表附注</w:t>
      </w:r>
      <w:bookmarkEnd w:id="32"/>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 </w:t>
      </w:r>
      <w:r>
        <w:rPr>
          <w:rFonts w:hint="eastAsia" w:ascii="宋体"/>
          <w:b/>
          <w:color w:val="000000"/>
          <w:kern w:val="0"/>
          <w:sz w:val="24"/>
          <w:szCs w:val="24"/>
        </w:rPr>
        <w:t>基金基本情况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本基金</w:t>
      </w:r>
      <w:r>
        <w:rPr>
          <w:rFonts w:ascii="宋体"/>
          <w:color w:val="000000"/>
          <w:kern w:val="0"/>
          <w:sz w:val="24"/>
          <w:szCs w:val="24"/>
        </w:rPr>
        <w:t>")</w:t>
      </w:r>
      <w:r>
        <w:rPr>
          <w:rFonts w:hint="eastAsia" w:ascii="宋体"/>
          <w:color w:val="000000"/>
          <w:kern w:val="0"/>
          <w:sz w:val="24"/>
          <w:szCs w:val="24"/>
        </w:rPr>
        <w:t>经中国证券监督管理委员会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中国证监会</w:t>
      </w:r>
      <w:r>
        <w:rPr>
          <w:rFonts w:ascii="宋体"/>
          <w:color w:val="000000"/>
          <w:kern w:val="0"/>
          <w:sz w:val="24"/>
          <w:szCs w:val="24"/>
        </w:rPr>
        <w:t>")</w:t>
      </w:r>
      <w:r>
        <w:rPr>
          <w:rFonts w:hint="eastAsia" w:ascii="宋体"/>
          <w:color w:val="000000"/>
          <w:kern w:val="0"/>
          <w:sz w:val="24"/>
          <w:szCs w:val="24"/>
        </w:rPr>
        <w:t>证监许可</w:t>
      </w:r>
      <w:r>
        <w:rPr>
          <w:rFonts w:ascii="宋体"/>
          <w:color w:val="000000"/>
          <w:kern w:val="0"/>
          <w:sz w:val="24"/>
          <w:szCs w:val="24"/>
        </w:rPr>
        <w:t>[2015]3045</w:t>
      </w:r>
      <w:r>
        <w:rPr>
          <w:rFonts w:hint="eastAsia" w:ascii="宋体"/>
          <w:color w:val="000000"/>
          <w:kern w:val="0"/>
          <w:sz w:val="24"/>
          <w:szCs w:val="24"/>
        </w:rPr>
        <w:t>号《关于准予创金合信沪深</w:t>
      </w:r>
      <w:r>
        <w:rPr>
          <w:rFonts w:ascii="宋体"/>
          <w:color w:val="000000"/>
          <w:kern w:val="0"/>
          <w:sz w:val="24"/>
          <w:szCs w:val="24"/>
        </w:rPr>
        <w:t>300</w:t>
      </w:r>
      <w:r>
        <w:rPr>
          <w:rFonts w:hint="eastAsia" w:ascii="宋体"/>
          <w:color w:val="000000"/>
          <w:kern w:val="0"/>
          <w:sz w:val="24"/>
          <w:szCs w:val="24"/>
        </w:rPr>
        <w:t>指数增强型发起式证券投资基金注册的批复》核准，由创金合信基金管理有限公司依照《中华人民共和国证券投资基金法》和《创金合信沪深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指数增强型发起式证券投资基金基金合同》负责公开募集。本基金为契约型开放式，存续期限不定，首次设立募集不包括认购资金利息共募集人民币</w:t>
      </w:r>
      <w:r>
        <w:rPr>
          <w:rFonts w:ascii="宋体"/>
          <w:color w:val="000000"/>
          <w:kern w:val="0"/>
          <w:sz w:val="24"/>
          <w:szCs w:val="24"/>
        </w:rPr>
        <w:t>10,000,000.00</w:t>
      </w:r>
      <w:r>
        <w:rPr>
          <w:rFonts w:hint="eastAsia" w:ascii="宋体"/>
          <w:color w:val="000000"/>
          <w:kern w:val="0"/>
          <w:sz w:val="24"/>
          <w:szCs w:val="24"/>
        </w:rPr>
        <w:t>元，业经普华永道中天会计师事务所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普华永道中天验字</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1504</w:t>
      </w:r>
      <w:r>
        <w:rPr>
          <w:rFonts w:hint="eastAsia" w:ascii="宋体"/>
          <w:color w:val="000000"/>
          <w:kern w:val="0"/>
          <w:sz w:val="24"/>
          <w:szCs w:val="24"/>
        </w:rPr>
        <w:t>号验资报告予以验证。经向中国证监会备案，《创金合信沪深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日正式生效，基金合同生效日的基金份额总额为</w:t>
      </w:r>
      <w:r>
        <w:rPr>
          <w:rFonts w:ascii="宋体"/>
          <w:color w:val="000000"/>
          <w:kern w:val="0"/>
          <w:sz w:val="24"/>
          <w:szCs w:val="24"/>
        </w:rPr>
        <w:t>10,000,000.00</w:t>
      </w:r>
      <w:r>
        <w:rPr>
          <w:rFonts w:hint="eastAsia" w:ascii="宋体"/>
          <w:color w:val="000000"/>
          <w:kern w:val="0"/>
          <w:sz w:val="24"/>
          <w:szCs w:val="24"/>
        </w:rPr>
        <w:t>份基金份额。本基金的基金管理人为创金合信基金管理有限公司，基金托管人为招商银行股份有限公司</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根据《中华人民共和国证券投资基金法》和《创金合信沪深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指数增强型发起式证券投资基金基金合同》的有关规定，本基金投资范围包括国内依法发行上市的股票</w:t>
      </w:r>
      <w:r>
        <w:rPr>
          <w:rFonts w:ascii="宋体"/>
          <w:color w:val="000000"/>
          <w:kern w:val="0"/>
          <w:sz w:val="24"/>
          <w:szCs w:val="24"/>
        </w:rPr>
        <w:t>(</w:t>
      </w:r>
      <w:r>
        <w:rPr>
          <w:rFonts w:hint="eastAsia" w:ascii="宋体"/>
          <w:color w:val="000000"/>
          <w:kern w:val="0"/>
          <w:sz w:val="24"/>
          <w:szCs w:val="24"/>
        </w:rPr>
        <w:t>包括创业板、中小板以及其他经中国证监会允许基金投资的股票</w:t>
      </w:r>
      <w:r>
        <w:rPr>
          <w:rFonts w:ascii="宋体"/>
          <w:color w:val="000000"/>
          <w:kern w:val="0"/>
          <w:sz w:val="24"/>
          <w:szCs w:val="24"/>
        </w:rPr>
        <w:t>)</w:t>
      </w:r>
      <w:r>
        <w:rPr>
          <w:rFonts w:hint="eastAsia" w:ascii="宋体"/>
          <w:color w:val="000000"/>
          <w:kern w:val="0"/>
          <w:sz w:val="24"/>
          <w:szCs w:val="24"/>
        </w:rPr>
        <w:t>、债券</w:t>
      </w:r>
      <w:r>
        <w:rPr>
          <w:rFonts w:ascii="宋体"/>
          <w:color w:val="000000"/>
          <w:kern w:val="0"/>
          <w:sz w:val="24"/>
          <w:szCs w:val="24"/>
        </w:rPr>
        <w:t>(</w:t>
      </w:r>
      <w:r>
        <w:rPr>
          <w:rFonts w:hint="eastAsia" w:ascii="宋体"/>
          <w:color w:val="000000"/>
          <w:kern w:val="0"/>
          <w:sz w:val="24"/>
          <w:szCs w:val="24"/>
        </w:rPr>
        <w:t>包括国债、央行票据、地方政府债、金融债、企业债、公司债、中小企业私募债、次级债、中期票据、短期融资券、可转换债券、可交换债券等</w:t>
      </w:r>
      <w:r>
        <w:rPr>
          <w:rFonts w:ascii="宋体"/>
          <w:color w:val="000000"/>
          <w:kern w:val="0"/>
          <w:sz w:val="24"/>
          <w:szCs w:val="24"/>
        </w:rPr>
        <w:t>)</w:t>
      </w:r>
      <w:r>
        <w:rPr>
          <w:rFonts w:hint="eastAsia" w:ascii="宋体"/>
          <w:color w:val="000000"/>
          <w:kern w:val="0"/>
          <w:sz w:val="24"/>
          <w:szCs w:val="24"/>
        </w:rPr>
        <w:t>、资产支持证券、债券回购、银行存款、金融衍生品</w:t>
      </w:r>
      <w:r>
        <w:rPr>
          <w:rFonts w:ascii="宋体"/>
          <w:color w:val="000000"/>
          <w:kern w:val="0"/>
          <w:sz w:val="24"/>
          <w:szCs w:val="24"/>
        </w:rPr>
        <w:t>(</w:t>
      </w:r>
      <w:r>
        <w:rPr>
          <w:rFonts w:hint="eastAsia" w:ascii="宋体"/>
          <w:color w:val="000000"/>
          <w:kern w:val="0"/>
          <w:sz w:val="24"/>
          <w:szCs w:val="24"/>
        </w:rPr>
        <w:t>包括权证、股指期货等</w:t>
      </w:r>
      <w:r>
        <w:rPr>
          <w:rFonts w:ascii="宋体"/>
          <w:color w:val="000000"/>
          <w:kern w:val="0"/>
          <w:sz w:val="24"/>
          <w:szCs w:val="24"/>
        </w:rPr>
        <w:t>)</w:t>
      </w:r>
      <w:r>
        <w:rPr>
          <w:rFonts w:hint="eastAsia" w:ascii="宋体"/>
          <w:color w:val="000000"/>
          <w:kern w:val="0"/>
          <w:sz w:val="24"/>
          <w:szCs w:val="24"/>
        </w:rPr>
        <w:t>及法律法规或中国证监会允许基金投资的其他金融工具</w:t>
      </w:r>
      <w:r>
        <w:rPr>
          <w:rFonts w:ascii="宋体"/>
          <w:color w:val="000000"/>
          <w:kern w:val="0"/>
          <w:sz w:val="24"/>
          <w:szCs w:val="24"/>
        </w:rPr>
        <w:t>(</w:t>
      </w:r>
      <w:r>
        <w:rPr>
          <w:rFonts w:hint="eastAsia" w:ascii="宋体"/>
          <w:color w:val="000000"/>
          <w:kern w:val="0"/>
          <w:sz w:val="24"/>
          <w:szCs w:val="24"/>
        </w:rPr>
        <w:t>但须符合中国证监会相关规定</w:t>
      </w:r>
      <w:r>
        <w:rPr>
          <w:rFonts w:ascii="宋体"/>
          <w:color w:val="000000"/>
          <w:kern w:val="0"/>
          <w:sz w:val="24"/>
          <w:szCs w:val="24"/>
        </w:rPr>
        <w:t>)</w:t>
      </w:r>
      <w:r>
        <w:rPr>
          <w:rFonts w:hint="eastAsia" w:ascii="宋体"/>
          <w:color w:val="000000"/>
          <w:kern w:val="0"/>
          <w:sz w:val="24"/>
          <w:szCs w:val="24"/>
        </w:rPr>
        <w:t>。本基金的业绩比较基准为：沪深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w:t>
      </w:r>
      <w:r>
        <w:rPr>
          <w:rFonts w:ascii="宋体"/>
          <w:color w:val="000000"/>
          <w:kern w:val="0"/>
          <w:sz w:val="24"/>
          <w:szCs w:val="24"/>
        </w:rPr>
        <w:t>(</w:t>
      </w:r>
      <w:r>
        <w:rPr>
          <w:rFonts w:hint="eastAsia" w:ascii="宋体"/>
          <w:color w:val="000000"/>
          <w:kern w:val="0"/>
          <w:sz w:val="24"/>
          <w:szCs w:val="24"/>
        </w:rPr>
        <w:t>税后</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7.4.2 </w:t>
      </w:r>
      <w:r>
        <w:rPr>
          <w:rFonts w:hint="eastAsia" w:ascii="宋体"/>
          <w:b/>
          <w:color w:val="000000"/>
          <w:kern w:val="0"/>
          <w:sz w:val="24"/>
          <w:szCs w:val="24"/>
        </w:rPr>
        <w:t>会计报表的编制基础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本基金的财务报表按照财政部于</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2</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日及以后期间颁布的《企业会计准则－基本准则》、各项具体会计准则及相关规定</w:t>
      </w:r>
      <w:r>
        <w:rPr>
          <w:rFonts w:ascii="宋体"/>
          <w:color w:val="000000"/>
          <w:kern w:val="0"/>
          <w:sz w:val="24"/>
          <w:szCs w:val="24"/>
        </w:rPr>
        <w:t>(</w:t>
      </w:r>
      <w:r>
        <w:rPr>
          <w:rFonts w:hint="eastAsia" w:ascii="宋体"/>
          <w:color w:val="000000"/>
          <w:kern w:val="0"/>
          <w:sz w:val="24"/>
          <w:szCs w:val="24"/>
        </w:rPr>
        <w:t>以下合称</w:t>
      </w:r>
      <w:r>
        <w:rPr>
          <w:rFonts w:ascii="宋体"/>
          <w:color w:val="000000"/>
          <w:kern w:val="0"/>
          <w:sz w:val="24"/>
          <w:szCs w:val="24"/>
        </w:rPr>
        <w:t>"</w:t>
      </w:r>
      <w:r>
        <w:rPr>
          <w:rFonts w:hint="eastAsia" w:ascii="宋体"/>
          <w:color w:val="000000"/>
          <w:kern w:val="0"/>
          <w:sz w:val="24"/>
          <w:szCs w:val="24"/>
        </w:rPr>
        <w:t>企业会计准则</w:t>
      </w:r>
      <w:r>
        <w:rPr>
          <w:rFonts w:ascii="宋体"/>
          <w:color w:val="000000"/>
          <w:kern w:val="0"/>
          <w:sz w:val="24"/>
          <w:szCs w:val="24"/>
        </w:rPr>
        <w:t>")</w:t>
      </w:r>
      <w:r>
        <w:rPr>
          <w:rFonts w:hint="eastAsia" w:ascii="宋体"/>
          <w:color w:val="000000"/>
          <w:kern w:val="0"/>
          <w:sz w:val="24"/>
          <w:szCs w:val="24"/>
        </w:rPr>
        <w:t>、中国证监会颁布的《证券投资基金信息披露</w:t>
      </w:r>
      <w:r>
        <w:rPr>
          <w:rFonts w:ascii="宋体"/>
          <w:color w:val="000000"/>
          <w:kern w:val="0"/>
          <w:sz w:val="24"/>
          <w:szCs w:val="24"/>
        </w:rPr>
        <w:t>XBRL</w:t>
      </w:r>
      <w:r>
        <w:rPr>
          <w:rFonts w:hint="eastAsia" w:ascii="宋体"/>
          <w:color w:val="000000"/>
          <w:kern w:val="0"/>
          <w:sz w:val="24"/>
          <w:szCs w:val="24"/>
        </w:rPr>
        <w:t>模板第</w:t>
      </w:r>
      <w:r>
        <w:rPr>
          <w:rFonts w:ascii="宋体"/>
          <w:color w:val="000000"/>
          <w:kern w:val="0"/>
          <w:sz w:val="24"/>
          <w:szCs w:val="24"/>
        </w:rPr>
        <w:t>3</w:t>
      </w:r>
      <w:r>
        <w:rPr>
          <w:rFonts w:hint="eastAsia" w:ascii="宋体"/>
          <w:color w:val="000000"/>
          <w:kern w:val="0"/>
          <w:sz w:val="24"/>
          <w:szCs w:val="24"/>
        </w:rPr>
        <w:t>号</w:t>
      </w:r>
      <w:r>
        <w:rPr>
          <w:rFonts w:ascii="宋体"/>
          <w:color w:val="000000"/>
          <w:kern w:val="0"/>
          <w:sz w:val="24"/>
          <w:szCs w:val="24"/>
        </w:rPr>
        <w:t>&lt;</w:t>
      </w:r>
      <w:r>
        <w:rPr>
          <w:rFonts w:hint="eastAsia" w:ascii="宋体"/>
          <w:color w:val="000000"/>
          <w:kern w:val="0"/>
          <w:sz w:val="24"/>
          <w:szCs w:val="24"/>
        </w:rPr>
        <w:t>年度报告和半年度报告</w:t>
      </w:r>
      <w:r>
        <w:rPr>
          <w:rFonts w:ascii="宋体"/>
          <w:color w:val="000000"/>
          <w:kern w:val="0"/>
          <w:sz w:val="24"/>
          <w:szCs w:val="24"/>
        </w:rPr>
        <w:t>&gt;</w:t>
      </w:r>
      <w:r>
        <w:rPr>
          <w:rFonts w:hint="eastAsia" w:ascii="宋体"/>
          <w:color w:val="000000"/>
          <w:kern w:val="0"/>
          <w:sz w:val="24"/>
          <w:szCs w:val="24"/>
        </w:rPr>
        <w:t>》、中国证券投资基金业协会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中国基金业协会</w:t>
      </w:r>
      <w:r>
        <w:rPr>
          <w:rFonts w:ascii="宋体"/>
          <w:color w:val="000000"/>
          <w:kern w:val="0"/>
          <w:sz w:val="24"/>
          <w:szCs w:val="24"/>
        </w:rPr>
        <w:t>")</w:t>
      </w:r>
      <w:r>
        <w:rPr>
          <w:rFonts w:hint="eastAsia" w:ascii="宋体"/>
          <w:color w:val="000000"/>
          <w:kern w:val="0"/>
          <w:sz w:val="24"/>
          <w:szCs w:val="24"/>
        </w:rPr>
        <w:t>颁布的《证券投资基金会计核算业务指引》、《创金合信沪深</w:t>
      </w:r>
      <w:r>
        <w:rPr>
          <w:rFonts w:ascii="宋体"/>
          <w:color w:val="000000"/>
          <w:kern w:val="0"/>
          <w:sz w:val="24"/>
          <w:szCs w:val="24"/>
        </w:rPr>
        <w:t>300</w:t>
      </w:r>
      <w:r>
        <w:rPr>
          <w:rFonts w:hint="eastAsia" w:ascii="宋体"/>
          <w:color w:val="000000"/>
          <w:kern w:val="0"/>
          <w:sz w:val="24"/>
          <w:szCs w:val="24"/>
        </w:rPr>
        <w:t>指数增强型发起式证券投资金基金基金合同》和在财务报表附注</w:t>
      </w:r>
      <w:r>
        <w:rPr>
          <w:rFonts w:ascii="宋体"/>
          <w:color w:val="000000"/>
          <w:kern w:val="0"/>
          <w:sz w:val="24"/>
          <w:szCs w:val="24"/>
        </w:rPr>
        <w:t>7.4.4</w:t>
      </w:r>
      <w:r>
        <w:rPr>
          <w:rFonts w:hint="eastAsia" w:ascii="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7.4.3 </w:t>
      </w:r>
      <w:r>
        <w:rPr>
          <w:rFonts w:hint="eastAsia" w:ascii="宋体"/>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w:t>
      </w:r>
      <w:r>
        <w:rPr>
          <w:rFonts w:ascii="宋体"/>
          <w:color w:val="000000"/>
          <w:kern w:val="0"/>
          <w:sz w:val="24"/>
          <w:szCs w:val="24"/>
        </w:rPr>
        <w:t>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 xml:space="preserve"> </w:t>
      </w:r>
      <w:r>
        <w:rPr>
          <w:rFonts w:hint="eastAsia" w:ascii="宋体"/>
          <w:color w:val="000000"/>
          <w:kern w:val="0"/>
          <w:sz w:val="24"/>
          <w:szCs w:val="24"/>
        </w:rPr>
        <w:t>财务报表符合企业会计准则的要求，真实、完整地反映了本基金</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日的财务状况以及</w:t>
      </w:r>
      <w:r>
        <w:rPr>
          <w:rFonts w:ascii="宋体"/>
          <w:color w:val="000000"/>
          <w:kern w:val="0"/>
          <w:sz w:val="24"/>
          <w:szCs w:val="24"/>
        </w:rPr>
        <w:t xml:space="preserve"> 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日止期间的经营成果和基金净值变动情况等有关信息。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 </w:t>
      </w:r>
      <w:r>
        <w:rPr>
          <w:rFonts w:hint="eastAsia" w:ascii="宋体"/>
          <w:b/>
          <w:color w:val="000000"/>
          <w:kern w:val="0"/>
          <w:sz w:val="24"/>
          <w:szCs w:val="24"/>
        </w:rPr>
        <w:t>重要会计政策和会计估计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 </w:t>
      </w:r>
      <w:r>
        <w:rPr>
          <w:rFonts w:hint="eastAsia" w:ascii="宋体"/>
          <w:b/>
          <w:color w:val="000000"/>
          <w:kern w:val="0"/>
          <w:sz w:val="24"/>
          <w:szCs w:val="24"/>
        </w:rPr>
        <w:t>会计年度</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本基金会计年度为公历</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日止。本财务报表的实际编制期间为</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7.4.4.2 </w:t>
      </w:r>
      <w:r>
        <w:rPr>
          <w:rFonts w:hint="eastAsia" w:ascii="宋体"/>
          <w:b/>
          <w:color w:val="000000"/>
          <w:kern w:val="0"/>
          <w:sz w:val="24"/>
          <w:szCs w:val="24"/>
        </w:rPr>
        <w:t>记账本位币</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本基金的记账本位币为人民币。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7.4.4.3 </w:t>
      </w:r>
      <w:r>
        <w:rPr>
          <w:rFonts w:hint="eastAsia" w:ascii="宋体"/>
          <w:b/>
          <w:color w:val="000000"/>
          <w:kern w:val="0"/>
          <w:sz w:val="24"/>
          <w:szCs w:val="24"/>
        </w:rPr>
        <w:t>金融资产和金融负债的分类</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金融资产的分类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本基金目前以交易目的持有的股票投资、债券投资和衍生工具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本基金持有的其他金融资产分类为应收款项，包括银行存款和其他各类应收款项等。应收款项是指在活跃市场中没有报价、回收金额固定或可确定的非衍生金融资产。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金融负债的分类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7.4.4.4 </w:t>
      </w:r>
      <w:r>
        <w:rPr>
          <w:rFonts w:hint="eastAsia" w:ascii="宋体"/>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金融资产满足下列条件之一的，予以终止确认：</w:t>
      </w:r>
      <w:r>
        <w:rPr>
          <w:rFonts w:ascii="宋体"/>
          <w:color w:val="000000"/>
          <w:kern w:val="0"/>
          <w:sz w:val="24"/>
          <w:szCs w:val="24"/>
        </w:rPr>
        <w:t xml:space="preserve">(1) </w:t>
      </w:r>
      <w:r>
        <w:rPr>
          <w:rFonts w:hint="eastAsia" w:ascii="宋体"/>
          <w:color w:val="000000"/>
          <w:kern w:val="0"/>
          <w:sz w:val="24"/>
          <w:szCs w:val="24"/>
        </w:rPr>
        <w:t>收取该金融资产现金流量的合同权利终止；</w:t>
      </w:r>
      <w:r>
        <w:rPr>
          <w:rFonts w:ascii="宋体"/>
          <w:color w:val="000000"/>
          <w:kern w:val="0"/>
          <w:sz w:val="24"/>
          <w:szCs w:val="24"/>
        </w:rPr>
        <w:t xml:space="preserve">(2) </w:t>
      </w:r>
      <w:r>
        <w:rPr>
          <w:rFonts w:hint="eastAsia" w:ascii="宋体"/>
          <w:color w:val="000000"/>
          <w:kern w:val="0"/>
          <w:sz w:val="24"/>
          <w:szCs w:val="24"/>
        </w:rPr>
        <w:t>该金融资产已转移，且本基金将金融资产所有权上几乎所有的风险和报酬转移给转入方；或者</w:t>
      </w:r>
      <w:r>
        <w:rPr>
          <w:rFonts w:ascii="宋体"/>
          <w:color w:val="000000"/>
          <w:kern w:val="0"/>
          <w:sz w:val="24"/>
          <w:szCs w:val="24"/>
        </w:rPr>
        <w:t xml:space="preserve">(3) </w:t>
      </w:r>
      <w:r>
        <w:rPr>
          <w:rFonts w:hint="eastAsia" w:ascii="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7.4.4.5 </w:t>
      </w:r>
      <w:r>
        <w:rPr>
          <w:rFonts w:hint="eastAsia" w:ascii="宋体"/>
          <w:b/>
          <w:color w:val="000000"/>
          <w:kern w:val="0"/>
          <w:sz w:val="24"/>
          <w:szCs w:val="24"/>
        </w:rPr>
        <w:t>金融资产和金融负债的估值原则</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本基金持有的股票投资、债券投资和衍生工具</w:t>
      </w:r>
      <w:r>
        <w:rPr>
          <w:rFonts w:ascii="宋体"/>
          <w:color w:val="000000"/>
          <w:kern w:val="0"/>
          <w:sz w:val="24"/>
          <w:szCs w:val="24"/>
        </w:rPr>
        <w:t>(</w:t>
      </w:r>
      <w:r>
        <w:rPr>
          <w:rFonts w:hint="eastAsia" w:ascii="宋体"/>
          <w:color w:val="000000"/>
          <w:kern w:val="0"/>
          <w:sz w:val="24"/>
          <w:szCs w:val="24"/>
        </w:rPr>
        <w:t>主要为股指期货投资</w:t>
      </w:r>
      <w:r>
        <w:rPr>
          <w:rFonts w:ascii="宋体"/>
          <w:color w:val="000000"/>
          <w:kern w:val="0"/>
          <w:sz w:val="24"/>
          <w:szCs w:val="24"/>
        </w:rPr>
        <w:t>)</w:t>
      </w:r>
      <w:r>
        <w:rPr>
          <w:rFonts w:hint="eastAsia" w:ascii="宋体"/>
          <w:color w:val="000000"/>
          <w:kern w:val="0"/>
          <w:sz w:val="24"/>
          <w:szCs w:val="24"/>
        </w:rPr>
        <w:t>按如下原则确定公允价值并进行估值：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7.4.4.6 </w:t>
      </w:r>
      <w:r>
        <w:rPr>
          <w:rFonts w:hint="eastAsia" w:ascii="宋体"/>
          <w:b/>
          <w:color w:val="000000"/>
          <w:kern w:val="0"/>
          <w:sz w:val="24"/>
          <w:szCs w:val="24"/>
        </w:rPr>
        <w:t>金融资产和金融负债的抵销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本基金持有的资产和承担的负债基本为金融资产和金融负债。当本基金</w:t>
      </w:r>
      <w:r>
        <w:rPr>
          <w:rFonts w:ascii="宋体"/>
          <w:color w:val="000000"/>
          <w:kern w:val="0"/>
          <w:sz w:val="24"/>
          <w:szCs w:val="24"/>
        </w:rPr>
        <w:t xml:space="preserve">1) </w:t>
      </w:r>
      <w:r>
        <w:rPr>
          <w:rFonts w:hint="eastAsia" w:ascii="宋体"/>
          <w:color w:val="000000"/>
          <w:kern w:val="0"/>
          <w:sz w:val="24"/>
          <w:szCs w:val="24"/>
        </w:rPr>
        <w:t>具有抵销已确认金额的法定权利且该种法定权利现在是可执行的；且</w:t>
      </w:r>
      <w:r>
        <w:rPr>
          <w:rFonts w:ascii="宋体"/>
          <w:color w:val="000000"/>
          <w:kern w:val="0"/>
          <w:sz w:val="24"/>
          <w:szCs w:val="24"/>
        </w:rPr>
        <w:t xml:space="preserve">2) </w:t>
      </w:r>
      <w:r>
        <w:rPr>
          <w:rFonts w:hint="eastAsia" w:ascii="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7.4.4.7 </w:t>
      </w:r>
      <w:r>
        <w:rPr>
          <w:rFonts w:hint="eastAsia" w:ascii="宋体"/>
          <w:b/>
          <w:color w:val="000000"/>
          <w:kern w:val="0"/>
          <w:sz w:val="24"/>
          <w:szCs w:val="24"/>
        </w:rPr>
        <w:t>实收基金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7.4.4.8 </w:t>
      </w:r>
      <w:r>
        <w:rPr>
          <w:rFonts w:hint="eastAsia" w:ascii="宋体"/>
          <w:b/>
          <w:color w:val="000000"/>
          <w:kern w:val="0"/>
          <w:sz w:val="24"/>
          <w:szCs w:val="24"/>
        </w:rPr>
        <w:t>损益平准金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宋体"/>
          <w:color w:val="000000"/>
          <w:kern w:val="0"/>
          <w:sz w:val="24"/>
          <w:szCs w:val="24"/>
        </w:rPr>
        <w:t>/(</w:t>
      </w:r>
      <w:r>
        <w:rPr>
          <w:rFonts w:hint="eastAsia" w:ascii="宋体"/>
          <w:color w:val="000000"/>
          <w:kern w:val="0"/>
          <w:sz w:val="24"/>
          <w:szCs w:val="24"/>
        </w:rPr>
        <w:t>累计亏损</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7.4.4.9 </w:t>
      </w:r>
      <w:r>
        <w:rPr>
          <w:rFonts w:hint="eastAsia" w:ascii="宋体"/>
          <w:b/>
          <w:color w:val="000000"/>
          <w:kern w:val="0"/>
          <w:sz w:val="24"/>
          <w:szCs w:val="24"/>
        </w:rPr>
        <w:t>收入</w:t>
      </w:r>
      <w:r>
        <w:rPr>
          <w:rFonts w:ascii="宋体"/>
          <w:b/>
          <w:color w:val="000000"/>
          <w:kern w:val="0"/>
          <w:sz w:val="24"/>
          <w:szCs w:val="24"/>
        </w:rPr>
        <w:t>/</w:t>
      </w:r>
      <w:r>
        <w:rPr>
          <w:rFonts w:hint="eastAsia" w:ascii="宋体"/>
          <w:b/>
          <w:color w:val="000000"/>
          <w:kern w:val="0"/>
          <w:sz w:val="24"/>
          <w:szCs w:val="24"/>
        </w:rPr>
        <w:t>（损失）的确认和计量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7.4.4.10 </w:t>
      </w:r>
      <w:r>
        <w:rPr>
          <w:rFonts w:hint="eastAsia" w:ascii="宋体"/>
          <w:b/>
          <w:color w:val="000000"/>
          <w:kern w:val="0"/>
          <w:sz w:val="24"/>
          <w:szCs w:val="24"/>
        </w:rPr>
        <w:t>费用的确认和计量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7.4.4.11 </w:t>
      </w:r>
      <w:r>
        <w:rPr>
          <w:rFonts w:hint="eastAsia" w:ascii="宋体"/>
          <w:b/>
          <w:color w:val="000000"/>
          <w:kern w:val="0"/>
          <w:sz w:val="24"/>
          <w:szCs w:val="24"/>
        </w:rPr>
        <w:t>基金的收益分配政策</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本基金的收益分配政策为：</w:t>
      </w:r>
      <w:r>
        <w:rPr>
          <w:rFonts w:ascii="宋体"/>
          <w:color w:val="000000"/>
          <w:kern w:val="0"/>
          <w:sz w:val="24"/>
          <w:szCs w:val="24"/>
        </w:rPr>
        <w:t>(1)</w:t>
      </w:r>
      <w:r>
        <w:rPr>
          <w:rFonts w:hint="eastAsia" w:ascii="宋体"/>
          <w:color w:val="000000"/>
          <w:kern w:val="0"/>
          <w:sz w:val="24"/>
          <w:szCs w:val="24"/>
        </w:rPr>
        <w:t>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次，每份基金份额每次收益分配比例不得低于收益分配基准日每份基金份额该次可供分配利润的</w:t>
      </w:r>
      <w:r>
        <w:rPr>
          <w:rFonts w:ascii="宋体"/>
          <w:color w:val="000000"/>
          <w:kern w:val="0"/>
          <w:sz w:val="24"/>
          <w:szCs w:val="24"/>
        </w:rPr>
        <w:t>10%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(2)</w:t>
      </w:r>
      <w:r>
        <w:rPr>
          <w:rFonts w:hint="eastAsia" w:ascii="宋体"/>
          <w:color w:val="000000"/>
          <w:kern w:val="0"/>
          <w:sz w:val="24"/>
          <w:szCs w:val="24"/>
        </w:rPr>
        <w:t>本基金收益分配方式分两种：现金分红与红利再投资，投资者可选择现金红利或将现金红利自动转为该类别基金份额进行再投资；若投资者不选择，本基金默认的收益分配方式是现金分红；</w:t>
      </w:r>
      <w:r>
        <w:rPr>
          <w:rFonts w:ascii="宋体"/>
          <w:color w:val="000000"/>
          <w:kern w:val="0"/>
          <w:sz w:val="24"/>
          <w:szCs w:val="24"/>
        </w:rPr>
        <w:t>(3)</w:t>
      </w:r>
      <w:r>
        <w:rPr>
          <w:rFonts w:hint="eastAsia" w:ascii="宋体"/>
          <w:color w:val="000000"/>
          <w:kern w:val="0"/>
          <w:sz w:val="24"/>
          <w:szCs w:val="24"/>
        </w:rPr>
        <w:t>基金收益分配后基金份额净值不能低于面值，即基金收益分配基准日的基金份额净值减去每单位基金份额收益分配金额后不能低于面值；</w:t>
      </w:r>
      <w:r>
        <w:rPr>
          <w:rFonts w:ascii="宋体"/>
          <w:color w:val="000000"/>
          <w:kern w:val="0"/>
          <w:sz w:val="24"/>
          <w:szCs w:val="24"/>
        </w:rPr>
        <w:t>(4)</w:t>
      </w:r>
      <w:r>
        <w:rPr>
          <w:rFonts w:hint="eastAsia" w:ascii="宋体"/>
          <w:color w:val="000000"/>
          <w:kern w:val="0"/>
          <w:sz w:val="24"/>
          <w:szCs w:val="24"/>
        </w:rPr>
        <w:t>同一类别的每一基金份额享有同等分配权。由于本基金</w:t>
      </w:r>
      <w:r>
        <w:rPr>
          <w:rFonts w:ascii="宋体"/>
          <w:color w:val="000000"/>
          <w:kern w:val="0"/>
          <w:sz w:val="24"/>
          <w:szCs w:val="24"/>
        </w:rPr>
        <w:t>A</w:t>
      </w:r>
      <w:r>
        <w:rPr>
          <w:rFonts w:hint="eastAsia" w:ascii="宋体"/>
          <w:color w:val="000000"/>
          <w:kern w:val="0"/>
          <w:sz w:val="24"/>
          <w:szCs w:val="24"/>
        </w:rPr>
        <w:t>类基金份额与</w:t>
      </w:r>
      <w:r>
        <w:rPr>
          <w:rFonts w:ascii="宋体"/>
          <w:color w:val="000000"/>
          <w:kern w:val="0"/>
          <w:sz w:val="24"/>
          <w:szCs w:val="24"/>
        </w:rPr>
        <w:t>C</w:t>
      </w:r>
      <w:r>
        <w:rPr>
          <w:rFonts w:hint="eastAsia" w:ascii="宋体"/>
          <w:color w:val="000000"/>
          <w:kern w:val="0"/>
          <w:sz w:val="24"/>
          <w:szCs w:val="24"/>
        </w:rPr>
        <w:t>类基金份额的基金费用不同，不同类别的基金份额对应的可供分配利润或将不同；</w:t>
      </w:r>
      <w:r>
        <w:rPr>
          <w:rFonts w:ascii="宋体"/>
          <w:color w:val="000000"/>
          <w:kern w:val="0"/>
          <w:sz w:val="24"/>
          <w:szCs w:val="24"/>
        </w:rPr>
        <w:t>(5)</w:t>
      </w:r>
      <w:r>
        <w:rPr>
          <w:rFonts w:hint="eastAsia" w:ascii="宋体"/>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7.4.4.12 </w:t>
      </w:r>
      <w:r>
        <w:rPr>
          <w:rFonts w:hint="eastAsia" w:ascii="宋体"/>
          <w:b/>
          <w:color w:val="000000"/>
          <w:kern w:val="0"/>
          <w:sz w:val="24"/>
          <w:szCs w:val="24"/>
        </w:rPr>
        <w:t>分部报告</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宋体"/>
          <w:color w:val="000000"/>
          <w:kern w:val="0"/>
          <w:sz w:val="24"/>
          <w:szCs w:val="24"/>
        </w:rPr>
        <w:t xml:space="preserve">(1) </w:t>
      </w:r>
      <w:r>
        <w:rPr>
          <w:rFonts w:hint="eastAsia" w:ascii="宋体"/>
          <w:color w:val="000000"/>
          <w:kern w:val="0"/>
          <w:sz w:val="24"/>
          <w:szCs w:val="24"/>
        </w:rPr>
        <w:t>该组成部分能够在日常活动中产生收入、发生费用；</w:t>
      </w:r>
      <w:r>
        <w:rPr>
          <w:rFonts w:ascii="宋体"/>
          <w:color w:val="000000"/>
          <w:kern w:val="0"/>
          <w:sz w:val="24"/>
          <w:szCs w:val="24"/>
        </w:rPr>
        <w:t xml:space="preserve">(2) </w:t>
      </w:r>
      <w:r>
        <w:rPr>
          <w:rFonts w:hint="eastAsia" w:ascii="宋体"/>
          <w:color w:val="000000"/>
          <w:kern w:val="0"/>
          <w:sz w:val="24"/>
          <w:szCs w:val="24"/>
        </w:rPr>
        <w:t>本基金的基金管理人能够定期评价该组成部分的经营成果，以决定向其配置资源、评价其业绩；</w:t>
      </w:r>
      <w:r>
        <w:rPr>
          <w:rFonts w:ascii="宋体"/>
          <w:color w:val="000000"/>
          <w:kern w:val="0"/>
          <w:sz w:val="24"/>
          <w:szCs w:val="24"/>
        </w:rPr>
        <w:t xml:space="preserve">(3) </w:t>
      </w:r>
      <w:r>
        <w:rPr>
          <w:rFonts w:hint="eastAsia" w:ascii="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7.4.4.13 </w:t>
      </w:r>
      <w:r>
        <w:rPr>
          <w:rFonts w:hint="eastAsia" w:ascii="宋体"/>
          <w:b/>
          <w:color w:val="000000"/>
          <w:kern w:val="0"/>
          <w:sz w:val="24"/>
          <w:szCs w:val="24"/>
        </w:rPr>
        <w:t>其他重要的会计政策和会计估计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对于证券交易所上市的股票和债券，若出现重大事项停牌或交易不活跃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等情况，本基金根据中国证监会公告</w:t>
      </w:r>
      <w:r>
        <w:rPr>
          <w:rFonts w:ascii="宋体"/>
          <w:color w:val="000000"/>
          <w:kern w:val="0"/>
          <w:sz w:val="24"/>
          <w:szCs w:val="24"/>
        </w:rPr>
        <w:t>[2008]38</w:t>
      </w:r>
      <w:r>
        <w:rPr>
          <w:rFonts w:hint="eastAsia" w:ascii="宋体"/>
          <w:color w:val="000000"/>
          <w:kern w:val="0"/>
          <w:sz w:val="24"/>
          <w:szCs w:val="24"/>
        </w:rPr>
        <w:t>号《关于进一步规范证券投资基金估值业务的指导意见》，根据具体情况采用《关于发布中基协</w:t>
      </w:r>
      <w:r>
        <w:rPr>
          <w:rFonts w:ascii="宋体"/>
          <w:color w:val="000000"/>
          <w:kern w:val="0"/>
          <w:sz w:val="24"/>
          <w:szCs w:val="24"/>
        </w:rPr>
        <w:t>(AMAC)</w:t>
      </w:r>
      <w:r>
        <w:rPr>
          <w:rFonts w:hint="eastAsia" w:ascii="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 </w:t>
      </w:r>
      <w:r>
        <w:rPr>
          <w:rFonts w:hint="eastAsia" w:ascii="宋体"/>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7.4.5.1 </w:t>
      </w:r>
      <w:r>
        <w:rPr>
          <w:rFonts w:hint="eastAsia" w:ascii="宋体"/>
          <w:b/>
          <w:color w:val="000000"/>
          <w:kern w:val="0"/>
          <w:sz w:val="24"/>
          <w:szCs w:val="24"/>
        </w:rPr>
        <w:t>会计政策变更的说明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本基金本报告期未发生会计政策变更。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7.4.5.2 </w:t>
      </w:r>
      <w:r>
        <w:rPr>
          <w:rFonts w:hint="eastAsia" w:ascii="宋体"/>
          <w:b/>
          <w:color w:val="000000"/>
          <w:kern w:val="0"/>
          <w:sz w:val="24"/>
          <w:szCs w:val="24"/>
        </w:rPr>
        <w:t>会计估计变更的说明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本基金本报告期未发生会计估计变更。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7.4.5.3 </w:t>
      </w:r>
      <w:r>
        <w:rPr>
          <w:rFonts w:hint="eastAsia" w:ascii="宋体"/>
          <w:b/>
          <w:color w:val="000000"/>
          <w:kern w:val="0"/>
          <w:sz w:val="24"/>
          <w:szCs w:val="24"/>
        </w:rPr>
        <w:t>差错更正的说明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7.4.6 </w:t>
      </w:r>
      <w:r>
        <w:rPr>
          <w:rFonts w:hint="eastAsia" w:ascii="宋体"/>
          <w:b/>
          <w:color w:val="000000"/>
          <w:kern w:val="0"/>
          <w:sz w:val="24"/>
          <w:szCs w:val="24"/>
        </w:rPr>
        <w:t>税项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根据财政部、国家税务总局财税</w:t>
      </w:r>
      <w:r>
        <w:rPr>
          <w:rFonts w:ascii="宋体"/>
          <w:color w:val="000000"/>
          <w:kern w:val="0"/>
          <w:sz w:val="24"/>
          <w:szCs w:val="24"/>
        </w:rPr>
        <w:t>[2004]78</w:t>
      </w:r>
      <w:r>
        <w:rPr>
          <w:rFonts w:hint="eastAsia" w:ascii="宋体"/>
          <w:color w:val="000000"/>
          <w:kern w:val="0"/>
          <w:sz w:val="24"/>
          <w:szCs w:val="24"/>
        </w:rPr>
        <w:t>号《财政部、国家税务总局关于证券投资基金税收政策的通知》、财税</w:t>
      </w:r>
      <w:r>
        <w:rPr>
          <w:rFonts w:ascii="宋体"/>
          <w:color w:val="000000"/>
          <w:kern w:val="0"/>
          <w:sz w:val="24"/>
          <w:szCs w:val="24"/>
        </w:rPr>
        <w:t>[2008]1</w:t>
      </w:r>
      <w:r>
        <w:rPr>
          <w:rFonts w:hint="eastAsia" w:ascii="宋体"/>
          <w:color w:val="000000"/>
          <w:kern w:val="0"/>
          <w:sz w:val="24"/>
          <w:szCs w:val="24"/>
        </w:rPr>
        <w:t>号《关于企业所得税若干优惠政策的通知》、财税</w:t>
      </w:r>
      <w:r>
        <w:rPr>
          <w:rFonts w:ascii="宋体"/>
          <w:color w:val="000000"/>
          <w:kern w:val="0"/>
          <w:sz w:val="24"/>
          <w:szCs w:val="24"/>
        </w:rPr>
        <w:t>[2012]85</w:t>
      </w:r>
      <w:r>
        <w:rPr>
          <w:rFonts w:hint="eastAsia" w:ascii="宋体"/>
          <w:color w:val="000000"/>
          <w:kern w:val="0"/>
          <w:sz w:val="24"/>
          <w:szCs w:val="24"/>
        </w:rPr>
        <w:t>号《关于实施上市公司股息红利差别化个人所得税政策有关问题的通知》、财税</w:t>
      </w:r>
      <w:r>
        <w:rPr>
          <w:rFonts w:ascii="宋体"/>
          <w:color w:val="000000"/>
          <w:kern w:val="0"/>
          <w:sz w:val="24"/>
          <w:szCs w:val="24"/>
        </w:rPr>
        <w:t>[2015]101</w:t>
      </w:r>
      <w:r>
        <w:rPr>
          <w:rFonts w:hint="eastAsia" w:ascii="宋体"/>
          <w:color w:val="000000"/>
          <w:kern w:val="0"/>
          <w:sz w:val="24"/>
          <w:szCs w:val="24"/>
        </w:rPr>
        <w:t>号《关于上市公司股息红利差别化个人所得税政策有关问题的通知》、财税</w:t>
      </w:r>
      <w:r>
        <w:rPr>
          <w:rFonts w:ascii="宋体"/>
          <w:color w:val="000000"/>
          <w:kern w:val="0"/>
          <w:sz w:val="24"/>
          <w:szCs w:val="24"/>
        </w:rPr>
        <w:t>[2016]36</w:t>
      </w:r>
      <w:r>
        <w:rPr>
          <w:rFonts w:hint="eastAsia" w:ascii="宋体"/>
          <w:color w:val="000000"/>
          <w:kern w:val="0"/>
          <w:sz w:val="24"/>
          <w:szCs w:val="24"/>
        </w:rPr>
        <w:t>号《关于全面推开营业税改征增值税试点的通知》、财税</w:t>
      </w:r>
      <w:r>
        <w:rPr>
          <w:rFonts w:ascii="宋体"/>
          <w:color w:val="000000"/>
          <w:kern w:val="0"/>
          <w:sz w:val="24"/>
          <w:szCs w:val="24"/>
        </w:rPr>
        <w:t>[2016]46</w:t>
      </w:r>
      <w:r>
        <w:rPr>
          <w:rFonts w:hint="eastAsia" w:ascii="宋体"/>
          <w:color w:val="000000"/>
          <w:kern w:val="0"/>
          <w:sz w:val="24"/>
          <w:szCs w:val="24"/>
        </w:rPr>
        <w:t>号《关于进一步明确全面推开营改增试点金融业有关政策的通知》、财税</w:t>
      </w:r>
      <w:r>
        <w:rPr>
          <w:rFonts w:ascii="宋体"/>
          <w:color w:val="000000"/>
          <w:kern w:val="0"/>
          <w:sz w:val="24"/>
          <w:szCs w:val="24"/>
        </w:rPr>
        <w:t>[2016]70</w:t>
      </w:r>
      <w:r>
        <w:rPr>
          <w:rFonts w:hint="eastAsia" w:ascii="宋体"/>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日前，以发行基金方式募集资金不属于营业税征收范围，不征收营业税。对证券投资基金管理人运用基金买卖股票、债券的差价收入免征营业税。自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对基金取得的企业债券利息收入，应由发行债券的企业在向基金支付利息时代扣代缴</w:t>
      </w:r>
      <w:r>
        <w:rPr>
          <w:rFonts w:ascii="宋体"/>
          <w:color w:val="000000"/>
          <w:kern w:val="0"/>
          <w:sz w:val="24"/>
          <w:szCs w:val="24"/>
        </w:rPr>
        <w:t>20%</w:t>
      </w:r>
      <w:r>
        <w:rPr>
          <w:rFonts w:hint="eastAsia" w:ascii="宋体"/>
          <w:color w:val="000000"/>
          <w:kern w:val="0"/>
          <w:sz w:val="24"/>
          <w:szCs w:val="24"/>
        </w:rPr>
        <w:t>的个人所得税。对基金从上市公司取得的股息红利所得，持股期限在</w:t>
      </w:r>
      <w:r>
        <w:rPr>
          <w:rFonts w:ascii="宋体"/>
          <w:color w:val="000000"/>
          <w:kern w:val="0"/>
          <w:sz w:val="24"/>
          <w:szCs w:val="24"/>
        </w:rPr>
        <w:t>1</w:t>
      </w:r>
      <w:r>
        <w:rPr>
          <w:rFonts w:hint="eastAsia" w:ascii="宋体"/>
          <w:color w:val="000000"/>
          <w:kern w:val="0"/>
          <w:sz w:val="24"/>
          <w:szCs w:val="24"/>
        </w:rPr>
        <w:t>个月以内</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个月</w:t>
      </w:r>
      <w:r>
        <w:rPr>
          <w:rFonts w:ascii="宋体"/>
          <w:color w:val="000000"/>
          <w:kern w:val="0"/>
          <w:sz w:val="24"/>
          <w:szCs w:val="24"/>
        </w:rPr>
        <w:t>)</w:t>
      </w:r>
      <w:r>
        <w:rPr>
          <w:rFonts w:hint="eastAsia" w:ascii="宋体"/>
          <w:color w:val="000000"/>
          <w:kern w:val="0"/>
          <w:sz w:val="24"/>
          <w:szCs w:val="24"/>
        </w:rPr>
        <w:t>的，其股息红利所得全额计入应纳税所得额；持股期限在</w:t>
      </w:r>
      <w:r>
        <w:rPr>
          <w:rFonts w:ascii="宋体"/>
          <w:color w:val="000000"/>
          <w:kern w:val="0"/>
          <w:sz w:val="24"/>
          <w:szCs w:val="24"/>
        </w:rPr>
        <w:t>1</w:t>
      </w:r>
      <w:r>
        <w:rPr>
          <w:rFonts w:hint="eastAsia" w:ascii="宋体"/>
          <w:color w:val="000000"/>
          <w:kern w:val="0"/>
          <w:sz w:val="24"/>
          <w:szCs w:val="24"/>
        </w:rPr>
        <w:t>个月以上至</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的，暂减按</w:t>
      </w:r>
      <w:r>
        <w:rPr>
          <w:rFonts w:ascii="宋体"/>
          <w:color w:val="000000"/>
          <w:kern w:val="0"/>
          <w:sz w:val="24"/>
          <w:szCs w:val="24"/>
        </w:rPr>
        <w:t>50%</w:t>
      </w:r>
      <w:r>
        <w:rPr>
          <w:rFonts w:hint="eastAsia" w:ascii="宋体"/>
          <w:color w:val="000000"/>
          <w:kern w:val="0"/>
          <w:sz w:val="24"/>
          <w:szCs w:val="24"/>
        </w:rPr>
        <w:t>计入应纳税所得额；持股期限超过</w:t>
      </w:r>
      <w:r>
        <w:rPr>
          <w:rFonts w:ascii="宋体"/>
          <w:color w:val="000000"/>
          <w:kern w:val="0"/>
          <w:sz w:val="24"/>
          <w:szCs w:val="24"/>
        </w:rPr>
        <w:t>1</w:t>
      </w:r>
      <w:r>
        <w:rPr>
          <w:rFonts w:hint="eastAsia" w:ascii="宋体"/>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宋体"/>
          <w:color w:val="000000"/>
          <w:kern w:val="0"/>
          <w:sz w:val="24"/>
          <w:szCs w:val="24"/>
        </w:rPr>
        <w:t>50%</w:t>
      </w:r>
      <w:r>
        <w:rPr>
          <w:rFonts w:hint="eastAsia" w:ascii="宋体"/>
          <w:color w:val="000000"/>
          <w:kern w:val="0"/>
          <w:sz w:val="24"/>
          <w:szCs w:val="24"/>
        </w:rPr>
        <w:t>计入应纳税所得额。上述所得统一适用</w:t>
      </w:r>
      <w:r>
        <w:rPr>
          <w:rFonts w:ascii="宋体"/>
          <w:color w:val="000000"/>
          <w:kern w:val="0"/>
          <w:sz w:val="24"/>
          <w:szCs w:val="24"/>
        </w:rPr>
        <w:t>20%</w:t>
      </w:r>
      <w:r>
        <w:rPr>
          <w:rFonts w:hint="eastAsia" w:ascii="宋体"/>
          <w:color w:val="000000"/>
          <w:kern w:val="0"/>
          <w:sz w:val="24"/>
          <w:szCs w:val="24"/>
        </w:rPr>
        <w:t>的税率计征个人所得税。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ascii="宋体"/>
          <w:color w:val="000000"/>
          <w:kern w:val="0"/>
          <w:sz w:val="24"/>
          <w:szCs w:val="24"/>
        </w:rPr>
        <w:tab/>
      </w:r>
      <w:r>
        <w:rPr>
          <w:rFonts w:hint="eastAsia" w:ascii="宋体"/>
          <w:color w:val="000000"/>
          <w:kern w:val="0"/>
          <w:sz w:val="24"/>
          <w:szCs w:val="24"/>
        </w:rPr>
        <w:t>基金卖出股票按</w:t>
      </w:r>
      <w:r>
        <w:rPr>
          <w:rFonts w:ascii="宋体"/>
          <w:color w:val="000000"/>
          <w:kern w:val="0"/>
          <w:sz w:val="24"/>
          <w:szCs w:val="24"/>
        </w:rPr>
        <w:t>0.1%</w:t>
      </w:r>
      <w:r>
        <w:rPr>
          <w:rFonts w:hint="eastAsia" w:ascii="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 </w:t>
      </w:r>
      <w:r>
        <w:rPr>
          <w:rFonts w:hint="eastAsia" w:ascii="宋体"/>
          <w:b/>
          <w:color w:val="000000"/>
          <w:kern w:val="0"/>
          <w:sz w:val="24"/>
          <w:szCs w:val="24"/>
        </w:rPr>
        <w:t>重要财务报表项目的说明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 </w:t>
      </w:r>
      <w:r>
        <w:rPr>
          <w:rFonts w:hint="eastAsia" w:ascii="宋体"/>
          <w:b/>
          <w:color w:val="000000"/>
          <w:kern w:val="0"/>
          <w:sz w:val="24"/>
          <w:szCs w:val="24"/>
        </w:rPr>
        <w:t>银行存款</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其中：存款期限</w:t>
            </w:r>
            <w:r>
              <w:rPr>
                <w:rFonts w:ascii="宋体"/>
                <w:color w:val="000000"/>
                <w:kern w:val="0"/>
                <w:sz w:val="24"/>
                <w:szCs w:val="24"/>
              </w:rPr>
              <w:t>1-3</w:t>
            </w:r>
            <w:r>
              <w:rPr>
                <w:rFonts w:hint="eastAsia" w:ascii="宋体"/>
                <w:color w:val="000000"/>
                <w:kern w:val="0"/>
                <w:sz w:val="24"/>
                <w:szCs w:val="24"/>
              </w:rPr>
              <w:t>个月</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7.4.7.2 </w:t>
      </w:r>
      <w:r>
        <w:rPr>
          <w:rFonts w:hint="eastAsia" w:ascii="宋体"/>
          <w:b/>
          <w:color w:val="000000"/>
          <w:kern w:val="0"/>
          <w:sz w:val="24"/>
          <w:szCs w:val="24"/>
        </w:rPr>
        <w:t>交易性金融资产</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199,376,958.19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199,376,958.19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r>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7.4.7.3 </w:t>
      </w:r>
      <w:r>
        <w:rPr>
          <w:rFonts w:hint="eastAsia" w:ascii="宋体"/>
          <w:b/>
          <w:color w:val="000000"/>
          <w:kern w:val="0"/>
          <w:sz w:val="24"/>
          <w:szCs w:val="24"/>
        </w:rPr>
        <w:t>衍生金融资产</w:t>
      </w:r>
      <w:r>
        <w:rPr>
          <w:rFonts w:ascii="宋体"/>
          <w:b/>
          <w:color w:val="000000"/>
          <w:kern w:val="0"/>
          <w:sz w:val="24"/>
          <w:szCs w:val="24"/>
        </w:rPr>
        <w:t>/</w:t>
      </w:r>
      <w:r>
        <w:rPr>
          <w:rFonts w:hint="eastAsia" w:ascii="宋体"/>
          <w:b/>
          <w:color w:val="000000"/>
          <w:kern w:val="0"/>
          <w:sz w:val="24"/>
          <w:szCs w:val="24"/>
        </w:rPr>
        <w:t>负债</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本基金于本期末及上年度末均未持有衍生金融资产</w:t>
      </w:r>
      <w:r>
        <w:rPr>
          <w:rFonts w:ascii="宋体"/>
          <w:color w:val="000000"/>
          <w:kern w:val="0"/>
          <w:sz w:val="24"/>
          <w:szCs w:val="24"/>
        </w:rPr>
        <w:t>/</w:t>
      </w:r>
      <w:r>
        <w:rPr>
          <w:rFonts w:hint="eastAsia" w:ascii="宋体"/>
          <w:color w:val="000000"/>
          <w:kern w:val="0"/>
          <w:sz w:val="24"/>
          <w:szCs w:val="24"/>
        </w:rPr>
        <w:t>负债。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hint="eastAsia" w:ascii="宋体"/>
          <w:b/>
          <w:color w:val="000000"/>
          <w:kern w:val="0"/>
          <w:sz w:val="24"/>
          <w:szCs w:val="24"/>
        </w:rPr>
      </w:pPr>
      <w:r>
        <w:rPr>
          <w:rFonts w:ascii="宋体"/>
          <w:b/>
          <w:color w:val="000000"/>
          <w:kern w:val="0"/>
          <w:sz w:val="24"/>
          <w:szCs w:val="24"/>
        </w:rPr>
        <w:t xml:space="preserve">7.4.7.4 </w:t>
      </w:r>
      <w:r>
        <w:rPr>
          <w:rFonts w:hint="eastAsia" w:ascii="宋体"/>
          <w:b/>
          <w:color w:val="000000"/>
          <w:kern w:val="0"/>
          <w:sz w:val="24"/>
          <w:szCs w:val="24"/>
        </w:rPr>
        <w:t>买入返售金融资产</w:t>
      </w:r>
    </w:p>
    <w:p>
      <w:pPr>
        <w:autoSpaceDE w:val="0"/>
        <w:autoSpaceDN w:val="0"/>
        <w:adjustRightInd w:val="0"/>
        <w:spacing w:before="29" w:line="288" w:lineRule="auto"/>
        <w:ind w:left="15"/>
        <w:jc w:val="left"/>
        <w:rPr>
          <w:rFonts w:ascii="宋体"/>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r>
        <w:rPr>
          <w:rFonts w:hint="eastAsia" w:ascii="宋体"/>
          <w:color w:val="000000"/>
          <w:kern w:val="0"/>
          <w:sz w:val="24"/>
          <w:szCs w:val="24"/>
        </w:rPr>
        <w:t>本基金于本期末及上年度末均未持有买入返售金融资产。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7.4.7.4.</w:t>
      </w:r>
      <w:r>
        <w:rPr>
          <w:rFonts w:hint="eastAsia" w:ascii="宋体"/>
          <w:b/>
          <w:color w:val="000000"/>
          <w:kern w:val="0"/>
          <w:sz w:val="24"/>
          <w:szCs w:val="24"/>
        </w:rPr>
        <w:t>2</w:t>
      </w:r>
      <w:r>
        <w:rPr>
          <w:rFonts w:ascii="宋体"/>
          <w:b/>
          <w:color w:val="000000"/>
          <w:kern w:val="0"/>
          <w:sz w:val="24"/>
          <w:szCs w:val="24"/>
        </w:rPr>
        <w:t xml:space="preserve"> </w:t>
      </w:r>
      <w:r>
        <w:rPr>
          <w:rFonts w:hint="eastAsia" w:ascii="宋体"/>
          <w:b/>
          <w:color w:val="000000"/>
          <w:kern w:val="0"/>
          <w:sz w:val="24"/>
          <w:szCs w:val="24"/>
        </w:rPr>
        <w:t>期末买断式逆回购交易中取得的债券</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本基金本期末及上年度末未持有买断式逆回购交易中取得的债券。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7.4.7.5 </w:t>
      </w:r>
      <w:r>
        <w:rPr>
          <w:rFonts w:hint="eastAsia" w:ascii="宋体"/>
          <w:b/>
          <w:color w:val="000000"/>
          <w:kern w:val="0"/>
          <w:sz w:val="24"/>
          <w:szCs w:val="24"/>
        </w:rPr>
        <w:t>应收利息</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应收活期存款利息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11,729.10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应收定期存款利息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应收其他存款利息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应收结算备付金利息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应收债券利息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应收买入返售证券利息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应收黄金合约拆借孳息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7.4.7.6 </w:t>
      </w:r>
      <w:r>
        <w:rPr>
          <w:rFonts w:hint="eastAsia" w:ascii="宋体"/>
          <w:b/>
          <w:color w:val="000000"/>
          <w:kern w:val="0"/>
          <w:sz w:val="24"/>
          <w:szCs w:val="24"/>
        </w:rPr>
        <w:t>其他资产</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本基金本期末及上年度末均未持有其他资产。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7.4.7.7 </w:t>
      </w:r>
      <w:r>
        <w:rPr>
          <w:rFonts w:hint="eastAsia" w:ascii="宋体"/>
          <w:b/>
          <w:color w:val="000000"/>
          <w:kern w:val="0"/>
          <w:sz w:val="24"/>
          <w:szCs w:val="24"/>
        </w:rPr>
        <w:t>应付交易费用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7.4.7.8 </w:t>
      </w:r>
      <w:r>
        <w:rPr>
          <w:rFonts w:hint="eastAsia" w:ascii="宋体"/>
          <w:b/>
          <w:color w:val="000000"/>
          <w:kern w:val="0"/>
          <w:sz w:val="24"/>
          <w:szCs w:val="24"/>
        </w:rPr>
        <w:t>其他负债</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应付券商交易单元保证金</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预提费用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7.4.7.9 </w:t>
      </w:r>
      <w:r>
        <w:rPr>
          <w:rFonts w:hint="eastAsia" w:ascii="宋体"/>
          <w:b/>
          <w:color w:val="000000"/>
          <w:kern w:val="0"/>
          <w:sz w:val="24"/>
          <w:szCs w:val="24"/>
        </w:rPr>
        <w:t>实收基金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209,585,662.43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209,585,662.43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-349,665.54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-349,665.54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214,235,996.89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214,235,996.89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9,398,900.80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9,398,900.80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-8,973,951.92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-8,973,951.92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5,424,948.88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5,424,948.88</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注：申购含红利再投、转换入份（金）额，赎回含转换出份（金）额。</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7.4.7.10 </w:t>
      </w:r>
      <w:r>
        <w:rPr>
          <w:rFonts w:hint="eastAsia" w:ascii="宋体"/>
          <w:b/>
          <w:color w:val="000000"/>
          <w:kern w:val="0"/>
          <w:sz w:val="24"/>
          <w:szCs w:val="24"/>
        </w:rPr>
        <w:t>未分配利润</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-564,150.41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-534,661.89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-1,098,812.30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-11,309,229.50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2,377,259.43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-8,931,970.07</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-11,326,552.87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2,378,836.79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-8,947,716.08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17,323.37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-1,577.36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15,746.01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-11,873,179.91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1,842,597.54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-10,030,582.37</w:t>
            </w:r>
          </w:p>
        </w:tc>
      </w:tr>
    </w:tbl>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-245,874.56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-299,715.84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-545,590.40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-24,710.22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345,909.38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321,199.16</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-431,009.68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405,987.94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-25,021.74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406,299.46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-60,078.56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346,220.90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-270,384.78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46,193.54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-224,191.24</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7.4.7.11 </w:t>
      </w:r>
      <w:r>
        <w:rPr>
          <w:rFonts w:hint="eastAsia" w:ascii="宋体"/>
          <w:b/>
          <w:color w:val="000000"/>
          <w:kern w:val="0"/>
          <w:sz w:val="24"/>
          <w:szCs w:val="24"/>
        </w:rPr>
        <w:t>存款利息收入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16,235.22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692.47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16,972.22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 </w:t>
      </w:r>
      <w:r>
        <w:rPr>
          <w:rFonts w:hint="eastAsia" w:ascii="宋体"/>
          <w:b/>
          <w:color w:val="000000"/>
          <w:kern w:val="0"/>
          <w:sz w:val="24"/>
          <w:szCs w:val="24"/>
        </w:rPr>
        <w:t>股票投资收益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7.4.7.12.1 </w:t>
      </w:r>
      <w:r>
        <w:rPr>
          <w:rFonts w:hint="eastAsia" w:ascii="宋体"/>
          <w:b/>
          <w:color w:val="000000"/>
          <w:kern w:val="0"/>
          <w:sz w:val="24"/>
          <w:szCs w:val="24"/>
        </w:rPr>
        <w:t>股票投资收益项目构成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-469,250.01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-469,250.01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7.4.7.12.2 </w:t>
      </w:r>
      <w:r>
        <w:rPr>
          <w:rFonts w:hint="eastAsia" w:ascii="宋体"/>
          <w:b/>
          <w:color w:val="000000"/>
          <w:kern w:val="0"/>
          <w:sz w:val="24"/>
          <w:szCs w:val="24"/>
        </w:rPr>
        <w:t>股票投资收益</w:t>
      </w:r>
      <w:r>
        <w:rPr>
          <w:rFonts w:ascii="宋体"/>
          <w:b/>
          <w:color w:val="000000"/>
          <w:kern w:val="0"/>
          <w:sz w:val="24"/>
          <w:szCs w:val="24"/>
        </w:rPr>
        <w:t>——</w:t>
      </w:r>
      <w:r>
        <w:rPr>
          <w:rFonts w:hint="eastAsia" w:ascii="宋体"/>
          <w:b/>
          <w:color w:val="000000"/>
          <w:kern w:val="0"/>
          <w:sz w:val="24"/>
          <w:szCs w:val="24"/>
        </w:rPr>
        <w:t>买卖股票差价收入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60,409,312.87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减：卖出股票成本总额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60,878,562.88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-469,250.01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 </w:t>
      </w:r>
      <w:r>
        <w:rPr>
          <w:rFonts w:hint="eastAsia" w:ascii="宋体"/>
          <w:b/>
          <w:color w:val="000000"/>
          <w:kern w:val="0"/>
          <w:sz w:val="24"/>
          <w:szCs w:val="24"/>
        </w:rPr>
        <w:t>债券投资收益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本基金于本期及上年度可比期间均无债券投资收益。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7.4.7.14 </w:t>
      </w:r>
      <w:r>
        <w:rPr>
          <w:rFonts w:hint="eastAsia" w:ascii="宋体"/>
          <w:b/>
          <w:color w:val="000000"/>
          <w:kern w:val="0"/>
          <w:sz w:val="24"/>
          <w:szCs w:val="24"/>
        </w:rPr>
        <w:t>衍生工具收益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本基金于本期及上年度可比期间均无衍生工具收益。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7.4.7.15 </w:t>
      </w:r>
      <w:r>
        <w:rPr>
          <w:rFonts w:hint="eastAsia" w:ascii="宋体"/>
          <w:b/>
          <w:color w:val="000000"/>
          <w:kern w:val="0"/>
          <w:sz w:val="24"/>
          <w:szCs w:val="24"/>
        </w:rPr>
        <w:t>股利收益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178,634.92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178,634.92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7.4.7.16 </w:t>
      </w:r>
      <w:r>
        <w:rPr>
          <w:rFonts w:hint="eastAsia" w:ascii="宋体"/>
          <w:b/>
          <w:color w:val="000000"/>
          <w:kern w:val="0"/>
          <w:sz w:val="24"/>
          <w:szCs w:val="24"/>
        </w:rPr>
        <w:t>公允价值变动收益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交易性金融资产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股票投资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债券投资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资产支持证券投资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基金投资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贵金属投资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衍生工具</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权证投资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-834,377.73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7.4.7.17 </w:t>
      </w:r>
      <w:r>
        <w:rPr>
          <w:rFonts w:hint="eastAsia" w:ascii="宋体"/>
          <w:b/>
          <w:color w:val="000000"/>
          <w:kern w:val="0"/>
          <w:sz w:val="24"/>
          <w:szCs w:val="24"/>
        </w:rPr>
        <w:t>其他收入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基金赎回费收入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41,792.27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41,792.27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7.4.7.18 </w:t>
      </w:r>
      <w:r>
        <w:rPr>
          <w:rFonts w:hint="eastAsia" w:ascii="宋体"/>
          <w:b/>
          <w:color w:val="000000"/>
          <w:kern w:val="0"/>
          <w:sz w:val="24"/>
          <w:szCs w:val="24"/>
        </w:rPr>
        <w:t>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378,370.84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378,370.84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7.4.7.19 </w:t>
      </w:r>
      <w:r>
        <w:rPr>
          <w:rFonts w:hint="eastAsia" w:ascii="宋体"/>
          <w:b/>
          <w:color w:val="000000"/>
          <w:kern w:val="0"/>
          <w:sz w:val="24"/>
          <w:szCs w:val="24"/>
        </w:rPr>
        <w:t>其他费用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审计费用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指数使用费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汇划手续费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1,606.60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71,606.60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 </w:t>
      </w:r>
      <w:r>
        <w:rPr>
          <w:rFonts w:hint="eastAsia" w:ascii="宋体"/>
          <w:b/>
          <w:color w:val="000000"/>
          <w:kern w:val="0"/>
          <w:sz w:val="24"/>
          <w:szCs w:val="24"/>
        </w:rPr>
        <w:t>或有事项、资产负债表日后事项的说明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7.4.8.1 </w:t>
      </w:r>
      <w:r>
        <w:rPr>
          <w:rFonts w:hint="eastAsia" w:ascii="宋体"/>
          <w:b/>
          <w:color w:val="000000"/>
          <w:kern w:val="0"/>
          <w:sz w:val="24"/>
          <w:szCs w:val="24"/>
        </w:rPr>
        <w:t>或有事项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7.4.8.2 </w:t>
      </w:r>
      <w:r>
        <w:rPr>
          <w:rFonts w:hint="eastAsia" w:ascii="宋体"/>
          <w:b/>
          <w:color w:val="000000"/>
          <w:kern w:val="0"/>
          <w:sz w:val="24"/>
          <w:szCs w:val="24"/>
        </w:rPr>
        <w:t>资产负债表日后事项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财政部、国家税务总局于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21</w:t>
      </w:r>
      <w:r>
        <w:rPr>
          <w:rFonts w:hint="eastAsia" w:ascii="宋体"/>
          <w:color w:val="000000"/>
          <w:kern w:val="0"/>
          <w:sz w:val="24"/>
          <w:szCs w:val="24"/>
        </w:rPr>
        <w:t>日颁布《关于明确金融房地产开发教育辅助服务等增值税政策的通知》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[2016]140</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，要求资管产品运营过程中发生的增值税应税行为，以资管产品管理人为增值税纳税人，自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日起执行。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根据财政部、国家税务总局于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6</w:t>
      </w:r>
      <w:r>
        <w:rPr>
          <w:rFonts w:hint="eastAsia" w:ascii="宋体"/>
          <w:color w:val="000000"/>
          <w:kern w:val="0"/>
          <w:sz w:val="24"/>
          <w:szCs w:val="24"/>
        </w:rPr>
        <w:t>日颁布的《关于资管产品增值税政策有关问题的补充通知》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[2017]2</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w:t>
      </w:r>
      <w:r>
        <w:rPr>
          <w:rFonts w:hint="eastAsia" w:ascii="宋体"/>
          <w:color w:val="000000"/>
          <w:kern w:val="0"/>
          <w:sz w:val="24"/>
          <w:szCs w:val="24"/>
        </w:rPr>
        <w:t>以后，资管产品运营过程中发生的增值税应税行为，以资管产品管理人为增值税纳税人，按照现行规定缴纳增值税。对资管产品在</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 </w:t>
      </w:r>
      <w:r>
        <w:rPr>
          <w:rFonts w:hint="eastAsia" w:ascii="宋体"/>
          <w:b/>
          <w:color w:val="000000"/>
          <w:kern w:val="0"/>
          <w:sz w:val="24"/>
          <w:szCs w:val="24"/>
        </w:rPr>
        <w:t>关联方关系</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7.4.9.1 </w:t>
      </w:r>
      <w:r>
        <w:rPr>
          <w:rFonts w:hint="eastAsia" w:ascii="宋体"/>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宋体"/>
          <w:color w:val="000000"/>
          <w:kern w:val="0"/>
          <w:sz w:val="24"/>
          <w:szCs w:val="24"/>
        </w:rPr>
      </w:pPr>
      <w:r>
        <w:rPr>
          <w:rFonts w:hint="eastAsia" w:ascii="宋体"/>
          <w:color w:val="000000"/>
          <w:kern w:val="0"/>
          <w:sz w:val="24"/>
          <w:szCs w:val="24"/>
        </w:rPr>
        <w:t>本报告期不存在重大关联方发生变化的情况。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p>
      <w:pPr>
        <w:autoSpaceDE w:val="0"/>
        <w:autoSpaceDN w:val="0"/>
        <w:adjustRightInd w:val="0"/>
        <w:spacing w:before="29" w:line="288" w:lineRule="auto"/>
        <w:jc w:val="left"/>
        <w:rPr>
          <w:rFonts w:ascii="宋体"/>
          <w:color w:val="000000"/>
          <w:kern w:val="0"/>
          <w:sz w:val="24"/>
          <w:szCs w:val="24"/>
        </w:rPr>
      </w:pPr>
    </w:p>
    <w:tbl>
      <w:tblPr>
        <w:tblStyle w:val="8"/>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招商银行股份有限公司</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深圳市金合信投资合伙企业</w:t>
            </w:r>
            <w:r>
              <w:rPr>
                <w:rFonts w:ascii="宋体"/>
                <w:color w:val="000000"/>
                <w:kern w:val="0"/>
                <w:sz w:val="24"/>
                <w:szCs w:val="24"/>
              </w:rPr>
              <w:t>(</w:t>
            </w:r>
            <w:r>
              <w:rPr>
                <w:rFonts w:hint="eastAsia" w:ascii="宋体"/>
                <w:color w:val="000000"/>
                <w:kern w:val="0"/>
                <w:sz w:val="24"/>
                <w:szCs w:val="24"/>
              </w:rPr>
              <w:t>有限合伙</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 </w:t>
      </w:r>
      <w:r>
        <w:rPr>
          <w:rFonts w:hint="eastAsia" w:ascii="宋体"/>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 </w:t>
      </w:r>
      <w:r>
        <w:rPr>
          <w:rFonts w:hint="eastAsia" w:ascii="宋体"/>
          <w:b/>
          <w:color w:val="000000"/>
          <w:kern w:val="0"/>
          <w:sz w:val="24"/>
          <w:szCs w:val="24"/>
        </w:rPr>
        <w:t>通过关联方交易单元进行的交易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7.4.10.1.1 </w:t>
      </w:r>
      <w:r>
        <w:rPr>
          <w:rFonts w:hint="eastAsia" w:ascii="宋体"/>
          <w:b/>
          <w:color w:val="000000"/>
          <w:kern w:val="0"/>
          <w:sz w:val="24"/>
          <w:szCs w:val="24"/>
        </w:rPr>
        <w:t>股票交易</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35,252,486.84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7.4.10.1.2 </w:t>
      </w:r>
      <w:r>
        <w:rPr>
          <w:rFonts w:hint="eastAsia" w:ascii="宋体"/>
          <w:b/>
          <w:color w:val="000000"/>
          <w:kern w:val="0"/>
          <w:sz w:val="24"/>
          <w:szCs w:val="24"/>
        </w:rPr>
        <w:t>权证交易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本基金于本期及上年度可比期间未通过关联方交易单元进行权证交易。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7.4.10.1.3 </w:t>
      </w:r>
      <w:r>
        <w:rPr>
          <w:rFonts w:hint="eastAsia" w:ascii="宋体"/>
          <w:b/>
          <w:color w:val="000000"/>
          <w:kern w:val="0"/>
          <w:sz w:val="24"/>
          <w:szCs w:val="24"/>
        </w:rPr>
        <w:t>应支付关联方的佣金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25,482.05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 </w:t>
      </w:r>
      <w:r>
        <w:rPr>
          <w:rFonts w:hint="eastAsia" w:ascii="宋体"/>
          <w:b/>
          <w:color w:val="000000"/>
          <w:kern w:val="0"/>
          <w:sz w:val="24"/>
          <w:szCs w:val="24"/>
        </w:rPr>
        <w:t>关联方报酬</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7.4.10.2.1 </w:t>
      </w:r>
      <w:r>
        <w:rPr>
          <w:rFonts w:hint="eastAsia" w:ascii="宋体"/>
          <w:b/>
          <w:color w:val="000000"/>
          <w:kern w:val="0"/>
          <w:sz w:val="24"/>
          <w:szCs w:val="24"/>
        </w:rPr>
        <w:t>基金管理费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109,469.67</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775.36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注：支付基金管理人</w:t>
      </w:r>
      <w:r>
        <w:rPr>
          <w:rFonts w:ascii="宋体"/>
          <w:color w:val="000000"/>
          <w:kern w:val="0"/>
          <w:szCs w:val="24"/>
        </w:rPr>
        <w:t xml:space="preserve"> </w:t>
      </w:r>
      <w:r>
        <w:rPr>
          <w:rFonts w:hint="eastAsia" w:ascii="宋体"/>
          <w:color w:val="000000"/>
          <w:kern w:val="0"/>
          <w:szCs w:val="24"/>
        </w:rPr>
        <w:t>创金合信的管理人报酬按前一日基金资产净值</w:t>
      </w:r>
      <w:r>
        <w:rPr>
          <w:rFonts w:ascii="宋体"/>
          <w:color w:val="000000"/>
          <w:kern w:val="0"/>
          <w:szCs w:val="24"/>
        </w:rPr>
        <w:t>0.80%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日管理人报酬＝前一日基金资产净值</w:t>
      </w:r>
      <w:r>
        <w:rPr>
          <w:rFonts w:ascii="宋体"/>
          <w:color w:val="000000"/>
          <w:kern w:val="0"/>
          <w:szCs w:val="24"/>
        </w:rPr>
        <w:t xml:space="preserve">X 0.80%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7.4.10.2.2 </w:t>
      </w:r>
      <w:r>
        <w:rPr>
          <w:rFonts w:hint="eastAsia" w:ascii="宋体"/>
          <w:b/>
          <w:color w:val="000000"/>
          <w:kern w:val="0"/>
          <w:sz w:val="24"/>
          <w:szCs w:val="24"/>
        </w:rPr>
        <w:t>基金托管费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13,683.69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注：支付基金托管人</w:t>
      </w:r>
      <w:r>
        <w:rPr>
          <w:rFonts w:ascii="宋体"/>
          <w:color w:val="000000"/>
          <w:kern w:val="0"/>
          <w:szCs w:val="24"/>
        </w:rPr>
        <w:t xml:space="preserve"> </w:t>
      </w:r>
      <w:r>
        <w:rPr>
          <w:rFonts w:hint="eastAsia" w:ascii="宋体"/>
          <w:color w:val="000000"/>
          <w:kern w:val="0"/>
          <w:szCs w:val="24"/>
        </w:rPr>
        <w:t>招商银行的托管费按前一日基金资产净值</w:t>
      </w:r>
      <w:r>
        <w:rPr>
          <w:rFonts w:ascii="宋体"/>
          <w:color w:val="000000"/>
          <w:kern w:val="0"/>
          <w:szCs w:val="24"/>
        </w:rPr>
        <w:t>0.10%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日托管费＝前一日基金资产净值</w:t>
      </w:r>
      <w:r>
        <w:rPr>
          <w:rFonts w:ascii="宋体"/>
          <w:color w:val="000000"/>
          <w:kern w:val="0"/>
          <w:szCs w:val="24"/>
        </w:rPr>
        <w:t xml:space="preserve">X 0.10%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7.4.10.2.3 </w:t>
      </w:r>
      <w:r>
        <w:rPr>
          <w:rFonts w:hint="eastAsia" w:ascii="宋体"/>
          <w:b/>
          <w:color w:val="000000"/>
          <w:kern w:val="0"/>
          <w:sz w:val="24"/>
          <w:szCs w:val="24"/>
        </w:rPr>
        <w:t>销售服务费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4880.45</w:t>
            </w:r>
          </w:p>
        </w:tc>
      </w:tr>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注：支付基金销售机构的销售服务费按前一日</w:t>
      </w:r>
      <w:r>
        <w:rPr>
          <w:rFonts w:ascii="宋体"/>
          <w:color w:val="000000"/>
          <w:kern w:val="0"/>
          <w:szCs w:val="24"/>
        </w:rPr>
        <w:t>C</w:t>
      </w:r>
      <w:r>
        <w:rPr>
          <w:rFonts w:hint="eastAsia" w:ascii="宋体"/>
          <w:color w:val="000000"/>
          <w:kern w:val="0"/>
          <w:szCs w:val="24"/>
        </w:rPr>
        <w:t>类基金的基金资产净值</w:t>
      </w:r>
      <w:r>
        <w:rPr>
          <w:rFonts w:ascii="宋体"/>
          <w:color w:val="000000"/>
          <w:kern w:val="0"/>
          <w:szCs w:val="24"/>
        </w:rPr>
        <w:t>0.1%</w:t>
      </w:r>
      <w:r>
        <w:rPr>
          <w:rFonts w:hint="eastAsia" w:ascii="宋体"/>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宋体"/>
          <w:color w:val="000000"/>
          <w:kern w:val="0"/>
          <w:szCs w:val="24"/>
        </w:rPr>
        <w:t>C</w:t>
      </w:r>
      <w:r>
        <w:rPr>
          <w:rFonts w:hint="eastAsia" w:ascii="宋体"/>
          <w:color w:val="000000"/>
          <w:kern w:val="0"/>
          <w:szCs w:val="24"/>
        </w:rPr>
        <w:t>类基金前一日基金资产净值×</w:t>
      </w:r>
      <w:r>
        <w:rPr>
          <w:rFonts w:ascii="宋体"/>
          <w:color w:val="000000"/>
          <w:kern w:val="0"/>
          <w:szCs w:val="24"/>
        </w:rPr>
        <w:t xml:space="preserve"> 0.1%/ </w:t>
      </w:r>
      <w:r>
        <w:rPr>
          <w:rFonts w:hint="eastAsia" w:ascii="宋体"/>
          <w:color w:val="000000"/>
          <w:kern w:val="0"/>
          <w:szCs w:val="24"/>
        </w:rPr>
        <w:t>当年天数。</w:t>
      </w:r>
      <w:r>
        <w:rPr>
          <w:rFonts w:ascii="宋体"/>
          <w:color w:val="000000"/>
          <w:kern w:val="0"/>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7.4.10.3 </w:t>
      </w:r>
      <w:r>
        <w:rPr>
          <w:rFonts w:hint="eastAsia" w:ascii="宋体"/>
          <w:b/>
          <w:color w:val="000000"/>
          <w:kern w:val="0"/>
          <w:sz w:val="24"/>
          <w:szCs w:val="24"/>
        </w:rPr>
        <w:t>与关联方进行银行间同业市场的债券</w:t>
      </w:r>
      <w:r>
        <w:rPr>
          <w:rFonts w:ascii="宋体"/>
          <w:b/>
          <w:color w:val="000000"/>
          <w:kern w:val="0"/>
          <w:sz w:val="24"/>
          <w:szCs w:val="24"/>
        </w:rPr>
        <w:t>(</w:t>
      </w:r>
      <w:r>
        <w:rPr>
          <w:rFonts w:hint="eastAsia" w:ascii="宋体"/>
          <w:b/>
          <w:color w:val="000000"/>
          <w:kern w:val="0"/>
          <w:sz w:val="24"/>
          <w:szCs w:val="24"/>
        </w:rPr>
        <w:t>含回购</w:t>
      </w:r>
      <w:r>
        <w:rPr>
          <w:rFonts w:ascii="宋体"/>
          <w:b/>
          <w:color w:val="000000"/>
          <w:kern w:val="0"/>
          <w:sz w:val="24"/>
          <w:szCs w:val="24"/>
        </w:rPr>
        <w:t>)</w:t>
      </w:r>
      <w:r>
        <w:rPr>
          <w:rFonts w:hint="eastAsia" w:ascii="宋体"/>
          <w:b/>
          <w:color w:val="000000"/>
          <w:kern w:val="0"/>
          <w:sz w:val="24"/>
          <w:szCs w:val="24"/>
        </w:rPr>
        <w:t>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本基金本期末未与关联方进行银行间同业市场的债券（含回购）交易。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 </w:t>
      </w:r>
      <w:r>
        <w:rPr>
          <w:rFonts w:hint="eastAsia" w:ascii="宋体"/>
          <w:b/>
          <w:color w:val="000000"/>
          <w:kern w:val="0"/>
          <w:sz w:val="24"/>
          <w:szCs w:val="24"/>
        </w:rPr>
        <w:t>各关联方投资本基金的情况</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7.4.10.4.1 </w:t>
      </w:r>
      <w:r>
        <w:rPr>
          <w:rFonts w:hint="eastAsia" w:ascii="宋体"/>
          <w:b/>
          <w:color w:val="000000"/>
          <w:kern w:val="0"/>
          <w:sz w:val="24"/>
          <w:szCs w:val="24"/>
        </w:rPr>
        <w:t>报告期内基金管理人运用固有资金投资本基金的情况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份额单位：人民币元</w:t>
      </w:r>
    </w:p>
    <w:tbl>
      <w:tblPr>
        <w:tblStyle w:val="8"/>
        <w:tblW w:w="0" w:type="auto"/>
        <w:tblInd w:w="108" w:type="dxa"/>
        <w:tblLayout w:type="fixed"/>
        <w:tblCellMar>
          <w:top w:w="0" w:type="dxa"/>
          <w:left w:w="108" w:type="dxa"/>
          <w:bottom w:w="0" w:type="dxa"/>
          <w:right w:w="108" w:type="dxa"/>
        </w:tblCellMar>
      </w:tblPr>
      <w:tblGrid>
        <w:gridCol w:w="2995"/>
        <w:gridCol w:w="1505"/>
        <w:gridCol w:w="1505"/>
        <w:gridCol w:w="1505"/>
        <w:gridCol w:w="1505"/>
      </w:tblGrid>
      <w:tr>
        <w:tblPrEx>
          <w:tblCellMar>
            <w:top w:w="0" w:type="dxa"/>
            <w:left w:w="108" w:type="dxa"/>
            <w:bottom w:w="0" w:type="dxa"/>
            <w:right w:w="108" w:type="dxa"/>
          </w:tblCellMar>
        </w:tblPrEx>
        <w:trPr>
          <w:wBefore w:w="0" w:type="auto"/>
        </w:trPr>
        <w:tc>
          <w:tcPr>
            <w:tcW w:w="299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99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期初持有的基金份额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期间申购</w:t>
            </w:r>
            <w:r>
              <w:rPr>
                <w:rFonts w:ascii="宋体"/>
                <w:color w:val="000000"/>
                <w:kern w:val="0"/>
                <w:sz w:val="24"/>
                <w:szCs w:val="24"/>
              </w:rPr>
              <w:t>/</w:t>
            </w:r>
            <w:r>
              <w:rPr>
                <w:rFonts w:hint="eastAsia" w:ascii="宋体"/>
                <w:color w:val="000000"/>
                <w:kern w:val="0"/>
                <w:sz w:val="24"/>
                <w:szCs w:val="24"/>
              </w:rPr>
              <w:t>买入总份额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期间因拆分变动份额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减：期间赎回</w:t>
            </w:r>
            <w:r>
              <w:rPr>
                <w:rFonts w:ascii="宋体"/>
                <w:color w:val="000000"/>
                <w:kern w:val="0"/>
                <w:sz w:val="24"/>
                <w:szCs w:val="24"/>
              </w:rPr>
              <w:t>/</w:t>
            </w:r>
            <w:r>
              <w:rPr>
                <w:rFonts w:hint="eastAsia" w:ascii="宋体"/>
                <w:color w:val="000000"/>
                <w:kern w:val="0"/>
                <w:sz w:val="24"/>
                <w:szCs w:val="24"/>
              </w:rPr>
              <w:t>卖出总份额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占基金总份额比例</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92.17%</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7.4.10.4.2 </w:t>
      </w:r>
      <w:r>
        <w:rPr>
          <w:rFonts w:hint="eastAsia" w:ascii="宋体"/>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本基金本期末及上年度末除基金管理人以外的其他关联方未投资本基金。</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7.4.10.5 </w:t>
      </w:r>
      <w:r>
        <w:rPr>
          <w:rFonts w:hint="eastAsia" w:ascii="宋体"/>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16,235.22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7.4.10.6 </w:t>
      </w:r>
      <w:r>
        <w:rPr>
          <w:rFonts w:hint="eastAsia" w:ascii="宋体"/>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本报告期及上年度可比期间，本基金未发生承销期内参与关联方承销证券的情况。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7.4.10.7 </w:t>
      </w:r>
      <w:r>
        <w:rPr>
          <w:rFonts w:hint="eastAsia" w:ascii="宋体"/>
          <w:b/>
          <w:color w:val="000000"/>
          <w:kern w:val="0"/>
          <w:sz w:val="24"/>
          <w:szCs w:val="24"/>
        </w:rPr>
        <w:t>其他关联交易事项的说明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7.4.11 </w:t>
      </w:r>
      <w:r>
        <w:rPr>
          <w:rFonts w:hint="eastAsia" w:ascii="宋体"/>
          <w:b/>
          <w:color w:val="000000"/>
          <w:kern w:val="0"/>
          <w:sz w:val="24"/>
          <w:szCs w:val="24"/>
        </w:rPr>
        <w:t>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本基金于本期未进行利润分配。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 </w:t>
      </w:r>
      <w:r>
        <w:rPr>
          <w:rFonts w:hint="eastAsia" w:ascii="宋体"/>
          <w:b/>
          <w:color w:val="000000"/>
          <w:kern w:val="0"/>
          <w:sz w:val="24"/>
          <w:szCs w:val="24"/>
        </w:rPr>
        <w:t>期末（</w:t>
      </w: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日）本基金持有的流通受限证券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7.4.12.1 </w:t>
      </w:r>
      <w:r>
        <w:rPr>
          <w:rFonts w:hint="eastAsia" w:ascii="宋体"/>
          <w:b/>
          <w:color w:val="000000"/>
          <w:kern w:val="0"/>
          <w:sz w:val="24"/>
          <w:szCs w:val="24"/>
        </w:rPr>
        <w:t>因认购新发</w:t>
      </w:r>
      <w:r>
        <w:rPr>
          <w:rFonts w:ascii="宋体"/>
          <w:b/>
          <w:color w:val="000000"/>
          <w:kern w:val="0"/>
          <w:sz w:val="24"/>
          <w:szCs w:val="24"/>
        </w:rPr>
        <w:t>/</w:t>
      </w:r>
      <w:r>
        <w:rPr>
          <w:rFonts w:hint="eastAsia" w:ascii="宋体"/>
          <w:b/>
          <w:color w:val="000000"/>
          <w:kern w:val="0"/>
          <w:sz w:val="24"/>
          <w:szCs w:val="24"/>
        </w:rPr>
        <w:t>增发证券而于期末持有的流通受限证券</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本基金无因认购新发</w:t>
      </w:r>
      <w:r>
        <w:rPr>
          <w:rFonts w:ascii="宋体"/>
          <w:color w:val="000000"/>
          <w:kern w:val="0"/>
          <w:sz w:val="24"/>
          <w:szCs w:val="24"/>
        </w:rPr>
        <w:t>/</w:t>
      </w:r>
      <w:r>
        <w:rPr>
          <w:rFonts w:hint="eastAsia" w:ascii="宋体"/>
          <w:color w:val="000000"/>
          <w:kern w:val="0"/>
          <w:sz w:val="24"/>
          <w:szCs w:val="24"/>
        </w:rPr>
        <w:t>增发证券而于期末持有的流通受限证券。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7.4.12.2 </w:t>
      </w:r>
      <w:r>
        <w:rPr>
          <w:rFonts w:hint="eastAsia" w:ascii="宋体"/>
          <w:b/>
          <w:color w:val="000000"/>
          <w:kern w:val="0"/>
          <w:sz w:val="24"/>
          <w:szCs w:val="24"/>
        </w:rPr>
        <w:t>期末持有的暂时停牌等流通受限股票</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600090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同济堂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12.93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98,438.00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97,525.00</w:t>
            </w:r>
          </w:p>
        </w:tc>
      </w:tr>
      <w:tr>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600485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信威集团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14.60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339,518.84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306,600.00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300104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乐视网</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35.80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36.88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12,669.52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10,740.00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 </w:t>
      </w:r>
      <w:r>
        <w:rPr>
          <w:rFonts w:hint="eastAsia" w:ascii="宋体"/>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7.4.12.3.1 </w:t>
      </w:r>
      <w:r>
        <w:rPr>
          <w:rFonts w:hint="eastAsia" w:ascii="宋体"/>
          <w:b/>
          <w:color w:val="000000"/>
          <w:kern w:val="0"/>
          <w:sz w:val="24"/>
          <w:szCs w:val="24"/>
        </w:rPr>
        <w:t>银行间市场债券正回购</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日止，本基金从事银行间市场债券正回购交易形成的卖出回购证券款余额为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7.4.12.3.2 </w:t>
      </w:r>
      <w:r>
        <w:rPr>
          <w:rFonts w:hint="eastAsia" w:ascii="宋体"/>
          <w:b/>
          <w:color w:val="000000"/>
          <w:kern w:val="0"/>
          <w:sz w:val="24"/>
          <w:szCs w:val="24"/>
        </w:rPr>
        <w:t>交易所市场债券正回购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日止，本基金从事交易所债券正回购交易形成的卖出回购证券款余额为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 </w:t>
      </w:r>
      <w:r>
        <w:rPr>
          <w:rFonts w:hint="eastAsia" w:ascii="宋体"/>
          <w:b/>
          <w:color w:val="000000"/>
          <w:kern w:val="0"/>
          <w:sz w:val="24"/>
          <w:szCs w:val="24"/>
        </w:rPr>
        <w:t>金融工具风险及管理</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7.4.13.1 </w:t>
      </w:r>
      <w:r>
        <w:rPr>
          <w:rFonts w:hint="eastAsia" w:ascii="宋体"/>
          <w:b/>
          <w:color w:val="000000"/>
          <w:kern w:val="0"/>
          <w:sz w:val="24"/>
          <w:szCs w:val="24"/>
        </w:rPr>
        <w:t>风险管理政策和组织架构</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 </w:t>
      </w:r>
      <w:r>
        <w:rPr>
          <w:rFonts w:hint="eastAsia" w:ascii="宋体"/>
          <w:b/>
          <w:color w:val="000000"/>
          <w:kern w:val="0"/>
          <w:sz w:val="24"/>
          <w:szCs w:val="24"/>
        </w:rPr>
        <w:t>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日，本基金未持有债券投资。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7.4.13.3 </w:t>
      </w:r>
      <w:r>
        <w:rPr>
          <w:rFonts w:hint="eastAsia" w:ascii="宋体"/>
          <w:b/>
          <w:color w:val="000000"/>
          <w:kern w:val="0"/>
          <w:sz w:val="24"/>
          <w:szCs w:val="24"/>
        </w:rPr>
        <w:t>流动性风险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宋体"/>
          <w:color w:val="000000"/>
          <w:kern w:val="0"/>
          <w:sz w:val="24"/>
          <w:szCs w:val="24"/>
        </w:rPr>
        <w:t>10%</w:t>
      </w:r>
      <w:r>
        <w:rPr>
          <w:rFonts w:hint="eastAsia" w:ascii="宋体"/>
          <w:color w:val="000000"/>
          <w:kern w:val="0"/>
          <w:sz w:val="24"/>
          <w:szCs w:val="24"/>
        </w:rPr>
        <w:t>，且本基金与由本基金的基金管理人管理的其他基金共同持有一家公司发行的证券不得超过该证券的</w:t>
      </w:r>
      <w:r>
        <w:rPr>
          <w:rFonts w:ascii="宋体"/>
          <w:color w:val="000000"/>
          <w:kern w:val="0"/>
          <w:sz w:val="24"/>
          <w:szCs w:val="24"/>
        </w:rPr>
        <w:t>10%</w:t>
      </w:r>
      <w:r>
        <w:rPr>
          <w:rFonts w:hint="eastAsia" w:ascii="宋体"/>
          <w:color w:val="000000"/>
          <w:kern w:val="0"/>
          <w:sz w:val="24"/>
          <w:szCs w:val="24"/>
        </w:rPr>
        <w:t>。本基金所持大部分证券在证券交易所上市，其余亦可在银行间同业市场交易，因此除附注</w:t>
      </w:r>
      <w:r>
        <w:rPr>
          <w:rFonts w:ascii="宋体"/>
          <w:color w:val="000000"/>
          <w:kern w:val="0"/>
          <w:sz w:val="24"/>
          <w:szCs w:val="24"/>
        </w:rPr>
        <w:t>7.4.12</w:t>
      </w:r>
      <w:r>
        <w:rPr>
          <w:rFonts w:hint="eastAsia" w:ascii="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 </w:t>
      </w:r>
      <w:r>
        <w:rPr>
          <w:rFonts w:hint="eastAsia" w:ascii="宋体"/>
          <w:b/>
          <w:color w:val="000000"/>
          <w:kern w:val="0"/>
          <w:sz w:val="24"/>
          <w:szCs w:val="24"/>
        </w:rPr>
        <w:t>市场风险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 </w:t>
      </w:r>
      <w:r>
        <w:rPr>
          <w:rFonts w:hint="eastAsia" w:ascii="宋体"/>
          <w:b/>
          <w:color w:val="000000"/>
          <w:kern w:val="0"/>
          <w:sz w:val="24"/>
          <w:szCs w:val="24"/>
        </w:rPr>
        <w:t>利率风险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宋体"/>
          <w:b/>
          <w:color w:val="000000"/>
          <w:kern w:val="0"/>
          <w:sz w:val="24"/>
          <w:szCs w:val="24"/>
        </w:rPr>
      </w:pPr>
      <w:r>
        <w:rPr>
          <w:rFonts w:ascii="宋体"/>
          <w:b/>
          <w:color w:val="000000"/>
          <w:kern w:val="0"/>
          <w:sz w:val="24"/>
          <w:szCs w:val="24"/>
        </w:rPr>
        <w:t xml:space="preserve">7.4.13.4.1.1 </w:t>
      </w:r>
      <w:r>
        <w:rPr>
          <w:rFonts w:hint="eastAsia" w:ascii="宋体"/>
          <w:b/>
          <w:color w:val="000000"/>
          <w:kern w:val="0"/>
          <w:sz w:val="24"/>
          <w:szCs w:val="24"/>
        </w:rPr>
        <w:t>利率风险敞口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445"/>
        <w:gridCol w:w="1445"/>
        <w:gridCol w:w="1444"/>
        <w:gridCol w:w="1445"/>
        <w:gridCol w:w="1445"/>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11,077,737.55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88,701.48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88,701.48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3,768.48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3,768.48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5,491.76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11,170,207.51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198,559,847.08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209,730,054.59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3,054.09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3,054.09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41,472.39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41,472.39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5,184.04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5,184.04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727.61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233,444.07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40,000.23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323,882.43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323,882.43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11,170,207.51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198,235,964.65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209,406,172.16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7.4.13.4.1.2 </w:t>
      </w:r>
      <w:r>
        <w:rPr>
          <w:rFonts w:hint="eastAsia" w:ascii="宋体"/>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gridCol w:w="56"/>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gridAfter w:val="1"/>
          <w:wBefore w:w="0" w:type="auto"/>
          <w:wAfter w:w="56"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7.4.13.4.2 </w:t>
      </w:r>
      <w:r>
        <w:rPr>
          <w:rFonts w:hint="eastAsia" w:ascii="宋体"/>
          <w:b/>
          <w:color w:val="000000"/>
          <w:kern w:val="0"/>
          <w:sz w:val="24"/>
          <w:szCs w:val="24"/>
        </w:rPr>
        <w:t>外汇风险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 </w:t>
      </w:r>
      <w:r>
        <w:rPr>
          <w:rFonts w:hint="eastAsia" w:ascii="宋体"/>
          <w:b/>
          <w:color w:val="000000"/>
          <w:kern w:val="0"/>
          <w:sz w:val="24"/>
          <w:szCs w:val="24"/>
        </w:rPr>
        <w:t>其他价格风险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本基金的基金管理人在构建和管理投资组合的过程中，采用</w:t>
      </w:r>
      <w:r>
        <w:rPr>
          <w:rFonts w:ascii="宋体"/>
          <w:color w:val="000000"/>
          <w:kern w:val="0"/>
          <w:sz w:val="24"/>
          <w:szCs w:val="24"/>
        </w:rPr>
        <w:t>"</w:t>
      </w:r>
      <w:r>
        <w:rPr>
          <w:rFonts w:hint="eastAsia" w:ascii="宋体"/>
          <w:color w:val="000000"/>
          <w:kern w:val="0"/>
          <w:sz w:val="24"/>
          <w:szCs w:val="24"/>
        </w:rPr>
        <w:t>自上而下</w:t>
      </w:r>
      <w:r>
        <w:rPr>
          <w:rFonts w:ascii="宋体"/>
          <w:color w:val="000000"/>
          <w:kern w:val="0"/>
          <w:sz w:val="24"/>
          <w:szCs w:val="24"/>
        </w:rPr>
        <w:t>"</w:t>
      </w:r>
      <w:r>
        <w:rPr>
          <w:rFonts w:hint="eastAsia" w:ascii="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本基金通过投资组合的分散化降低其他价格风险。本基金投资组合中股票投资占基金资产的比例不低于</w:t>
      </w:r>
      <w:r>
        <w:rPr>
          <w:rFonts w:ascii="宋体"/>
          <w:color w:val="000000"/>
          <w:kern w:val="0"/>
          <w:sz w:val="24"/>
          <w:szCs w:val="24"/>
        </w:rPr>
        <w:t>90%</w:t>
      </w:r>
      <w:r>
        <w:rPr>
          <w:rFonts w:hint="eastAsia" w:ascii="宋体"/>
          <w:color w:val="000000"/>
          <w:kern w:val="0"/>
          <w:sz w:val="24"/>
          <w:szCs w:val="24"/>
        </w:rPr>
        <w:t>。其中，本基金投资于标的指数成份股及其备选成份股的比例不低于非现金基金资产的</w:t>
      </w:r>
      <w:r>
        <w:rPr>
          <w:rFonts w:ascii="宋体"/>
          <w:color w:val="000000"/>
          <w:kern w:val="0"/>
          <w:sz w:val="24"/>
          <w:szCs w:val="24"/>
        </w:rPr>
        <w:t>80%</w:t>
      </w:r>
      <w:r>
        <w:rPr>
          <w:rFonts w:hint="eastAsia" w:ascii="宋体"/>
          <w:color w:val="000000"/>
          <w:kern w:val="0"/>
          <w:sz w:val="24"/>
          <w:szCs w:val="24"/>
        </w:rPr>
        <w:t>。每个交易日日终，在扣除股指期货合约需缴纳的交易保证金后，现金或者到期日在一年以内的政府债券不低于基金资产净值的</w:t>
      </w:r>
      <w:r>
        <w:rPr>
          <w:rFonts w:ascii="宋体"/>
          <w:color w:val="000000"/>
          <w:kern w:val="0"/>
          <w:sz w:val="24"/>
          <w:szCs w:val="24"/>
        </w:rPr>
        <w:t>5%</w:t>
      </w:r>
      <w:r>
        <w:rPr>
          <w:rFonts w:hint="eastAsia" w:ascii="宋体"/>
          <w:color w:val="000000"/>
          <w:kern w:val="0"/>
          <w:sz w:val="24"/>
          <w:szCs w:val="24"/>
        </w:rPr>
        <w:t>。此外，本基金的基金管理人每日对本基金所持有的证券价格实施监控，定期运用多种定量方法对基金进行风险度量，包括</w:t>
      </w:r>
      <w:r>
        <w:rPr>
          <w:rFonts w:ascii="宋体"/>
          <w:color w:val="000000"/>
          <w:kern w:val="0"/>
          <w:sz w:val="24"/>
          <w:szCs w:val="24"/>
        </w:rPr>
        <w:t>VaR(Value at Risk)</w:t>
      </w:r>
      <w:r>
        <w:rPr>
          <w:rFonts w:hint="eastAsia" w:ascii="宋体"/>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7.4.13.4.3.1 </w:t>
      </w:r>
      <w:r>
        <w:rPr>
          <w:rFonts w:hint="eastAsia" w:ascii="宋体"/>
          <w:b/>
          <w:color w:val="000000"/>
          <w:kern w:val="0"/>
          <w:sz w:val="24"/>
          <w:szCs w:val="24"/>
        </w:rPr>
        <w:t>其他价格风险敞口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7.4.13.4.3.2 </w:t>
      </w:r>
      <w:r>
        <w:rPr>
          <w:rFonts w:hint="eastAsia" w:ascii="宋体"/>
          <w:b/>
          <w:color w:val="000000"/>
          <w:kern w:val="0"/>
          <w:sz w:val="24"/>
          <w:szCs w:val="24"/>
        </w:rPr>
        <w:t>其他价格风险的敏感性分析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05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比较基准上涨</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10,820,570.64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比较基准下降</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-10,820,570.64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7.4.14 </w:t>
      </w:r>
      <w:r>
        <w:rPr>
          <w:rFonts w:hint="eastAsia" w:ascii="宋体"/>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公允价值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w:t>
      </w:r>
      <w:r>
        <w:rPr>
          <w:rFonts w:ascii="宋体"/>
          <w:color w:val="000000"/>
          <w:kern w:val="0"/>
          <w:sz w:val="24"/>
          <w:szCs w:val="24"/>
        </w:rPr>
        <w:tab/>
      </w:r>
      <w:r>
        <w:rPr>
          <w:rFonts w:hint="eastAsia" w:ascii="宋体"/>
          <w:color w:val="000000"/>
          <w:kern w:val="0"/>
          <w:sz w:val="24"/>
          <w:szCs w:val="24"/>
        </w:rPr>
        <w:t>金融工具公允价值计量的方法</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(b)</w:t>
      </w:r>
      <w:r>
        <w:rPr>
          <w:rFonts w:ascii="宋体"/>
          <w:color w:val="000000"/>
          <w:kern w:val="0"/>
          <w:sz w:val="24"/>
          <w:szCs w:val="24"/>
        </w:rPr>
        <w:tab/>
      </w:r>
      <w:r>
        <w:rPr>
          <w:rFonts w:hint="eastAsia" w:ascii="宋体"/>
          <w:color w:val="000000"/>
          <w:kern w:val="0"/>
          <w:sz w:val="24"/>
          <w:szCs w:val="24"/>
        </w:rPr>
        <w:t>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w:t>
      </w:r>
      <w:r>
        <w:rPr>
          <w:rFonts w:ascii="宋体"/>
          <w:color w:val="000000"/>
          <w:kern w:val="0"/>
          <w:sz w:val="24"/>
          <w:szCs w:val="24"/>
        </w:rPr>
        <w:tab/>
      </w:r>
      <w:r>
        <w:rPr>
          <w:rFonts w:hint="eastAsia" w:ascii="宋体"/>
          <w:color w:val="000000"/>
          <w:kern w:val="0"/>
          <w:sz w:val="24"/>
          <w:szCs w:val="24"/>
        </w:rPr>
        <w:t>各层次金融工具公允价值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日，本基金持有的以公允价值计量且其变动计入当期损益的金融资产中属于第一层次的余额为</w:t>
      </w:r>
      <w:r>
        <w:rPr>
          <w:rFonts w:ascii="宋体"/>
          <w:color w:val="000000"/>
          <w:kern w:val="0"/>
          <w:sz w:val="24"/>
          <w:szCs w:val="24"/>
        </w:rPr>
        <w:t>198,127,715.46</w:t>
      </w:r>
      <w:r>
        <w:rPr>
          <w:rFonts w:hint="eastAsia" w:ascii="宋体"/>
          <w:color w:val="000000"/>
          <w:kern w:val="0"/>
          <w:sz w:val="24"/>
          <w:szCs w:val="24"/>
        </w:rPr>
        <w:t>元，属于第二层次的余额为</w:t>
      </w:r>
      <w:r>
        <w:rPr>
          <w:rFonts w:ascii="宋体"/>
          <w:color w:val="000000"/>
          <w:kern w:val="0"/>
          <w:sz w:val="24"/>
          <w:szCs w:val="24"/>
        </w:rPr>
        <w:t>414,865.00</w:t>
      </w:r>
      <w:r>
        <w:rPr>
          <w:rFonts w:hint="eastAsia" w:ascii="宋体"/>
          <w:color w:val="000000"/>
          <w:kern w:val="0"/>
          <w:sz w:val="24"/>
          <w:szCs w:val="24"/>
        </w:rPr>
        <w:t>元，无属于第三层次的余额</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日：无属于第一层次、第二层次及第三层次的余额</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w:t>
      </w:r>
      <w:r>
        <w:rPr>
          <w:rFonts w:ascii="宋体"/>
          <w:color w:val="000000"/>
          <w:kern w:val="0"/>
          <w:sz w:val="24"/>
          <w:szCs w:val="24"/>
        </w:rPr>
        <w:tab/>
      </w:r>
      <w:r>
        <w:rPr>
          <w:rFonts w:hint="eastAsia" w:ascii="宋体"/>
          <w:color w:val="000000"/>
          <w:kern w:val="0"/>
          <w:sz w:val="24"/>
          <w:szCs w:val="24"/>
        </w:rPr>
        <w:t>公允价值所属层次间的重大变动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(iii)</w:t>
      </w:r>
      <w:r>
        <w:rPr>
          <w:rFonts w:ascii="宋体"/>
          <w:color w:val="000000"/>
          <w:kern w:val="0"/>
          <w:sz w:val="24"/>
          <w:szCs w:val="24"/>
        </w:rPr>
        <w:tab/>
      </w:r>
      <w:r>
        <w:rPr>
          <w:rFonts w:hint="eastAsia" w:ascii="宋体"/>
          <w:color w:val="000000"/>
          <w:kern w:val="0"/>
          <w:sz w:val="24"/>
          <w:szCs w:val="24"/>
        </w:rPr>
        <w:t>第三层次公允价值余额和本期变动金额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(c)</w:t>
      </w:r>
      <w:r>
        <w:rPr>
          <w:rFonts w:ascii="宋体"/>
          <w:color w:val="000000"/>
          <w:kern w:val="0"/>
          <w:sz w:val="24"/>
          <w:szCs w:val="24"/>
        </w:rPr>
        <w:tab/>
      </w:r>
      <w:r>
        <w:rPr>
          <w:rFonts w:hint="eastAsia" w:ascii="宋体"/>
          <w:color w:val="000000"/>
          <w:kern w:val="0"/>
          <w:sz w:val="24"/>
          <w:szCs w:val="24"/>
        </w:rPr>
        <w:t>非持续的以公允价值计量的金融工具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日，本基金未持有非持续的以公允价值计量的金融工具</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(d)</w:t>
      </w:r>
      <w:r>
        <w:rPr>
          <w:rFonts w:ascii="宋体"/>
          <w:color w:val="000000"/>
          <w:kern w:val="0"/>
          <w:sz w:val="24"/>
          <w:szCs w:val="24"/>
        </w:rPr>
        <w:tab/>
      </w:r>
      <w:r>
        <w:rPr>
          <w:rFonts w:hint="eastAsia" w:ascii="宋体"/>
          <w:color w:val="000000"/>
          <w:kern w:val="0"/>
          <w:sz w:val="24"/>
          <w:szCs w:val="24"/>
        </w:rPr>
        <w:t>不以公允价值计量的金融工具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3" w:name="_Toc478044577"/>
      <w:r>
        <w:rPr>
          <w:rFonts w:hint="eastAsia" w:ascii="宋体"/>
          <w:b/>
          <w:color w:val="000000"/>
          <w:kern w:val="0"/>
          <w:sz w:val="24"/>
          <w:szCs w:val="24"/>
        </w:rPr>
        <w:t>§</w:t>
      </w:r>
      <w:r>
        <w:rPr>
          <w:rFonts w:ascii="宋体"/>
          <w:b/>
          <w:color w:val="000000"/>
          <w:kern w:val="0"/>
          <w:sz w:val="24"/>
          <w:szCs w:val="24"/>
        </w:rPr>
        <w:t xml:space="preserve">8  </w:t>
      </w:r>
      <w:r>
        <w:rPr>
          <w:rFonts w:hint="eastAsia" w:ascii="宋体"/>
          <w:b/>
          <w:color w:val="000000"/>
          <w:kern w:val="0"/>
          <w:sz w:val="24"/>
          <w:szCs w:val="24"/>
        </w:rPr>
        <w:t>投资组合报告</w:t>
      </w:r>
      <w:bookmarkEnd w:id="33"/>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4" w:name="_Toc478044578"/>
      <w:r>
        <w:rPr>
          <w:rFonts w:ascii="宋体"/>
          <w:b/>
          <w:color w:val="000000"/>
          <w:kern w:val="0"/>
          <w:sz w:val="24"/>
          <w:szCs w:val="24"/>
        </w:rPr>
        <w:t xml:space="preserve">8.1 </w:t>
      </w:r>
      <w:r>
        <w:rPr>
          <w:rFonts w:hint="eastAsia" w:ascii="宋体"/>
          <w:b/>
          <w:color w:val="000000"/>
          <w:kern w:val="0"/>
          <w:sz w:val="24"/>
          <w:szCs w:val="24"/>
        </w:rPr>
        <w:t>期末基金资产组合情况</w:t>
      </w:r>
      <w:bookmarkEnd w:id="34"/>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占基金总资产的比例（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198,542,580.46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11,166,439.03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21,035.10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209,730,054.59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 </w:t>
      </w:r>
      <w:r>
        <w:rPr>
          <w:rFonts w:hint="eastAsia" w:ascii="宋体"/>
          <w:b/>
          <w:color w:val="000000"/>
          <w:kern w:val="0"/>
          <w:sz w:val="24"/>
          <w:szCs w:val="24"/>
        </w:rPr>
        <w:t>报告期末按行业分类的股票投资组合</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8.2.1 </w:t>
      </w:r>
      <w:r>
        <w:rPr>
          <w:rFonts w:hint="eastAsia" w:ascii="宋体"/>
          <w:b/>
          <w:color w:val="000000"/>
          <w:kern w:val="0"/>
          <w:sz w:val="24"/>
          <w:szCs w:val="24"/>
        </w:rPr>
        <w:t>报告期末（指数投资）按行业分类的股票投资组合</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211,848.00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5,381,729.00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39,233,080.50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4,800,827.00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8,242,718.00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5,337,564.00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4,750,796.00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2,194,922.00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72,575,135.96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9,031,240.00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4,299,139.00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2,955,591.00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159,033,862.46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75.95</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8.2.2  </w:t>
      </w:r>
      <w:r>
        <w:rPr>
          <w:rFonts w:hint="eastAsia" w:ascii="宋体"/>
          <w:b/>
          <w:color w:val="000000"/>
          <w:kern w:val="0"/>
          <w:sz w:val="24"/>
          <w:szCs w:val="24"/>
        </w:rPr>
        <w:t>报告期末（积极投资）按行业分类的股票投资组合</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25,808,258.00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3,020,427.00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2,040,695.00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1,254,158.00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3,335,619.00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2,225,249.00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429,828.00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39,508,718.00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18.87</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5" w:name="_Toc478044579"/>
      <w:r>
        <w:rPr>
          <w:rFonts w:ascii="宋体"/>
          <w:b/>
          <w:color w:val="000000"/>
          <w:kern w:val="0"/>
          <w:sz w:val="24"/>
          <w:szCs w:val="24"/>
        </w:rPr>
        <w:t xml:space="preserve">8.3 </w:t>
      </w:r>
      <w:r>
        <w:rPr>
          <w:rFonts w:hint="eastAsia" w:ascii="宋体"/>
          <w:b/>
          <w:color w:val="000000"/>
          <w:kern w:val="0"/>
          <w:sz w:val="24"/>
          <w:szCs w:val="24"/>
        </w:rPr>
        <w:t>期末按公允价值占基金资产净值比例大小排序的股票投资明细</w:t>
      </w:r>
      <w:bookmarkEnd w:id="35"/>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8.3.1 </w:t>
      </w:r>
      <w:r>
        <w:rPr>
          <w:rFonts w:hint="eastAsia" w:ascii="宋体"/>
          <w:b/>
          <w:color w:val="000000"/>
          <w:kern w:val="0"/>
          <w:sz w:val="24"/>
          <w:szCs w:val="24"/>
        </w:rPr>
        <w:t>期末按公允价值占基金资产净值比例大小排序的所有股票投资明细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中国平安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10,203,202.26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民生银行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4,136,682.00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4,095,000.00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中国建筑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4,083,574.00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4,069,660.00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4,002,957.00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3,902,656.00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上汽集团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3,876,285.00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农业银行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3,584,530.00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3,561,776.00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3,111,761.00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3,074,974.00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3,048,045.00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2,947,368.00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绿地控股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2,882,139.00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2,789,535.00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2,776,842.00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格力电器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2,767,288.00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2,745,548.00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2,743,296.00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2,636,265.00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2,558,358.00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2,523,240.00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海南航空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2,316,230.00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贵州茅台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2,238,805.00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2,092,275.00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2,069,910.00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2,060,831.00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2,040,615.00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广汇汽车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1,946,544.00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中文传媒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1,910,920.00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1,834,963.00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浦发银行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1,803,686.70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1,800,834.00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南方航空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1,768,338.00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安信信托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1,726,622.00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天茂集团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1,683,765.00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伊利股份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1,601,600.00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梅花生物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1,593,488.00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京东方Ａ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1,581,008.00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1,578,325.00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美的集团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1,528,222.50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中国交建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1,493,177.00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金地集团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1,474,848.00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1,434,750.00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1,349,808.00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新湖中宝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1,337,024.00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河钢股份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1,329,654.00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海信电器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1,280,576.00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万华化学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1,123,866.00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平安银行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1,091,090.00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保利地产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1,062,732.00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TCL </w:t>
            </w:r>
            <w:r>
              <w:rPr>
                <w:rFonts w:hint="eastAsia" w:ascii="宋体"/>
                <w:color w:val="000000"/>
                <w:kern w:val="0"/>
                <w:sz w:val="24"/>
                <w:szCs w:val="24"/>
              </w:rPr>
              <w:t>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1,053,360.00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上海建工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1,049,587.00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蓝色光标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938,691.00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930,295.00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神州泰岳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922,152.00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凤凰传媒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915,078.00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海螺水泥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903,968.00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864,870.00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中国铁建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845,572.00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795,340.00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歌华有线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781,320.00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外高桥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大秦铁路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666,228.00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渤海金控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614,900.00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中国人寿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602,250.00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国泰君安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597,863.00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561,775.00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556,853.00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555,705.00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胜利精密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501,162.00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457,176.00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宇通客车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454,488.00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复星医药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418,834.00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418,424.00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396,015.00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恒瑞医药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383,110.00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中国联通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378,658.00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349,440.00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中国电建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信威集团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徐工机械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270,738.00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康美药业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253,470.00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218,581.00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牧原股份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康得新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196,833.00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苏宁云商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海康威视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130,955.00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雅戈尔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106,248.00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001979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招商蛇口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光线传媒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紫金矿业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77,822.00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74,492.00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国电电力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74,178.00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新华保险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华域汽车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天齐锂业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55,165.00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太平洋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万达院线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37,849.00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华夏幸福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海虹控股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中国核电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碧水源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乐视网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云南白药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东方明珠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8.3.2 </w:t>
      </w:r>
      <w:r>
        <w:rPr>
          <w:rFonts w:hint="eastAsia" w:ascii="宋体"/>
          <w:b/>
          <w:color w:val="000000"/>
          <w:kern w:val="0"/>
          <w:sz w:val="24"/>
          <w:szCs w:val="24"/>
        </w:rPr>
        <w:t>期末积极投资按公允价值占基金资产净值比例大小排序的所有股票投资明细</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江粉磁材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1,628,160.00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1,536,236.00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1,352,952.00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1,342,440.00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1,325,540.00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1,319,692.00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1,281,569.00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1,219,187.00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1,158,952.00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1,136,800.00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1,042,840.00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1,002,018.00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958,800.00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921,816.00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羚锐制药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904,684.00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854,320.00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820,134.00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807,120.00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777,870.00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新疆天业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707,836.00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700,864.00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695,324.00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695,244.00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677,398.00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673,400.00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670,275.00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山东威达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656,040.00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交大昂立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621,750.00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恺英网络</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614,148.00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韶能股份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602,159.00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瑞丰光电</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591,971.00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588,200.00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三七互娱</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514,960.00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487,396.00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烽火电子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475,410.00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457,735.00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中南传媒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429,828.00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416,208.00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397,440.00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大连重工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375,624.00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涪陵榨菜</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366,612.00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349,213.00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326,350.00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603288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海天味业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316,764.00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九洲电气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308,274.00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新宝股份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287,470.00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w:t>
            </w:r>
            <w:r>
              <w:rPr>
                <w:rFonts w:ascii="宋体"/>
                <w:color w:val="000000"/>
                <w:kern w:val="0"/>
                <w:sz w:val="24"/>
                <w:szCs w:val="24"/>
              </w:rPr>
              <w:t xml:space="preserve"> </w:t>
            </w:r>
            <w:r>
              <w:rPr>
                <w:rFonts w:hint="eastAsia" w:ascii="宋体"/>
                <w:color w:val="000000"/>
                <w:kern w:val="0"/>
                <w:sz w:val="24"/>
                <w:szCs w:val="24"/>
              </w:rPr>
              <w:t>芝</w:t>
            </w:r>
            <w:r>
              <w:rPr>
                <w:rFonts w:ascii="宋体"/>
                <w:color w:val="000000"/>
                <w:kern w:val="0"/>
                <w:sz w:val="24"/>
                <w:szCs w:val="24"/>
              </w:rPr>
              <w:t xml:space="preserve"> </w:t>
            </w:r>
            <w:r>
              <w:rPr>
                <w:rFonts w:hint="eastAsia" w:ascii="宋体"/>
                <w:color w:val="000000"/>
                <w:kern w:val="0"/>
                <w:sz w:val="24"/>
                <w:szCs w:val="24"/>
              </w:rPr>
              <w:t>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284,401.00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240,318.00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218,820.00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217,737.00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209,792.00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208,656.00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185,928.00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三元股份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144,440.00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壹桥股份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141,284.00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新国都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139,048.00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厦门国贸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127,100.00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安阳钢铁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123,786.00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金隅股份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97,526.00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同济堂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大商股份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95,832.00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长春燃气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54,234.00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鞍钢股份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41,328.00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阳光照明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35,378.00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生益科技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首钢股份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14,564.00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6" w:name="_Toc478044580"/>
      <w:r>
        <w:rPr>
          <w:rFonts w:ascii="宋体"/>
          <w:b/>
          <w:color w:val="000000"/>
          <w:kern w:val="0"/>
          <w:sz w:val="24"/>
          <w:szCs w:val="24"/>
        </w:rPr>
        <w:t xml:space="preserve">8.4 </w:t>
      </w:r>
      <w:r>
        <w:rPr>
          <w:rFonts w:hint="eastAsia" w:ascii="宋体"/>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8.4.1 </w:t>
      </w:r>
      <w:r>
        <w:rPr>
          <w:rFonts w:hint="eastAsia" w:ascii="宋体"/>
          <w:b/>
          <w:color w:val="000000"/>
          <w:kern w:val="0"/>
          <w:sz w:val="24"/>
          <w:szCs w:val="24"/>
        </w:rPr>
        <w:t>累计买入金额超出期初基金资产净值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中国平安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10,642,058.30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民生银行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5,499,857.00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海通证券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4,752,195.00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中国建筑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4,671,384.00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4,656,468.00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4,333,992.00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4,300,884.21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4,219,629.00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4,043,018.00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农业银行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3,814,865.00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3,772,009.00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3,410,963.00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3,369,046.00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华泰证券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3,313,136.00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3,312,243.00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3,308,072.00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3,169,048.00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3,071,808.00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2,964,271.00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2,940,635.00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2,924,038.00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格力电器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2,911,089.00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2,851,778.50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2,828,182.45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东吴证券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2,628,620.00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2,351,691.50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海南航空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2,333,471.00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贵州茅台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2,302,399.00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2,289,812.00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2,260,790.00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2,259,202.00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中文传媒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2,211,954.00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2,104,083.00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广汇汽车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2,033,110.00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1,987,943.00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安信信托</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1,909,219.50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1,867,100.00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南方航空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1,792,743.00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中国交建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1,783,056.50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1,759,409.93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天茂集团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1,741,644.00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1,739,108.00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京东方Ａ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1,712,424.00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伊利股份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1,702,956.00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金地集团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1,700,491.26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江粉磁材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1,658,227.00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1,586,599.00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梅花生物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1,578,360.00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1,571,804.00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1,556,299.46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1,494,410.00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1,489,616.48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1,462,330.00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河钢股份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1,460,813.00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1,457,534.00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海信电器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1,409,637.00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1,391,710.50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新湖中宝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1,378,295.00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上海建工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1,371,993.00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1,335,710.00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神州泰岳</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1,290,003.98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万华化学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1,285,386.00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平安银行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1,198,891.60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1,166,084.00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TCL </w:t>
            </w:r>
            <w:r>
              <w:rPr>
                <w:rFonts w:hint="eastAsia" w:ascii="宋体"/>
                <w:color w:val="000000"/>
                <w:kern w:val="0"/>
                <w:sz w:val="24"/>
                <w:szCs w:val="24"/>
              </w:rPr>
              <w:t>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1,161,049.00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双汇发展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1,143,711.47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中国铁建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1,130,427.00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海螺水泥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1,126,628.00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1,126,126.90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1,125,607.11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凤凰传媒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1,108,322.00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中国太保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1,086,715.00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1,081,930.00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1,048,533.00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1,046,894.00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979,394.00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971,772.00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951,876.41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951,429.00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938,784.00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歌华有线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903,233.00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882,425.00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879,859.00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878,957.00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875,648.00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羚锐制药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866,973.00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国投安信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860,560.00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849,012.00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蓝色光标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847,940.00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大秦铁路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840,949.00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782,168.00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中国人寿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779,522.00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中国联通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764,794.00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750,908.00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748,787.00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外高桥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733,584.00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723,778.00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707,354.00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宇通客车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701,193.05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新疆天业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700,695.00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渤海金控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698,352.00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685,640.00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684,561.72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681,513.00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交大昂立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672,740.66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672,152.00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山东威达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666,090.25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国泰君安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662,972.00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631,841.00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中国中铁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629,994.00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620,414.80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恺英网络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615,305.26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韶能股份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胜利精密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591,333.00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复星医药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579,883.00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信威集团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576,018.00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567,407.00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瑞丰光电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565,018.19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三七互娱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520,290.00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500,416.00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489,889.00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484,974.05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478,417.00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476,674.00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徐工机械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454,790.00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百联股份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451,898.00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山东高速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450,622.95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鞍钢股份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445,268.00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海天味业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444,283.00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川投能源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440,188.00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439,620.00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420,074.00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413,096.00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华夏幸福</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413,041.00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华能国际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411,519.00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恒瑞医药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409,799.00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新宝股份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406,238.00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康美药业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403,016.00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华域汽车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398,522.01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大连重工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381,387.00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华侨城Ａ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375,106.00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涪陵榨菜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363,855.92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363,269.00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362,083.00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360,606.50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湖北能源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356,205.99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w:t>
            </w:r>
            <w:r>
              <w:rPr>
                <w:rFonts w:ascii="宋体"/>
                <w:color w:val="000000"/>
                <w:kern w:val="0"/>
                <w:sz w:val="24"/>
                <w:szCs w:val="24"/>
              </w:rPr>
              <w:t xml:space="preserve"> </w:t>
            </w:r>
            <w:r>
              <w:rPr>
                <w:rFonts w:hint="eastAsia" w:ascii="宋体"/>
                <w:color w:val="000000"/>
                <w:kern w:val="0"/>
                <w:sz w:val="24"/>
                <w:szCs w:val="24"/>
              </w:rPr>
              <w:t>芝</w:t>
            </w:r>
            <w:r>
              <w:rPr>
                <w:rFonts w:ascii="宋体"/>
                <w:color w:val="000000"/>
                <w:kern w:val="0"/>
                <w:sz w:val="24"/>
                <w:szCs w:val="24"/>
              </w:rPr>
              <w:t xml:space="preserve"> </w:t>
            </w:r>
            <w:r>
              <w:rPr>
                <w:rFonts w:hint="eastAsia" w:ascii="宋体"/>
                <w:color w:val="000000"/>
                <w:kern w:val="0"/>
                <w:sz w:val="24"/>
                <w:szCs w:val="24"/>
              </w:rPr>
              <w:t>堂</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351,051.00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337,055.00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332,294.00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331,576.00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海格通信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315,371.50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中国电建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314,124.00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白云山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313,127.00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307,837.00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雅戈尔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303,934.00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300,730.00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300,512.00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九洲电气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299,050.00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293,734.00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吉林敖东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293,390.00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立讯精密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281,760.00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青岛海尔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275,078.00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中直股份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273,322.00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273,142.00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270,923.00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华电国际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269,358.00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269,171.00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262,588.00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深高速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251,162.50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247,617.00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247,145.00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246,916.56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四川成渝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246,773.00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广深铁路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申能股份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245,140.00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传化智联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241,396.00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首开股份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241,063.00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康得新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239,912.00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燕京啤酒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236,993.00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新国都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235,278.00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长安汽车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233,105.00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金隅股份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232,972.00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牧原股份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广电运通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227,342.00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葛洲坝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226,223.00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荣盛发展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219,886.00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中船防务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218,266.00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218,194.00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216,391.00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光大证券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212,793.00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特变电工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210,544.00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华策影视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209,529.00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三元股份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202,573.00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注：本期累计买入金额按买卖成交金额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8.4.2 </w:t>
      </w:r>
      <w:r>
        <w:rPr>
          <w:rFonts w:hint="eastAsia" w:ascii="宋体"/>
          <w:b/>
          <w:color w:val="000000"/>
          <w:kern w:val="0"/>
          <w:sz w:val="24"/>
          <w:szCs w:val="24"/>
        </w:rPr>
        <w:t>累计卖出金额超出期初基金资产净值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民生银行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1,030,337.91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海通证券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699,225.00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677,050.83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中国平安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672,659.00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中国建筑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637,798.00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620,304.00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东吴证券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556,151.00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554,607.00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华泰证券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540,994.00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501,053.00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482,459.56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481,399.00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456,845.00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川投能源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442,258.00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百联股份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431,948.00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鞍钢股份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430,159.00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华侨城Ａ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390,063.90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华能国际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389,849.00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388,206.50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373,809.00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双汇发展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369,248.48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366,503.00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361,821.00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湖北能源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359,547.00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华夏幸福</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357,795.00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353,588.00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中国联通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345,826.00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华域汽车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345,392.00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342,995.82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中国交建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337,203.00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335,859.00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海格通信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335,517.00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金地集团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326,874.00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上海建工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316,679.00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白云山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310,612.00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304,982.72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302,756.00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296,971.00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295,953.91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吉林敖东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295,164.00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291,087.00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青岛海尔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287,855.00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286,235.00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285,358.00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神州泰岳</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280,852.00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立讯精密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277,391.50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中国铁建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276,283.00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275,920.00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269,414.00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国投安信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263,566.00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广深铁路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263,476.00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263,363.00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261,086.00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260,046.00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中文传媒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256,174.00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中直股份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253,604.20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251,855.00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251,444.00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249,216.40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首开股份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248,623.00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245,182.00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宇通客车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244,854.00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长安汽车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240,918.11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四川成渝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240,591.00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申能股份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240,192.00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传化智联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239,712.00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华电国际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234,948.00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中船防务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232,393.00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信威集团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231,251.00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广州发展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229,239.00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226,648.00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燕京啤酒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224,384.00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218,315.00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荣盛发展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217,296.00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葛洲坝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217,281.00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214,729.00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海螺水泥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212,979.00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211,688.00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华策影视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210,647.00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209,312.00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209,161.00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207,011.00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广电运通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204,421.00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九州通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200,845.00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注：本期累计卖出金额按买卖成交金额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8.4.3 </w:t>
      </w:r>
      <w:r>
        <w:rPr>
          <w:rFonts w:hint="eastAsia" w:ascii="宋体"/>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260,255,521.07</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60,409,312.87</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注：买入股票成本、卖出股票收入均按买卖成交金额填列，不考虑相关交易费用。</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7" w:name="_Toc478044581"/>
      <w:r>
        <w:rPr>
          <w:rFonts w:ascii="宋体"/>
          <w:b/>
          <w:color w:val="000000"/>
          <w:kern w:val="0"/>
          <w:sz w:val="24"/>
          <w:szCs w:val="24"/>
        </w:rPr>
        <w:t xml:space="preserve">8.5 </w:t>
      </w:r>
      <w:r>
        <w:rPr>
          <w:rFonts w:hint="eastAsia" w:ascii="宋体"/>
          <w:b/>
          <w:color w:val="000000"/>
          <w:kern w:val="0"/>
          <w:sz w:val="24"/>
          <w:szCs w:val="24"/>
        </w:rPr>
        <w:t>期末按债券品种分类的债券投资组合</w:t>
      </w:r>
      <w:bookmarkEnd w:id="37"/>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8" w:name="_Toc478044582"/>
      <w:r>
        <w:rPr>
          <w:rFonts w:ascii="宋体"/>
          <w:b/>
          <w:color w:val="000000"/>
          <w:kern w:val="0"/>
          <w:sz w:val="24"/>
          <w:szCs w:val="24"/>
        </w:rPr>
        <w:t xml:space="preserve">8.6 </w:t>
      </w:r>
      <w:r>
        <w:rPr>
          <w:rFonts w:hint="eastAsia" w:ascii="宋体"/>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9" w:name="_Toc478044583"/>
      <w:r>
        <w:rPr>
          <w:rFonts w:ascii="宋体"/>
          <w:b/>
          <w:color w:val="000000"/>
          <w:kern w:val="0"/>
          <w:sz w:val="24"/>
          <w:szCs w:val="24"/>
        </w:rPr>
        <w:t xml:space="preserve">8.7 </w:t>
      </w:r>
      <w:r>
        <w:rPr>
          <w:rFonts w:hint="eastAsia" w:ascii="宋体"/>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本基金本报告期末未持有资产支持证券。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0" w:name="_Toc478044584"/>
      <w:r>
        <w:rPr>
          <w:rFonts w:ascii="宋体"/>
          <w:b/>
          <w:color w:val="000000"/>
          <w:kern w:val="0"/>
          <w:sz w:val="24"/>
          <w:szCs w:val="24"/>
        </w:rPr>
        <w:t xml:space="preserve">8.8 </w:t>
      </w:r>
      <w:r>
        <w:rPr>
          <w:rFonts w:hint="eastAsia" w:ascii="宋体"/>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本基金本报告期末未持有贵金属。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1" w:name="_Toc478044585"/>
      <w:r>
        <w:rPr>
          <w:rFonts w:ascii="宋体"/>
          <w:b/>
          <w:color w:val="000000"/>
          <w:kern w:val="0"/>
          <w:sz w:val="24"/>
          <w:szCs w:val="24"/>
        </w:rPr>
        <w:t xml:space="preserve">8.9 </w:t>
      </w:r>
      <w:r>
        <w:rPr>
          <w:rFonts w:hint="eastAsia" w:ascii="宋体"/>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本基金本报告期末未持有权证。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2" w:name="_Toc478044586"/>
      <w:r>
        <w:rPr>
          <w:rFonts w:ascii="宋体"/>
          <w:b/>
          <w:color w:val="000000"/>
          <w:kern w:val="0"/>
          <w:sz w:val="24"/>
          <w:szCs w:val="24"/>
        </w:rPr>
        <w:t xml:space="preserve">8.10 </w:t>
      </w:r>
      <w:r>
        <w:rPr>
          <w:rFonts w:hint="eastAsia" w:ascii="宋体"/>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本基金本报告期未投资股指期货。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3" w:name="_Toc478044587"/>
      <w:r>
        <w:rPr>
          <w:rFonts w:ascii="宋体"/>
          <w:b/>
          <w:color w:val="000000"/>
          <w:kern w:val="0"/>
          <w:sz w:val="24"/>
          <w:szCs w:val="24"/>
        </w:rPr>
        <w:t xml:space="preserve">8.11 </w:t>
      </w:r>
      <w:r>
        <w:rPr>
          <w:rFonts w:hint="eastAsia" w:ascii="宋体"/>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本基金本报告期未投资国债期货。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4" w:name="_Toc478044588"/>
      <w:r>
        <w:rPr>
          <w:rFonts w:ascii="宋体"/>
          <w:b/>
          <w:color w:val="000000"/>
          <w:kern w:val="0"/>
          <w:sz w:val="24"/>
          <w:szCs w:val="24"/>
        </w:rPr>
        <w:t xml:space="preserve">8.12 </w:t>
      </w:r>
      <w:r>
        <w:rPr>
          <w:rFonts w:hint="eastAsia" w:ascii="宋体"/>
          <w:b/>
          <w:color w:val="000000"/>
          <w:kern w:val="0"/>
          <w:sz w:val="24"/>
          <w:szCs w:val="24"/>
        </w:rPr>
        <w:t>投资组合报告附注</w:t>
      </w:r>
      <w:bookmarkEnd w:id="44"/>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8.12.1</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25</w:t>
      </w:r>
      <w:r>
        <w:rPr>
          <w:rFonts w:hint="eastAsia" w:ascii="宋体"/>
          <w:color w:val="000000"/>
          <w:kern w:val="0"/>
          <w:sz w:val="24"/>
          <w:szCs w:val="24"/>
        </w:rPr>
        <w:t>日，海通证券因两个营业部经营违规受到证监会处罚，没收加罚款金额合计约</w:t>
      </w:r>
      <w:r>
        <w:rPr>
          <w:rFonts w:ascii="宋体"/>
          <w:color w:val="000000"/>
          <w:kern w:val="0"/>
          <w:sz w:val="24"/>
          <w:szCs w:val="24"/>
        </w:rPr>
        <w:t>1.15</w:t>
      </w:r>
      <w:r>
        <w:rPr>
          <w:rFonts w:hint="eastAsia" w:ascii="宋体"/>
          <w:color w:val="000000"/>
          <w:kern w:val="0"/>
          <w:sz w:val="24"/>
          <w:szCs w:val="24"/>
        </w:rPr>
        <w:t>亿元。</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本基金投研人员分析认为，在受到处罚后，海通证券公司改正态度积极，并迅速做出反应，查找不足，积极整改，该事件发生后该公司经营状况正常。另外，公司</w:t>
      </w:r>
      <w:r>
        <w:rPr>
          <w:rFonts w:ascii="宋体"/>
          <w:color w:val="000000"/>
          <w:kern w:val="0"/>
          <w:sz w:val="24"/>
          <w:szCs w:val="24"/>
        </w:rPr>
        <w:t>2015</w:t>
      </w:r>
      <w:r>
        <w:rPr>
          <w:rFonts w:hint="eastAsia" w:ascii="宋体"/>
          <w:color w:val="000000"/>
          <w:kern w:val="0"/>
          <w:sz w:val="24"/>
          <w:szCs w:val="24"/>
        </w:rPr>
        <w:t>年营业利润为</w:t>
      </w:r>
      <w:r>
        <w:rPr>
          <w:rFonts w:ascii="宋体"/>
          <w:color w:val="000000"/>
          <w:kern w:val="0"/>
          <w:sz w:val="24"/>
          <w:szCs w:val="24"/>
        </w:rPr>
        <w:t>211</w:t>
      </w:r>
      <w:r>
        <w:rPr>
          <w:rFonts w:hint="eastAsia" w:ascii="宋体"/>
          <w:color w:val="000000"/>
          <w:kern w:val="0"/>
          <w:sz w:val="24"/>
          <w:szCs w:val="24"/>
        </w:rPr>
        <w:t>亿元，股东权益为</w:t>
      </w:r>
      <w:r>
        <w:rPr>
          <w:rFonts w:ascii="宋体"/>
          <w:color w:val="000000"/>
          <w:kern w:val="0"/>
          <w:sz w:val="24"/>
          <w:szCs w:val="24"/>
        </w:rPr>
        <w:t>1169</w:t>
      </w:r>
      <w:r>
        <w:rPr>
          <w:rFonts w:hint="eastAsia" w:ascii="宋体"/>
          <w:color w:val="000000"/>
          <w:kern w:val="0"/>
          <w:sz w:val="24"/>
          <w:szCs w:val="24"/>
        </w:rPr>
        <w:t>亿元，</w:t>
      </w:r>
      <w:r>
        <w:rPr>
          <w:rFonts w:ascii="宋体"/>
          <w:color w:val="000000"/>
          <w:kern w:val="0"/>
          <w:sz w:val="24"/>
          <w:szCs w:val="24"/>
        </w:rPr>
        <w:t>1.15</w:t>
      </w:r>
      <w:r>
        <w:rPr>
          <w:rFonts w:hint="eastAsia" w:ascii="宋体"/>
          <w:color w:val="000000"/>
          <w:kern w:val="0"/>
          <w:sz w:val="24"/>
          <w:szCs w:val="24"/>
        </w:rPr>
        <w:t>亿元罚款对公司利润、股东权益的影响非常有限。该公司作为证券行业龙头之一，经营和财务状况良好，符合我公司股票投资标准。本基金基金经理依据基金合同和公司投资管理制度，在投资授权范围内，经正常投资决策程序对海通证券进行了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8.12.2</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8.12.3 </w:t>
      </w:r>
      <w:r>
        <w:rPr>
          <w:rFonts w:hint="eastAsia" w:ascii="宋体"/>
          <w:b/>
          <w:color w:val="000000"/>
          <w:kern w:val="0"/>
          <w:sz w:val="24"/>
          <w:szCs w:val="24"/>
        </w:rPr>
        <w:t>期末其他各项资产构成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3973"/>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3,768.48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11,774.86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21,035.10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8.12.4 </w:t>
      </w:r>
      <w:r>
        <w:rPr>
          <w:rFonts w:hint="eastAsia" w:ascii="宋体"/>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本基金本报告期末未持有处于转股期的可转换债券。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 </w:t>
      </w:r>
      <w:r>
        <w:rPr>
          <w:rFonts w:hint="eastAsia" w:ascii="宋体"/>
          <w:b/>
          <w:color w:val="000000"/>
          <w:kern w:val="0"/>
          <w:sz w:val="24"/>
          <w:szCs w:val="24"/>
        </w:rPr>
        <w:t>期末股票中存在流通受限情况的说明</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8.12.5.1 </w:t>
      </w:r>
      <w:r>
        <w:rPr>
          <w:rFonts w:hint="eastAsia" w:ascii="宋体"/>
          <w:b/>
          <w:color w:val="000000"/>
          <w:kern w:val="0"/>
          <w:sz w:val="24"/>
          <w:szCs w:val="24"/>
        </w:rPr>
        <w:t>期末指数投资前十名股票中存在流通受限情况的说明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本基金本报告期末指数投资前十名股票不存在流通受限的情况。</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8.12.5.2 </w:t>
      </w:r>
      <w:r>
        <w:rPr>
          <w:rFonts w:hint="eastAsia" w:ascii="宋体"/>
          <w:b/>
          <w:color w:val="000000"/>
          <w:kern w:val="0"/>
          <w:sz w:val="24"/>
          <w:szCs w:val="24"/>
        </w:rPr>
        <w:t>期末积极投资前五名股票中存在流通受限情况的说明</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本基金本报告期末积极投资前五名股票不存在流通受限的情况。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5" w:name="_Toc478044589"/>
      <w:r>
        <w:rPr>
          <w:rFonts w:hint="eastAsia" w:ascii="宋体"/>
          <w:b/>
          <w:color w:val="000000"/>
          <w:kern w:val="0"/>
          <w:sz w:val="24"/>
          <w:szCs w:val="24"/>
        </w:rPr>
        <w:t>§</w:t>
      </w:r>
      <w:r>
        <w:rPr>
          <w:rFonts w:ascii="宋体"/>
          <w:b/>
          <w:color w:val="000000"/>
          <w:kern w:val="0"/>
          <w:sz w:val="24"/>
          <w:szCs w:val="24"/>
        </w:rPr>
        <w:t xml:space="preserve">9 </w:t>
      </w:r>
      <w:r>
        <w:rPr>
          <w:rFonts w:hint="eastAsia" w:ascii="宋体"/>
          <w:b/>
          <w:color w:val="000000"/>
          <w:kern w:val="0"/>
          <w:sz w:val="24"/>
          <w:szCs w:val="24"/>
        </w:rPr>
        <w:t>基金份额持有人信息</w:t>
      </w:r>
      <w:bookmarkEnd w:id="4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6" w:name="_Toc478044590"/>
      <w:r>
        <w:rPr>
          <w:rFonts w:ascii="宋体"/>
          <w:b/>
          <w:color w:val="000000"/>
          <w:kern w:val="0"/>
          <w:sz w:val="24"/>
          <w:szCs w:val="24"/>
        </w:rPr>
        <w:t xml:space="preserve">9.1 </w:t>
      </w:r>
      <w:r>
        <w:rPr>
          <w:rFonts w:hint="eastAsia" w:ascii="宋体"/>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84"/>
        <w:gridCol w:w="1444"/>
        <w:gridCol w:w="1445"/>
        <w:gridCol w:w="1445"/>
        <w:gridCol w:w="1084"/>
        <w:gridCol w:w="1444"/>
        <w:gridCol w:w="1084"/>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持有人户数</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户</w:t>
            </w:r>
            <w:r>
              <w:rPr>
                <w:rFonts w:ascii="宋体"/>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机构投资者</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2,677,949.96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213,926,231.17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99.86%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309,765.72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51,666.18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92.17%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424,948.88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7.83%</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1,213,596.39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218,926,231.17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99.67%</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734,714.60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bl>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7" w:name="_Toc478044591"/>
      <w:r>
        <w:rPr>
          <w:rFonts w:ascii="宋体"/>
          <w:b/>
          <w:color w:val="000000"/>
          <w:kern w:val="0"/>
          <w:sz w:val="24"/>
          <w:szCs w:val="24"/>
        </w:rPr>
        <w:t xml:space="preserve">9.2 </w:t>
      </w:r>
      <w:r>
        <w:rPr>
          <w:rFonts w:hint="eastAsia" w:ascii="宋体"/>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0.000000%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24,996.34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0.460766%</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24,996.34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0.011380%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8" w:name="_Toc478044592"/>
      <w:r>
        <w:rPr>
          <w:rFonts w:ascii="宋体"/>
          <w:b/>
          <w:color w:val="000000"/>
          <w:kern w:val="0"/>
          <w:sz w:val="24"/>
          <w:szCs w:val="24"/>
        </w:rPr>
        <w:t xml:space="preserve">9.3 </w:t>
      </w:r>
      <w:r>
        <w:rPr>
          <w:rFonts w:hint="eastAsia" w:ascii="宋体"/>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持有基金份额总量的数量区间</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9.4 </w:t>
      </w:r>
      <w:r>
        <w:rPr>
          <w:rFonts w:hint="eastAsia" w:ascii="宋体"/>
          <w:b/>
          <w:color w:val="000000"/>
          <w:kern w:val="0"/>
          <w:sz w:val="24"/>
          <w:szCs w:val="24"/>
        </w:rPr>
        <w:t>发起式基金发起资金持有份额情况</w:t>
      </w:r>
    </w:p>
    <w:tbl>
      <w:tblPr>
        <w:tblStyle w:val="8"/>
        <w:tblW w:w="0" w:type="auto"/>
        <w:tblInd w:w="108" w:type="dxa"/>
        <w:tblLayout w:type="fixed"/>
        <w:tblCellMar>
          <w:top w:w="0" w:type="dxa"/>
          <w:left w:w="108" w:type="dxa"/>
          <w:bottom w:w="0" w:type="dxa"/>
          <w:right w:w="108" w:type="dxa"/>
        </w:tblCellMar>
      </w:tblPr>
      <w:tblGrid>
        <w:gridCol w:w="2167"/>
        <w:gridCol w:w="1445"/>
        <w:gridCol w:w="1084"/>
        <w:gridCol w:w="1444"/>
        <w:gridCol w:w="1445"/>
        <w:gridCol w:w="1445"/>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持有份额总数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持有份额占基金总份额比例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发起份额总数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发起份额占基金总份额比例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发起份额承诺持有期限</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基金管理人固有资金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w:t>
            </w:r>
            <w:r>
              <w:rPr>
                <w:rFonts w:hint="eastAsia" w:ascii="宋体"/>
                <w:color w:val="000000"/>
                <w:kern w:val="0"/>
                <w:sz w:val="24"/>
                <w:szCs w:val="24"/>
              </w:rPr>
              <w:t>月</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基金管理人高级管理人员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基金经理等人员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9" w:name="_Toc478044593"/>
      <w:r>
        <w:rPr>
          <w:rFonts w:hint="eastAsia" w:ascii="宋体"/>
          <w:b/>
          <w:color w:val="000000"/>
          <w:kern w:val="0"/>
          <w:sz w:val="24"/>
          <w:szCs w:val="24"/>
        </w:rPr>
        <w:t>§</w:t>
      </w:r>
      <w:r>
        <w:rPr>
          <w:rFonts w:ascii="宋体"/>
          <w:b/>
          <w:color w:val="000000"/>
          <w:kern w:val="0"/>
          <w:sz w:val="24"/>
          <w:szCs w:val="24"/>
        </w:rPr>
        <w:t xml:space="preserve">10 </w:t>
      </w:r>
      <w:r>
        <w:rPr>
          <w:rFonts w:hint="eastAsia" w:ascii="宋体"/>
          <w:b/>
          <w:color w:val="000000"/>
          <w:kern w:val="0"/>
          <w:sz w:val="24"/>
          <w:szCs w:val="24"/>
        </w:rPr>
        <w:t>开放式基金份额变动</w:t>
      </w:r>
      <w:bookmarkEnd w:id="49"/>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创金合信沪深</w:t>
            </w:r>
            <w:r>
              <w:rPr>
                <w:rFonts w:ascii="Times New Roman" w:hAnsi="Times New Roman"/>
                <w:color w:val="000000"/>
                <w:kern w:val="0"/>
                <w:sz w:val="24"/>
                <w:szCs w:val="24"/>
              </w:rPr>
              <w:t>300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209,585,662.43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9,398,900.80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349,665.54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8,973,951.92</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214,235,996.89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5,424,948.88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0" w:name="_Toc478044594"/>
      <w:r>
        <w:rPr>
          <w:rFonts w:hint="eastAsia" w:ascii="宋体"/>
          <w:b/>
          <w:color w:val="000000"/>
          <w:kern w:val="0"/>
          <w:sz w:val="24"/>
          <w:szCs w:val="24"/>
        </w:rPr>
        <w:t>§</w:t>
      </w:r>
      <w:r>
        <w:rPr>
          <w:rFonts w:ascii="宋体"/>
          <w:b/>
          <w:color w:val="000000"/>
          <w:kern w:val="0"/>
          <w:sz w:val="24"/>
          <w:szCs w:val="24"/>
        </w:rPr>
        <w:t xml:space="preserve">11 </w:t>
      </w:r>
      <w:r>
        <w:rPr>
          <w:rFonts w:hint="eastAsia" w:ascii="宋体"/>
          <w:b/>
          <w:color w:val="000000"/>
          <w:kern w:val="0"/>
          <w:sz w:val="24"/>
          <w:szCs w:val="24"/>
        </w:rPr>
        <w:t>重大事件揭示</w:t>
      </w:r>
      <w:bookmarkEnd w:id="50"/>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1" w:name="_Toc478044595"/>
      <w:r>
        <w:rPr>
          <w:rFonts w:ascii="宋体"/>
          <w:b/>
          <w:color w:val="000000"/>
          <w:kern w:val="0"/>
          <w:sz w:val="24"/>
          <w:szCs w:val="24"/>
        </w:rPr>
        <w:t xml:space="preserve">11.1 </w:t>
      </w:r>
      <w:r>
        <w:rPr>
          <w:rFonts w:hint="eastAsia" w:ascii="宋体"/>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本报告期内未召开基金份额持有人大会。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2" w:name="_Toc478044596"/>
      <w:r>
        <w:rPr>
          <w:rFonts w:ascii="宋体"/>
          <w:b/>
          <w:color w:val="000000"/>
          <w:kern w:val="0"/>
          <w:sz w:val="24"/>
          <w:szCs w:val="24"/>
        </w:rPr>
        <w:t xml:space="preserve">11.2 </w:t>
      </w:r>
      <w:r>
        <w:rPr>
          <w:rFonts w:hint="eastAsia" w:ascii="宋体"/>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3" w:name="_Toc478044597"/>
      <w:r>
        <w:rPr>
          <w:rFonts w:ascii="宋体"/>
          <w:b/>
          <w:color w:val="000000"/>
          <w:kern w:val="0"/>
          <w:sz w:val="24"/>
          <w:szCs w:val="24"/>
        </w:rPr>
        <w:t xml:space="preserve">11.3 </w:t>
      </w:r>
      <w:r>
        <w:rPr>
          <w:rFonts w:hint="eastAsia" w:ascii="宋体"/>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4" w:name="_Toc478044598"/>
      <w:r>
        <w:rPr>
          <w:rFonts w:ascii="宋体"/>
          <w:b/>
          <w:color w:val="000000"/>
          <w:kern w:val="0"/>
          <w:sz w:val="24"/>
          <w:szCs w:val="24"/>
        </w:rPr>
        <w:t xml:space="preserve">11.4 </w:t>
      </w:r>
      <w:r>
        <w:rPr>
          <w:rFonts w:hint="eastAsia" w:ascii="宋体"/>
          <w:b/>
          <w:color w:val="000000"/>
          <w:kern w:val="0"/>
          <w:sz w:val="24"/>
          <w:szCs w:val="24"/>
        </w:rPr>
        <w:t>基金投资策略的改变</w:t>
      </w:r>
      <w:bookmarkEnd w:id="5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本报告期内，基金投资策略无重大改变。</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5" w:name="_Toc478044599"/>
      <w:r>
        <w:rPr>
          <w:rFonts w:ascii="宋体"/>
          <w:b/>
          <w:color w:val="000000"/>
          <w:kern w:val="0"/>
          <w:sz w:val="24"/>
          <w:szCs w:val="24"/>
        </w:rPr>
        <w:t xml:space="preserve">11.5 </w:t>
      </w:r>
      <w:r>
        <w:rPr>
          <w:rFonts w:hint="eastAsia" w:ascii="宋体"/>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本报告期内本基金未更换会计师事务所，本年度支付给普华永道中天会计师事务所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审计费用</w:t>
      </w:r>
      <w:r>
        <w:rPr>
          <w:rFonts w:ascii="宋体"/>
          <w:color w:val="000000"/>
          <w:kern w:val="0"/>
          <w:sz w:val="24"/>
          <w:szCs w:val="24"/>
        </w:rPr>
        <w:t>30,000.00</w:t>
      </w:r>
      <w:r>
        <w:rPr>
          <w:rFonts w:hint="eastAsia" w:ascii="宋体"/>
          <w:color w:val="000000"/>
          <w:kern w:val="0"/>
          <w:sz w:val="24"/>
          <w:szCs w:val="24"/>
        </w:rPr>
        <w:t>元，该审计机构连续提供审计服务的年限为</w:t>
      </w:r>
      <w:r>
        <w:rPr>
          <w:rFonts w:ascii="宋体"/>
          <w:color w:val="000000"/>
          <w:kern w:val="0"/>
          <w:sz w:val="24"/>
          <w:szCs w:val="24"/>
        </w:rPr>
        <w:t>1</w:t>
      </w:r>
      <w:r>
        <w:rPr>
          <w:rFonts w:hint="eastAsia" w:ascii="宋体"/>
          <w:color w:val="000000"/>
          <w:kern w:val="0"/>
          <w:sz w:val="24"/>
          <w:szCs w:val="24"/>
        </w:rPr>
        <w:t>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6" w:name="_Toc478044600"/>
      <w:r>
        <w:rPr>
          <w:rFonts w:ascii="宋体"/>
          <w:b/>
          <w:color w:val="000000"/>
          <w:kern w:val="0"/>
          <w:sz w:val="24"/>
          <w:szCs w:val="24"/>
        </w:rPr>
        <w:t xml:space="preserve">11.6 </w:t>
      </w:r>
      <w:r>
        <w:rPr>
          <w:rFonts w:hint="eastAsia" w:ascii="宋体"/>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宋体"/>
          <w:b/>
          <w:color w:val="000000"/>
          <w:kern w:val="0"/>
          <w:sz w:val="24"/>
          <w:szCs w:val="24"/>
        </w:rPr>
      </w:pPr>
      <w:bookmarkStart w:id="57" w:name="_Toc478044601"/>
      <w:r>
        <w:rPr>
          <w:rFonts w:ascii="宋体"/>
          <w:b/>
          <w:color w:val="000000"/>
          <w:kern w:val="0"/>
          <w:sz w:val="24"/>
          <w:szCs w:val="24"/>
        </w:rPr>
        <w:t xml:space="preserve">11.7 </w:t>
      </w:r>
      <w:r>
        <w:rPr>
          <w:rFonts w:hint="eastAsia" w:ascii="宋体"/>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11.7.1 </w:t>
      </w:r>
      <w:r>
        <w:rPr>
          <w:rFonts w:hint="eastAsia" w:ascii="宋体"/>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交易单元</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占股票</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占当期佣金</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35,252,486.84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10.99%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25,482.05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285,412,347.10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89.01%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264,032.78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91.20%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注：交易单元的选择标准和程序：</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1</w:t>
      </w:r>
      <w:r>
        <w:rPr>
          <w:rFonts w:hint="eastAsia" w:ascii="宋体"/>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2</w:t>
      </w:r>
      <w:r>
        <w:rPr>
          <w:rFonts w:hint="eastAsia" w:ascii="宋体"/>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3</w:t>
      </w:r>
      <w:r>
        <w:rPr>
          <w:rFonts w:hint="eastAsia" w:ascii="宋体"/>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4</w:t>
      </w:r>
      <w:r>
        <w:rPr>
          <w:rFonts w:hint="eastAsia" w:ascii="宋体"/>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本基金在报告期新增光大证券的</w:t>
      </w:r>
      <w:r>
        <w:rPr>
          <w:rFonts w:ascii="宋体"/>
          <w:color w:val="000000"/>
          <w:kern w:val="0"/>
          <w:szCs w:val="24"/>
        </w:rPr>
        <w:t>2</w:t>
      </w:r>
      <w:r>
        <w:rPr>
          <w:rFonts w:hint="eastAsia" w:ascii="宋体"/>
          <w:color w:val="000000"/>
          <w:kern w:val="0"/>
          <w:szCs w:val="24"/>
        </w:rPr>
        <w:t>个交易单元。</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注：本基金本报告期内无租用证券公司交易单元进行其他证券投资的情况。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8" w:name="_Toc478044602"/>
      <w:r>
        <w:rPr>
          <w:rFonts w:ascii="宋体"/>
          <w:b/>
          <w:color w:val="000000"/>
          <w:kern w:val="0"/>
          <w:sz w:val="24"/>
          <w:szCs w:val="24"/>
        </w:rPr>
        <w:t xml:space="preserve">11.8 </w:t>
      </w:r>
      <w:r>
        <w:rPr>
          <w:rFonts w:hint="eastAsia" w:ascii="宋体"/>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创金合信基金管理有限公司关于创金合信沪深</w:t>
            </w:r>
            <w:r>
              <w:rPr>
                <w:rFonts w:ascii="宋体"/>
                <w:color w:val="000000"/>
                <w:kern w:val="0"/>
                <w:sz w:val="24"/>
                <w:szCs w:val="24"/>
              </w:rPr>
              <w:t>300</w:t>
            </w:r>
            <w:r>
              <w:rPr>
                <w:rFonts w:hint="eastAsia" w:ascii="宋体"/>
                <w:color w:val="000000"/>
                <w:kern w:val="0"/>
                <w:sz w:val="24"/>
                <w:szCs w:val="24"/>
              </w:rPr>
              <w:t>指数增强型发起式证券投资基金、创金合信中证</w:t>
            </w:r>
            <w:r>
              <w:rPr>
                <w:rFonts w:ascii="宋体"/>
                <w:color w:val="000000"/>
                <w:kern w:val="0"/>
                <w:sz w:val="24"/>
                <w:szCs w:val="24"/>
              </w:rPr>
              <w:t>500</w:t>
            </w:r>
            <w:r>
              <w:rPr>
                <w:rFonts w:hint="eastAsia" w:ascii="宋体"/>
                <w:color w:val="000000"/>
                <w:kern w:val="0"/>
                <w:sz w:val="24"/>
                <w:szCs w:val="24"/>
              </w:rPr>
              <w:t>指数增强型发起式证券投资基金增加代销机构的公告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2016-03-30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2</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3</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指数增强型发起式证券投资基金暂停大额申购的公告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9" w:name="_Toc478044603"/>
      <w:r>
        <w:rPr>
          <w:rFonts w:hint="eastAsia" w:ascii="宋体"/>
          <w:b/>
          <w:color w:val="000000"/>
          <w:kern w:val="0"/>
          <w:sz w:val="24"/>
          <w:szCs w:val="24"/>
        </w:rPr>
        <w:t>§</w:t>
      </w:r>
      <w:r>
        <w:rPr>
          <w:rFonts w:ascii="宋体"/>
          <w:b/>
          <w:color w:val="000000"/>
          <w:kern w:val="0"/>
          <w:sz w:val="24"/>
          <w:szCs w:val="24"/>
        </w:rPr>
        <w:t xml:space="preserve">12 </w:t>
      </w:r>
      <w:r>
        <w:rPr>
          <w:rFonts w:hint="eastAsia" w:ascii="宋体"/>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本报告期内，未出现影响投资者决策的其他重要信息。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0" w:name="_Toc478044604"/>
      <w:r>
        <w:rPr>
          <w:rFonts w:hint="eastAsia" w:ascii="宋体"/>
          <w:b/>
          <w:color w:val="000000"/>
          <w:kern w:val="0"/>
          <w:sz w:val="24"/>
          <w:szCs w:val="24"/>
        </w:rPr>
        <w:t>§</w:t>
      </w:r>
      <w:r>
        <w:rPr>
          <w:rFonts w:ascii="宋体"/>
          <w:b/>
          <w:color w:val="000000"/>
          <w:kern w:val="0"/>
          <w:sz w:val="24"/>
          <w:szCs w:val="24"/>
        </w:rPr>
        <w:t xml:space="preserve">13 </w:t>
      </w:r>
      <w:r>
        <w:rPr>
          <w:rFonts w:hint="eastAsia" w:ascii="宋体"/>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宋体"/>
          <w:b/>
          <w:color w:val="000000"/>
          <w:kern w:val="0"/>
          <w:sz w:val="24"/>
          <w:szCs w:val="24"/>
        </w:rPr>
      </w:pPr>
      <w:bookmarkStart w:id="61" w:name="_Toc478044605"/>
      <w:r>
        <w:rPr>
          <w:rFonts w:ascii="宋体"/>
          <w:b/>
          <w:color w:val="000000"/>
          <w:kern w:val="0"/>
          <w:sz w:val="24"/>
          <w:szCs w:val="24"/>
        </w:rPr>
        <w:t xml:space="preserve">13.1 </w:t>
      </w:r>
      <w:r>
        <w:rPr>
          <w:rFonts w:hint="eastAsia" w:ascii="宋体"/>
          <w:b/>
          <w:color w:val="000000"/>
          <w:kern w:val="0"/>
          <w:sz w:val="24"/>
          <w:szCs w:val="24"/>
        </w:rPr>
        <w:t>备查文件目录</w:t>
      </w:r>
      <w:bookmarkEnd w:id="61"/>
    </w:p>
    <w:p>
      <w:pPr>
        <w:autoSpaceDE w:val="0"/>
        <w:autoSpaceDN w:val="0"/>
        <w:adjustRightInd w:val="0"/>
        <w:spacing w:before="29" w:line="288" w:lineRule="auto"/>
        <w:ind w:left="15" w:firstLine="465"/>
        <w:jc w:val="left"/>
        <w:rPr>
          <w:rFonts w:hint="eastAsia"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指数增强型发起式证券投资基金基金合同》；</w:t>
      </w:r>
    </w:p>
    <w:p>
      <w:pPr>
        <w:autoSpaceDE w:val="0"/>
        <w:autoSpaceDN w:val="0"/>
        <w:adjustRightInd w:val="0"/>
        <w:spacing w:before="29" w:line="288" w:lineRule="auto"/>
        <w:ind w:left="15" w:firstLine="465"/>
        <w:jc w:val="left"/>
        <w:rPr>
          <w:rFonts w:hint="eastAsia"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指数增强型发起式证券投资基金托管协议》；</w:t>
      </w:r>
    </w:p>
    <w:p>
      <w:pPr>
        <w:autoSpaceDE w:val="0"/>
        <w:autoSpaceDN w:val="0"/>
        <w:adjustRightInd w:val="0"/>
        <w:spacing w:before="29" w:line="288" w:lineRule="auto"/>
        <w:ind w:left="15" w:firstLine="46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、创金合信沪深</w:t>
      </w:r>
      <w:r>
        <w:rPr>
          <w:rFonts w:ascii="宋体"/>
          <w:color w:val="000000"/>
          <w:kern w:val="0"/>
          <w:sz w:val="24"/>
          <w:szCs w:val="24"/>
        </w:rPr>
        <w:t>300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年年度报告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2" w:name="_Toc478044606"/>
      <w:r>
        <w:rPr>
          <w:rFonts w:ascii="宋体"/>
          <w:b/>
          <w:color w:val="000000"/>
          <w:kern w:val="0"/>
          <w:sz w:val="24"/>
          <w:szCs w:val="24"/>
        </w:rPr>
        <w:t xml:space="preserve">13.2 </w:t>
      </w:r>
      <w:r>
        <w:rPr>
          <w:rFonts w:hint="eastAsia" w:ascii="宋体"/>
          <w:b/>
          <w:color w:val="000000"/>
          <w:kern w:val="0"/>
          <w:sz w:val="24"/>
          <w:szCs w:val="24"/>
        </w:rPr>
        <w:t>存放地点</w:t>
      </w:r>
      <w:bookmarkEnd w:id="6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3" w:name="_Toc478044607"/>
      <w:r>
        <w:rPr>
          <w:rFonts w:ascii="宋体"/>
          <w:b/>
          <w:color w:val="000000"/>
          <w:kern w:val="0"/>
          <w:sz w:val="24"/>
          <w:szCs w:val="24"/>
        </w:rPr>
        <w:t xml:space="preserve">13.3 </w:t>
      </w:r>
      <w:r>
        <w:rPr>
          <w:rFonts w:hint="eastAsia" w:ascii="宋体"/>
          <w:b/>
          <w:color w:val="000000"/>
          <w:kern w:val="0"/>
          <w:sz w:val="24"/>
          <w:szCs w:val="24"/>
        </w:rPr>
        <w:t>查阅方式</w:t>
      </w:r>
      <w:bookmarkEnd w:id="63"/>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www.cjhxfund.com</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创金合信基金管理有限公司</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73</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61"/>
      <w:gridCol w:w="8669"/>
    </w:tblGrid>
    <w:tr>
      <w:tblPrEx>
        <w:tblCellMar>
          <w:top w:w="0" w:type="dxa"/>
          <w:left w:w="108" w:type="dxa"/>
          <w:bottom w:w="0" w:type="dxa"/>
          <w:right w:w="108" w:type="dxa"/>
        </w:tblCellMar>
      </w:tblPrEx>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创金合信沪深</w:t>
          </w:r>
          <w:r>
            <w:rPr>
              <w:rFonts w:ascii="宋体" w:cs="宋体"/>
              <w:color w:val="000000"/>
              <w:kern w:val="0"/>
              <w:szCs w:val="21"/>
            </w:rPr>
            <w:t>300</w:t>
          </w:r>
          <w:r>
            <w:rPr>
              <w:rFonts w:hint="eastAsia" w:ascii="宋体" w:cs="宋体"/>
              <w:color w:val="000000"/>
              <w:kern w:val="0"/>
              <w:szCs w:val="21"/>
            </w:rPr>
            <w:t>指数增强型发起式证券投资基金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2"/>
              <w:szCs w:val="2"/>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49B7"/>
    <w:rsid w:val="00042693"/>
    <w:rsid w:val="00052CA4"/>
    <w:rsid w:val="000D4F19"/>
    <w:rsid w:val="000E4CBF"/>
    <w:rsid w:val="001B38B7"/>
    <w:rsid w:val="0020059B"/>
    <w:rsid w:val="00220629"/>
    <w:rsid w:val="00236B0E"/>
    <w:rsid w:val="003751CD"/>
    <w:rsid w:val="004062F3"/>
    <w:rsid w:val="00475514"/>
    <w:rsid w:val="004A7BB7"/>
    <w:rsid w:val="00660A2B"/>
    <w:rsid w:val="006D0965"/>
    <w:rsid w:val="006D3505"/>
    <w:rsid w:val="00722AB3"/>
    <w:rsid w:val="00747C36"/>
    <w:rsid w:val="007723FD"/>
    <w:rsid w:val="00805A83"/>
    <w:rsid w:val="0087650F"/>
    <w:rsid w:val="008C55C3"/>
    <w:rsid w:val="009E4D61"/>
    <w:rsid w:val="009E6EEF"/>
    <w:rsid w:val="00A9562B"/>
    <w:rsid w:val="00B04F8C"/>
    <w:rsid w:val="00B577F1"/>
    <w:rsid w:val="00BE2A92"/>
    <w:rsid w:val="00CC6152"/>
    <w:rsid w:val="00CE49B7"/>
    <w:rsid w:val="00D07DB5"/>
    <w:rsid w:val="00D539F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name="header"/>
    <w:lsdException w:uiPriority="99"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iPriority="99" w:name="toa heading"/>
    <w:lsdException w:unhideWhenUsed="0" w:uiPriority="99" w:semiHidden="0" w:name="List"/>
    <w:lsdException w:unhideWhenUsed="0" w:uiPriority="99" w:semiHidden="0" w:name="List Bullet"/>
    <w:lsdException w:uiPriority="99" w:name="List Number"/>
    <w:lsdException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kern w:val="0"/>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kern w:val="0"/>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rPr>
      <w:rFonts w:cs="Times New Roman"/>
    </w:rPr>
  </w:style>
  <w:style w:type="paragraph" w:styleId="7">
    <w:name w:val="toc 2"/>
    <w:basedOn w:val="1"/>
    <w:next w:val="1"/>
    <w:unhideWhenUsed/>
    <w:uiPriority w:val="39"/>
    <w:pPr>
      <w:ind w:left="420" w:leftChars="200"/>
    </w:pPr>
    <w:rPr>
      <w:rFonts w:cs="Times New Roman"/>
    </w:r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73</Pages>
  <Words>9011</Words>
  <Characters>51365</Characters>
  <Lines>428</Lines>
  <Paragraphs>120</Paragraphs>
  <TotalTime>0</TotalTime>
  <ScaleCrop>false</ScaleCrop>
  <LinksUpToDate>false</LinksUpToDate>
  <CharactersWithSpaces>60256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2017-03-22T06:26:00Z</dcterms:created>
  <dc:creator>FastReport</dc:creator>
  <cp:lastModifiedBy>Administrator</cp:lastModifiedBy>
  <dcterms:modified xsi:type="dcterms:W3CDTF">2019-12-26T14:05:32Z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