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创金合信沪深300指数增强型发起式证券投资基金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4112"/>
      <w:r>
        <w:rPr>
          <w:rFonts w:hint="eastAsia" w:hAnsi="Calibri"/>
          <w:b/>
          <w:color w:val="000000"/>
        </w:rPr>
        <w:t>§1  重要提示及目录</w:t>
      </w:r>
      <w:bookmarkEnd w:id="0"/>
      <w:r>
        <w:rPr>
          <w:rFonts w:hint="eastAsia"/>
        </w:rPr>
        <w:t xml:space="preserve"> </w:t>
      </w:r>
    </w:p>
    <w:p>
      <w:pPr>
        <w:pStyle w:val="14"/>
        <w:rPr>
          <w:rFonts w:hint="eastAsia"/>
        </w:rPr>
      </w:pPr>
      <w:bookmarkStart w:id="1" w:name="_Toc4174113"/>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174114"/>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"_Toc4174112"</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_Toc4174112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"_Toc4174113"</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_Toc4174113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"_Toc4174114"</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_Toc4174114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"_Toc4174115"</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_Toc4174115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"_Toc4174116"</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_Toc4174116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"_Toc4174117"</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_Toc4174117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"_Toc4174118"</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_Toc4174118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"_Toc4174119"</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_Toc4174119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"_Toc4174120"</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_Toc4174120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"_Toc4174121"</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_Toc4174121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"_Toc4174122"</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_Toc4174122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"_Toc4174123"</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_Toc4174123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"_Toc4174124"</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_Toc4174124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"_Toc4174125"</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_Toc4174125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"_Toc4174126"</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_Toc4174126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"_Toc4174127"</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_Toc4174127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"_Toc4174128"</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_Toc4174128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"_Toc4174129"</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_Toc4174129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"_Toc4174130"</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_Toc4174130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"_Toc4174131"</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_Toc4174131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"_Toc4174132"</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_Toc4174132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"_Toc4174133"</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_Toc4174133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"_Toc4174134"</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_Toc4174134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"_Toc4174135"</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_Toc4174135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"_Toc4174136"</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_Toc4174136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"_Toc4174137"</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_Toc4174137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"_Toc4174138"</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_Toc4174138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"_Toc4174139"</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_Toc4174139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"_Toc4174140"</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_Toc4174140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"_Toc4174141"</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_Toc4174141 \h </w:instrText>
      </w:r>
      <w:r>
        <w:rPr>
          <w:lang/>
        </w:rPr>
        <w:fldChar w:fldCharType="separate"/>
      </w:r>
      <w:r>
        <w:rPr>
          <w:lang/>
        </w:rPr>
        <w:t>18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"_Toc4174142"</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_Toc4174142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"_Toc4174143"</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_Toc4174143 \h </w:instrText>
      </w:r>
      <w:r>
        <w:rPr>
          <w:lang/>
        </w:rPr>
        <w:fldChar w:fldCharType="separate"/>
      </w:r>
      <w:r>
        <w:rPr>
          <w:lang/>
        </w:rPr>
        <w:t>21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"_Toc4174144"</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_Toc4174144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"_Toc4174145"</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_Toc4174145 \h </w:instrText>
      </w:r>
      <w:r>
        <w:rPr>
          <w:lang/>
        </w:rPr>
        <w:fldChar w:fldCharType="separate"/>
      </w:r>
      <w:r>
        <w:rPr>
          <w:lang/>
        </w:rPr>
        <w:t>24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"_Toc4174146"</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_Toc4174146 \h </w:instrText>
      </w:r>
      <w:r>
        <w:rPr>
          <w:lang/>
        </w:rPr>
        <w:fldChar w:fldCharType="separate"/>
      </w:r>
      <w:r>
        <w:rPr>
          <w:lang/>
        </w:rPr>
        <w:t>26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"_Toc4174147"</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_Toc4174147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"_Toc4174148"</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_Toc4174148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"_Toc4174149"</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_Toc4174149 \h </w:instrText>
      </w:r>
      <w:r>
        <w:rPr>
          <w:lang/>
        </w:rPr>
        <w:fldChar w:fldCharType="separate"/>
      </w:r>
      <w:r>
        <w:rPr>
          <w:lang/>
        </w:rPr>
        <w:t>56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"_Toc4174150"</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_Toc4174150 \h </w:instrText>
      </w:r>
      <w:r>
        <w:rPr>
          <w:lang/>
        </w:rPr>
        <w:fldChar w:fldCharType="separate"/>
      </w:r>
      <w:r>
        <w:rPr>
          <w:lang/>
        </w:rPr>
        <w:t>58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"_Toc4174151"</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_Toc4174151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"_Toc4174152"</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_Toc4174152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"_Toc4174153"</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_Toc4174153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"_Toc4174154"</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_Toc4174154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"_Toc4174155"</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_Toc4174155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"_Toc4174156"</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_Toc4174156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"_Toc4174157"</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_Toc4174157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"_Toc4174158"</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_Toc4174158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"_Toc4174159"</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_Toc4174159 \h </w:instrText>
      </w:r>
      <w:r>
        <w:rPr>
          <w:lang/>
        </w:rPr>
        <w:fldChar w:fldCharType="separate"/>
      </w:r>
      <w:r>
        <w:rPr>
          <w:lang/>
        </w:rPr>
        <w:t>77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"_Toc4174160"</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_Toc4174160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"_Toc4174161"</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_Toc4174161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"_Toc4174162"</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_Toc4174162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"_Toc4174163"</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_Toc4174163 \h </w:instrText>
      </w:r>
      <w:r>
        <w:rPr>
          <w:lang/>
        </w:rPr>
        <w:fldChar w:fldCharType="separate"/>
      </w:r>
      <w:r>
        <w:rPr>
          <w:lang/>
        </w:rPr>
        <w:t>79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"_Toc4174164"</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_Toc4174164 \h </w:instrText>
      </w:r>
      <w:r>
        <w:rPr>
          <w:lang/>
        </w:rPr>
        <w:fldChar w:fldCharType="separate"/>
      </w:r>
      <w:r>
        <w:rPr>
          <w:lang/>
        </w:rPr>
        <w:t>80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"_Toc4174165"</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_Toc4174165 \h </w:instrText>
      </w:r>
      <w:r>
        <w:rPr>
          <w:lang/>
        </w:rPr>
        <w:fldChar w:fldCharType="separate"/>
      </w:r>
      <w:r>
        <w:rPr>
          <w:lang/>
        </w:rPr>
        <w:t>80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"_Toc4174166"</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_Toc4174166 \h </w:instrText>
      </w:r>
      <w:r>
        <w:rPr>
          <w:lang/>
        </w:rPr>
        <w:fldChar w:fldCharType="separate"/>
      </w:r>
      <w:r>
        <w:rPr>
          <w:lang/>
        </w:rPr>
        <w:t>80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"_Toc4174167"</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_Toc4174167 \h </w:instrText>
      </w:r>
      <w:r>
        <w:rPr>
          <w:lang/>
        </w:rPr>
        <w:fldChar w:fldCharType="separate"/>
      </w:r>
      <w:r>
        <w:rPr>
          <w:lang/>
        </w:rPr>
        <w:t>80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"_Toc4174168"</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_Toc4174168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"_Toc4174169"</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_Toc4174169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"_Toc4174170"</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_Toc4174170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"_Toc4174171"</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_Toc4174171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"_Toc4174172"</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_Toc4174172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"_Toc4174173"</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_Toc4174173 \h </w:instrText>
      </w:r>
      <w:r>
        <w:rPr>
          <w:lang/>
        </w:rPr>
        <w:fldChar w:fldCharType="separate"/>
      </w:r>
      <w:r>
        <w:rPr>
          <w:lang/>
        </w:rPr>
        <w:t>81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"_Toc4174174"</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_Toc4174174 \h </w:instrText>
      </w:r>
      <w:r>
        <w:rPr>
          <w:lang/>
        </w:rPr>
        <w:fldChar w:fldCharType="separate"/>
      </w:r>
      <w:r>
        <w:rPr>
          <w:lang/>
        </w:rPr>
        <w:t>83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"_Toc4174175"</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_Toc4174175 \h </w:instrText>
      </w:r>
      <w:r>
        <w:rPr>
          <w:lang/>
        </w:rPr>
        <w:fldChar w:fldCharType="separate"/>
      </w:r>
      <w:r>
        <w:rPr>
          <w:lang/>
        </w:rPr>
        <w:t>87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"_Toc4174176"</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_Toc4174176 \h </w:instrText>
      </w:r>
      <w:r>
        <w:rPr>
          <w:lang/>
        </w:rPr>
        <w:fldChar w:fldCharType="separate"/>
      </w:r>
      <w:r>
        <w:rPr>
          <w:lang/>
        </w:rPr>
        <w:t>87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"_Toc4174177"</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_Toc4174177 \h </w:instrText>
      </w:r>
      <w:r>
        <w:rPr>
          <w:lang/>
        </w:rPr>
        <w:fldChar w:fldCharType="separate"/>
      </w:r>
      <w:r>
        <w:rPr>
          <w:lang/>
        </w:rPr>
        <w:t>88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"_Toc4174178"</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_Toc4174178 \h </w:instrText>
      </w:r>
      <w:r>
        <w:rPr>
          <w:lang/>
        </w:rPr>
        <w:fldChar w:fldCharType="separate"/>
      </w:r>
      <w:r>
        <w:rPr>
          <w:lang/>
        </w:rPr>
        <w:t>89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"_Toc4174179"</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_Toc4174179 \h </w:instrText>
      </w:r>
      <w:r>
        <w:rPr>
          <w:lang/>
        </w:rPr>
        <w:fldChar w:fldCharType="separate"/>
      </w:r>
      <w:r>
        <w:rPr>
          <w:lang/>
        </w:rPr>
        <w:t>89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"_Toc4174180"</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_Toc4174180 \h </w:instrText>
      </w:r>
      <w:r>
        <w:rPr>
          <w:lang/>
        </w:rPr>
        <w:fldChar w:fldCharType="separate"/>
      </w:r>
      <w:r>
        <w:rPr>
          <w:lang/>
        </w:rPr>
        <w:t>89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"_Toc4174181"</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_Toc4174181 \h </w:instrText>
      </w:r>
      <w:r>
        <w:rPr>
          <w:lang/>
        </w:rPr>
        <w:fldChar w:fldCharType="separate"/>
      </w:r>
      <w:r>
        <w:rPr>
          <w:lang/>
        </w:rPr>
        <w:t>89</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4115"/>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4116"/>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9"/>
        <w:gridCol w:w="2556"/>
        <w:gridCol w:w="255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创金合信沪深300指数增强型发起式证券投资基金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2015年12月31日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328,087,273.81份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002315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89,291,076.03份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238,796,197.78份</w:t>
            </w:r>
          </w:p>
        </w:tc>
      </w:tr>
    </w:tbl>
    <w:p>
      <w:pPr>
        <w:widowControl/>
        <w:jc w:val="left"/>
        <w:rPr>
          <w:rFonts w:hint="eastAsia" w:ascii="宋体" w:hAnsi="宋体" w:cs="宋体"/>
          <w:kern w:val="0"/>
          <w:sz w:val="24"/>
          <w:szCs w:val="24"/>
        </w:rPr>
      </w:pPr>
    </w:p>
    <w:p>
      <w:pPr>
        <w:pStyle w:val="14"/>
        <w:rPr>
          <w:rFonts w:hint="eastAsia"/>
        </w:rPr>
      </w:pPr>
      <w:bookmarkStart w:id="5" w:name="_Toc4174117"/>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指数增强型股票基金，采取定量方法进行组合管理，力争在控制本基金净值增长率与业绩比较基准之间的日均跟踪偏离度的绝对值不超过0.5%、年跟踪误差不超过7.5%的基础上，追求获得超越标的指数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沪深300指数收益率×95%＋一年期人民币定期存款利率（税后）×5%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本基金为股票型基金，理论上其预期风险收益水平高于混合型基金、债券型基金和货币市场基金。本基金主要投资于标的指数成份股及其备选成份股，具有与标的指数类似的风险收益特征。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4118"/>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4119"/>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证券时报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注：本基金自2019年1月19日起信息披露报纸由《证券日报》变更为《证券时报》。</w:t>
      </w:r>
    </w:p>
    <w:p>
      <w:pPr>
        <w:widowControl/>
        <w:jc w:val="left"/>
        <w:rPr>
          <w:rFonts w:hint="eastAsia" w:ascii="宋体" w:hAnsi="宋体" w:cs="宋体"/>
          <w:kern w:val="0"/>
          <w:sz w:val="24"/>
          <w:szCs w:val="24"/>
        </w:rPr>
      </w:pPr>
    </w:p>
    <w:p>
      <w:pPr>
        <w:pStyle w:val="14"/>
        <w:rPr>
          <w:rFonts w:hint="eastAsia"/>
        </w:rPr>
      </w:pPr>
      <w:bookmarkStart w:id="8" w:name="_Toc4174120"/>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4121"/>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4122"/>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444"/>
        <w:gridCol w:w="1266"/>
        <w:gridCol w:w="1267"/>
        <w:gridCol w:w="1267"/>
        <w:gridCol w:w="1267"/>
        <w:gridCol w:w="1267"/>
        <w:gridCol w:w="1267"/>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创金合信沪深300增强C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-36,508,328.01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-44,752,170.55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42,838,614.18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4,505,494.39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-564,150.41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-245,874.56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-45,082,705.31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-48,136,209.41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50,558,639.50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3,417,587.86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-1,098,812.30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-545,590.40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-0.0985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-16,245,032.15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-43,638,576.70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1,168,114.68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1,372,191.63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-11,873,179.91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-270,384.78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-0.0498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73,383,381.73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196,102,271.26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229,852,398.60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259,516,735.93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204,205,414.52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5,200,757.64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0.9587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14"/>
        <w:rPr>
          <w:rFonts w:hint="eastAsia"/>
        </w:rPr>
      </w:pPr>
      <w:bookmarkStart w:id="11" w:name="_Toc4174123"/>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创金合信沪深300增强A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pStyle w:val="17"/>
        <w:rPr>
          <w:rFonts w:hint="eastAsia"/>
        </w:rPr>
      </w:pPr>
      <w:r>
        <w:rPr>
          <w:rFonts w:hint="eastAsia" w:hAnsi="Calibri"/>
          <w:color w:val="000000"/>
        </w:rPr>
        <w:t>创金合信沪深300增强C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2310_FB010010_20190003_2.jpg" type="#_x0000_t75" style="height:286.5pt;width:441pt;" filled="f" stroked="f" coordsize="21600,21600">
            <v:path/>
            <v:fill on="f" focussize="0,0"/>
            <v:stroke on="f"/>
            <v:imagedata r:id="rId7" grayscale="f" bilevel="f" o:title="CN_50990000_002310_FB010010_20190003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2310_FB010010_20190003_3.jpg" type="#_x0000_t75" style="height:286.5pt;width:441pt;" filled="f" stroked="f" coordsize="21600,21600">
            <v:path/>
            <v:fill on="f" focussize="0,0"/>
            <v:stroke on="f"/>
            <v:imagedata r:id="rId8" grayscale="f" bilevel="f" o:title="CN_50990000_002310_FB010010_20190003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2310_FB010010_20190003_6.jpg" type="#_x0000_t75" style="height:286.5pt;width:441pt;" filled="f" stroked="f" coordsize="21600,21600">
            <v:path/>
            <v:fill on="f" focussize="0,0"/>
            <v:stroke on="f"/>
            <v:imagedata r:id="rId9" grayscale="f" bilevel="f" o:title="CN_50990000_002310_FB010010_20190003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2310_FB010010_20190003_7.jpg" type="#_x0000_t75" style="height:286.5pt;width:441pt;" filled="f" stroked="f" coordsize="21600,21600">
            <v:path/>
            <v:fill on="f" focussize="0,0"/>
            <v:stroke on="f"/>
            <v:imagedata r:id="rId10" grayscale="f" bilevel="f" o:title="CN_50990000_002310_FB010010_20190003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4124"/>
      <w:r>
        <w:rPr>
          <w:rFonts w:hint="eastAsia" w:hAnsi="Calibri"/>
          <w:b/>
          <w:color w:val="000000"/>
        </w:rPr>
        <w:t>3.3 过去三年基金的利润分配情况</w:t>
      </w:r>
      <w:bookmarkEnd w:id="12"/>
    </w:p>
    <w:p>
      <w:pPr>
        <w:pStyle w:val="17"/>
        <w:rPr>
          <w:rFonts w:hint="eastAsia"/>
        </w:rPr>
      </w:pPr>
      <w:r>
        <w:rPr>
          <w:rFonts w:hint="eastAsia" w:hAnsi="Calibri"/>
          <w:color w:val="000000"/>
        </w:rPr>
        <w:t>创金合信沪深300增强A</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105"/>
        <w:gridCol w:w="1260"/>
        <w:gridCol w:w="2081"/>
        <w:gridCol w:w="1679"/>
        <w:gridCol w:w="2081"/>
        <w:gridCol w:w="839"/>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30,128,033.12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31,514.90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30,159,548.02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1.380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30,128,033.12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31,514.90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30,159,548.02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7"/>
        <w:rPr>
          <w:rFonts w:hint="eastAsia"/>
        </w:rPr>
      </w:pPr>
      <w:r>
        <w:rPr>
          <w:rFonts w:hint="eastAsia" w:hAnsi="Calibri"/>
          <w:color w:val="000000"/>
        </w:rPr>
        <w:t>创金合信沪深300增强C</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075"/>
        <w:gridCol w:w="1224"/>
        <w:gridCol w:w="1887"/>
        <w:gridCol w:w="2022"/>
        <w:gridCol w:w="2022"/>
        <w:gridCol w:w="815"/>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3,596,299.75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30,516,397.27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34,112,697.02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1.450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3,596,299.75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30,516,397.27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34,112,697.02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3"/>
        <w:rPr>
          <w:rFonts w:hint="eastAsia"/>
        </w:rPr>
      </w:pPr>
      <w:bookmarkStart w:id="13" w:name="_Toc4174125"/>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4126"/>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2015-12-31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2016-01-08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世恩先生，中国国籍，中国人民大学理学硕士。2011年7月加入泰康资产管理有限责任公司，历任金融工程助理研究员、金融工程研究经理、金融工程研究高级经理、金融工程研究总监、执行投资经理。2015年9月加入创金合信基金管理有限公司，2016年1月至2018年8月担任本基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董梁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本基金基金经理、国际投资部负责人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董梁先生，中国香港，美国密歇根大学材料科学博士，2005年3月加入美国巴克莱环球投资者(Barclays Global Investors)任高级研究员、基金经理,负责美股量化模型开发及投资工作。2009年8月加入瑞士信贷(Credit-Suisse)任自营交易员,负责港股量化模型开发和投资,以及环球股指期货期权的量化投资。2011年1月加入信达国际任执行董事、基金经理,进行港股投资。2012年8月加入华安基金管理有限公司,任系统化投资部量化投资总监、基金经理。2015年加入香港启智资产管理有限公司（Zentific Investment Management）任投资部基金经理。2017年9月加入创金合信基金管理有限公司。</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4127"/>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4128"/>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61次，本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4129"/>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回顾2018年，我们严格依据量化模型进行投资，并严格进行风险管理。</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沪深300增强A基金份额净值为0.8218元，本报告期内，该类基金份额净值增长率为-21.75%，同期业绩比较基准收益率为-24.07%；截至报告期末创金合信沪深300增强C基金份额净值为0.8212元，本报告期内，该类基金份额净值增长率为-21.84%，同期业绩比较基准收益率为-24.07%。</w:t>
      </w:r>
    </w:p>
    <w:p>
      <w:pPr>
        <w:widowControl/>
        <w:jc w:val="left"/>
        <w:rPr>
          <w:rFonts w:hint="eastAsia" w:ascii="宋体" w:hAnsi="宋体" w:cs="宋体"/>
          <w:kern w:val="0"/>
          <w:sz w:val="24"/>
          <w:szCs w:val="24"/>
        </w:rPr>
      </w:pPr>
    </w:p>
    <w:p>
      <w:pPr>
        <w:pStyle w:val="14"/>
        <w:rPr>
          <w:rFonts w:hint="eastAsia"/>
        </w:rPr>
      </w:pPr>
      <w:bookmarkStart w:id="18" w:name="_Toc4174130"/>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全球经济增长前景趋弱叠加中美贸易摩擦的背景下，出口外需受到一定抑制。2019年的宏观经济不确定性增强，企业利润回落压力加大，经济下行风险仍然存在。从股票市场主要指数的估值水平来看，当前估值均处于历史低位，下行空间有限，2019年或有结构性行情出现。</w:t>
      </w:r>
    </w:p>
    <w:p>
      <w:pPr>
        <w:widowControl/>
        <w:jc w:val="left"/>
        <w:rPr>
          <w:rFonts w:hint="eastAsia" w:ascii="宋体" w:hAnsi="宋体" w:cs="宋体"/>
          <w:kern w:val="0"/>
          <w:sz w:val="24"/>
          <w:szCs w:val="24"/>
        </w:rPr>
      </w:pPr>
    </w:p>
    <w:p>
      <w:pPr>
        <w:pStyle w:val="14"/>
        <w:rPr>
          <w:rFonts w:hint="eastAsia"/>
        </w:rPr>
      </w:pPr>
      <w:bookmarkStart w:id="19" w:name="_Toc4174131"/>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4132"/>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4133"/>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4134"/>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4135"/>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4136"/>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4137"/>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4138"/>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4139"/>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4140"/>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普华永道中天审字(2019)第24796号</w:t>
            </w:r>
          </w:p>
        </w:tc>
      </w:tr>
    </w:tbl>
    <w:p>
      <w:pPr>
        <w:widowControl/>
        <w:jc w:val="left"/>
        <w:rPr>
          <w:rFonts w:hint="eastAsia" w:ascii="宋体" w:hAnsi="宋体" w:cs="宋体"/>
          <w:kern w:val="0"/>
          <w:sz w:val="24"/>
          <w:szCs w:val="24"/>
        </w:rPr>
      </w:pPr>
    </w:p>
    <w:p>
      <w:pPr>
        <w:pStyle w:val="14"/>
        <w:rPr>
          <w:rFonts w:hint="eastAsia"/>
        </w:rPr>
      </w:pPr>
      <w:bookmarkStart w:id="29" w:name="_Toc4174141"/>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创金合信沪深300指数增强型发起式证券投资基金 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我们审计了创金合信沪深300指数增强型发起式证券投资基金(以下简称“ 创金合信沪深300增强基金 ”)的财务报表，包括2018年12月31日的资产负债表，2018年度的利润表和所有者权益(基金净值)变动表以及财务报表附注。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沪深300增强基金2018年12月31日的财务状况以及2018年度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按照中国注册会计师职业道德守则，我们独立于创金合信沪深300增强基金，并履行了职业道德方面的其他责任。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沪深300增强基金的持续经营能力，披露与持续经营相关的事项(如适用)，并运用持续经营假设，除非基金管理人管理层计划清算创金合信沪深300增强基金、终止运营或别无其他现实的选择。 基金管理人治理层负责监督创金合信沪深300增强基金的财务报告过程。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沪深300增强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沪深300增强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4142"/>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4143"/>
      <w:r>
        <w:rPr>
          <w:rFonts w:hint="eastAsia"/>
          <w:b/>
          <w:bCs/>
        </w:rPr>
        <w:t>7.1 资产负债表</w:t>
      </w:r>
      <w:bookmarkEnd w:id="31"/>
    </w:p>
    <w:p>
      <w:pPr>
        <w:pStyle w:val="17"/>
        <w:rPr>
          <w:rFonts w:hint="eastAsia"/>
        </w:rPr>
      </w:pPr>
      <w:r>
        <w:rPr>
          <w:rFonts w:hint="eastAsia"/>
        </w:rPr>
        <w:t>会计主体：创金合信沪深300指数增强型发起式证券投资基金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58,741,203.08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2,570,000.97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1,326,789.04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300,752.56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44,556.59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256,621,619.01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475,603,088.47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246,738,230.81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450,288,596.27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9,883,388.20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293,373.42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287,541.71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361,571.61</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7,142,411.34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114,371.46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325,663,528.67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490,178,876.78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55,184,002.37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4,809.39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93,238.96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229,142.26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11,654.86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28,642.77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6,267.54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7,186.14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695,336.26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170,028.33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141,838.40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56,177,875.68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809,742.25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328,087,273.81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465,869,233.08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-58,601,620.82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23,499,901.45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269,485,652.99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489,369,134.53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325,663,528.67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490,178,876.78</w:t>
            </w:r>
          </w:p>
        </w:tc>
      </w:tr>
    </w:tbl>
    <w:p>
      <w:pPr>
        <w:pStyle w:val="20"/>
        <w:rPr>
          <w:rFonts w:hint="eastAsia"/>
        </w:rPr>
      </w:pPr>
      <w:r>
        <w:rPr>
          <w:rFonts w:hint="eastAsia"/>
        </w:rPr>
        <w:t>注：报告截止日2018年12月31日，基金份额总额328,087,273.81份，其中下属A类基金份额89,291,076.03份，C类基金份额238,796,197.78份。下属A类基金份额净值0.8218元，C类基金份额净值0.8212元。</w:t>
      </w:r>
    </w:p>
    <w:p>
      <w:pPr>
        <w:widowControl/>
        <w:jc w:val="left"/>
        <w:rPr>
          <w:rFonts w:hint="eastAsia" w:ascii="宋体" w:hAnsi="宋体" w:cs="宋体"/>
          <w:kern w:val="0"/>
          <w:sz w:val="24"/>
          <w:szCs w:val="24"/>
        </w:rPr>
      </w:pPr>
    </w:p>
    <w:p>
      <w:pPr>
        <w:pStyle w:val="14"/>
        <w:rPr>
          <w:rFonts w:hint="eastAsia"/>
        </w:rPr>
      </w:pPr>
      <w:bookmarkStart w:id="32" w:name="_Toc4174144"/>
      <w:r>
        <w:rPr>
          <w:rFonts w:hint="eastAsia"/>
          <w:b/>
          <w:bCs/>
        </w:rPr>
        <w:t>7.2 利润表</w:t>
      </w:r>
      <w:bookmarkEnd w:id="32"/>
    </w:p>
    <w:p>
      <w:pPr>
        <w:pStyle w:val="17"/>
        <w:rPr>
          <w:rFonts w:hint="eastAsia"/>
        </w:rPr>
      </w:pPr>
      <w:r>
        <w:rPr>
          <w:rFonts w:hint="eastAsia"/>
        </w:rPr>
        <w:t>会计主体：创金合信沪深300指数增强型发起式证券投资基金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-77,309,472.38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59,961,071.60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840,541.02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155,589.51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154,077.78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137,043.44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686,463.24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18,223.71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322.36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-66,262,159.64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53,057,884.70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-73,743,382.90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48,343,327.07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236,219.08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7,245,004.18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4,707,146.80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-11,958,416.16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6,632,118.79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70,562.40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115,478.60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15,909,442.34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5,984,844.24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3,336,345.82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2,050,404.62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417,043.24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256,300.64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221,336.83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27,017.53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11,674,381.82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3,470,369.12</w:t>
            </w:r>
          </w:p>
        </w:tc>
      </w:tr>
      <w:tr>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238,564.11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180,752.33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-93,218,914.72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-93,218,914.72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r>
    </w:tbl>
    <w:p>
      <w:pPr>
        <w:widowControl/>
        <w:jc w:val="left"/>
        <w:rPr>
          <w:rFonts w:hint="eastAsia" w:ascii="宋体" w:hAnsi="宋体" w:cs="宋体"/>
          <w:kern w:val="0"/>
          <w:sz w:val="24"/>
          <w:szCs w:val="24"/>
        </w:rPr>
      </w:pPr>
    </w:p>
    <w:p>
      <w:pPr>
        <w:pStyle w:val="14"/>
        <w:rPr>
          <w:rFonts w:hint="eastAsia"/>
        </w:rPr>
      </w:pPr>
      <w:bookmarkStart w:id="33" w:name="_Toc4174145"/>
      <w:r>
        <w:rPr>
          <w:rFonts w:hint="eastAsia"/>
          <w:b/>
          <w:bCs/>
        </w:rPr>
        <w:t>7.3 所有者权益（基金净值）变动表</w:t>
      </w:r>
      <w:bookmarkEnd w:id="33"/>
    </w:p>
    <w:p>
      <w:pPr>
        <w:pStyle w:val="17"/>
        <w:rPr>
          <w:rFonts w:hint="eastAsia"/>
        </w:rPr>
      </w:pPr>
      <w:r>
        <w:rPr>
          <w:rFonts w:hint="eastAsia"/>
        </w:rPr>
        <w:t>会计主体：创金合信沪深300指数增强型发起式证券投资基金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465,869,233.08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23,499,901.45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489,369,134.53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-93,218,914.72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-93,218,914.72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-137,781,959.27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11,117,392.45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-126,664,566.82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361,616,206.09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-29,990,396.65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331,625,809.44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-499,398,165.36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41,107,789.10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-458,290,376.26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328,087,273.81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-58,601,620.82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269,485,652.99</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2017年01月01日至2017年12月31日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219,660,945.77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-10,254,773.61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209,406,172.16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53,976,227.36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246,208,287.31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44,050,692.74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290,258,980.05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306,529,618.04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49,426,700.74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355,956,318.78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-60,321,330.73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-5,376,008.00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-65,697,338.73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-64,272,245.04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-64,272,245.04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465,869,233.08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23,499,901.45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489,369,134.53</w:t>
            </w:r>
          </w:p>
        </w:tc>
      </w:tr>
    </w:tbl>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4146"/>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沪深300指数增强型发起式证券投资基金(以下简称“本基金”)经中国证券监督管理委员会(以下简称“中国证监会”)证监许可[2015]3045号《关于准予创金合信沪深300指数增强型发起式证券投资基金注册的批复》核准，由创金合信基金管理有限公司依照《中华人民共和国证券投资基金法》和《创金合信沪深300指数增强型发起式证券投资基金基金合同》负责公开募集。本基金为契约型开放式，存续期限不定，首次设立募集不包括认购资金利息共募集人民币10,000,000.00元，业经普华永道中天会计师事务所(特殊普通合伙)普华永道中天验字(2015)第1504号验资报告予以验证。经向中国证监会备案，《创金合信沪深300指数增强型发起式证券投资基金基金合同》于2015年12月31日正式生效，基金合同生效日的基金份额总额为10,000,000.00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本基金为发起式基金，发起资金认购部分为10,000,000.00份基金份额，发起资金认购方承诺使用发起资金认购的基金份额持有期限不少于3年。</w:t>
      </w:r>
    </w:p>
    <w:p>
      <w:pPr>
        <w:pStyle w:val="20"/>
        <w:spacing w:before="0"/>
        <w:ind w:left="0" w:firstLine="480"/>
        <w:rPr>
          <w:rFonts w:hint="eastAsia"/>
        </w:rPr>
      </w:pPr>
      <w:r>
        <w:rPr>
          <w:rFonts w:hint="eastAsia"/>
        </w:rPr>
        <w:t>根据《创金合信沪深300指数增强型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沪深300指数增强型发起式证券投资基金基金合同》的有关规定，本基金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95%＋一年期人民币定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沪深300指数增强型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市净率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58,741,203.08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58,741,203.08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252,904,131.86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246,738,230.81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-6,165,901.05</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9,878,162.25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9,883,388.20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5,225.95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9,878,162.25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9,883,388.20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5,225.95</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262,782,294.11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256,621,619.01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-6,160,675.10</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444,480,002.04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450,288,596.27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5,808,594.23</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25,325,345.37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-10,853.17</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25,325,345.37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25,314,492.20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-10,853.17</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469,805,347.41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475,603,088.47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5,797,741.06</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6,779.66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18,601.74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279,340.96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342,290.95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287,541.71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361,571.61</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695,336.26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695,336.26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398,123.29</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170,028.32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170,028.33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141,838.40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创金合信沪深300增强A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218,855,457.26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218,855,457.26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100,245,593.60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100,245,593.60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-229,809,974.83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-229,809,974.83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89,291,076.03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89,291,076.03</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创金合信沪深300增强C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247,013,775.82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247,013,775.82</w:t>
            </w:r>
          </w:p>
        </w:tc>
      </w:tr>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261,370,612.49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261,370,612.49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-269,588,190.53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-269,588,190.53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238,796,197.78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238,796,197.78</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创金合信沪深300增强A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1,168,114.68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9,828,826.66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10,996,941.34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-36,508,328.01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-8,574,377.30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-45,082,705.31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19,095,181.18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-917,111.51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18,178,069.67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-6,798,274.54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5,788,512.29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-1,009,762.25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25,893,455.72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-6,705,623.80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19,187,831.92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-16,245,032.15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337,337.85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-15,907,694.30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创金合信沪深300增强C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(创金合信沪深300增强C)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1,372,191.63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11,130,768.48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12,502,960.11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-44,752,170.55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-3,384,038.86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-48,136,209.41</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-258,597.78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-6,802,079.44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-7,060,677.22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-34,708,434.71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5,727,800.31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-28,980,634.40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34,449,836.93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-12,529,879.75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21,919,957.18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-43,638,576.70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944,650.18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-42,693,926.52</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567"/>
        <w:gridCol w:w="322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63,784.12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112,840.06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87,164.29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22,896.91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3,129.37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1,306.47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154,077.78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137,043.44</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6,370,498,349.24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1,725,350,089.68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6,444,241,732.14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1,677,006,762.61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-73,743,382.90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48,343,327.07</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236,219.08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236,219.08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51,365,181.44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2,827,744.85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49,979,237.32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2,806,728.63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1,149,725.04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13,605.39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236,219.08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7,410.83</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7,245,004.18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4,707,146.80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7,245,004.18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4,707,146.80</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3166"/>
        <w:gridCol w:w="3166"/>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-11,958,416.16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6,632,118.79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-11,974,495.28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6,642,971.96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16,079.12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-10,853.17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-11,958,416.16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6,632,118.79</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66,341.35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114,943.52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4,221.05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70,562.40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115,478.60</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11,674,381.82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3,470,369.12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11,674,381.82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3,470,369.12</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10,833.80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8,144.75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67,730.31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42,607.58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238,564.11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180,752.33</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4,660,083,962.68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2,129,441,207.89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58.49%</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32,618,443.01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29,876,640.77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1,505,458.07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688,256.82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338,123.23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84.93%</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607"/>
        <w:gridCol w:w="260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3,336,345.82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2,050,404.62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108,804.85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14,196.59</w:t>
            </w:r>
          </w:p>
        </w:tc>
      </w:tr>
    </w:tbl>
    <w:p>
      <w:pPr>
        <w:pStyle w:val="20"/>
        <w:rPr>
          <w:rFonts w:hint="eastAsia"/>
        </w:rPr>
      </w:pPr>
      <w:r>
        <w:rPr>
          <w:rFonts w:hint="eastAsia"/>
        </w:rPr>
        <w:t>注：本基金的管理费按前一日基金资产净值的0.80%年费率计提。管理费的计算方法如下：</w:t>
      </w:r>
      <w:r>
        <w:rPr>
          <w:rFonts w:hint="eastAsia"/>
        </w:rPr>
        <w:br w:type="textWrapping"/>
      </w:r>
      <w:r>
        <w:rPr>
          <w:rFonts w:hint="eastAsia"/>
        </w:rPr>
        <w:t>H＝E×0.80%÷当年天数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727"/>
        <w:gridCol w:w="27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417,043.24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256,300.64</w:t>
            </w:r>
          </w:p>
        </w:tc>
      </w:tr>
    </w:tbl>
    <w:p>
      <w:pPr>
        <w:pStyle w:val="20"/>
        <w:rPr>
          <w:rFonts w:hint="eastAsia"/>
        </w:rPr>
      </w:pPr>
      <w:r>
        <w:rPr>
          <w:rFonts w:hint="eastAsia"/>
        </w:rPr>
        <w:t>注：本基金的托管费按前一日基金资产净值的0.1%的年费率计提。托管费的计算方法如下：</w:t>
      </w:r>
      <w:r>
        <w:rPr>
          <w:rFonts w:hint="eastAsia"/>
        </w:rPr>
        <w:br w:type="textWrapping"/>
      </w:r>
      <w:r>
        <w:rPr>
          <w:rFonts w:hint="eastAsia"/>
        </w:rPr>
        <w:t>H＝E×0.1%÷当年天数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7"/>
        <w:gridCol w:w="3022"/>
        <w:gridCol w:w="3022"/>
        <w:gridCol w:w="1644"/>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2,491.89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208,754.62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208,754.62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211,303.37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211,303.37</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25,513.03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25,513.03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25,656.85</w:t>
            </w:r>
          </w:p>
        </w:tc>
      </w:tr>
    </w:tbl>
    <w:p>
      <w:pPr>
        <w:pStyle w:val="20"/>
        <w:rPr>
          <w:rFonts w:hint="eastAsia"/>
        </w:rPr>
      </w:pPr>
      <w:r>
        <w:rPr>
          <w:rFonts w:hint="eastAsia"/>
        </w:rPr>
        <w:t>本基金A类基金份额不收取销售服务费，仅就C类基金份额所代表的基金资产收取销售服务费。本基金销售服务费按前一日C类基金份额基金资产净值的0.10%的年费率计提。销售服务费的计算方法如下：</w:t>
      </w:r>
      <w:r>
        <w:rPr>
          <w:rFonts w:hint="eastAsia"/>
        </w:rPr>
        <w:br w:type="textWrapping"/>
      </w:r>
      <w:r>
        <w:rPr>
          <w:rFonts w:hint="eastAsia"/>
        </w:rPr>
        <w:t>H＝E×0.10%÷当年天数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创金合信沪深300增强A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2.28%</w:t>
            </w:r>
          </w:p>
        </w:tc>
      </w:tr>
    </w:tbl>
    <w:p>
      <w:pPr>
        <w:pStyle w:val="17"/>
        <w:rPr>
          <w:rFonts w:hint="eastAsia"/>
        </w:rPr>
      </w:pPr>
      <w:r>
        <w:rPr>
          <w:rFonts w:hint="eastAsia" w:hAnsi="Calibri"/>
          <w:color w:val="000000"/>
        </w:rPr>
        <w:t>创金合信沪深300增强C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基金合同生效日（2015年12月31日）持有的基金份额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5,000,000.00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2.02%</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2012"/>
        <w:gridCol w:w="1877"/>
        <w:gridCol w:w="2012"/>
        <w:gridCol w:w="1878"/>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2017年01月01日至2017年12月31日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58,741,203.08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63,784.12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12,435,126.19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112,840.06</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143,800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2,426,475.81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2,302,238.00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600485</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信威集团</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2016-12-26</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3.07</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24,390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339,518.84</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74,877.30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按短期信用评级列示的债券投资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4,474,684.50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4,474,684.50</w:t>
            </w:r>
          </w:p>
        </w:tc>
      </w:tr>
    </w:tbl>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741,127.70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25,940.20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8,256,168.00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20,098,680.00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8,282,108.20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20,839,807.70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0.90%。</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320,357,313.29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937"/>
        <w:gridCol w:w="1556"/>
        <w:gridCol w:w="1556"/>
        <w:gridCol w:w="2066"/>
        <w:gridCol w:w="2066"/>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58,741,203.08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58,741,203.08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2,570,000.97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2,570,000.97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300,752.56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300,752.56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9,857,448.00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25,940.20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246,738,230.81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256,621,619.01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287,541.71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287,541.71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7,142,411.34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7,142,411.34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71,469,404.61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25,940.20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254,168,183.86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325,663,528.67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55,184,002.37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55,184,002.37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18,115.40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18,115.40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93,238.96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93,238.96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11,654.86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11,654.86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6,267.54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6,267.54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695,336.26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695,336.26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应交税费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0.35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-768.39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170,028.33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170,028.33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56,177,875.68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56,177,875.68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71,469,404.61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25,940.20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197,990,308.18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269,485,652.99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12,435,126.19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12,435,126.19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1,326,789.04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1,326,789.04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44,556.59</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44,556.59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24,573,364.50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633,227.70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107,900.00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450,288,596.27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475,603,088.47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293,373.42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293,373.42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361,571.61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361,571.61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114,371.46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114,371.46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38,379,836.32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633,227.70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451,057,912.76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490,178,876.78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4,809.39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4,809.39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229,142.26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229,142.26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28,642.77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28,642.77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7,186.14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7,186.14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398,123.29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398,123.29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141,838.40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141,838.40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809,742.25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809,742.25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38,379,836.32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633,227.70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107,900.00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450,248,170.51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489,369,134.53</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于2018年12月31日，本基金持有的交易性债券投资公允价值占基金资产净值的比例为3.67%(2017年12月31日：5.17%)，因此市场利率的变动对于本基金资产净值无重大影响(2017年12月31日：同)。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246,738,230.81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450,288,596.27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92.01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246,738,230.81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450,288,596.27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92.01</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12,258,199.10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21,762,773.55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-12,258,199.10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-21,762,773.55</w:t>
            </w:r>
          </w:p>
        </w:tc>
      </w:tr>
    </w:tbl>
    <w:p>
      <w:pPr>
        <w:pStyle w:val="20"/>
        <w:rPr>
          <w:rFonts w:hint="eastAsia"/>
        </w:rPr>
      </w:pPr>
      <w:r>
        <w:rPr>
          <w:rFonts w:hint="eastAsia"/>
        </w:rPr>
        <w:t>本基金的业绩比较基准=沪深300指数收益率×95%＋一年期人民币定期存款利率(税后)×5%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 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244,336,909.91元，属于第二层次的余额为12,209,831.80元，属于第三层次的余额为74,877.30元(2017年12月31日：第一层次438,672,400.65元，第二层次36,930,687.82元，无第三层次)。</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上述第三层次资产变动如下：本期交易性金融资产权益工具投资转入第三层级的金额为259,509.60元，当期利得或损失总额为-184,632.30元，截止2018年12月31日剩余金额为74,877.30元。2018年12月31日仍持有的资产计入2018年度损益的未实现利得或损失的变动--公允价值变动损益的金额为-261,752.70元。</w:t>
      </w:r>
    </w:p>
    <w:p>
      <w:pPr>
        <w:pStyle w:val="20"/>
        <w:spacing w:before="0"/>
        <w:ind w:left="0" w:firstLine="480"/>
        <w:rPr>
          <w:rFonts w:hint="eastAsia"/>
        </w:rPr>
      </w:pPr>
      <w:r>
        <w:rPr>
          <w:rFonts w:hint="eastAsia"/>
        </w:rPr>
        <w:t>计入损益的利得或损失分别计入利润表中的公允价值变动损益、投资收益等项目。</w:t>
      </w:r>
    </w:p>
    <w:p>
      <w:pPr>
        <w:pStyle w:val="20"/>
        <w:spacing w:before="0"/>
        <w:ind w:left="0" w:firstLine="480"/>
        <w:rPr>
          <w:rFonts w:hint="eastAsia"/>
        </w:rPr>
      </w:pPr>
      <w:r>
        <w:rPr>
          <w:rFonts w:hint="eastAsia"/>
        </w:rPr>
        <w:t>由于上述股票估值相关的公司净资产预期及市净率是不可观察输入值，故分类为第三层级。如果相关证券的净资产预期及市净率变动，将导致公允价值的正相关变动。</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 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4147"/>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4148"/>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246,738,230.81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246,738,230.81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75.76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9,883,388.20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9,883,388.20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61,311,204.05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7,730,705.61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325,663,528.67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4149"/>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9,316,239.00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75,609,210.15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4,042,667.00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8,183,216.00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6,340,236.00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5,741,257.00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6,244,740.40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83,550,917.45</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10,448,072.00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2,662,544.20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212,139,099.20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78.72</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595,888.00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933,873.00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20,384,535.81</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2,105,004.00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122,696.00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1,238,234.00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1,417,321.00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1,815,585.00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329,341.80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1,454,428.00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282,750.00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1,954,051.00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1,965,424.00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34,599,131.61</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12.84</w:t>
            </w:r>
          </w:p>
        </w:tc>
      </w:tr>
    </w:tbl>
    <w:p>
      <w:pPr>
        <w:widowControl/>
        <w:jc w:val="left"/>
        <w:rPr>
          <w:rFonts w:hint="eastAsia" w:ascii="宋体" w:hAnsi="宋体" w:cs="宋体"/>
          <w:kern w:val="0"/>
          <w:sz w:val="24"/>
          <w:szCs w:val="24"/>
        </w:rPr>
      </w:pPr>
    </w:p>
    <w:p>
      <w:pPr>
        <w:pStyle w:val="14"/>
        <w:rPr>
          <w:rFonts w:hint="eastAsia"/>
        </w:rPr>
      </w:pPr>
      <w:bookmarkStart w:id="38" w:name="_Toc4174150"/>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17,020,740.00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8,689,667.28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5,732,478.00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5,378,483.00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5,377,874.00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4,550,361.00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4,451,040.00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4,041,300.00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3,935,064.00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3,888,777.20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3,828,373.00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3,447,548.00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3,346,224.00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五粮液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3,160,421.67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3,064,221.00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2,966,762.68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2,826,269.00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2,529,545.00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2,458,443.00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2,388,350.00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2,368,752.00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2,302,238.00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2,244,832.80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2,119,225.00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2,115,692.00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2,108,326.00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2,086,936.00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2,018,280.00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2,003,043.20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1,951,744.20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1,951,164.00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1,843,684.00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1,832,260.00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1,743,440.00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1,668,600.00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1,573,462.00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1,572,147.00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1,544,480.00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1,531,449.00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1,410,799.00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1,395,454.77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1,379,942.40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1,354,680.00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1,350,984.00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1,289,302.00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1,278,570.00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1,247,868.00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1,225,066.00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1,182,694.00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金螳螂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1,178,842.00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1,137,870.00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1,133,148.00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步长制药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1,122,432.00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1,041,440.00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937,464.00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917,730.00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857,615.00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856,596.00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797,720.00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576,334.00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525,915.00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496,349.00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小商品城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东阿阿胶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431,095.00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418,200.00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373,853.00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365,477.00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351,808.00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通威股份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同仁堂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257,904.00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葛洲坝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华能国际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新和成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金融街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5"/>
        <w:gridCol w:w="1579"/>
        <w:gridCol w:w="1579"/>
        <w:gridCol w:w="1760"/>
        <w:gridCol w:w="1760"/>
        <w:gridCol w:w="1715"/>
      </w:tblGrid>
      <w:tr>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国祯环保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841,635.00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捷成股份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836,783.80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833,973.00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832,885.00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830,877.00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828,723.00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821,779.00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781,996.00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中科曙光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617,870.00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554,931.00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益佰制药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华谊兄弟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547,323.00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明泰铝业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海翔药业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475,915.00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439,530.00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招商轮船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精达股份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重庆水务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宁波韵升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286,071.00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传化智联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280,794.00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远达环保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278,473.00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278,055.00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灵康药业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275,868.00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荣之联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深圳燃气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节能风电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273,429.00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圣农发展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华录百纳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际华集团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云南城投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237,244.00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217,592.00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千方科技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纳思达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新大陆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华孚时尚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跨境通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科达洁能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74,877.30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47,872.50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浙大网新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瀚蓝环境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中化国际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千金药业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4"/>
        <w:rPr>
          <w:rFonts w:hint="eastAsia"/>
        </w:rPr>
      </w:pPr>
      <w:bookmarkStart w:id="39" w:name="_Toc4174151"/>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169,800,957.33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167,424,415.87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116,467,789.90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97,449,444.27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93,675,558.39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90,625,960.47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五粮液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90,503,111.28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86,197,421.07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80,540,241.63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80,343,205.94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77,396,109.02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73,457,517.49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66,577,933.55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65,303,136.03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65,299,461.32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65,106,941.25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61,571,597.11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59,436,090.42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54,395,008.64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50,253,283.47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50,235,171.81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50,211,375.47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49,455,289.81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48,209,244.99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46,395,534.01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46,107,008.88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45,542,743.75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43,769,964.81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43,504,273.38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42,983,870.15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42,445,101.54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41,320,662.39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39,679,982.76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39,198,495.57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38,570,101.71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38,517,201.10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37,159,628.04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37,015,275.96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35,725,077.32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34,974,878.07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32,205,700.59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31,563,185.50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31,247,313.76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31,226,424.74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29,931,083.84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29,767,109.49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28,133,674.37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27,973,881.82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27,756,341.16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27,691,840.80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27,417,563.37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24,680,715.86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24,065,772.37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金螳螂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24,052,909.78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23,948,217.40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23,812,005.50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23,681,346.74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23,336,284.62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23,326,202.00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23,210,235.38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22,662,247.43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22,652,086.91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22,636,136.54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21,531,158.79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20,883,861.60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20,391,309.56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20,321,149.22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20,237,822.39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20,013,188.04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20,011,097.00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19,979,911.01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19,922,092.00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19,817,643.00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19,007,494.05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18,694,203.12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18,689,919.43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18,460,850.90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18,361,650.27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18,258,774.10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18,094,946.29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17,854,573.00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17,737,355.00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17,249,648.00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16,120,879.88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16,063,395.65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15,980,104.98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15,976,627.77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15,886,495.78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15,793,307.28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15,765,636.25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15,192,526.78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15,084,929.00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15,072,459.72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14,950,288.94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14,887,873.17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14,755,141.40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14,648,373.00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14,460,941.15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14,395,408.90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14,366,443.31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14,165,537.00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13,825,288.35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13,574,655.26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13,328,005.42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13,073,359.95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12,886,560.12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12,800,458.72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12,704,369.70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12,649,658.00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12,357,657.00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12,292,724.35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12,194,269.00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12,029,748.00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11,744,026.97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11,610,385.60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11,484,309.28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11,446,139.90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新希望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11,384,580.00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11,314,291.90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11,191,199.00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11,161,179.98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10,929,108.80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10,878,066.92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10,844,262.33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10,728,943.34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10,688,953.34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10,514,651.21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10,377,325.46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10,366,451.00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10,276,095.61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10,209,904.72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10,164,384.80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10,011,669.00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9,985,706.00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9,970,801.64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9,865,358.45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171,794,794.66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166,777,884.78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119,766,370.36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101,491,006.32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100,724,084.13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94,087,931.93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88,078,873.67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84,282,353.47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五粮液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83,977,148.63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81,541,603.68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78,157,749.38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75,712,891.80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72,455,882.12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万科A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67,685,384.79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67,164,573.28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66,842,068.59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62,053,593.57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58,906,014.00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58,105,911.73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55,712,544.07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54,156,409.58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52,485,691.69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49,211,736.23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49,168,174.92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48,885,601.09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47,896,876.55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47,781,286.49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46,110,588.00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45,978,340.58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45,770,120.00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44,363,144.13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42,050,012.61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40,883,116.15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40,567,363.49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40,394,697.27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37,252,414.33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37,236,583.69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36,747,952.15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36,717,833.97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35,876,094.64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33,031,937.24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33,025,044.73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32,975,105.04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29,915,538.54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29,596,847.00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29,405,724.41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28,914,123.19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华侨城A</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28,772,394.58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28,585,573.08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27,918,950.07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27,914,431.85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27,531,101.93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25,864,321.80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25,485,642.65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24,233,742.87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24,184,280.98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24,110,145.20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24,096,856.83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24,045,005.63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23,899,269.54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23,188,976.17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22,817,100.00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22,602,272.56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22,397,089.00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金螳螂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22,101,142.50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21,653,920.60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21,020,641.00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21,014,697.82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20,765,696.20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20,295,020.36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20,209,248.52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19,673,587.79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19,579,155.68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19,313,123.50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18,116,630.35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17,926,815.64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山东高速</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17,910,250.23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17,909,296.71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17,731,479.28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17,675,364.33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17,666,066.77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17,523,895.27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17,107,591.82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16,812,948.20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16,399,918.82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16,382,451.31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15,971,808.59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15,878,585.24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15,854,440.00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15,694,790.50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15,644,290.72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15,516,609.20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15,367,146.59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15,320,868.68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15,285,792.15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15,211,230.43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15,197,592.69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14,859,307.00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14,832,419.94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14,680,643.56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上海电气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14,268,151.07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14,178,856.87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14,002,491.80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湖北能源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13,997,407.00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13,989,771.73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13,768,861.60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13,765,689.60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13,639,150.92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13,611,236.00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13,451,687.09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12,867,589.62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12,812,920.31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新洋丰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12,790,423.00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12,284,486.00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11,922,604.45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11,864,454.50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11,818,179.35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11,813,041.00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11,799,986.00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11,673,548.90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海亮股份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11,664,614.86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11,528,873.98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11,459,226.35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11,386,779.93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11,329,503.04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新希望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11,269,321.29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11,234,891.92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11,063,670.52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10,887,341.67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10,839,848.98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10,792,766.00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10,743,674.91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10,639,340.16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10,526,367.98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10,514,414.48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10,470,925.20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10,378,153.56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铜陵有色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10,363,089.00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科士达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10,212,381.98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10,189,073.33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10,040,745.75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银泰资源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10,023,795.80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9,920,265.30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9,908,579.57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6,252,665,861.96</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6,370,498,349.24</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4152"/>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1,601,280.00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8,256,168.00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8,256,168.00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25,940.20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9,883,388.20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3.67</w:t>
            </w:r>
          </w:p>
        </w:tc>
      </w:tr>
    </w:tbl>
    <w:p>
      <w:pPr>
        <w:widowControl/>
        <w:jc w:val="left"/>
        <w:rPr>
          <w:rFonts w:hint="eastAsia" w:ascii="宋体" w:hAnsi="宋体" w:cs="宋体"/>
          <w:kern w:val="0"/>
          <w:sz w:val="24"/>
          <w:szCs w:val="24"/>
        </w:rPr>
      </w:pPr>
    </w:p>
    <w:p>
      <w:pPr>
        <w:pStyle w:val="14"/>
        <w:rPr>
          <w:rFonts w:hint="eastAsia"/>
        </w:rPr>
      </w:pPr>
      <w:bookmarkStart w:id="41" w:name="_Toc4174153"/>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8,256,168.00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019585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18国债03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山鹰转债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25,940.20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bl>
    <w:p>
      <w:pPr>
        <w:widowControl/>
        <w:jc w:val="left"/>
        <w:rPr>
          <w:rFonts w:hint="eastAsia" w:ascii="宋体" w:hAnsi="宋体" w:cs="宋体"/>
          <w:kern w:val="0"/>
          <w:sz w:val="24"/>
          <w:szCs w:val="24"/>
        </w:rPr>
      </w:pPr>
    </w:p>
    <w:p>
      <w:pPr>
        <w:pStyle w:val="14"/>
        <w:rPr>
          <w:rFonts w:hint="eastAsia"/>
        </w:rPr>
      </w:pPr>
      <w:bookmarkStart w:id="42" w:name="_Toc4174154"/>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4155"/>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4156"/>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4157"/>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4158"/>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4159"/>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300,752.56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287,541.71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7,142,411.34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7,730,705.61</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20"/>
        <w:rPr>
          <w:rFonts w:hint="eastAsia"/>
        </w:rPr>
      </w:pPr>
      <w:r>
        <w:rPr>
          <w:rFonts w:hint="eastAsia"/>
        </w:rPr>
        <w:t>本基金本报告期末指数投资前十名股票不存在流通受限的情况。</w:t>
      </w:r>
    </w:p>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本基金本报告期末积极投资前五名股票不存在流通受限的情况。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174160"/>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4161"/>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123,843.38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75,509,569.99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13,781,506.04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201,515.78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159,673,233.79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79,122,963.99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177,632.53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235,182,803.78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92,904,470.03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28.32%</w:t>
            </w:r>
          </w:p>
        </w:tc>
      </w:tr>
    </w:tbl>
    <w:p>
      <w:pPr>
        <w:widowControl/>
        <w:jc w:val="left"/>
        <w:rPr>
          <w:rFonts w:hint="eastAsia" w:ascii="宋体" w:hAnsi="宋体" w:cs="宋体"/>
          <w:kern w:val="0"/>
          <w:sz w:val="24"/>
          <w:szCs w:val="24"/>
        </w:rPr>
      </w:pPr>
    </w:p>
    <w:p>
      <w:pPr>
        <w:pStyle w:val="14"/>
        <w:rPr>
          <w:rFonts w:hint="eastAsia"/>
        </w:rPr>
      </w:pPr>
      <w:bookmarkStart w:id="50" w:name="_Toc4174162"/>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38,901.66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106,199.34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0.03%</w:t>
            </w:r>
          </w:p>
        </w:tc>
      </w:tr>
    </w:tbl>
    <w:p>
      <w:pPr>
        <w:widowControl/>
        <w:jc w:val="left"/>
        <w:rPr>
          <w:rFonts w:hint="eastAsia" w:ascii="宋体" w:hAnsi="宋体" w:cs="宋体"/>
          <w:kern w:val="0"/>
          <w:sz w:val="24"/>
          <w:szCs w:val="24"/>
        </w:rPr>
      </w:pPr>
    </w:p>
    <w:p>
      <w:pPr>
        <w:pStyle w:val="14"/>
        <w:rPr>
          <w:rFonts w:hint="eastAsia"/>
        </w:rPr>
      </w:pPr>
      <w:bookmarkStart w:id="51" w:name="_Toc4174163"/>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创金合信沪深300增强C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4164"/>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4165"/>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创金合信沪深300增强A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创金合信沪深300增强C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基金合同生效日(2015年12月31日)基金份额总额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5,000,000.00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218,855,457.26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247,013,775.82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100,245,593.60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261,370,612.49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229,809,974.83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269,588,190.53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89,291,076.03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238,796,197.78</w:t>
            </w:r>
          </w:p>
        </w:tc>
      </w:tr>
    </w:tbl>
    <w:p>
      <w:pPr>
        <w:widowControl/>
        <w:jc w:val="left"/>
        <w:rPr>
          <w:rFonts w:hint="eastAsia" w:ascii="宋体" w:hAnsi="宋体" w:cs="宋体"/>
          <w:kern w:val="0"/>
          <w:sz w:val="24"/>
          <w:szCs w:val="24"/>
        </w:rPr>
      </w:pPr>
    </w:p>
    <w:p>
      <w:pPr>
        <w:pStyle w:val="13"/>
        <w:rPr>
          <w:rFonts w:hint="eastAsia"/>
        </w:rPr>
      </w:pPr>
      <w:bookmarkStart w:id="54" w:name="_Toc4174166"/>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4167"/>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4168"/>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4169"/>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4170"/>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4171"/>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本报告期内本基金未更换会计师事务所,本年度支付给普华永道中天会计师事务所(特殊普通合伙)审计费用60,000.00元,该审计机构连续提供审计服务的年限为3年。 </w:t>
      </w:r>
    </w:p>
    <w:p>
      <w:pPr>
        <w:widowControl/>
        <w:jc w:val="left"/>
        <w:rPr>
          <w:rFonts w:hint="eastAsia" w:ascii="宋体" w:hAnsi="宋体" w:cs="宋体"/>
          <w:kern w:val="0"/>
          <w:sz w:val="24"/>
          <w:szCs w:val="24"/>
        </w:rPr>
      </w:pPr>
    </w:p>
    <w:p>
      <w:pPr>
        <w:pStyle w:val="14"/>
        <w:rPr>
          <w:rFonts w:hint="eastAsia"/>
        </w:rPr>
      </w:pPr>
      <w:bookmarkStart w:id="60" w:name="_Toc4174172"/>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4173"/>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140,395,619.08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57,746.54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4,660,083,962.68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1,505,458.07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868,775,727.07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367,114.78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2,111,208,880.86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684,870.14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1,603,125,476.04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519,776.74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3,235,064,866.51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1,048,923.26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32,618,443.01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4,104,926.80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2,791,252.00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29,800,000.00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200,460.00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33,000,000.00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16,171,900.00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102,600,000.00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4174"/>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创金合信沪深300指数增强型发起式证券投资基金招募说明书（更新）摘要（2017年第2号）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创金合信沪深300指数增强型发起式证券投资基金招募说明书（更新）摘要（2017年第2号）（2018年3月修订）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创金合信基金管理有限公司关于创金合信沪深300指数增强型发起式证券投资基金修订基金合同、托管协议部分条款及调整赎回费相关规则的公告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创金合信基金管理有限公司关于旗下部分开放式基金增加广发证券为代销机构暨参加广发证券费率优惠活动的公告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创金合信基金管理有限公司关于旗下部分开放式基金增加济安财富为代销机构的公告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创金合信沪深300指数增强型发起式证券投资基金关于增加华泰证券为代销机构暨参加华泰证券费率优惠活动的公告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2018-12-21</w:t>
            </w:r>
          </w:p>
        </w:tc>
      </w:tr>
    </w:tbl>
    <w:p>
      <w:pPr>
        <w:widowControl/>
        <w:jc w:val="left"/>
        <w:rPr>
          <w:rFonts w:hint="eastAsia" w:ascii="宋体" w:hAnsi="宋体" w:cs="宋体"/>
          <w:kern w:val="0"/>
          <w:sz w:val="24"/>
          <w:szCs w:val="24"/>
        </w:rPr>
      </w:pPr>
    </w:p>
    <w:p>
      <w:pPr>
        <w:pStyle w:val="13"/>
        <w:rPr>
          <w:rFonts w:hint="eastAsia"/>
        </w:rPr>
      </w:pPr>
      <w:bookmarkStart w:id="63" w:name="_Toc4174175"/>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4176"/>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20180101 - 20180711,20181109 - 20181113,20181205 - 20181227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166,822,020.64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35,239,046.16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138,000,000.00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64,061,066.80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19.53%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20180101 - 20181108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236,527,215.31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236,527,215.31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20181109 - 20181204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42,104,210.53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42,104,210.53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20181206 - 20181218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25,439,526.38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25,439,526.38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7.75%</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174177"/>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4178"/>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4179"/>
      <w:r>
        <w:rPr>
          <w:rFonts w:hint="eastAsia"/>
          <w:b/>
          <w:bCs/>
        </w:rPr>
        <w:t>13.1 备查文件目录</w:t>
      </w:r>
      <w:bookmarkEnd w:id="67"/>
    </w:p>
    <w:p>
      <w:pPr>
        <w:pStyle w:val="20"/>
        <w:spacing w:before="0"/>
        <w:ind w:left="0" w:firstLine="480"/>
        <w:rPr>
          <w:rFonts w:hint="eastAsia"/>
        </w:rPr>
      </w:pPr>
      <w:r>
        <w:rPr>
          <w:rFonts w:hint="eastAsia"/>
        </w:rPr>
        <w:t>1、《创金合信沪深300指数增强型发起式证券投资基金基金合同》；</w:t>
      </w:r>
    </w:p>
    <w:p>
      <w:pPr>
        <w:pStyle w:val="20"/>
        <w:spacing w:before="0"/>
        <w:ind w:left="0" w:firstLine="480"/>
        <w:rPr>
          <w:rFonts w:hint="eastAsia"/>
        </w:rPr>
      </w:pPr>
      <w:r>
        <w:rPr>
          <w:rFonts w:hint="eastAsia"/>
        </w:rPr>
        <w:t>2、《创金合信沪深300指数增强型发起式证券投资基金托管协议》；</w:t>
      </w:r>
    </w:p>
    <w:p>
      <w:pPr>
        <w:pStyle w:val="20"/>
        <w:spacing w:before="0"/>
        <w:ind w:left="0" w:firstLine="480"/>
        <w:rPr>
          <w:rFonts w:hint="eastAsia"/>
        </w:rPr>
      </w:pPr>
      <w:r>
        <w:rPr>
          <w:rFonts w:hint="eastAsia"/>
        </w:rPr>
        <w:t>3、创金合信沪深300指数增强型发起式证券投资基金2018年年度报告。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4180"/>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4181"/>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22</w:t>
    </w:r>
    <w:r>
      <w:rPr>
        <w:rStyle w:val="10"/>
      </w:rPr>
      <w:fldChar w:fldCharType="end"/>
    </w:r>
  </w:p>
  <w:p>
    <w:pPr>
      <w:pStyle w:val="2"/>
      <w:jc w:val="center"/>
    </w:pPr>
    <w:r>
      <w:rPr>
        <w:rFonts w:hint="eastAsia"/>
      </w:rPr>
      <w:t xml:space="preserve">                   第       页，共90页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创金合信沪深300指数增强型发起式证券投资基金2018年年度报告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D0251"/>
    <w:rsid w:val="004B661F"/>
    <w:rsid w:val="00673A63"/>
    <w:rsid w:val="006C6943"/>
    <w:rsid w:val="007A27CB"/>
    <w:rsid w:val="008B413B"/>
    <w:rsid w:val="00B4352E"/>
    <w:rsid w:val="00CC3897"/>
    <w:rsid w:val="00D76D8A"/>
    <w:rsid w:val="00DD0251"/>
    <w:rsid w:val="5E2348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89</Pages>
  <Words>10926</Words>
  <Characters>62284</Characters>
  <Lines>519</Lines>
  <Paragraphs>146</Paragraphs>
  <TotalTime>0</TotalTime>
  <ScaleCrop>false</ScaleCrop>
  <LinksUpToDate>false</LinksUpToDate>
  <CharactersWithSpaces>73064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2019-03-22T11:07:00Z</dcterms:created>
  <dc:creator>石怡翔</dc:creator>
  <cp:lastModifiedBy>Administrator</cp:lastModifiedBy>
  <dcterms:modified xsi:type="dcterms:W3CDTF">2019-12-26T14:05:41Z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