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288" w:lineRule="auto"/>
        <w:jc w:val="center"/>
        <w:rPr>
          <w:rFonts w:hint="default" w:ascii="Times New Roman" w:hAnsi="Times New Roman"/>
          <w:color w:val="000000"/>
          <w:kern w:val="0"/>
          <w:sz w:val="24"/>
        </w:rPr>
      </w:pPr>
      <w:bookmarkStart w:id="66" w:name="_GoBack"/>
      <w:bookmarkEnd w:id="66"/>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30" w:beforeLines="0" w:afterLines="0" w:line="288" w:lineRule="auto"/>
        <w:ind w:left="15"/>
        <w:jc w:val="center"/>
        <w:rPr>
          <w:rFonts w:hint="default" w:ascii="Times New Roman" w:hAnsi="Times New Roman"/>
          <w:b/>
          <w:color w:val="000000"/>
          <w:kern w:val="0"/>
          <w:sz w:val="24"/>
        </w:rPr>
      </w:pPr>
      <w:r>
        <w:rPr>
          <w:rFonts w:hint="eastAsia" w:ascii="Times New Roman" w:hAnsi="Times New Roman"/>
          <w:b/>
          <w:color w:val="000000"/>
          <w:kern w:val="0"/>
          <w:sz w:val="24"/>
        </w:rPr>
        <w:t>创金合信尊享纯债债券型证券投资基金</w:t>
      </w:r>
      <w:r>
        <w:rPr>
          <w:rFonts w:hint="default" w:ascii="Times New Roman" w:hAnsi="Times New Roman"/>
          <w:b/>
          <w:color w:val="000000"/>
          <w:kern w:val="0"/>
          <w:sz w:val="24"/>
        </w:rPr>
        <w:t>2016</w:t>
      </w:r>
      <w:r>
        <w:rPr>
          <w:rFonts w:hint="eastAsia" w:ascii="Times New Roman" w:hAnsi="Times New Roman"/>
          <w:b/>
          <w:color w:val="000000"/>
          <w:kern w:val="0"/>
          <w:sz w:val="24"/>
        </w:rPr>
        <w:t>年年度报告</w:t>
      </w:r>
    </w:p>
    <w:p>
      <w:pPr>
        <w:autoSpaceDE w:val="0"/>
        <w:autoSpaceDN w:val="0"/>
        <w:adjustRightInd w:val="0"/>
        <w:spacing w:beforeLines="0" w:afterLines="0" w:line="288" w:lineRule="auto"/>
        <w:jc w:val="center"/>
        <w:rPr>
          <w:rFonts w:hint="default" w:ascii="Times New Roman" w:hAnsi="Times New Roman"/>
          <w:b/>
          <w:color w:val="000000"/>
          <w:kern w:val="0"/>
          <w:sz w:val="24"/>
        </w:rPr>
      </w:pPr>
    </w:p>
    <w:p>
      <w:pPr>
        <w:autoSpaceDE w:val="0"/>
        <w:autoSpaceDN w:val="0"/>
        <w:adjustRightInd w:val="0"/>
        <w:spacing w:before="30" w:beforeLines="0" w:afterLines="0" w:line="288" w:lineRule="auto"/>
        <w:ind w:left="15"/>
        <w:jc w:val="center"/>
        <w:rPr>
          <w:rFonts w:hint="default" w:ascii="Times New Roman" w:hAnsi="Times New Roman"/>
          <w:b/>
          <w:color w:val="000000"/>
          <w:kern w:val="0"/>
          <w:sz w:val="24"/>
        </w:rPr>
      </w:pP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w:t>
      </w:r>
    </w:p>
    <w:p>
      <w:pPr>
        <w:autoSpaceDE w:val="0"/>
        <w:autoSpaceDN w:val="0"/>
        <w:adjustRightInd w:val="0"/>
        <w:spacing w:beforeLines="0" w:afterLines="0" w:line="288" w:lineRule="auto"/>
        <w:jc w:val="center"/>
        <w:rPr>
          <w:rFonts w:hint="default" w:ascii="Times New Roman" w:hAnsi="Times New Roman"/>
          <w:b/>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hAnsi="Times New Roman"/>
          <w:b/>
          <w:color w:val="000000"/>
          <w:kern w:val="0"/>
          <w:sz w:val="24"/>
        </w:rPr>
      </w:pPr>
      <w:r>
        <w:rPr>
          <w:rFonts w:hint="eastAsia" w:ascii="Times New Roman" w:hAnsi="Times New Roman"/>
          <w:b/>
          <w:color w:val="000000"/>
          <w:kern w:val="0"/>
          <w:sz w:val="24"/>
        </w:rPr>
        <w:t>基金管理人：创金合信基金管理有限公司</w:t>
      </w: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hAnsi="Times New Roman"/>
          <w:b/>
          <w:color w:val="000000"/>
          <w:kern w:val="0"/>
          <w:sz w:val="24"/>
        </w:rPr>
      </w:pPr>
      <w:r>
        <w:rPr>
          <w:rFonts w:hint="eastAsia" w:ascii="Times New Roman" w:hAnsi="Times New Roman"/>
          <w:b/>
          <w:color w:val="000000"/>
          <w:kern w:val="0"/>
          <w:sz w:val="24"/>
        </w:rPr>
        <w:t>基金托管人：招商银行股份有限公司</w:t>
      </w:r>
    </w:p>
    <w:p>
      <w:pPr>
        <w:autoSpaceDE w:val="0"/>
        <w:autoSpaceDN w:val="0"/>
        <w:adjustRightInd w:val="0"/>
        <w:spacing w:beforeLines="0" w:afterLines="0" w:line="288" w:lineRule="auto"/>
        <w:jc w:val="center"/>
        <w:rPr>
          <w:rFonts w:hint="default" w:ascii="Times New Roman" w:hAnsi="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hAnsi="Times New Roman"/>
          <w:b/>
          <w:color w:val="000000"/>
          <w:kern w:val="0"/>
          <w:sz w:val="24"/>
        </w:rPr>
      </w:pPr>
      <w:r>
        <w:rPr>
          <w:rFonts w:hint="eastAsia" w:ascii="Times New Roman" w:hAnsi="Times New Roman"/>
          <w:b/>
          <w:color w:val="000000"/>
          <w:kern w:val="0"/>
          <w:sz w:val="24"/>
        </w:rPr>
        <w:t>送出日期：</w:t>
      </w:r>
      <w:r>
        <w:rPr>
          <w:rFonts w:hint="default" w:ascii="Times New Roman" w:hAnsi="Times New Roman"/>
          <w:b/>
          <w:color w:val="000000"/>
          <w:kern w:val="0"/>
          <w:sz w:val="24"/>
        </w:rPr>
        <w:t>2017</w:t>
      </w:r>
      <w:r>
        <w:rPr>
          <w:rFonts w:hint="eastAsia" w:ascii="Times New Roman" w:hAnsi="Times New Roman"/>
          <w:b/>
          <w:color w:val="000000"/>
          <w:kern w:val="0"/>
          <w:sz w:val="24"/>
        </w:rPr>
        <w:t>年</w:t>
      </w:r>
      <w:r>
        <w:rPr>
          <w:rFonts w:hint="default" w:ascii="Times New Roman" w:hAnsi="Times New Roman"/>
          <w:b/>
          <w:color w:val="000000"/>
          <w:kern w:val="0"/>
          <w:sz w:val="24"/>
        </w:rPr>
        <w:t>3</w:t>
      </w:r>
      <w:r>
        <w:rPr>
          <w:rFonts w:hint="eastAsia" w:ascii="Times New Roman" w:hAnsi="Times New Roman"/>
          <w:b/>
          <w:color w:val="000000"/>
          <w:kern w:val="0"/>
          <w:sz w:val="24"/>
        </w:rPr>
        <w:t>月</w:t>
      </w:r>
      <w:r>
        <w:rPr>
          <w:rFonts w:hint="default" w:ascii="Times New Roman" w:hAnsi="Times New Roman"/>
          <w:b/>
          <w:color w:val="000000"/>
          <w:kern w:val="0"/>
          <w:sz w:val="24"/>
        </w:rPr>
        <w:t>27</w:t>
      </w:r>
      <w:r>
        <w:rPr>
          <w:rFonts w:hint="eastAsia" w:ascii="Times New Roman" w:hAnsi="Times New Roman"/>
          <w:b/>
          <w:color w:val="000000"/>
          <w:kern w:val="0"/>
          <w:sz w:val="24"/>
        </w:rPr>
        <w:t>日</w:t>
      </w:r>
    </w:p>
    <w:p>
      <w:pPr>
        <w:autoSpaceDE w:val="0"/>
        <w:autoSpaceDN w:val="0"/>
        <w:adjustRightInd w:val="0"/>
        <w:spacing w:beforeLines="0" w:afterLines="0" w:line="288" w:lineRule="auto"/>
        <w:jc w:val="left"/>
        <w:rPr>
          <w:rFonts w:hint="default" w:ascii="Times New Roman" w:hAnsi="Times New Roman"/>
          <w:kern w:val="0"/>
          <w:sz w:val="24"/>
        </w:rPr>
        <w:sectPr>
          <w:headerReference r:id="rId3" w:type="default"/>
          <w:footerReference r:id="rId4" w:type="default"/>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center"/>
        <w:outlineLvl w:val="0"/>
        <w:rPr>
          <w:rFonts w:hint="default" w:ascii="Times New Roman" w:hAnsi="Times New Roman"/>
          <w:b/>
          <w:color w:val="000000"/>
          <w:kern w:val="0"/>
          <w:sz w:val="24"/>
        </w:rPr>
      </w:pPr>
      <w:bookmarkStart w:id="0" w:name="_Toc477955781"/>
      <w:r>
        <w:rPr>
          <w:rFonts w:hint="eastAsia" w:ascii="Times New Roman" w:hAnsi="Times New Roman"/>
          <w:b/>
          <w:color w:val="000000"/>
          <w:kern w:val="0"/>
          <w:sz w:val="24"/>
        </w:rPr>
        <w:t>§</w:t>
      </w:r>
      <w:r>
        <w:rPr>
          <w:rFonts w:hint="default" w:ascii="Times New Roman" w:hAnsi="Times New Roman"/>
          <w:b/>
          <w:color w:val="000000"/>
          <w:kern w:val="0"/>
          <w:sz w:val="24"/>
        </w:rPr>
        <w:t xml:space="preserve">1  </w:t>
      </w:r>
      <w:r>
        <w:rPr>
          <w:rFonts w:hint="eastAsia" w:ascii="Times New Roman" w:hAnsi="Times New Roman"/>
          <w:b/>
          <w:color w:val="000000"/>
          <w:kern w:val="0"/>
          <w:sz w:val="24"/>
        </w:rPr>
        <w:t>重要提示及目录</w:t>
      </w:r>
      <w:bookmarkEnd w:id="0"/>
    </w:p>
    <w:p>
      <w:pPr>
        <w:autoSpaceDE w:val="0"/>
        <w:autoSpaceDN w:val="0"/>
        <w:adjustRightInd w:val="0"/>
        <w:spacing w:beforeLines="0" w:afterLines="0" w:line="288" w:lineRule="auto"/>
        <w:jc w:val="left"/>
        <w:rPr>
          <w:rFonts w:hint="default" w:ascii="Times New Roman" w:hAnsi="Times New Roman"/>
          <w:color w:val="000000"/>
          <w:kern w:val="0"/>
          <w:sz w:val="24"/>
        </w:rPr>
      </w:pPr>
    </w:p>
    <w:p>
      <w:pPr>
        <w:autoSpaceDE w:val="0"/>
        <w:autoSpaceDN w:val="0"/>
        <w:adjustRightInd w:val="0"/>
        <w:spacing w:before="30" w:beforeLines="0" w:afterLines="0" w:line="288" w:lineRule="auto"/>
        <w:ind w:left="15"/>
        <w:jc w:val="left"/>
        <w:outlineLvl w:val="1"/>
        <w:rPr>
          <w:rFonts w:hint="default" w:ascii="Times New Roman" w:hAnsi="Times New Roman"/>
          <w:b/>
          <w:color w:val="000000"/>
          <w:kern w:val="0"/>
          <w:sz w:val="24"/>
        </w:rPr>
      </w:pPr>
      <w:bookmarkStart w:id="1" w:name="_Toc477955782"/>
      <w:r>
        <w:rPr>
          <w:rFonts w:hint="default" w:ascii="Times New Roman" w:hAnsi="Times New Roman"/>
          <w:b/>
          <w:color w:val="000000"/>
          <w:kern w:val="0"/>
          <w:sz w:val="24"/>
        </w:rPr>
        <w:t xml:space="preserve">1.1 </w:t>
      </w:r>
      <w:r>
        <w:rPr>
          <w:rFonts w:hint="eastAsia" w:ascii="Times New Roman" w:hAnsi="Times New Roman"/>
          <w:b/>
          <w:color w:val="000000"/>
          <w:kern w:val="0"/>
          <w:sz w:val="24"/>
        </w:rPr>
        <w:t>重要提示</w:t>
      </w:r>
      <w:bookmarkEnd w:id="1"/>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30"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基金托管人招商银行股份有限公司根据本基金合同规定，于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基金管理人承诺以诚实信用、勤勉尽责的原则管理和运用基金资产，但不保证基金一定盈利。</w:t>
            </w:r>
          </w:p>
          <w:p>
            <w:pPr>
              <w:autoSpaceDE w:val="0"/>
              <w:autoSpaceDN w:val="0"/>
              <w:adjustRightInd w:val="0"/>
              <w:spacing w:before="30"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基金的过往业绩并不代表其未来表现。投资有风险，投资者在作出投资决策前应仔细阅读本基金的招募说明书及其更新。</w:t>
            </w:r>
          </w:p>
          <w:p>
            <w:pPr>
              <w:autoSpaceDE w:val="0"/>
              <w:autoSpaceDN w:val="0"/>
              <w:adjustRightInd w:val="0"/>
              <w:spacing w:before="30"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本报告期自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w:t>
            </w:r>
          </w:p>
        </w:tc>
      </w:tr>
    </w:tbl>
    <w:p>
      <w:pPr>
        <w:autoSpaceDE w:val="0"/>
        <w:autoSpaceDN w:val="0"/>
        <w:adjustRightInd w:val="0"/>
        <w:spacing w:beforeLines="0" w:afterLines="0" w:line="288" w:lineRule="auto"/>
        <w:jc w:val="left"/>
        <w:rPr>
          <w:rFonts w:hint="default" w:ascii="Times New Roman" w:hAnsi="Times New Roman"/>
          <w:kern w:val="0"/>
          <w:sz w:val="24"/>
        </w:rPr>
        <w:sectPr>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left"/>
        <w:outlineLvl w:val="1"/>
        <w:rPr>
          <w:rFonts w:hint="default" w:ascii="Times New Roman" w:hAnsi="Times New Roman"/>
          <w:b/>
          <w:color w:val="000000"/>
          <w:kern w:val="0"/>
          <w:sz w:val="24"/>
        </w:rPr>
      </w:pPr>
      <w:bookmarkStart w:id="2" w:name="_Toc477955783"/>
      <w:r>
        <w:rPr>
          <w:rFonts w:hint="default" w:ascii="Times New Roman" w:hAnsi="Times New Roman"/>
          <w:b/>
          <w:color w:val="000000"/>
          <w:kern w:val="0"/>
          <w:sz w:val="24"/>
        </w:rPr>
        <w:t xml:space="preserve">1.2  </w:t>
      </w:r>
      <w:r>
        <w:rPr>
          <w:rFonts w:hint="eastAsia" w:ascii="Times New Roman" w:hAnsi="Times New Roman"/>
          <w:b/>
          <w:color w:val="000000"/>
          <w:kern w:val="0"/>
          <w:sz w:val="24"/>
        </w:rPr>
        <w:t>目录</w:t>
      </w:r>
      <w:bookmarkEnd w:id="2"/>
    </w:p>
    <w:p>
      <w:pPr>
        <w:pStyle w:val="6"/>
        <w:tabs>
          <w:tab w:val="right" w:leader="dot" w:pos="9080"/>
        </w:tabs>
        <w:spacing w:beforeLines="0" w:afterLines="0"/>
        <w:rPr>
          <w:rFonts w:hint="default" w:eastAsia="Times New Roman"/>
          <w:sz w:val="21"/>
          <w:lang/>
        </w:rPr>
      </w:pPr>
      <w:r>
        <w:rPr>
          <w:rFonts w:hint="default" w:ascii="Times New Roman" w:hAnsi="Times New Roman"/>
          <w:b/>
          <w:color w:val="000000"/>
          <w:kern w:val="0"/>
          <w:sz w:val="24"/>
        </w:rPr>
        <w:fldChar w:fldCharType="begin"/>
      </w:r>
      <w:r>
        <w:rPr>
          <w:rFonts w:hint="default" w:ascii="Times New Roman" w:hAnsi="Times New Roman"/>
          <w:b/>
          <w:color w:val="000000"/>
          <w:kern w:val="0"/>
          <w:sz w:val="24"/>
        </w:rPr>
        <w:instrText xml:space="preserve"> TOC \o "1-2" \h \z \u </w:instrText>
      </w:r>
      <w:r>
        <w:rPr>
          <w:rFonts w:hint="default" w:ascii="Times New Roman" w:hAnsi="Times New Roman"/>
          <w:b/>
          <w:color w:val="000000"/>
          <w:kern w:val="0"/>
          <w:sz w:val="24"/>
        </w:rPr>
        <w:fldChar w:fldCharType="separate"/>
      </w: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"_Toc477955781"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  </w:t>
      </w:r>
      <w:r>
        <w:rPr>
          <w:rStyle w:val="10"/>
          <w:rFonts w:hint="eastAsia" w:ascii="Times New Roman" w:hAnsi="Times New Roman" w:eastAsia="宋体"/>
          <w:b/>
          <w:kern w:val="0"/>
          <w:sz w:val="21"/>
          <w:lang/>
        </w:rPr>
        <w:t>重要提示及目录</w:t>
      </w:r>
      <w:r>
        <w:rPr>
          <w:rFonts w:hint="default" w:eastAsia="Times New Roman"/>
          <w:sz w:val="21"/>
          <w:lang/>
        </w:rPr>
        <w:tab/>
      </w:r>
      <w:r>
        <w:rPr>
          <w:rFonts w:hint="default"/>
          <w:sz w:val="21"/>
          <w:lang/>
        </w:rPr>
        <w:fldChar w:fldCharType="begin"/>
      </w:r>
      <w:r>
        <w:rPr>
          <w:rFonts w:hint="default"/>
          <w:sz w:val="21"/>
          <w:lang/>
        </w:rPr>
        <w:instrText xml:space="preserve"> PAGEREF _Toc477955781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"_Toc477955782"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重要提示</w:t>
      </w:r>
      <w:r>
        <w:rPr>
          <w:rFonts w:hint="default" w:eastAsia="Times New Roman"/>
          <w:sz w:val="21"/>
          <w:lang/>
        </w:rPr>
        <w:tab/>
      </w:r>
      <w:r>
        <w:rPr>
          <w:rFonts w:hint="default"/>
          <w:sz w:val="21"/>
          <w:lang/>
        </w:rPr>
        <w:fldChar w:fldCharType="begin"/>
      </w:r>
      <w:r>
        <w:rPr>
          <w:rFonts w:hint="default"/>
          <w:sz w:val="21"/>
          <w:lang/>
        </w:rPr>
        <w:instrText xml:space="preserve"> PAGEREF _Toc477955782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"_Toc477955783"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目录</w:t>
      </w:r>
      <w:r>
        <w:rPr>
          <w:rFonts w:hint="default" w:eastAsia="Times New Roman"/>
          <w:sz w:val="21"/>
          <w:lang/>
        </w:rPr>
        <w:tab/>
      </w:r>
      <w:r>
        <w:rPr>
          <w:rFonts w:hint="default"/>
          <w:sz w:val="21"/>
          <w:lang/>
        </w:rPr>
        <w:fldChar w:fldCharType="begin"/>
      </w:r>
      <w:r>
        <w:rPr>
          <w:rFonts w:hint="default"/>
          <w:sz w:val="21"/>
          <w:lang/>
        </w:rPr>
        <w:instrText xml:space="preserve"> PAGEREF _Toc477955783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"_Toc477955784"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  </w:t>
      </w:r>
      <w:r>
        <w:rPr>
          <w:rStyle w:val="10"/>
          <w:rFonts w:hint="eastAsia" w:ascii="Times New Roman" w:hAnsi="Times New Roman" w:eastAsia="宋体"/>
          <w:b/>
          <w:kern w:val="0"/>
          <w:sz w:val="21"/>
          <w:lang/>
        </w:rPr>
        <w:t>基金简介</w:t>
      </w:r>
      <w:r>
        <w:rPr>
          <w:rFonts w:hint="default" w:eastAsia="Times New Roman"/>
          <w:sz w:val="21"/>
          <w:lang/>
        </w:rPr>
        <w:tab/>
      </w:r>
      <w:r>
        <w:rPr>
          <w:rFonts w:hint="default"/>
          <w:sz w:val="21"/>
          <w:lang/>
        </w:rPr>
        <w:fldChar w:fldCharType="begin"/>
      </w:r>
      <w:r>
        <w:rPr>
          <w:rFonts w:hint="default"/>
          <w:sz w:val="21"/>
          <w:lang/>
        </w:rPr>
        <w:instrText xml:space="preserve"> PAGEREF _Toc477955784 \h </w:instrText>
      </w:r>
      <w:r>
        <w:rPr>
          <w:rFonts w:hint="default"/>
          <w:sz w:val="21"/>
          <w:lang/>
        </w:rPr>
        <w:fldChar w:fldCharType="separate"/>
      </w:r>
      <w:r>
        <w:rPr>
          <w:rFonts w:hint="default"/>
          <w:sz w:val="21"/>
          <w:lang/>
        </w:rPr>
        <w:t>5</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"_Toc477955785"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2.1 </w:t>
      </w:r>
      <w:r>
        <w:rPr>
          <w:rStyle w:val="10"/>
          <w:rFonts w:hint="eastAsia" w:ascii="Times New Roman" w:hAnsi="Times New Roman" w:eastAsia="宋体"/>
          <w:b/>
          <w:kern w:val="0"/>
          <w:sz w:val="21"/>
          <w:lang/>
        </w:rPr>
        <w:t>基金基本情况</w:t>
      </w:r>
      <w:r>
        <w:rPr>
          <w:rFonts w:hint="default" w:eastAsia="Times New Roman"/>
          <w:sz w:val="21"/>
          <w:lang/>
        </w:rPr>
        <w:tab/>
      </w:r>
      <w:r>
        <w:rPr>
          <w:rFonts w:hint="default"/>
          <w:sz w:val="21"/>
          <w:lang/>
        </w:rPr>
        <w:fldChar w:fldCharType="begin"/>
      </w:r>
      <w:r>
        <w:rPr>
          <w:rFonts w:hint="default"/>
          <w:sz w:val="21"/>
          <w:lang/>
        </w:rPr>
        <w:instrText xml:space="preserve"> PAGEREF _Toc477955785 \h </w:instrText>
      </w:r>
      <w:r>
        <w:rPr>
          <w:rFonts w:hint="default"/>
          <w:sz w:val="21"/>
          <w:lang/>
        </w:rPr>
        <w:fldChar w:fldCharType="separate"/>
      </w:r>
      <w:r>
        <w:rPr>
          <w:rFonts w:hint="default"/>
          <w:sz w:val="21"/>
          <w:lang/>
        </w:rPr>
        <w:t>5</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"_Toc477955786"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2.2 </w:t>
      </w:r>
      <w:r>
        <w:rPr>
          <w:rStyle w:val="10"/>
          <w:rFonts w:hint="eastAsia" w:ascii="Times New Roman" w:hAnsi="Times New Roman" w:eastAsia="宋体"/>
          <w:b/>
          <w:kern w:val="0"/>
          <w:sz w:val="21"/>
          <w:lang/>
        </w:rPr>
        <w:t>基金产品说明</w:t>
      </w:r>
      <w:r>
        <w:rPr>
          <w:rFonts w:hint="default" w:eastAsia="Times New Roman"/>
          <w:sz w:val="21"/>
          <w:lang/>
        </w:rPr>
        <w:tab/>
      </w:r>
      <w:r>
        <w:rPr>
          <w:rFonts w:hint="default"/>
          <w:sz w:val="21"/>
          <w:lang/>
        </w:rPr>
        <w:fldChar w:fldCharType="begin"/>
      </w:r>
      <w:r>
        <w:rPr>
          <w:rFonts w:hint="default"/>
          <w:sz w:val="21"/>
          <w:lang/>
        </w:rPr>
        <w:instrText xml:space="preserve"> PAGEREF _Toc477955786 \h </w:instrText>
      </w:r>
      <w:r>
        <w:rPr>
          <w:rFonts w:hint="default"/>
          <w:sz w:val="21"/>
          <w:lang/>
        </w:rPr>
        <w:fldChar w:fldCharType="separate"/>
      </w:r>
      <w:r>
        <w:rPr>
          <w:rFonts w:hint="default"/>
          <w:sz w:val="21"/>
          <w:lang/>
        </w:rPr>
        <w:t>5</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"_Toc477955787"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2.3 </w:t>
      </w:r>
      <w:r>
        <w:rPr>
          <w:rStyle w:val="10"/>
          <w:rFonts w:hint="eastAsia" w:ascii="Times New Roman" w:hAnsi="Times New Roman" w:eastAsia="宋体"/>
          <w:b/>
          <w:kern w:val="0"/>
          <w:sz w:val="21"/>
          <w:lang/>
        </w:rPr>
        <w:t>基金管理人和基金托管人</w:t>
      </w:r>
      <w:r>
        <w:rPr>
          <w:rFonts w:hint="default" w:eastAsia="Times New Roman"/>
          <w:sz w:val="21"/>
          <w:lang/>
        </w:rPr>
        <w:tab/>
      </w:r>
      <w:r>
        <w:rPr>
          <w:rFonts w:hint="default"/>
          <w:sz w:val="21"/>
          <w:lang/>
        </w:rPr>
        <w:fldChar w:fldCharType="begin"/>
      </w:r>
      <w:r>
        <w:rPr>
          <w:rFonts w:hint="default"/>
          <w:sz w:val="21"/>
          <w:lang/>
        </w:rPr>
        <w:instrText xml:space="preserve"> PAGEREF _Toc477955787 \h </w:instrText>
      </w:r>
      <w:r>
        <w:rPr>
          <w:rFonts w:hint="default"/>
          <w:sz w:val="21"/>
          <w:lang/>
        </w:rPr>
        <w:fldChar w:fldCharType="separate"/>
      </w:r>
      <w:r>
        <w:rPr>
          <w:rFonts w:hint="default"/>
          <w:sz w:val="21"/>
          <w:lang/>
        </w:rPr>
        <w:t>5</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"_Toc477955788"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2.4 </w:t>
      </w:r>
      <w:r>
        <w:rPr>
          <w:rStyle w:val="10"/>
          <w:rFonts w:hint="eastAsia" w:ascii="Times New Roman" w:hAnsi="Times New Roman" w:eastAsia="宋体"/>
          <w:b/>
          <w:kern w:val="0"/>
          <w:sz w:val="21"/>
          <w:lang/>
        </w:rPr>
        <w:t>信息披露方式</w:t>
      </w:r>
      <w:r>
        <w:rPr>
          <w:rFonts w:hint="default" w:eastAsia="Times New Roman"/>
          <w:sz w:val="21"/>
          <w:lang/>
        </w:rPr>
        <w:tab/>
      </w:r>
      <w:r>
        <w:rPr>
          <w:rFonts w:hint="default"/>
          <w:sz w:val="21"/>
          <w:lang/>
        </w:rPr>
        <w:fldChar w:fldCharType="begin"/>
      </w:r>
      <w:r>
        <w:rPr>
          <w:rFonts w:hint="default"/>
          <w:sz w:val="21"/>
          <w:lang/>
        </w:rPr>
        <w:instrText xml:space="preserve"> PAGEREF _Toc477955788 \h </w:instrText>
      </w:r>
      <w:r>
        <w:rPr>
          <w:rFonts w:hint="default"/>
          <w:sz w:val="21"/>
          <w:lang/>
        </w:rPr>
        <w:fldChar w:fldCharType="separate"/>
      </w:r>
      <w:r>
        <w:rPr>
          <w:rFonts w:hint="default"/>
          <w:sz w:val="21"/>
          <w:lang/>
        </w:rPr>
        <w:t>6</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"_Toc477955789"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2.5 </w:t>
      </w:r>
      <w:r>
        <w:rPr>
          <w:rStyle w:val="10"/>
          <w:rFonts w:hint="eastAsia" w:ascii="Times New Roman" w:hAnsi="Times New Roman" w:eastAsia="宋体"/>
          <w:b/>
          <w:kern w:val="0"/>
          <w:sz w:val="21"/>
          <w:lang/>
        </w:rPr>
        <w:t>其他相关资料</w:t>
      </w:r>
      <w:r>
        <w:rPr>
          <w:rFonts w:hint="default" w:eastAsia="Times New Roman"/>
          <w:sz w:val="21"/>
          <w:lang/>
        </w:rPr>
        <w:tab/>
      </w:r>
      <w:r>
        <w:rPr>
          <w:rFonts w:hint="default"/>
          <w:sz w:val="21"/>
          <w:lang/>
        </w:rPr>
        <w:fldChar w:fldCharType="begin"/>
      </w:r>
      <w:r>
        <w:rPr>
          <w:rFonts w:hint="default"/>
          <w:sz w:val="21"/>
          <w:lang/>
        </w:rPr>
        <w:instrText xml:space="preserve"> PAGEREF _Toc477955789 \h </w:instrText>
      </w:r>
      <w:r>
        <w:rPr>
          <w:rFonts w:hint="default"/>
          <w:sz w:val="21"/>
          <w:lang/>
        </w:rPr>
        <w:fldChar w:fldCharType="separate"/>
      </w:r>
      <w:r>
        <w:rPr>
          <w:rFonts w:hint="default"/>
          <w:sz w:val="21"/>
          <w:lang/>
        </w:rPr>
        <w:t>6</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"_Toc477955790"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§3  </w:t>
      </w:r>
      <w:r>
        <w:rPr>
          <w:rStyle w:val="10"/>
          <w:rFonts w:hint="eastAsia" w:ascii="Times New Roman" w:hAnsi="Times New Roman" w:eastAsia="宋体"/>
          <w:b/>
          <w:kern w:val="0"/>
          <w:sz w:val="21"/>
          <w:lang/>
        </w:rPr>
        <w:t>主要财务指标、基金净值表现及利润分配情况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_Toc477955790 \h </w:instrText>
      </w:r>
      <w:r>
        <w:rPr>
          <w:rFonts w:hint="default"/>
          <w:sz w:val="21"/>
          <w:lang/>
        </w:rPr>
        <w:fldChar w:fldCharType="separate"/>
      </w:r>
      <w:r>
        <w:rPr>
          <w:rFonts w:hint="default"/>
          <w:sz w:val="21"/>
          <w:lang/>
        </w:rPr>
        <w:t>6</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"_Toc477955791"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3.1 </w:t>
      </w:r>
      <w:r>
        <w:rPr>
          <w:rStyle w:val="10"/>
          <w:rFonts w:hint="eastAsia" w:ascii="Times New Roman" w:hAnsi="Times New Roman" w:eastAsia="宋体"/>
          <w:b/>
          <w:kern w:val="0"/>
          <w:sz w:val="21"/>
          <w:lang/>
        </w:rPr>
        <w:t>主要会计数据和财务指标</w:t>
      </w:r>
      <w:r>
        <w:rPr>
          <w:rFonts w:hint="default" w:eastAsia="Times New Roman"/>
          <w:sz w:val="21"/>
          <w:lang/>
        </w:rPr>
        <w:tab/>
      </w:r>
      <w:r>
        <w:rPr>
          <w:rFonts w:hint="default"/>
          <w:sz w:val="21"/>
          <w:lang/>
        </w:rPr>
        <w:fldChar w:fldCharType="begin"/>
      </w:r>
      <w:r>
        <w:rPr>
          <w:rFonts w:hint="default"/>
          <w:sz w:val="21"/>
          <w:lang/>
        </w:rPr>
        <w:instrText xml:space="preserve"> PAGEREF _Toc477955791 \h </w:instrText>
      </w:r>
      <w:r>
        <w:rPr>
          <w:rFonts w:hint="default"/>
          <w:sz w:val="21"/>
          <w:lang/>
        </w:rPr>
        <w:fldChar w:fldCharType="separate"/>
      </w:r>
      <w:r>
        <w:rPr>
          <w:rFonts w:hint="default"/>
          <w:sz w:val="21"/>
          <w:lang/>
        </w:rPr>
        <w:t>6</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"_Toc477955792"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3.2 </w:t>
      </w:r>
      <w:r>
        <w:rPr>
          <w:rStyle w:val="10"/>
          <w:rFonts w:hint="eastAsia" w:ascii="Times New Roman" w:hAnsi="Times New Roman" w:eastAsia="宋体"/>
          <w:b/>
          <w:kern w:val="0"/>
          <w:sz w:val="21"/>
          <w:lang/>
        </w:rPr>
        <w:t>基金净值表现</w:t>
      </w:r>
      <w:r>
        <w:rPr>
          <w:rFonts w:hint="default" w:eastAsia="Times New Roman"/>
          <w:sz w:val="21"/>
          <w:lang/>
        </w:rPr>
        <w:tab/>
      </w:r>
      <w:r>
        <w:rPr>
          <w:rFonts w:hint="default"/>
          <w:sz w:val="21"/>
          <w:lang/>
        </w:rPr>
        <w:fldChar w:fldCharType="begin"/>
      </w:r>
      <w:r>
        <w:rPr>
          <w:rFonts w:hint="default"/>
          <w:sz w:val="21"/>
          <w:lang/>
        </w:rPr>
        <w:instrText xml:space="preserve"> PAGEREF _Toc477955792 \h </w:instrText>
      </w:r>
      <w:r>
        <w:rPr>
          <w:rFonts w:hint="default"/>
          <w:sz w:val="21"/>
          <w:lang/>
        </w:rPr>
        <w:fldChar w:fldCharType="separate"/>
      </w:r>
      <w:r>
        <w:rPr>
          <w:rFonts w:hint="default"/>
          <w:sz w:val="21"/>
          <w:lang/>
        </w:rPr>
        <w:t>7</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"_Toc477955793"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3.3 </w:t>
      </w:r>
      <w:r>
        <w:rPr>
          <w:rStyle w:val="10"/>
          <w:rFonts w:hint="eastAsia" w:ascii="Times New Roman" w:hAnsi="Times New Roman" w:eastAsia="宋体"/>
          <w:b/>
          <w:kern w:val="0"/>
          <w:sz w:val="21"/>
          <w:lang/>
        </w:rPr>
        <w:t>过去三年基金的利润分配情况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_Toc477955793 \h </w:instrText>
      </w:r>
      <w:r>
        <w:rPr>
          <w:rFonts w:hint="default"/>
          <w:sz w:val="21"/>
          <w:lang/>
        </w:rPr>
        <w:fldChar w:fldCharType="separate"/>
      </w:r>
      <w:r>
        <w:rPr>
          <w:rFonts w:hint="default"/>
          <w:sz w:val="21"/>
          <w:lang/>
        </w:rPr>
        <w:t>8</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"_Toc477955794"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  </w:t>
      </w:r>
      <w:r>
        <w:rPr>
          <w:rStyle w:val="10"/>
          <w:rFonts w:hint="eastAsia" w:ascii="Times New Roman" w:hAnsi="Times New Roman" w:eastAsia="宋体"/>
          <w:b/>
          <w:kern w:val="0"/>
          <w:sz w:val="21"/>
          <w:lang/>
        </w:rPr>
        <w:t>管理人报告</w:t>
      </w:r>
      <w:r>
        <w:rPr>
          <w:rFonts w:hint="default" w:eastAsia="Times New Roman"/>
          <w:sz w:val="21"/>
          <w:lang/>
        </w:rPr>
        <w:tab/>
      </w:r>
      <w:r>
        <w:rPr>
          <w:rFonts w:hint="default"/>
          <w:sz w:val="21"/>
          <w:lang/>
        </w:rPr>
        <w:fldChar w:fldCharType="begin"/>
      </w:r>
      <w:r>
        <w:rPr>
          <w:rFonts w:hint="default"/>
          <w:sz w:val="21"/>
          <w:lang/>
        </w:rPr>
        <w:instrText xml:space="preserve"> PAGEREF _Toc477955794 \h </w:instrText>
      </w:r>
      <w:r>
        <w:rPr>
          <w:rFonts w:hint="default"/>
          <w:sz w:val="21"/>
          <w:lang/>
        </w:rPr>
        <w:fldChar w:fldCharType="separate"/>
      </w:r>
      <w:r>
        <w:rPr>
          <w:rFonts w:hint="default"/>
          <w:sz w:val="21"/>
          <w:lang/>
        </w:rPr>
        <w:t>8</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"_Toc477955795"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4.1 </w:t>
      </w:r>
      <w:r>
        <w:rPr>
          <w:rStyle w:val="10"/>
          <w:rFonts w:hint="eastAsia" w:ascii="Times New Roman" w:hAnsi="Times New Roman" w:eastAsia="宋体"/>
          <w:b/>
          <w:kern w:val="0"/>
          <w:sz w:val="21"/>
          <w:lang/>
        </w:rPr>
        <w:t>基金管理人及基金经理情况</w:t>
      </w:r>
      <w:r>
        <w:rPr>
          <w:rFonts w:hint="default" w:eastAsia="Times New Roman"/>
          <w:sz w:val="21"/>
          <w:lang/>
        </w:rPr>
        <w:tab/>
      </w:r>
      <w:r>
        <w:rPr>
          <w:rFonts w:hint="default"/>
          <w:sz w:val="21"/>
          <w:lang/>
        </w:rPr>
        <w:fldChar w:fldCharType="begin"/>
      </w:r>
      <w:r>
        <w:rPr>
          <w:rFonts w:hint="default"/>
          <w:sz w:val="21"/>
          <w:lang/>
        </w:rPr>
        <w:instrText xml:space="preserve"> PAGEREF _Toc477955795 \h </w:instrText>
      </w:r>
      <w:r>
        <w:rPr>
          <w:rFonts w:hint="default"/>
          <w:sz w:val="21"/>
          <w:lang/>
        </w:rPr>
        <w:fldChar w:fldCharType="separate"/>
      </w:r>
      <w:r>
        <w:rPr>
          <w:rFonts w:hint="default"/>
          <w:sz w:val="21"/>
          <w:lang/>
        </w:rPr>
        <w:t>9</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"_Toc477955796"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4.2 </w:t>
      </w:r>
      <w:r>
        <w:rPr>
          <w:rStyle w:val="10"/>
          <w:rFonts w:hint="eastAsia" w:ascii="Times New Roman" w:hAnsi="Times New Roman" w:eastAsia="宋体"/>
          <w:b/>
          <w:kern w:val="0"/>
          <w:sz w:val="21"/>
          <w:lang/>
        </w:rPr>
        <w:t>管理人对报告期内本基金运作遵规守信情况的说明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_Toc477955796 \h </w:instrText>
      </w:r>
      <w:r>
        <w:rPr>
          <w:rFonts w:hint="default"/>
          <w:sz w:val="21"/>
          <w:lang/>
        </w:rPr>
        <w:fldChar w:fldCharType="separate"/>
      </w:r>
      <w:r>
        <w:rPr>
          <w:rFonts w:hint="default"/>
          <w:sz w:val="21"/>
          <w:lang/>
        </w:rPr>
        <w:t>10</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"_Toc477955797"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4.3 </w:t>
      </w:r>
      <w:r>
        <w:rPr>
          <w:rStyle w:val="10"/>
          <w:rFonts w:hint="eastAsia" w:ascii="Times New Roman" w:hAnsi="Times New Roman" w:eastAsia="宋体"/>
          <w:b/>
          <w:kern w:val="0"/>
          <w:sz w:val="21"/>
          <w:lang/>
        </w:rPr>
        <w:t>管理人对报告期内公平交易情况的专项说明</w:t>
      </w:r>
      <w:r>
        <w:rPr>
          <w:rFonts w:hint="default" w:eastAsia="Times New Roman"/>
          <w:sz w:val="21"/>
          <w:lang/>
        </w:rPr>
        <w:tab/>
      </w:r>
      <w:r>
        <w:rPr>
          <w:rFonts w:hint="default"/>
          <w:sz w:val="21"/>
          <w:lang/>
        </w:rPr>
        <w:fldChar w:fldCharType="begin"/>
      </w:r>
      <w:r>
        <w:rPr>
          <w:rFonts w:hint="default"/>
          <w:sz w:val="21"/>
          <w:lang/>
        </w:rPr>
        <w:instrText xml:space="preserve"> PAGEREF _Toc477955797 \h </w:instrText>
      </w:r>
      <w:r>
        <w:rPr>
          <w:rFonts w:hint="default"/>
          <w:sz w:val="21"/>
          <w:lang/>
        </w:rPr>
        <w:fldChar w:fldCharType="separate"/>
      </w:r>
      <w:r>
        <w:rPr>
          <w:rFonts w:hint="default"/>
          <w:sz w:val="21"/>
          <w:lang/>
        </w:rPr>
        <w:t>10</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"_Toc477955798"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4.4 </w:t>
      </w:r>
      <w:r>
        <w:rPr>
          <w:rStyle w:val="10"/>
          <w:rFonts w:hint="eastAsia" w:ascii="Times New Roman" w:hAnsi="Times New Roman" w:eastAsia="宋体"/>
          <w:b/>
          <w:kern w:val="0"/>
          <w:sz w:val="21"/>
          <w:lang/>
        </w:rPr>
        <w:t>管理人对报告期内基金的投资策略和业绩表现的说明</w:t>
      </w:r>
      <w:r>
        <w:rPr>
          <w:rFonts w:hint="default" w:eastAsia="Times New Roman"/>
          <w:sz w:val="21"/>
          <w:lang/>
        </w:rPr>
        <w:tab/>
      </w:r>
      <w:r>
        <w:rPr>
          <w:rFonts w:hint="default"/>
          <w:sz w:val="21"/>
          <w:lang/>
        </w:rPr>
        <w:fldChar w:fldCharType="begin"/>
      </w:r>
      <w:r>
        <w:rPr>
          <w:rFonts w:hint="default"/>
          <w:sz w:val="21"/>
          <w:lang/>
        </w:rPr>
        <w:instrText xml:space="preserve"> PAGEREF _Toc477955798 \h </w:instrText>
      </w:r>
      <w:r>
        <w:rPr>
          <w:rFonts w:hint="default"/>
          <w:sz w:val="21"/>
          <w:lang/>
        </w:rPr>
        <w:fldChar w:fldCharType="separate"/>
      </w:r>
      <w:r>
        <w:rPr>
          <w:rFonts w:hint="default"/>
          <w:sz w:val="21"/>
          <w:lang/>
        </w:rPr>
        <w:t>12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"_Toc477955799"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4.5 </w:t>
      </w:r>
      <w:r>
        <w:rPr>
          <w:rStyle w:val="10"/>
          <w:rFonts w:hint="eastAsia" w:ascii="Times New Roman" w:hAnsi="Times New Roman" w:eastAsia="宋体"/>
          <w:b/>
          <w:kern w:val="0"/>
          <w:sz w:val="21"/>
          <w:lang/>
        </w:rPr>
        <w:t>管理人对宏观经济、证券市场及行业走势的简要展望</w:t>
      </w:r>
      <w:r>
        <w:rPr>
          <w:rFonts w:hint="default" w:eastAsia="Times New Roman"/>
          <w:sz w:val="21"/>
          <w:lang/>
        </w:rPr>
        <w:tab/>
      </w:r>
      <w:r>
        <w:rPr>
          <w:rFonts w:hint="default"/>
          <w:sz w:val="21"/>
          <w:lang/>
        </w:rPr>
        <w:fldChar w:fldCharType="begin"/>
      </w:r>
      <w:r>
        <w:rPr>
          <w:rFonts w:hint="default"/>
          <w:sz w:val="21"/>
          <w:lang/>
        </w:rPr>
        <w:instrText xml:space="preserve"> PAGEREF _Toc477955799 \h </w:instrText>
      </w:r>
      <w:r>
        <w:rPr>
          <w:rFonts w:hint="default"/>
          <w:sz w:val="21"/>
          <w:lang/>
        </w:rPr>
        <w:fldChar w:fldCharType="separate"/>
      </w:r>
      <w:r>
        <w:rPr>
          <w:rFonts w:hint="default"/>
          <w:sz w:val="21"/>
          <w:lang/>
        </w:rPr>
        <w:t>12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"_Toc477955800"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4.6 </w:t>
      </w:r>
      <w:r>
        <w:rPr>
          <w:rStyle w:val="10"/>
          <w:rFonts w:hint="eastAsia" w:ascii="Times New Roman" w:hAnsi="Times New Roman" w:eastAsia="宋体"/>
          <w:b/>
          <w:kern w:val="0"/>
          <w:sz w:val="21"/>
          <w:lang/>
        </w:rPr>
        <w:t>管理人内部有关本基金的监察稽核工作情况</w:t>
      </w:r>
      <w:r>
        <w:rPr>
          <w:rFonts w:hint="default" w:eastAsia="Times New Roman"/>
          <w:sz w:val="21"/>
          <w:lang/>
        </w:rPr>
        <w:tab/>
      </w:r>
      <w:r>
        <w:rPr>
          <w:rFonts w:hint="default"/>
          <w:sz w:val="21"/>
          <w:lang/>
        </w:rPr>
        <w:fldChar w:fldCharType="begin"/>
      </w:r>
      <w:r>
        <w:rPr>
          <w:rFonts w:hint="default"/>
          <w:sz w:val="21"/>
          <w:lang/>
        </w:rPr>
        <w:instrText xml:space="preserve"> PAGEREF _Toc477955800 \h </w:instrText>
      </w:r>
      <w:r>
        <w:rPr>
          <w:rFonts w:hint="default"/>
          <w:sz w:val="21"/>
          <w:lang/>
        </w:rPr>
        <w:fldChar w:fldCharType="separate"/>
      </w:r>
      <w:r>
        <w:rPr>
          <w:rFonts w:hint="default"/>
          <w:sz w:val="21"/>
          <w:lang/>
        </w:rPr>
        <w:t>12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"_Toc477955801"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4.7 </w:t>
      </w:r>
      <w:r>
        <w:rPr>
          <w:rStyle w:val="10"/>
          <w:rFonts w:hint="eastAsia" w:ascii="Times New Roman" w:hAnsi="Times New Roman" w:eastAsia="宋体"/>
          <w:b/>
          <w:kern w:val="0"/>
          <w:sz w:val="21"/>
          <w:lang/>
        </w:rPr>
        <w:t>管理人对报告期内基金估值程序等事项的说明</w:t>
      </w:r>
      <w:r>
        <w:rPr>
          <w:rFonts w:hint="default" w:eastAsia="Times New Roman"/>
          <w:sz w:val="21"/>
          <w:lang/>
        </w:rPr>
        <w:tab/>
      </w:r>
      <w:r>
        <w:rPr>
          <w:rFonts w:hint="default"/>
          <w:sz w:val="21"/>
          <w:lang/>
        </w:rPr>
        <w:fldChar w:fldCharType="begin"/>
      </w:r>
      <w:r>
        <w:rPr>
          <w:rFonts w:hint="default"/>
          <w:sz w:val="21"/>
          <w:lang/>
        </w:rPr>
        <w:instrText xml:space="preserve"> PAGEREF _Toc477955801 \h </w:instrText>
      </w:r>
      <w:r>
        <w:rPr>
          <w:rFonts w:hint="default"/>
          <w:sz w:val="21"/>
          <w:lang/>
        </w:rPr>
        <w:fldChar w:fldCharType="separate"/>
      </w:r>
      <w:r>
        <w:rPr>
          <w:rFonts w:hint="default"/>
          <w:sz w:val="21"/>
          <w:lang/>
        </w:rPr>
        <w:t>13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"_Toc477955802"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4.8 </w:t>
      </w:r>
      <w:r>
        <w:rPr>
          <w:rStyle w:val="10"/>
          <w:rFonts w:hint="eastAsia" w:ascii="Times New Roman" w:hAnsi="Times New Roman" w:eastAsia="宋体"/>
          <w:b/>
          <w:kern w:val="0"/>
          <w:sz w:val="21"/>
          <w:lang/>
        </w:rPr>
        <w:t>管理人对报告期内基金利润分配情况的说明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_Toc477955802 \h </w:instrText>
      </w:r>
      <w:r>
        <w:rPr>
          <w:rFonts w:hint="default"/>
          <w:sz w:val="21"/>
          <w:lang/>
        </w:rPr>
        <w:fldChar w:fldCharType="separate"/>
      </w:r>
      <w:r>
        <w:rPr>
          <w:rFonts w:hint="default"/>
          <w:sz w:val="21"/>
          <w:lang/>
        </w:rPr>
        <w:t>14</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"_Toc477955803"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  </w:t>
      </w:r>
      <w:r>
        <w:rPr>
          <w:rStyle w:val="10"/>
          <w:rFonts w:hint="eastAsia" w:ascii="Times New Roman" w:hAnsi="Times New Roman" w:eastAsia="宋体"/>
          <w:b/>
          <w:kern w:val="0"/>
          <w:sz w:val="21"/>
          <w:lang/>
        </w:rPr>
        <w:t>托管人报告</w:t>
      </w:r>
      <w:r>
        <w:rPr>
          <w:rFonts w:hint="default" w:eastAsia="Times New Roman"/>
          <w:sz w:val="21"/>
          <w:lang/>
        </w:rPr>
        <w:tab/>
      </w:r>
      <w:r>
        <w:rPr>
          <w:rFonts w:hint="default"/>
          <w:sz w:val="21"/>
          <w:lang/>
        </w:rPr>
        <w:fldChar w:fldCharType="begin"/>
      </w:r>
      <w:r>
        <w:rPr>
          <w:rFonts w:hint="default"/>
          <w:sz w:val="21"/>
          <w:lang/>
        </w:rPr>
        <w:instrText xml:space="preserve"> PAGEREF _Toc477955803 \h </w:instrText>
      </w:r>
      <w:r>
        <w:rPr>
          <w:rFonts w:hint="default"/>
          <w:sz w:val="21"/>
          <w:lang/>
        </w:rPr>
        <w:fldChar w:fldCharType="separate"/>
      </w:r>
      <w:r>
        <w:rPr>
          <w:rFonts w:hint="default"/>
          <w:sz w:val="21"/>
          <w:lang/>
        </w:rPr>
        <w:t>14</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"_Toc477955804"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5.1 </w:t>
      </w:r>
      <w:r>
        <w:rPr>
          <w:rStyle w:val="10"/>
          <w:rFonts w:hint="eastAsia" w:ascii="Times New Roman" w:hAnsi="Times New Roman" w:eastAsia="宋体"/>
          <w:b/>
          <w:kern w:val="0"/>
          <w:sz w:val="21"/>
          <w:lang/>
        </w:rPr>
        <w:t>报告期内本基金托管人遵规守信情况声明</w:t>
      </w:r>
      <w:r>
        <w:rPr>
          <w:rFonts w:hint="default" w:eastAsia="Times New Roman"/>
          <w:sz w:val="21"/>
          <w:lang/>
        </w:rPr>
        <w:tab/>
      </w:r>
      <w:r>
        <w:rPr>
          <w:rFonts w:hint="default"/>
          <w:sz w:val="21"/>
          <w:lang/>
        </w:rPr>
        <w:fldChar w:fldCharType="begin"/>
      </w:r>
      <w:r>
        <w:rPr>
          <w:rFonts w:hint="default"/>
          <w:sz w:val="21"/>
          <w:lang/>
        </w:rPr>
        <w:instrText xml:space="preserve"> PAGEREF _Toc477955804 \h </w:instrText>
      </w:r>
      <w:r>
        <w:rPr>
          <w:rFonts w:hint="default"/>
          <w:sz w:val="21"/>
          <w:lang/>
        </w:rPr>
        <w:fldChar w:fldCharType="separate"/>
      </w:r>
      <w:r>
        <w:rPr>
          <w:rFonts w:hint="default"/>
          <w:sz w:val="21"/>
          <w:lang/>
        </w:rPr>
        <w:t>14</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"_Toc477955805"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5.2 </w:t>
      </w:r>
      <w:r>
        <w:rPr>
          <w:rStyle w:val="10"/>
          <w:rFonts w:hint="eastAsia" w:ascii="Times New Roman" w:hAnsi="Times New Roman" w:eastAsia="宋体"/>
          <w:b/>
          <w:kern w:val="0"/>
          <w:sz w:val="21"/>
          <w:lang/>
        </w:rPr>
        <w:t>托管人对报告期内本基金投资运作遵规守信、净值计算、利润分配等情况的说明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_Toc477955805 \h </w:instrText>
      </w:r>
      <w:r>
        <w:rPr>
          <w:rFonts w:hint="default"/>
          <w:sz w:val="21"/>
          <w:lang/>
        </w:rPr>
        <w:fldChar w:fldCharType="separate"/>
      </w:r>
      <w:r>
        <w:rPr>
          <w:rFonts w:hint="default"/>
          <w:sz w:val="21"/>
          <w:lang/>
        </w:rPr>
        <w:t>14</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"_Toc477955806"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5.3 </w:t>
      </w:r>
      <w:r>
        <w:rPr>
          <w:rStyle w:val="10"/>
          <w:rFonts w:hint="eastAsia" w:ascii="Times New Roman" w:hAnsi="Times New Roman" w:eastAsia="宋体"/>
          <w:b/>
          <w:kern w:val="0"/>
          <w:sz w:val="21"/>
          <w:lang/>
        </w:rPr>
        <w:t>托管人对本年度报告中财务信息等内容的真实、准确和完整发表意见</w:t>
      </w:r>
      <w:r>
        <w:rPr>
          <w:rFonts w:hint="default" w:eastAsia="Times New Roman"/>
          <w:sz w:val="21"/>
          <w:lang/>
        </w:rPr>
        <w:tab/>
      </w:r>
      <w:r>
        <w:rPr>
          <w:rFonts w:hint="default"/>
          <w:sz w:val="21"/>
          <w:lang/>
        </w:rPr>
        <w:fldChar w:fldCharType="begin"/>
      </w:r>
      <w:r>
        <w:rPr>
          <w:rFonts w:hint="default"/>
          <w:sz w:val="21"/>
          <w:lang/>
        </w:rPr>
        <w:instrText xml:space="preserve"> PAGEREF _Toc477955806 \h </w:instrText>
      </w:r>
      <w:r>
        <w:rPr>
          <w:rFonts w:hint="default"/>
          <w:sz w:val="21"/>
          <w:lang/>
        </w:rPr>
        <w:fldChar w:fldCharType="separate"/>
      </w:r>
      <w:r>
        <w:rPr>
          <w:rFonts w:hint="default"/>
          <w:sz w:val="21"/>
          <w:lang/>
        </w:rPr>
        <w:t>14</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"_Toc477955807"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§6  </w:t>
      </w:r>
      <w:r>
        <w:rPr>
          <w:rStyle w:val="10"/>
          <w:rFonts w:hint="eastAsia" w:ascii="Times New Roman" w:hAnsi="Times New Roman" w:eastAsia="宋体"/>
          <w:b/>
          <w:kern w:val="0"/>
          <w:sz w:val="21"/>
          <w:lang/>
        </w:rPr>
        <w:t>审计报告</w:t>
      </w:r>
      <w:r>
        <w:rPr>
          <w:rFonts w:hint="default" w:eastAsia="Times New Roman"/>
          <w:sz w:val="21"/>
          <w:lang/>
        </w:rPr>
        <w:tab/>
      </w:r>
      <w:r>
        <w:rPr>
          <w:rFonts w:hint="default"/>
          <w:sz w:val="21"/>
          <w:lang/>
        </w:rPr>
        <w:fldChar w:fldCharType="begin"/>
      </w:r>
      <w:r>
        <w:rPr>
          <w:rFonts w:hint="default"/>
          <w:sz w:val="21"/>
          <w:lang/>
        </w:rPr>
        <w:instrText xml:space="preserve"> PAGEREF _Toc477955807 \h </w:instrText>
      </w:r>
      <w:r>
        <w:rPr>
          <w:rFonts w:hint="default"/>
          <w:sz w:val="21"/>
          <w:lang/>
        </w:rPr>
        <w:fldChar w:fldCharType="separate"/>
      </w:r>
      <w:r>
        <w:rPr>
          <w:rFonts w:hint="default"/>
          <w:sz w:val="21"/>
          <w:lang/>
        </w:rPr>
        <w:t>14</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"_Toc477955808"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6.1 </w:t>
      </w:r>
      <w:r>
        <w:rPr>
          <w:rStyle w:val="10"/>
          <w:rFonts w:hint="eastAsia" w:ascii="Times New Roman" w:hAnsi="Times New Roman" w:eastAsia="宋体"/>
          <w:b/>
          <w:kern w:val="0"/>
          <w:sz w:val="21"/>
          <w:lang/>
        </w:rPr>
        <w:t>审计报告基本信息</w:t>
      </w:r>
      <w:r>
        <w:rPr>
          <w:rFonts w:hint="default" w:eastAsia="Times New Roman"/>
          <w:sz w:val="21"/>
          <w:lang/>
        </w:rPr>
        <w:tab/>
      </w:r>
      <w:r>
        <w:rPr>
          <w:rFonts w:hint="default"/>
          <w:sz w:val="21"/>
          <w:lang/>
        </w:rPr>
        <w:fldChar w:fldCharType="begin"/>
      </w:r>
      <w:r>
        <w:rPr>
          <w:rFonts w:hint="default"/>
          <w:sz w:val="21"/>
          <w:lang/>
        </w:rPr>
        <w:instrText xml:space="preserve"> PAGEREF _Toc477955808 \h </w:instrText>
      </w:r>
      <w:r>
        <w:rPr>
          <w:rFonts w:hint="default"/>
          <w:sz w:val="21"/>
          <w:lang/>
        </w:rPr>
        <w:fldChar w:fldCharType="separate"/>
      </w:r>
      <w:r>
        <w:rPr>
          <w:rFonts w:hint="default"/>
          <w:sz w:val="21"/>
          <w:lang/>
        </w:rPr>
        <w:t>14</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"_Toc477955809"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6.2 </w:t>
      </w:r>
      <w:r>
        <w:rPr>
          <w:rStyle w:val="10"/>
          <w:rFonts w:hint="eastAsia" w:ascii="Times New Roman" w:hAnsi="Times New Roman" w:eastAsia="宋体"/>
          <w:b/>
          <w:kern w:val="0"/>
          <w:sz w:val="21"/>
          <w:lang/>
        </w:rPr>
        <w:t>审计报告的基本内容</w:t>
      </w:r>
      <w:r>
        <w:rPr>
          <w:rFonts w:hint="default" w:eastAsia="Times New Roman"/>
          <w:sz w:val="21"/>
          <w:lang/>
        </w:rPr>
        <w:tab/>
      </w:r>
      <w:r>
        <w:rPr>
          <w:rFonts w:hint="default"/>
          <w:sz w:val="21"/>
          <w:lang/>
        </w:rPr>
        <w:fldChar w:fldCharType="begin"/>
      </w:r>
      <w:r>
        <w:rPr>
          <w:rFonts w:hint="default"/>
          <w:sz w:val="21"/>
          <w:lang/>
        </w:rPr>
        <w:instrText xml:space="preserve"> PAGEREF _Toc477955809 \h </w:instrText>
      </w:r>
      <w:r>
        <w:rPr>
          <w:rFonts w:hint="default"/>
          <w:sz w:val="21"/>
          <w:lang/>
        </w:rPr>
        <w:fldChar w:fldCharType="separate"/>
      </w:r>
      <w:r>
        <w:rPr>
          <w:rFonts w:hint="default"/>
          <w:sz w:val="21"/>
          <w:lang/>
        </w:rPr>
        <w:t>14</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"_Toc477955810"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  </w:t>
      </w:r>
      <w:r>
        <w:rPr>
          <w:rStyle w:val="10"/>
          <w:rFonts w:hint="eastAsia" w:ascii="Times New Roman" w:hAnsi="Times New Roman" w:eastAsia="宋体"/>
          <w:b/>
          <w:kern w:val="0"/>
          <w:sz w:val="21"/>
          <w:lang/>
        </w:rPr>
        <w:t>年度财务报表</w:t>
      </w:r>
      <w:r>
        <w:rPr>
          <w:rFonts w:hint="default" w:eastAsia="Times New Roman"/>
          <w:sz w:val="21"/>
          <w:lang/>
        </w:rPr>
        <w:tab/>
      </w:r>
      <w:r>
        <w:rPr>
          <w:rFonts w:hint="default"/>
          <w:sz w:val="21"/>
          <w:lang/>
        </w:rPr>
        <w:fldChar w:fldCharType="begin"/>
      </w:r>
      <w:r>
        <w:rPr>
          <w:rFonts w:hint="default"/>
          <w:sz w:val="21"/>
          <w:lang/>
        </w:rPr>
        <w:instrText xml:space="preserve"> PAGEREF _Toc477955810 \h </w:instrText>
      </w:r>
      <w:r>
        <w:rPr>
          <w:rFonts w:hint="default"/>
          <w:sz w:val="21"/>
          <w:lang/>
        </w:rPr>
        <w:fldChar w:fldCharType="separate"/>
      </w:r>
      <w:r>
        <w:rPr>
          <w:rFonts w:hint="default"/>
          <w:sz w:val="21"/>
          <w:lang/>
        </w:rPr>
        <w:t>16</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"_Toc477955811"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7.1 </w:t>
      </w:r>
      <w:r>
        <w:rPr>
          <w:rStyle w:val="10"/>
          <w:rFonts w:hint="eastAsia" w:ascii="Times New Roman" w:hAnsi="Times New Roman" w:eastAsia="宋体"/>
          <w:b/>
          <w:kern w:val="0"/>
          <w:sz w:val="21"/>
          <w:lang/>
        </w:rPr>
        <w:t>资产负债表</w:t>
      </w:r>
      <w:r>
        <w:rPr>
          <w:rFonts w:hint="default" w:eastAsia="Times New Roman"/>
          <w:sz w:val="21"/>
          <w:lang/>
        </w:rPr>
        <w:tab/>
      </w:r>
      <w:r>
        <w:rPr>
          <w:rFonts w:hint="default"/>
          <w:sz w:val="21"/>
          <w:lang/>
        </w:rPr>
        <w:fldChar w:fldCharType="begin"/>
      </w:r>
      <w:r>
        <w:rPr>
          <w:rFonts w:hint="default"/>
          <w:sz w:val="21"/>
          <w:lang/>
        </w:rPr>
        <w:instrText xml:space="preserve"> PAGEREF _Toc477955811 \h </w:instrText>
      </w:r>
      <w:r>
        <w:rPr>
          <w:rFonts w:hint="default"/>
          <w:sz w:val="21"/>
          <w:lang/>
        </w:rPr>
        <w:fldChar w:fldCharType="separate"/>
      </w:r>
      <w:r>
        <w:rPr>
          <w:rFonts w:hint="default"/>
          <w:sz w:val="21"/>
          <w:lang/>
        </w:rPr>
        <w:t>16</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"_Toc477955812"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7.2 </w:t>
      </w:r>
      <w:r>
        <w:rPr>
          <w:rStyle w:val="10"/>
          <w:rFonts w:hint="eastAsia" w:ascii="Times New Roman" w:hAnsi="Times New Roman" w:eastAsia="宋体"/>
          <w:b/>
          <w:kern w:val="0"/>
          <w:sz w:val="21"/>
          <w:lang/>
        </w:rPr>
        <w:t>利润表</w:t>
      </w:r>
      <w:r>
        <w:rPr>
          <w:rFonts w:hint="default" w:eastAsia="Times New Roman"/>
          <w:sz w:val="21"/>
          <w:lang/>
        </w:rPr>
        <w:tab/>
      </w:r>
      <w:r>
        <w:rPr>
          <w:rFonts w:hint="default"/>
          <w:sz w:val="21"/>
          <w:lang/>
        </w:rPr>
        <w:fldChar w:fldCharType="begin"/>
      </w:r>
      <w:r>
        <w:rPr>
          <w:rFonts w:hint="default"/>
          <w:sz w:val="21"/>
          <w:lang/>
        </w:rPr>
        <w:instrText xml:space="preserve"> PAGEREF _Toc477955812 \h </w:instrText>
      </w:r>
      <w:r>
        <w:rPr>
          <w:rFonts w:hint="default"/>
          <w:sz w:val="21"/>
          <w:lang/>
        </w:rPr>
        <w:fldChar w:fldCharType="separate"/>
      </w:r>
      <w:r>
        <w:rPr>
          <w:rFonts w:hint="default"/>
          <w:sz w:val="21"/>
          <w:lang/>
        </w:rPr>
        <w:t>18</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"_Toc477955813"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7.3 </w:t>
      </w:r>
      <w:r>
        <w:rPr>
          <w:rStyle w:val="10"/>
          <w:rFonts w:hint="eastAsia" w:ascii="Times New Roman" w:hAnsi="Times New Roman" w:eastAsia="宋体"/>
          <w:b/>
          <w:kern w:val="0"/>
          <w:sz w:val="21"/>
          <w:lang/>
        </w:rPr>
        <w:t>所有者权益（基金净值）变动表</w:t>
      </w:r>
      <w:r>
        <w:rPr>
          <w:rFonts w:hint="default" w:eastAsia="Times New Roman"/>
          <w:sz w:val="21"/>
          <w:lang/>
        </w:rPr>
        <w:tab/>
      </w:r>
      <w:r>
        <w:rPr>
          <w:rFonts w:hint="default"/>
          <w:sz w:val="21"/>
          <w:lang/>
        </w:rPr>
        <w:fldChar w:fldCharType="begin"/>
      </w:r>
      <w:r>
        <w:rPr>
          <w:rFonts w:hint="default"/>
          <w:sz w:val="21"/>
          <w:lang/>
        </w:rPr>
        <w:instrText xml:space="preserve"> PAGEREF _Toc477955813 \h </w:instrText>
      </w:r>
      <w:r>
        <w:rPr>
          <w:rFonts w:hint="default"/>
          <w:sz w:val="21"/>
          <w:lang/>
        </w:rPr>
        <w:fldChar w:fldCharType="separate"/>
      </w:r>
      <w:r>
        <w:rPr>
          <w:rFonts w:hint="default"/>
          <w:sz w:val="21"/>
          <w:lang/>
        </w:rPr>
        <w:t>19</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"_Toc477955814"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7.4 </w:t>
      </w:r>
      <w:r>
        <w:rPr>
          <w:rStyle w:val="10"/>
          <w:rFonts w:hint="eastAsia" w:ascii="Times New Roman" w:hAnsi="Times New Roman" w:eastAsia="宋体"/>
          <w:b/>
          <w:kern w:val="0"/>
          <w:sz w:val="21"/>
          <w:lang/>
        </w:rPr>
        <w:t>报表附注</w:t>
      </w:r>
      <w:r>
        <w:rPr>
          <w:rFonts w:hint="default" w:eastAsia="Times New Roman"/>
          <w:sz w:val="21"/>
          <w:lang/>
        </w:rPr>
        <w:tab/>
      </w:r>
      <w:r>
        <w:rPr>
          <w:rFonts w:hint="default"/>
          <w:sz w:val="21"/>
          <w:lang/>
        </w:rPr>
        <w:fldChar w:fldCharType="begin"/>
      </w:r>
      <w:r>
        <w:rPr>
          <w:rFonts w:hint="default"/>
          <w:sz w:val="21"/>
          <w:lang/>
        </w:rPr>
        <w:instrText xml:space="preserve"> PAGEREF _Toc477955814 \h </w:instrText>
      </w:r>
      <w:r>
        <w:rPr>
          <w:rFonts w:hint="default"/>
          <w:sz w:val="21"/>
          <w:lang/>
        </w:rPr>
        <w:fldChar w:fldCharType="separate"/>
      </w:r>
      <w:r>
        <w:rPr>
          <w:rFonts w:hint="default"/>
          <w:sz w:val="21"/>
          <w:lang/>
        </w:rPr>
        <w:t>20</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"_Toc477955815"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  </w:t>
      </w:r>
      <w:r>
        <w:rPr>
          <w:rStyle w:val="10"/>
          <w:rFonts w:hint="eastAsia" w:ascii="Times New Roman" w:hAnsi="Times New Roman" w:eastAsia="宋体"/>
          <w:b/>
          <w:kern w:val="0"/>
          <w:sz w:val="21"/>
          <w:lang/>
        </w:rPr>
        <w:t>投资组合报告</w:t>
      </w:r>
      <w:r>
        <w:rPr>
          <w:rFonts w:hint="default" w:eastAsia="Times New Roman"/>
          <w:sz w:val="21"/>
          <w:lang/>
        </w:rPr>
        <w:tab/>
      </w:r>
      <w:r>
        <w:rPr>
          <w:rFonts w:hint="default"/>
          <w:sz w:val="21"/>
          <w:lang/>
        </w:rPr>
        <w:fldChar w:fldCharType="begin"/>
      </w:r>
      <w:r>
        <w:rPr>
          <w:rFonts w:hint="default"/>
          <w:sz w:val="21"/>
          <w:lang/>
        </w:rPr>
        <w:instrText xml:space="preserve"> PAGEREF _Toc477955815 \h </w:instrText>
      </w:r>
      <w:r>
        <w:rPr>
          <w:rFonts w:hint="default"/>
          <w:sz w:val="21"/>
          <w:lang/>
        </w:rPr>
        <w:fldChar w:fldCharType="separate"/>
      </w:r>
      <w:r>
        <w:rPr>
          <w:rFonts w:hint="default"/>
          <w:sz w:val="21"/>
          <w:lang/>
        </w:rPr>
        <w:t>42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"_Toc477955816"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 </w:t>
      </w:r>
      <w:r>
        <w:rPr>
          <w:rStyle w:val="10"/>
          <w:rFonts w:hint="eastAsia" w:ascii="Times New Roman" w:hAnsi="Times New Roman" w:eastAsia="宋体"/>
          <w:b/>
          <w:kern w:val="0"/>
          <w:sz w:val="21"/>
          <w:lang/>
        </w:rPr>
        <w:t>期末基金资产组合情况</w:t>
      </w:r>
      <w:r>
        <w:rPr>
          <w:rFonts w:hint="default" w:eastAsia="Times New Roman"/>
          <w:sz w:val="21"/>
          <w:lang/>
        </w:rPr>
        <w:tab/>
      </w:r>
      <w:r>
        <w:rPr>
          <w:rFonts w:hint="default"/>
          <w:sz w:val="21"/>
          <w:lang/>
        </w:rPr>
        <w:fldChar w:fldCharType="begin"/>
      </w:r>
      <w:r>
        <w:rPr>
          <w:rFonts w:hint="default"/>
          <w:sz w:val="21"/>
          <w:lang/>
        </w:rPr>
        <w:instrText xml:space="preserve"> PAGEREF _Toc477955816 \h </w:instrText>
      </w:r>
      <w:r>
        <w:rPr>
          <w:rFonts w:hint="default"/>
          <w:sz w:val="21"/>
          <w:lang/>
        </w:rPr>
        <w:fldChar w:fldCharType="separate"/>
      </w:r>
      <w:r>
        <w:rPr>
          <w:rFonts w:hint="default"/>
          <w:sz w:val="21"/>
          <w:lang/>
        </w:rPr>
        <w:t>42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"_Toc477955817"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8.2.1 </w:t>
      </w:r>
      <w:r>
        <w:rPr>
          <w:rStyle w:val="10"/>
          <w:rFonts w:hint="eastAsia" w:ascii="Times New Roman" w:hAnsi="Times New Roman" w:eastAsia="宋体"/>
          <w:b/>
          <w:kern w:val="0"/>
          <w:sz w:val="21"/>
          <w:lang/>
        </w:rPr>
        <w:t>报告期末按行业分类的境内股票投资组合</w:t>
      </w:r>
      <w:r>
        <w:rPr>
          <w:rFonts w:hint="default" w:eastAsia="Times New Roman"/>
          <w:sz w:val="21"/>
          <w:lang/>
        </w:rPr>
        <w:tab/>
      </w:r>
      <w:r>
        <w:rPr>
          <w:rFonts w:hint="default"/>
          <w:sz w:val="21"/>
          <w:lang/>
        </w:rPr>
        <w:fldChar w:fldCharType="begin"/>
      </w:r>
      <w:r>
        <w:rPr>
          <w:rFonts w:hint="default"/>
          <w:sz w:val="21"/>
          <w:lang/>
        </w:rPr>
        <w:instrText xml:space="preserve"> PAGEREF _Toc477955817 \h </w:instrText>
      </w:r>
      <w:r>
        <w:rPr>
          <w:rFonts w:hint="default"/>
          <w:sz w:val="21"/>
          <w:lang/>
        </w:rPr>
        <w:fldChar w:fldCharType="separate"/>
      </w:r>
      <w:r>
        <w:rPr>
          <w:rFonts w:hint="default"/>
          <w:sz w:val="21"/>
          <w:lang/>
        </w:rPr>
        <w:t>43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"_Toc477955818"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8.3 </w:t>
      </w:r>
      <w:r>
        <w:rPr>
          <w:rStyle w:val="10"/>
          <w:rFonts w:hint="eastAsia" w:ascii="Times New Roman" w:hAnsi="Times New Roman" w:eastAsia="宋体"/>
          <w:b/>
          <w:kern w:val="0"/>
          <w:sz w:val="21"/>
          <w:lang/>
        </w:rPr>
        <w:t>期末按公允价值占基金资产净值比例大小排序的所有股票投资明细</w:t>
      </w:r>
      <w:r>
        <w:rPr>
          <w:rFonts w:hint="default" w:eastAsia="Times New Roman"/>
          <w:sz w:val="21"/>
          <w:lang/>
        </w:rPr>
        <w:tab/>
      </w:r>
      <w:r>
        <w:rPr>
          <w:rFonts w:hint="default"/>
          <w:sz w:val="21"/>
          <w:lang/>
        </w:rPr>
        <w:fldChar w:fldCharType="begin"/>
      </w:r>
      <w:r>
        <w:rPr>
          <w:rFonts w:hint="default"/>
          <w:sz w:val="21"/>
          <w:lang/>
        </w:rPr>
        <w:instrText xml:space="preserve"> PAGEREF _Toc477955818 \h </w:instrText>
      </w:r>
      <w:r>
        <w:rPr>
          <w:rFonts w:hint="default"/>
          <w:sz w:val="21"/>
          <w:lang/>
        </w:rPr>
        <w:fldChar w:fldCharType="separate"/>
      </w:r>
      <w:r>
        <w:rPr>
          <w:rFonts w:hint="default"/>
          <w:sz w:val="21"/>
          <w:lang/>
        </w:rPr>
        <w:t>43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"_Toc477955819"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8.4 </w:t>
      </w:r>
      <w:r>
        <w:rPr>
          <w:rStyle w:val="10"/>
          <w:rFonts w:hint="eastAsia" w:ascii="Times New Roman" w:hAnsi="Times New Roman" w:eastAsia="宋体"/>
          <w:b/>
          <w:kern w:val="0"/>
          <w:sz w:val="21"/>
          <w:lang/>
        </w:rPr>
        <w:t>报告期内股票投资组合的重大变动</w:t>
      </w:r>
      <w:r>
        <w:rPr>
          <w:rFonts w:hint="default" w:eastAsia="Times New Roman"/>
          <w:sz w:val="21"/>
          <w:lang/>
        </w:rPr>
        <w:tab/>
      </w:r>
      <w:r>
        <w:rPr>
          <w:rFonts w:hint="default"/>
          <w:sz w:val="21"/>
          <w:lang/>
        </w:rPr>
        <w:fldChar w:fldCharType="begin"/>
      </w:r>
      <w:r>
        <w:rPr>
          <w:rFonts w:hint="default"/>
          <w:sz w:val="21"/>
          <w:lang/>
        </w:rPr>
        <w:instrText xml:space="preserve"> PAGEREF _Toc477955819 \h </w:instrText>
      </w:r>
      <w:r>
        <w:rPr>
          <w:rFonts w:hint="default"/>
          <w:sz w:val="21"/>
          <w:lang/>
        </w:rPr>
        <w:fldChar w:fldCharType="separate"/>
      </w:r>
      <w:r>
        <w:rPr>
          <w:rFonts w:hint="default"/>
          <w:sz w:val="21"/>
          <w:lang/>
        </w:rPr>
        <w:t>43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"_Toc477955820"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8.5 </w:t>
      </w:r>
      <w:r>
        <w:rPr>
          <w:rStyle w:val="10"/>
          <w:rFonts w:hint="eastAsia" w:ascii="Times New Roman" w:hAnsi="Times New Roman" w:eastAsia="宋体"/>
          <w:b/>
          <w:kern w:val="0"/>
          <w:sz w:val="21"/>
          <w:lang/>
        </w:rPr>
        <w:t>期末按债券品种分类的债券投资组合</w:t>
      </w:r>
      <w:r>
        <w:rPr>
          <w:rFonts w:hint="default" w:eastAsia="Times New Roman"/>
          <w:sz w:val="21"/>
          <w:lang/>
        </w:rPr>
        <w:tab/>
      </w:r>
      <w:r>
        <w:rPr>
          <w:rFonts w:hint="default"/>
          <w:sz w:val="21"/>
          <w:lang/>
        </w:rPr>
        <w:fldChar w:fldCharType="begin"/>
      </w:r>
      <w:r>
        <w:rPr>
          <w:rFonts w:hint="default"/>
          <w:sz w:val="21"/>
          <w:lang/>
        </w:rPr>
        <w:instrText xml:space="preserve"> PAGEREF _Toc477955820 \h </w:instrText>
      </w:r>
      <w:r>
        <w:rPr>
          <w:rFonts w:hint="default"/>
          <w:sz w:val="21"/>
          <w:lang/>
        </w:rPr>
        <w:fldChar w:fldCharType="separate"/>
      </w:r>
      <w:r>
        <w:rPr>
          <w:rFonts w:hint="default"/>
          <w:sz w:val="21"/>
          <w:lang/>
        </w:rPr>
        <w:t>43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"_Toc477955821"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8.6 </w:t>
      </w:r>
      <w:r>
        <w:rPr>
          <w:rStyle w:val="10"/>
          <w:rFonts w:hint="eastAsia" w:ascii="Times New Roman" w:hAnsi="Times New Roman" w:eastAsia="宋体"/>
          <w:b/>
          <w:kern w:val="0"/>
          <w:sz w:val="21"/>
          <w:lang/>
        </w:rPr>
        <w:t>期末按公允价值占基金资产净值比例大小排序的前五名债券投资明细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_Toc477955821 \h </w:instrText>
      </w:r>
      <w:r>
        <w:rPr>
          <w:rFonts w:hint="default"/>
          <w:sz w:val="21"/>
          <w:lang/>
        </w:rPr>
        <w:fldChar w:fldCharType="separate"/>
      </w:r>
      <w:r>
        <w:rPr>
          <w:rFonts w:hint="default"/>
          <w:sz w:val="21"/>
          <w:lang/>
        </w:rPr>
        <w:t>44</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"_Toc477955822"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8.7 </w:t>
      </w:r>
      <w:r>
        <w:rPr>
          <w:rStyle w:val="10"/>
          <w:rFonts w:hint="eastAsia" w:ascii="Times New Roman" w:hAnsi="Times New Roman" w:eastAsia="宋体"/>
          <w:b/>
          <w:kern w:val="0"/>
          <w:sz w:val="21"/>
          <w:lang/>
        </w:rPr>
        <w:t>期末按公允价值占基金资产净值比例大小排序的所有资产支持证券投资明细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_Toc477955822 \h </w:instrText>
      </w:r>
      <w:r>
        <w:rPr>
          <w:rFonts w:hint="default"/>
          <w:sz w:val="21"/>
          <w:lang/>
        </w:rPr>
        <w:fldChar w:fldCharType="separate"/>
      </w:r>
      <w:r>
        <w:rPr>
          <w:rFonts w:hint="default"/>
          <w:sz w:val="21"/>
          <w:lang/>
        </w:rPr>
        <w:t>44</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"_Toc477955823"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8.8 </w:t>
      </w:r>
      <w:r>
        <w:rPr>
          <w:rStyle w:val="10"/>
          <w:rFonts w:hint="eastAsia" w:ascii="Times New Roman" w:hAnsi="Times New Roman" w:eastAsia="宋体"/>
          <w:b/>
          <w:kern w:val="0"/>
          <w:sz w:val="21"/>
          <w:lang/>
        </w:rPr>
        <w:t>报告期末按公允价值占基金资产净值比例大小排序的前五名贵金属投资明细</w:t>
      </w:r>
      <w:r>
        <w:rPr>
          <w:rFonts w:hint="default" w:eastAsia="Times New Roman"/>
          <w:sz w:val="21"/>
          <w:lang/>
        </w:rPr>
        <w:tab/>
      </w:r>
      <w:r>
        <w:rPr>
          <w:rFonts w:hint="default"/>
          <w:sz w:val="21"/>
          <w:lang/>
        </w:rPr>
        <w:fldChar w:fldCharType="begin"/>
      </w:r>
      <w:r>
        <w:rPr>
          <w:rFonts w:hint="default"/>
          <w:sz w:val="21"/>
          <w:lang/>
        </w:rPr>
        <w:instrText xml:space="preserve"> PAGEREF _Toc477955823 \h </w:instrText>
      </w:r>
      <w:r>
        <w:rPr>
          <w:rFonts w:hint="default"/>
          <w:sz w:val="21"/>
          <w:lang/>
        </w:rPr>
        <w:fldChar w:fldCharType="separate"/>
      </w:r>
      <w:r>
        <w:rPr>
          <w:rFonts w:hint="default"/>
          <w:sz w:val="21"/>
          <w:lang/>
        </w:rPr>
        <w:t>45</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"_Toc477955824"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8.9 </w:t>
      </w:r>
      <w:r>
        <w:rPr>
          <w:rStyle w:val="10"/>
          <w:rFonts w:hint="eastAsia" w:ascii="Times New Roman" w:hAnsi="Times New Roman" w:eastAsia="宋体"/>
          <w:b/>
          <w:kern w:val="0"/>
          <w:sz w:val="21"/>
          <w:lang/>
        </w:rPr>
        <w:t>期末按公允价值占基金资产净值比例大小排序的前五名权证投资明细</w:t>
      </w:r>
      <w:r>
        <w:rPr>
          <w:rFonts w:hint="default" w:eastAsia="Times New Roman"/>
          <w:sz w:val="21"/>
          <w:lang/>
        </w:rPr>
        <w:tab/>
      </w:r>
      <w:r>
        <w:rPr>
          <w:rFonts w:hint="default"/>
          <w:sz w:val="21"/>
          <w:lang/>
        </w:rPr>
        <w:fldChar w:fldCharType="begin"/>
      </w:r>
      <w:r>
        <w:rPr>
          <w:rFonts w:hint="default"/>
          <w:sz w:val="21"/>
          <w:lang/>
        </w:rPr>
        <w:instrText xml:space="preserve"> PAGEREF _Toc477955824 \h </w:instrText>
      </w:r>
      <w:r>
        <w:rPr>
          <w:rFonts w:hint="default"/>
          <w:sz w:val="21"/>
          <w:lang/>
        </w:rPr>
        <w:fldChar w:fldCharType="separate"/>
      </w:r>
      <w:r>
        <w:rPr>
          <w:rFonts w:hint="default"/>
          <w:sz w:val="21"/>
          <w:lang/>
        </w:rPr>
        <w:t>45</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"_Toc477955825"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8.10 </w:t>
      </w:r>
      <w:r>
        <w:rPr>
          <w:rStyle w:val="10"/>
          <w:rFonts w:hint="eastAsia" w:ascii="Times New Roman" w:hAnsi="Times New Roman" w:eastAsia="宋体"/>
          <w:b/>
          <w:kern w:val="0"/>
          <w:sz w:val="21"/>
          <w:lang/>
        </w:rPr>
        <w:t>报告期末本基金投资的股指期货交易情况说明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_Toc477955825 \h </w:instrText>
      </w:r>
      <w:r>
        <w:rPr>
          <w:rFonts w:hint="default"/>
          <w:sz w:val="21"/>
          <w:lang/>
        </w:rPr>
        <w:fldChar w:fldCharType="separate"/>
      </w:r>
      <w:r>
        <w:rPr>
          <w:rFonts w:hint="default"/>
          <w:sz w:val="21"/>
          <w:lang/>
        </w:rPr>
        <w:t>45</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"_Toc477955826"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8.11 </w:t>
      </w:r>
      <w:r>
        <w:rPr>
          <w:rStyle w:val="10"/>
          <w:rFonts w:hint="eastAsia" w:ascii="Times New Roman" w:hAnsi="Times New Roman" w:eastAsia="宋体"/>
          <w:b/>
          <w:kern w:val="0"/>
          <w:sz w:val="21"/>
          <w:lang/>
        </w:rPr>
        <w:t>报告期末本基金投资的国债期货交易情况说明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_Toc477955826 \h </w:instrText>
      </w:r>
      <w:r>
        <w:rPr>
          <w:rFonts w:hint="default"/>
          <w:sz w:val="21"/>
          <w:lang/>
        </w:rPr>
        <w:fldChar w:fldCharType="separate"/>
      </w:r>
      <w:r>
        <w:rPr>
          <w:rFonts w:hint="default"/>
          <w:sz w:val="21"/>
          <w:lang/>
        </w:rPr>
        <w:t>45</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"_Toc477955827"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8.12 </w:t>
      </w:r>
      <w:r>
        <w:rPr>
          <w:rStyle w:val="10"/>
          <w:rFonts w:hint="eastAsia" w:ascii="Times New Roman" w:hAnsi="Times New Roman" w:eastAsia="宋体"/>
          <w:b/>
          <w:kern w:val="0"/>
          <w:sz w:val="21"/>
          <w:lang/>
        </w:rPr>
        <w:t>投资组合报告附注</w:t>
      </w:r>
      <w:r>
        <w:rPr>
          <w:rFonts w:hint="default" w:eastAsia="Times New Roman"/>
          <w:sz w:val="21"/>
          <w:lang/>
        </w:rPr>
        <w:tab/>
      </w:r>
      <w:r>
        <w:rPr>
          <w:rFonts w:hint="default"/>
          <w:sz w:val="21"/>
          <w:lang/>
        </w:rPr>
        <w:fldChar w:fldCharType="begin"/>
      </w:r>
      <w:r>
        <w:rPr>
          <w:rFonts w:hint="default"/>
          <w:sz w:val="21"/>
          <w:lang/>
        </w:rPr>
        <w:instrText xml:space="preserve"> PAGEREF _Toc477955827 \h </w:instrText>
      </w:r>
      <w:r>
        <w:rPr>
          <w:rFonts w:hint="default"/>
          <w:sz w:val="21"/>
          <w:lang/>
        </w:rPr>
        <w:fldChar w:fldCharType="separate"/>
      </w:r>
      <w:r>
        <w:rPr>
          <w:rFonts w:hint="default"/>
          <w:sz w:val="21"/>
          <w:lang/>
        </w:rPr>
        <w:t>45</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"_Toc477955828"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  </w:t>
      </w:r>
      <w:r>
        <w:rPr>
          <w:rStyle w:val="10"/>
          <w:rFonts w:hint="eastAsia" w:ascii="Times New Roman" w:hAnsi="Times New Roman" w:eastAsia="宋体"/>
          <w:b/>
          <w:kern w:val="0"/>
          <w:sz w:val="21"/>
          <w:lang/>
        </w:rPr>
        <w:t>基金份额持有人信息</w:t>
      </w:r>
      <w:r>
        <w:rPr>
          <w:rFonts w:hint="default" w:eastAsia="Times New Roman"/>
          <w:sz w:val="21"/>
          <w:lang/>
        </w:rPr>
        <w:tab/>
      </w:r>
      <w:r>
        <w:rPr>
          <w:rFonts w:hint="default"/>
          <w:sz w:val="21"/>
          <w:lang/>
        </w:rPr>
        <w:fldChar w:fldCharType="begin"/>
      </w:r>
      <w:r>
        <w:rPr>
          <w:rFonts w:hint="default"/>
          <w:sz w:val="21"/>
          <w:lang/>
        </w:rPr>
        <w:instrText xml:space="preserve"> PAGEREF _Toc477955828 \h </w:instrText>
      </w:r>
      <w:r>
        <w:rPr>
          <w:rFonts w:hint="default"/>
          <w:sz w:val="21"/>
          <w:lang/>
        </w:rPr>
        <w:fldChar w:fldCharType="separate"/>
      </w:r>
      <w:r>
        <w:rPr>
          <w:rFonts w:hint="default"/>
          <w:sz w:val="21"/>
          <w:lang/>
        </w:rPr>
        <w:t>46</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"_Toc477955829"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9.1 </w:t>
      </w:r>
      <w:r>
        <w:rPr>
          <w:rStyle w:val="10"/>
          <w:rFonts w:hint="eastAsia" w:ascii="Times New Roman" w:hAnsi="Times New Roman" w:eastAsia="宋体"/>
          <w:b/>
          <w:kern w:val="0"/>
          <w:sz w:val="21"/>
          <w:lang/>
        </w:rPr>
        <w:t>期末基金份额持有人户数及持有人结构</w:t>
      </w:r>
      <w:r>
        <w:rPr>
          <w:rFonts w:hint="default" w:eastAsia="Times New Roman"/>
          <w:sz w:val="21"/>
          <w:lang/>
        </w:rPr>
        <w:tab/>
      </w:r>
      <w:r>
        <w:rPr>
          <w:rFonts w:hint="default"/>
          <w:sz w:val="21"/>
          <w:lang/>
        </w:rPr>
        <w:fldChar w:fldCharType="begin"/>
      </w:r>
      <w:r>
        <w:rPr>
          <w:rFonts w:hint="default"/>
          <w:sz w:val="21"/>
          <w:lang/>
        </w:rPr>
        <w:instrText xml:space="preserve"> PAGEREF _Toc477955829 \h </w:instrText>
      </w:r>
      <w:r>
        <w:rPr>
          <w:rFonts w:hint="default"/>
          <w:sz w:val="21"/>
          <w:lang/>
        </w:rPr>
        <w:fldChar w:fldCharType="separate"/>
      </w:r>
      <w:r>
        <w:rPr>
          <w:rFonts w:hint="default"/>
          <w:sz w:val="21"/>
          <w:lang/>
        </w:rPr>
        <w:t>46</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"_Toc477955830"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9.2 </w:t>
      </w:r>
      <w:r>
        <w:rPr>
          <w:rStyle w:val="10"/>
          <w:rFonts w:hint="eastAsia" w:ascii="Times New Roman" w:hAnsi="Times New Roman" w:eastAsia="宋体"/>
          <w:b/>
          <w:kern w:val="0"/>
          <w:sz w:val="21"/>
          <w:lang/>
        </w:rPr>
        <w:t>期末基金管理人的从业人员持有本基金的情况</w:t>
      </w:r>
      <w:r>
        <w:rPr>
          <w:rFonts w:hint="default" w:eastAsia="Times New Roman"/>
          <w:sz w:val="21"/>
          <w:lang/>
        </w:rPr>
        <w:tab/>
      </w:r>
      <w:r>
        <w:rPr>
          <w:rFonts w:hint="default"/>
          <w:sz w:val="21"/>
          <w:lang/>
        </w:rPr>
        <w:fldChar w:fldCharType="begin"/>
      </w:r>
      <w:r>
        <w:rPr>
          <w:rFonts w:hint="default"/>
          <w:sz w:val="21"/>
          <w:lang/>
        </w:rPr>
        <w:instrText xml:space="preserve"> PAGEREF _Toc477955830 \h </w:instrText>
      </w:r>
      <w:r>
        <w:rPr>
          <w:rFonts w:hint="default"/>
          <w:sz w:val="21"/>
          <w:lang/>
        </w:rPr>
        <w:fldChar w:fldCharType="separate"/>
      </w:r>
      <w:r>
        <w:rPr>
          <w:rFonts w:hint="default"/>
          <w:sz w:val="21"/>
          <w:lang/>
        </w:rPr>
        <w:t>46</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"_Toc477955831"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9.3 </w:t>
      </w:r>
      <w:r>
        <w:rPr>
          <w:rStyle w:val="10"/>
          <w:rFonts w:hint="eastAsia" w:ascii="Times New Roman" w:hAnsi="Times New Roman" w:eastAsia="宋体"/>
          <w:b/>
          <w:kern w:val="0"/>
          <w:sz w:val="21"/>
          <w:lang/>
        </w:rPr>
        <w:t>期末基金管理人的从业人员持有本开放式基金份额总量区间情况</w:t>
      </w:r>
      <w:r>
        <w:rPr>
          <w:rFonts w:hint="default" w:eastAsia="Times New Roman"/>
          <w:sz w:val="21"/>
          <w:lang/>
        </w:rPr>
        <w:tab/>
      </w:r>
      <w:r>
        <w:rPr>
          <w:rFonts w:hint="default"/>
          <w:sz w:val="21"/>
          <w:lang/>
        </w:rPr>
        <w:fldChar w:fldCharType="begin"/>
      </w:r>
      <w:r>
        <w:rPr>
          <w:rFonts w:hint="default"/>
          <w:sz w:val="21"/>
          <w:lang/>
        </w:rPr>
        <w:instrText xml:space="preserve"> PAGEREF _Toc477955831 \h </w:instrText>
      </w:r>
      <w:r>
        <w:rPr>
          <w:rFonts w:hint="default"/>
          <w:sz w:val="21"/>
          <w:lang/>
        </w:rPr>
        <w:fldChar w:fldCharType="separate"/>
      </w:r>
      <w:r>
        <w:rPr>
          <w:rFonts w:hint="default"/>
          <w:sz w:val="21"/>
          <w:lang/>
        </w:rPr>
        <w:t>46</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"_Toc477955832"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§10 </w:t>
      </w:r>
      <w:r>
        <w:rPr>
          <w:rStyle w:val="10"/>
          <w:rFonts w:hint="eastAsia" w:ascii="Times New Roman" w:hAnsi="Times New Roman" w:eastAsia="宋体"/>
          <w:b/>
          <w:kern w:val="0"/>
          <w:sz w:val="21"/>
          <w:lang/>
        </w:rPr>
        <w:t>开放式基金份额变动</w:t>
      </w:r>
      <w:r>
        <w:rPr>
          <w:rFonts w:hint="default" w:eastAsia="Times New Roman"/>
          <w:sz w:val="21"/>
          <w:lang/>
        </w:rPr>
        <w:tab/>
      </w:r>
      <w:r>
        <w:rPr>
          <w:rFonts w:hint="default"/>
          <w:sz w:val="21"/>
          <w:lang/>
        </w:rPr>
        <w:fldChar w:fldCharType="begin"/>
      </w:r>
      <w:r>
        <w:rPr>
          <w:rFonts w:hint="default"/>
          <w:sz w:val="21"/>
          <w:lang/>
        </w:rPr>
        <w:instrText xml:space="preserve"> PAGEREF _Toc477955832 \h </w:instrText>
      </w:r>
      <w:r>
        <w:rPr>
          <w:rFonts w:hint="default"/>
          <w:sz w:val="21"/>
          <w:lang/>
        </w:rPr>
        <w:fldChar w:fldCharType="separate"/>
      </w:r>
      <w:r>
        <w:rPr>
          <w:rFonts w:hint="default"/>
          <w:sz w:val="21"/>
          <w:lang/>
        </w:rPr>
        <w:t>46</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"_Toc477955833"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重大事件揭示</w:t>
      </w:r>
      <w:r>
        <w:rPr>
          <w:rFonts w:hint="default" w:eastAsia="Times New Roman"/>
          <w:sz w:val="21"/>
          <w:lang/>
        </w:rPr>
        <w:tab/>
      </w:r>
      <w:r>
        <w:rPr>
          <w:rFonts w:hint="default"/>
          <w:sz w:val="21"/>
          <w:lang/>
        </w:rPr>
        <w:fldChar w:fldCharType="begin"/>
      </w:r>
      <w:r>
        <w:rPr>
          <w:rFonts w:hint="default"/>
          <w:sz w:val="21"/>
          <w:lang/>
        </w:rPr>
        <w:instrText xml:space="preserve"> PAGEREF _Toc477955833 \h </w:instrText>
      </w:r>
      <w:r>
        <w:rPr>
          <w:rFonts w:hint="default"/>
          <w:sz w:val="21"/>
          <w:lang/>
        </w:rPr>
        <w:fldChar w:fldCharType="separate"/>
      </w:r>
      <w:r>
        <w:rPr>
          <w:rFonts w:hint="default"/>
          <w:sz w:val="21"/>
          <w:lang/>
        </w:rPr>
        <w:t>47</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"_Toc477955834"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11.1 </w:t>
      </w:r>
      <w:r>
        <w:rPr>
          <w:rStyle w:val="10"/>
          <w:rFonts w:hint="eastAsia" w:ascii="Times New Roman" w:hAnsi="Times New Roman" w:eastAsia="宋体"/>
          <w:b/>
          <w:kern w:val="0"/>
          <w:sz w:val="21"/>
          <w:lang/>
        </w:rPr>
        <w:t>基金份额持有人大会决议</w:t>
      </w:r>
      <w:r>
        <w:rPr>
          <w:rFonts w:hint="default" w:eastAsia="Times New Roman"/>
          <w:sz w:val="21"/>
          <w:lang/>
        </w:rPr>
        <w:tab/>
      </w:r>
      <w:r>
        <w:rPr>
          <w:rFonts w:hint="default"/>
          <w:sz w:val="21"/>
          <w:lang/>
        </w:rPr>
        <w:fldChar w:fldCharType="begin"/>
      </w:r>
      <w:r>
        <w:rPr>
          <w:rFonts w:hint="default"/>
          <w:sz w:val="21"/>
          <w:lang/>
        </w:rPr>
        <w:instrText xml:space="preserve"> PAGEREF _Toc477955834 \h </w:instrText>
      </w:r>
      <w:r>
        <w:rPr>
          <w:rFonts w:hint="default"/>
          <w:sz w:val="21"/>
          <w:lang/>
        </w:rPr>
        <w:fldChar w:fldCharType="separate"/>
      </w:r>
      <w:r>
        <w:rPr>
          <w:rFonts w:hint="default"/>
          <w:sz w:val="21"/>
          <w:lang/>
        </w:rPr>
        <w:t>47</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"_Toc477955835"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11.2 </w:t>
      </w:r>
      <w:r>
        <w:rPr>
          <w:rStyle w:val="10"/>
          <w:rFonts w:hint="eastAsia" w:ascii="Times New Roman" w:hAnsi="Times New Roman" w:eastAsia="宋体"/>
          <w:b/>
          <w:kern w:val="0"/>
          <w:sz w:val="21"/>
          <w:lang/>
        </w:rPr>
        <w:t>基金管理人、基金托管人的专门基金托管部门的重大人事变动</w:t>
      </w:r>
      <w:r>
        <w:rPr>
          <w:rFonts w:hint="default" w:eastAsia="Times New Roman"/>
          <w:sz w:val="21"/>
          <w:lang/>
        </w:rPr>
        <w:tab/>
      </w:r>
      <w:r>
        <w:rPr>
          <w:rFonts w:hint="default"/>
          <w:sz w:val="21"/>
          <w:lang/>
        </w:rPr>
        <w:fldChar w:fldCharType="begin"/>
      </w:r>
      <w:r>
        <w:rPr>
          <w:rFonts w:hint="default"/>
          <w:sz w:val="21"/>
          <w:lang/>
        </w:rPr>
        <w:instrText xml:space="preserve"> PAGEREF _Toc477955835 \h </w:instrText>
      </w:r>
      <w:r>
        <w:rPr>
          <w:rFonts w:hint="default"/>
          <w:sz w:val="21"/>
          <w:lang/>
        </w:rPr>
        <w:fldChar w:fldCharType="separate"/>
      </w:r>
      <w:r>
        <w:rPr>
          <w:rFonts w:hint="default"/>
          <w:sz w:val="21"/>
          <w:lang/>
        </w:rPr>
        <w:t>47</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"_Toc477955836"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11.3 </w:t>
      </w:r>
      <w:r>
        <w:rPr>
          <w:rStyle w:val="10"/>
          <w:rFonts w:hint="eastAsia" w:ascii="Times New Roman" w:hAnsi="Times New Roman" w:eastAsia="宋体"/>
          <w:b/>
          <w:kern w:val="0"/>
          <w:sz w:val="21"/>
          <w:lang/>
        </w:rPr>
        <w:t>涉及基金管理人、基金财产、基金托管业务的诉讼</w:t>
      </w:r>
      <w:r>
        <w:rPr>
          <w:rFonts w:hint="default" w:eastAsia="Times New Roman"/>
          <w:sz w:val="21"/>
          <w:lang/>
        </w:rPr>
        <w:tab/>
      </w:r>
      <w:r>
        <w:rPr>
          <w:rFonts w:hint="default"/>
          <w:sz w:val="21"/>
          <w:lang/>
        </w:rPr>
        <w:fldChar w:fldCharType="begin"/>
      </w:r>
      <w:r>
        <w:rPr>
          <w:rFonts w:hint="default"/>
          <w:sz w:val="21"/>
          <w:lang/>
        </w:rPr>
        <w:instrText xml:space="preserve"> PAGEREF _Toc477955836 \h </w:instrText>
      </w:r>
      <w:r>
        <w:rPr>
          <w:rFonts w:hint="default"/>
          <w:sz w:val="21"/>
          <w:lang/>
        </w:rPr>
        <w:fldChar w:fldCharType="separate"/>
      </w:r>
      <w:r>
        <w:rPr>
          <w:rFonts w:hint="default"/>
          <w:sz w:val="21"/>
          <w:lang/>
        </w:rPr>
        <w:t>47</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"_Toc477955837"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11.4 </w:t>
      </w:r>
      <w:r>
        <w:rPr>
          <w:rStyle w:val="10"/>
          <w:rFonts w:hint="eastAsia" w:ascii="Times New Roman" w:hAnsi="Times New Roman" w:eastAsia="宋体"/>
          <w:b/>
          <w:kern w:val="0"/>
          <w:sz w:val="21"/>
          <w:lang/>
        </w:rPr>
        <w:t>基金投资策略的改变</w:t>
      </w:r>
      <w:r>
        <w:rPr>
          <w:rFonts w:hint="default" w:eastAsia="Times New Roman"/>
          <w:sz w:val="21"/>
          <w:lang/>
        </w:rPr>
        <w:tab/>
      </w:r>
      <w:r>
        <w:rPr>
          <w:rFonts w:hint="default"/>
          <w:sz w:val="21"/>
          <w:lang/>
        </w:rPr>
        <w:fldChar w:fldCharType="begin"/>
      </w:r>
      <w:r>
        <w:rPr>
          <w:rFonts w:hint="default"/>
          <w:sz w:val="21"/>
          <w:lang/>
        </w:rPr>
        <w:instrText xml:space="preserve"> PAGEREF _Toc477955837 \h </w:instrText>
      </w:r>
      <w:r>
        <w:rPr>
          <w:rFonts w:hint="default"/>
          <w:sz w:val="21"/>
          <w:lang/>
        </w:rPr>
        <w:fldChar w:fldCharType="separate"/>
      </w:r>
      <w:r>
        <w:rPr>
          <w:rFonts w:hint="default"/>
          <w:sz w:val="21"/>
          <w:lang/>
        </w:rPr>
        <w:t>47</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"_Toc477955838"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11.5 </w:t>
      </w:r>
      <w:r>
        <w:rPr>
          <w:rStyle w:val="10"/>
          <w:rFonts w:hint="eastAsia" w:ascii="Times New Roman" w:hAnsi="Times New Roman" w:eastAsia="宋体"/>
          <w:b/>
          <w:kern w:val="0"/>
          <w:sz w:val="21"/>
          <w:lang/>
        </w:rPr>
        <w:t>为基金进行审计的会计师事务所情况</w:t>
      </w:r>
      <w:r>
        <w:rPr>
          <w:rFonts w:hint="default" w:eastAsia="Times New Roman"/>
          <w:sz w:val="21"/>
          <w:lang/>
        </w:rPr>
        <w:tab/>
      </w:r>
      <w:r>
        <w:rPr>
          <w:rFonts w:hint="default"/>
          <w:sz w:val="21"/>
          <w:lang/>
        </w:rPr>
        <w:fldChar w:fldCharType="begin"/>
      </w:r>
      <w:r>
        <w:rPr>
          <w:rFonts w:hint="default"/>
          <w:sz w:val="21"/>
          <w:lang/>
        </w:rPr>
        <w:instrText xml:space="preserve"> PAGEREF _Toc477955838 \h </w:instrText>
      </w:r>
      <w:r>
        <w:rPr>
          <w:rFonts w:hint="default"/>
          <w:sz w:val="21"/>
          <w:lang/>
        </w:rPr>
        <w:fldChar w:fldCharType="separate"/>
      </w:r>
      <w:r>
        <w:rPr>
          <w:rFonts w:hint="default"/>
          <w:sz w:val="21"/>
          <w:lang/>
        </w:rPr>
        <w:t>47</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"_Toc477955839"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11.6 </w:t>
      </w:r>
      <w:r>
        <w:rPr>
          <w:rStyle w:val="10"/>
          <w:rFonts w:hint="eastAsia" w:ascii="Times New Roman" w:hAnsi="Times New Roman" w:eastAsia="宋体"/>
          <w:b/>
          <w:kern w:val="0"/>
          <w:sz w:val="21"/>
          <w:lang/>
        </w:rPr>
        <w:t>管理人、托管人及其高级管理人员受稽查或处罚等情况</w:t>
      </w:r>
      <w:r>
        <w:rPr>
          <w:rFonts w:hint="default" w:eastAsia="Times New Roman"/>
          <w:sz w:val="21"/>
          <w:lang/>
        </w:rPr>
        <w:tab/>
      </w:r>
      <w:r>
        <w:rPr>
          <w:rFonts w:hint="default"/>
          <w:sz w:val="21"/>
          <w:lang/>
        </w:rPr>
        <w:fldChar w:fldCharType="begin"/>
      </w:r>
      <w:r>
        <w:rPr>
          <w:rFonts w:hint="default"/>
          <w:sz w:val="21"/>
          <w:lang/>
        </w:rPr>
        <w:instrText xml:space="preserve"> PAGEREF _Toc477955839 \h </w:instrText>
      </w:r>
      <w:r>
        <w:rPr>
          <w:rFonts w:hint="default"/>
          <w:sz w:val="21"/>
          <w:lang/>
        </w:rPr>
        <w:fldChar w:fldCharType="separate"/>
      </w:r>
      <w:r>
        <w:rPr>
          <w:rFonts w:hint="default"/>
          <w:sz w:val="21"/>
          <w:lang/>
        </w:rPr>
        <w:t>47</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"_Toc477955840"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11.7 </w:t>
      </w:r>
      <w:r>
        <w:rPr>
          <w:rStyle w:val="10"/>
          <w:rFonts w:hint="eastAsia" w:ascii="Times New Roman" w:hAnsi="Times New Roman" w:eastAsia="宋体"/>
          <w:b/>
          <w:kern w:val="0"/>
          <w:sz w:val="21"/>
          <w:lang/>
        </w:rPr>
        <w:t>基金租用证券公司交易单元的有关情况</w:t>
      </w:r>
      <w:r>
        <w:rPr>
          <w:rFonts w:hint="default" w:eastAsia="Times New Roman"/>
          <w:sz w:val="21"/>
          <w:lang/>
        </w:rPr>
        <w:tab/>
      </w:r>
      <w:r>
        <w:rPr>
          <w:rFonts w:hint="default"/>
          <w:sz w:val="21"/>
          <w:lang/>
        </w:rPr>
        <w:fldChar w:fldCharType="begin"/>
      </w:r>
      <w:r>
        <w:rPr>
          <w:rFonts w:hint="default"/>
          <w:sz w:val="21"/>
          <w:lang/>
        </w:rPr>
        <w:instrText xml:space="preserve"> PAGEREF _Toc477955840 \h </w:instrText>
      </w:r>
      <w:r>
        <w:rPr>
          <w:rFonts w:hint="default"/>
          <w:sz w:val="21"/>
          <w:lang/>
        </w:rPr>
        <w:fldChar w:fldCharType="separate"/>
      </w:r>
      <w:r>
        <w:rPr>
          <w:rFonts w:hint="default"/>
          <w:sz w:val="21"/>
          <w:lang/>
        </w:rPr>
        <w:t>47</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"_Toc477955841"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11.8 </w:t>
      </w:r>
      <w:r>
        <w:rPr>
          <w:rStyle w:val="10"/>
          <w:rFonts w:hint="eastAsia" w:ascii="Times New Roman" w:hAnsi="Times New Roman" w:eastAsia="宋体"/>
          <w:b/>
          <w:kern w:val="0"/>
          <w:sz w:val="21"/>
          <w:lang/>
        </w:rPr>
        <w:t>其他重大事件</w:t>
      </w:r>
      <w:r>
        <w:rPr>
          <w:rFonts w:hint="default" w:eastAsia="Times New Roman"/>
          <w:sz w:val="21"/>
          <w:lang/>
        </w:rPr>
        <w:tab/>
      </w:r>
      <w:r>
        <w:rPr>
          <w:rFonts w:hint="default"/>
          <w:sz w:val="21"/>
          <w:lang/>
        </w:rPr>
        <w:fldChar w:fldCharType="begin"/>
      </w:r>
      <w:r>
        <w:rPr>
          <w:rFonts w:hint="default"/>
          <w:sz w:val="21"/>
          <w:lang/>
        </w:rPr>
        <w:instrText xml:space="preserve"> PAGEREF _Toc477955841 \h </w:instrText>
      </w:r>
      <w:r>
        <w:rPr>
          <w:rFonts w:hint="default"/>
          <w:sz w:val="21"/>
          <w:lang/>
        </w:rPr>
        <w:fldChar w:fldCharType="separate"/>
      </w:r>
      <w:r>
        <w:rPr>
          <w:rFonts w:hint="default"/>
          <w:sz w:val="21"/>
          <w:lang/>
        </w:rPr>
        <w:t>48</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"_Toc477955842"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影响投资者决策的其他重要信息</w:t>
      </w:r>
      <w:r>
        <w:rPr>
          <w:rFonts w:hint="default" w:eastAsia="Times New Roman"/>
          <w:sz w:val="21"/>
          <w:lang/>
        </w:rPr>
        <w:tab/>
      </w:r>
      <w:r>
        <w:rPr>
          <w:rFonts w:hint="default"/>
          <w:sz w:val="21"/>
          <w:lang/>
        </w:rPr>
        <w:fldChar w:fldCharType="begin"/>
      </w:r>
      <w:r>
        <w:rPr>
          <w:rFonts w:hint="default"/>
          <w:sz w:val="21"/>
          <w:lang/>
        </w:rPr>
        <w:instrText xml:space="preserve"> PAGEREF _Toc477955842 \h </w:instrText>
      </w:r>
      <w:r>
        <w:rPr>
          <w:rFonts w:hint="default"/>
          <w:sz w:val="21"/>
          <w:lang/>
        </w:rPr>
        <w:fldChar w:fldCharType="separate"/>
      </w:r>
      <w:r>
        <w:rPr>
          <w:rFonts w:hint="default"/>
          <w:sz w:val="21"/>
          <w:lang/>
        </w:rPr>
        <w:t>50</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"_Toc477955843"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_Toc477955843 \h </w:instrText>
      </w:r>
      <w:r>
        <w:rPr>
          <w:rFonts w:hint="default"/>
          <w:sz w:val="21"/>
          <w:lang/>
        </w:rPr>
        <w:fldChar w:fldCharType="separate"/>
      </w:r>
      <w:r>
        <w:rPr>
          <w:rFonts w:hint="default"/>
          <w:sz w:val="21"/>
          <w:lang/>
        </w:rPr>
        <w:t>50</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"_Toc477955844"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13.1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_Toc477955844 \h </w:instrText>
      </w:r>
      <w:r>
        <w:rPr>
          <w:rFonts w:hint="default"/>
          <w:sz w:val="21"/>
          <w:lang/>
        </w:rPr>
        <w:fldChar w:fldCharType="separate"/>
      </w:r>
      <w:r>
        <w:rPr>
          <w:rFonts w:hint="default"/>
          <w:sz w:val="21"/>
          <w:lang/>
        </w:rPr>
        <w:t>50</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"_Toc477955845"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13.2 </w:t>
      </w:r>
      <w:r>
        <w:rPr>
          <w:rStyle w:val="10"/>
          <w:rFonts w:hint="eastAsia" w:ascii="Times New Roman" w:hAnsi="Times New Roman" w:eastAsia="宋体"/>
          <w:b/>
          <w:kern w:val="0"/>
          <w:sz w:val="21"/>
          <w:lang/>
        </w:rPr>
        <w:t>存放地点</w:t>
      </w:r>
      <w:r>
        <w:rPr>
          <w:rFonts w:hint="default" w:eastAsia="Times New Roman"/>
          <w:sz w:val="21"/>
          <w:lang/>
        </w:rPr>
        <w:tab/>
      </w:r>
      <w:r>
        <w:rPr>
          <w:rFonts w:hint="default"/>
          <w:sz w:val="21"/>
          <w:lang/>
        </w:rPr>
        <w:fldChar w:fldCharType="begin"/>
      </w:r>
      <w:r>
        <w:rPr>
          <w:rFonts w:hint="default"/>
          <w:sz w:val="21"/>
          <w:lang/>
        </w:rPr>
        <w:instrText xml:space="preserve"> PAGEREF _Toc477955845 \h </w:instrText>
      </w:r>
      <w:r>
        <w:rPr>
          <w:rFonts w:hint="default"/>
          <w:sz w:val="21"/>
          <w:lang/>
        </w:rPr>
        <w:fldChar w:fldCharType="separate"/>
      </w:r>
      <w:r>
        <w:rPr>
          <w:rFonts w:hint="default"/>
          <w:sz w:val="21"/>
          <w:lang/>
        </w:rPr>
        <w:t>50</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"_Toc477955846"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13.3 </w:t>
      </w:r>
      <w:r>
        <w:rPr>
          <w:rStyle w:val="10"/>
          <w:rFonts w:hint="eastAsia" w:ascii="Times New Roman" w:hAnsi="Times New Roman" w:eastAsia="宋体"/>
          <w:b/>
          <w:kern w:val="0"/>
          <w:sz w:val="21"/>
          <w:lang/>
        </w:rPr>
        <w:t>查阅方式</w:t>
      </w:r>
      <w:r>
        <w:rPr>
          <w:rFonts w:hint="default" w:eastAsia="Times New Roman"/>
          <w:sz w:val="21"/>
          <w:lang/>
        </w:rPr>
        <w:tab/>
      </w:r>
      <w:r>
        <w:rPr>
          <w:rFonts w:hint="default"/>
          <w:sz w:val="21"/>
          <w:lang/>
        </w:rPr>
        <w:fldChar w:fldCharType="begin"/>
      </w:r>
      <w:r>
        <w:rPr>
          <w:rFonts w:hint="default"/>
          <w:sz w:val="21"/>
          <w:lang/>
        </w:rPr>
        <w:instrText xml:space="preserve"> PAGEREF _Toc477955846 \h </w:instrText>
      </w:r>
      <w:r>
        <w:rPr>
          <w:rFonts w:hint="default"/>
          <w:sz w:val="21"/>
          <w:lang/>
        </w:rPr>
        <w:fldChar w:fldCharType="separate"/>
      </w:r>
      <w:r>
        <w:rPr>
          <w:rFonts w:hint="default"/>
          <w:sz w:val="21"/>
          <w:lang/>
        </w:rPr>
        <w:t>50</w:t>
      </w:r>
      <w:r>
        <w:rPr>
          <w:rFonts w:hint="default"/>
          <w:sz w:val="21"/>
          <w:lang/>
        </w:rPr>
        <w:fldChar w:fldCharType="end"/>
      </w:r>
      <w:r>
        <w:rPr>
          <w:rFonts w:hint="default"/>
          <w:sz w:val="21"/>
          <w:lang/>
        </w:rPr>
        <w:fldChar w:fldCharType="end"/>
      </w:r>
    </w:p>
    <w:p>
      <w:pPr>
        <w:autoSpaceDE w:val="0"/>
        <w:autoSpaceDN w:val="0"/>
        <w:adjustRightInd w:val="0"/>
        <w:spacing w:before="30" w:beforeLines="0" w:afterLines="0" w:line="288" w:lineRule="auto"/>
        <w:ind w:left="15"/>
        <w:jc w:val="left"/>
        <w:rPr>
          <w:rFonts w:hint="default" w:ascii="Times New Roman" w:hAnsi="Times New Roman"/>
          <w:b/>
          <w:color w:val="000000"/>
          <w:kern w:val="0"/>
          <w:sz w:val="24"/>
        </w:rPr>
      </w:pPr>
      <w:r>
        <w:rPr>
          <w:rFonts w:hint="default" w:eastAsia="Times New Roman"/>
          <w:sz w:val="21"/>
          <w:lang/>
        </w:rPr>
        <w:fldChar w:fldCharType="end"/>
      </w:r>
    </w:p>
    <w:p>
      <w:pPr>
        <w:autoSpaceDE w:val="0"/>
        <w:autoSpaceDN w:val="0"/>
        <w:adjustRightInd w:val="0"/>
        <w:spacing w:beforeLines="0" w:afterLines="0" w:line="288" w:lineRule="auto"/>
        <w:jc w:val="left"/>
        <w:rPr>
          <w:rFonts w:hint="default" w:ascii="Times New Roman" w:hAnsi="Times New Roman"/>
          <w:kern w:val="0"/>
          <w:sz w:val="24"/>
        </w:rPr>
        <w:sectPr>
          <w:pgSz w:w="11926" w:h="16867"/>
          <w:pgMar w:top="1418" w:right="1418" w:bottom="853" w:left="1418" w:header="851" w:footer="992" w:gutter="0"/>
          <w:cols w:space="720" w:num="1"/>
        </w:sect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3" w:name="_Toc477955784"/>
      <w:r>
        <w:rPr>
          <w:rFonts w:hint="eastAsia" w:ascii="Times New Roman" w:hAnsi="Times New Roman"/>
          <w:b/>
          <w:color w:val="000000"/>
          <w:kern w:val="0"/>
          <w:sz w:val="24"/>
        </w:rPr>
        <w:t>§</w:t>
      </w:r>
      <w:r>
        <w:rPr>
          <w:rFonts w:hint="default" w:ascii="Times New Roman" w:hAnsi="Times New Roman"/>
          <w:b/>
          <w:color w:val="000000"/>
          <w:kern w:val="0"/>
          <w:sz w:val="24"/>
        </w:rPr>
        <w:t xml:space="preserve">2  </w:t>
      </w:r>
      <w:r>
        <w:rPr>
          <w:rFonts w:hint="eastAsia" w:ascii="Times New Roman" w:hAnsi="Times New Roman"/>
          <w:b/>
          <w:color w:val="000000"/>
          <w:kern w:val="0"/>
          <w:sz w:val="24"/>
        </w:rPr>
        <w:t>基金简介</w:t>
      </w:r>
      <w:bookmarkEnd w:id="3"/>
    </w:p>
    <w:p>
      <w:pPr>
        <w:autoSpaceDE w:val="0"/>
        <w:autoSpaceDN w:val="0"/>
        <w:adjustRightInd w:val="0"/>
        <w:spacing w:beforeLines="0" w:afterLines="0" w:line="288" w:lineRule="auto"/>
        <w:jc w:val="left"/>
        <w:rPr>
          <w:rFonts w:hint="default" w:ascii="Times New Roman" w:hAnsi="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4" w:name="_Toc477955785"/>
      <w:r>
        <w:rPr>
          <w:rFonts w:hint="default" w:ascii="Times New Roman" w:hAnsi="Times New Roman"/>
          <w:b/>
          <w:color w:val="000000"/>
          <w:kern w:val="0"/>
          <w:sz w:val="24"/>
        </w:rPr>
        <w:t xml:space="preserve">2.1 </w:t>
      </w:r>
      <w:r>
        <w:rPr>
          <w:rFonts w:hint="eastAsia" w:ascii="Times New Roman" w:hAnsi="Times New Roman"/>
          <w:b/>
          <w:color w:val="000000"/>
          <w:kern w:val="0"/>
          <w:sz w:val="24"/>
        </w:rPr>
        <w:t>基金基本情况</w:t>
      </w:r>
      <w:bookmarkEnd w:id="4"/>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基金名称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基金简称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基金主代码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基金运作方式</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契约型开放式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基金合同生效日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基金管理人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创金合信基金管理有限公司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基金托管人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招商银行股份有限公司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报告期末基金份额总额</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3,442,340,168.70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基金合同存续期</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不定期</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5" w:name="_Toc477955786"/>
      <w:r>
        <w:rPr>
          <w:rFonts w:hint="default" w:ascii="Times New Roman" w:hAnsi="Times New Roman"/>
          <w:b/>
          <w:color w:val="000000"/>
          <w:kern w:val="0"/>
          <w:sz w:val="24"/>
        </w:rPr>
        <w:t xml:space="preserve">2.2 </w:t>
      </w:r>
      <w:r>
        <w:rPr>
          <w:rFonts w:hint="eastAsia" w:ascii="Times New Roman" w:hAnsi="Times New Roman"/>
          <w:b/>
          <w:color w:val="000000"/>
          <w:kern w:val="0"/>
          <w:sz w:val="24"/>
        </w:rPr>
        <w:t>基金产品说明</w:t>
      </w:r>
      <w:bookmarkEnd w:id="5"/>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投资目标</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在严格控制风险的前提下，追求当期收入和投资总回报最大化。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投资策略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本基金通过对宏观经济的持续跟踪，基于对利率、信用等市场的分析和预测，综合运用久期配置策略、跨市场套利、杠杆放大等策略，力争实现基金资产的稳健增值。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业绩比较基准</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中债综合（全价）指数收益率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风险收益特征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本基金为债券型基金，长期来看，其预期风险和预期收益水平低于股票型基金、混合型基金，高于货币市场基金。</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6" w:name="_Toc477955787"/>
      <w:r>
        <w:rPr>
          <w:rFonts w:hint="default" w:ascii="Times New Roman" w:hAnsi="Times New Roman"/>
          <w:b/>
          <w:color w:val="000000"/>
          <w:kern w:val="0"/>
          <w:sz w:val="24"/>
        </w:rPr>
        <w:t xml:space="preserve">2.3 </w:t>
      </w:r>
      <w:r>
        <w:rPr>
          <w:rFonts w:hint="eastAsia" w:ascii="Times New Roman" w:hAnsi="Times New Roman"/>
          <w:b/>
          <w:color w:val="000000"/>
          <w:kern w:val="0"/>
          <w:sz w:val="24"/>
        </w:rPr>
        <w:t>基金管理人和基金托管人</w:t>
      </w:r>
      <w:bookmarkEnd w:id="6"/>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444"/>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基金管理人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名称</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创金合信基金管理有限公司</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招商银行股份有限公司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信息披露负责人</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姓名</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梁绍锋</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张燕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联系电话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0755-23838908</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0755-83199084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电子邮箱</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liangshaofeng@cjhxfund.com</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yan_zhang@cmbchina.com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客户服务电话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400-868-0666</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95555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传真</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0755-25832571</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0755-83195201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注册地址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深圳市前海深港合作区前湾一路</w:t>
            </w:r>
            <w:r>
              <w:rPr>
                <w:rFonts w:hint="default" w:ascii="Times New Roman" w:hAnsi="Times New Roman"/>
                <w:color w:val="000000"/>
                <w:kern w:val="0"/>
                <w:sz w:val="24"/>
              </w:rPr>
              <w:t xml:space="preserve"> 1</w:t>
            </w:r>
            <w:r>
              <w:rPr>
                <w:rFonts w:hint="eastAsia" w:ascii="Times New Roman" w:hAnsi="Times New Roman"/>
                <w:color w:val="000000"/>
                <w:kern w:val="0"/>
                <w:sz w:val="24"/>
              </w:rPr>
              <w:t>号</w:t>
            </w:r>
            <w:r>
              <w:rPr>
                <w:rFonts w:hint="default" w:ascii="Times New Roman" w:hAnsi="Times New Roman"/>
                <w:color w:val="000000"/>
                <w:kern w:val="0"/>
                <w:sz w:val="24"/>
              </w:rPr>
              <w:t>A</w:t>
            </w:r>
            <w:r>
              <w:rPr>
                <w:rFonts w:hint="eastAsia" w:ascii="Times New Roman" w:hAnsi="Times New Roman"/>
                <w:color w:val="000000"/>
                <w:kern w:val="0"/>
                <w:sz w:val="24"/>
              </w:rPr>
              <w:t>栋</w:t>
            </w:r>
            <w:r>
              <w:rPr>
                <w:rFonts w:hint="default" w:ascii="Times New Roman" w:hAnsi="Times New Roman"/>
                <w:color w:val="000000"/>
                <w:kern w:val="0"/>
                <w:sz w:val="24"/>
              </w:rPr>
              <w:t xml:space="preserve">201 </w:t>
            </w:r>
            <w:r>
              <w:rPr>
                <w:rFonts w:hint="eastAsia" w:ascii="Times New Roman" w:hAnsi="Times New Roman"/>
                <w:color w:val="000000"/>
                <w:kern w:val="0"/>
                <w:sz w:val="24"/>
              </w:rPr>
              <w:t>室</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深圳市深南大道</w:t>
            </w:r>
            <w:r>
              <w:rPr>
                <w:rFonts w:hint="default" w:ascii="Times New Roman" w:hAnsi="Times New Roman"/>
                <w:color w:val="000000"/>
                <w:kern w:val="0"/>
                <w:sz w:val="24"/>
              </w:rPr>
              <w:t>7088</w:t>
            </w:r>
            <w:r>
              <w:rPr>
                <w:rFonts w:hint="eastAsia" w:ascii="Times New Roman" w:hAnsi="Times New Roman"/>
                <w:color w:val="000000"/>
                <w:kern w:val="0"/>
                <w:sz w:val="24"/>
              </w:rPr>
              <w:t>号招商银行大厦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办公地址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深圳市深南大道</w:t>
            </w:r>
            <w:r>
              <w:rPr>
                <w:rFonts w:hint="default" w:ascii="Times New Roman" w:hAnsi="Times New Roman"/>
                <w:color w:val="000000"/>
                <w:kern w:val="0"/>
                <w:sz w:val="24"/>
              </w:rPr>
              <w:t>7088</w:t>
            </w:r>
            <w:r>
              <w:rPr>
                <w:rFonts w:hint="eastAsia" w:ascii="Times New Roman" w:hAnsi="Times New Roman"/>
                <w:color w:val="000000"/>
                <w:kern w:val="0"/>
                <w:sz w:val="24"/>
              </w:rPr>
              <w:t>号招商银行大厦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邮政编码</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518000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518040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法定代表人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刘学民</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李建红</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7" w:name="_Toc477955788"/>
      <w:r>
        <w:rPr>
          <w:rFonts w:hint="default" w:ascii="Times New Roman" w:hAnsi="Times New Roman"/>
          <w:b/>
          <w:color w:val="000000"/>
          <w:kern w:val="0"/>
          <w:sz w:val="24"/>
        </w:rPr>
        <w:t xml:space="preserve">2.4 </w:t>
      </w:r>
      <w:r>
        <w:rPr>
          <w:rFonts w:hint="eastAsia" w:ascii="Times New Roman" w:hAnsi="Times New Roman"/>
          <w:b/>
          <w:color w:val="000000"/>
          <w:kern w:val="0"/>
          <w:sz w:val="24"/>
        </w:rPr>
        <w:t>信息披露方式</w:t>
      </w:r>
      <w:bookmarkEnd w:id="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证券日报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基金年度报告备置地点</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8" w:name="_Toc477955789"/>
      <w:r>
        <w:rPr>
          <w:rFonts w:hint="default" w:ascii="Times New Roman" w:hAnsi="Times New Roman"/>
          <w:b/>
          <w:color w:val="000000"/>
          <w:kern w:val="0"/>
          <w:sz w:val="24"/>
        </w:rPr>
        <w:t xml:space="preserve">2.5 </w:t>
      </w:r>
      <w:r>
        <w:rPr>
          <w:rFonts w:hint="eastAsia" w:ascii="Times New Roman" w:hAnsi="Times New Roman"/>
          <w:b/>
          <w:color w:val="000000"/>
          <w:kern w:val="0"/>
          <w:sz w:val="24"/>
        </w:rPr>
        <w:t>其他相关资料</w:t>
      </w:r>
      <w:bookmarkEnd w:id="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5"/>
        <w:gridCol w:w="3251"/>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名称</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办公地址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会计师事务所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毕马威华振会计师事务所（特殊普通合伙）</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北京市东城区东长安街</w:t>
            </w:r>
            <w:r>
              <w:rPr>
                <w:rFonts w:hint="default" w:ascii="Times New Roman" w:hAnsi="Times New Roman"/>
                <w:color w:val="000000"/>
                <w:kern w:val="0"/>
                <w:sz w:val="24"/>
              </w:rPr>
              <w:t>1</w:t>
            </w:r>
            <w:r>
              <w:rPr>
                <w:rFonts w:hint="eastAsia" w:ascii="Times New Roman" w:hAnsi="Times New Roman"/>
                <w:color w:val="000000"/>
                <w:kern w:val="0"/>
                <w:sz w:val="24"/>
              </w:rPr>
              <w:t>号东方广场东</w:t>
            </w:r>
            <w:r>
              <w:rPr>
                <w:rFonts w:hint="default" w:ascii="Times New Roman" w:hAnsi="Times New Roman"/>
                <w:color w:val="000000"/>
                <w:kern w:val="0"/>
                <w:sz w:val="24"/>
              </w:rPr>
              <w:t>2</w:t>
            </w:r>
            <w:r>
              <w:rPr>
                <w:rFonts w:hint="eastAsia" w:ascii="Times New Roman" w:hAnsi="Times New Roman"/>
                <w:color w:val="000000"/>
                <w:kern w:val="0"/>
                <w:sz w:val="24"/>
              </w:rPr>
              <w:t>座办公楼</w:t>
            </w:r>
            <w:r>
              <w:rPr>
                <w:rFonts w:hint="default" w:ascii="Times New Roman" w:hAnsi="Times New Roman"/>
                <w:color w:val="000000"/>
                <w:kern w:val="0"/>
                <w:sz w:val="24"/>
              </w:rPr>
              <w:t>8</w:t>
            </w:r>
            <w:r>
              <w:rPr>
                <w:rFonts w:hint="eastAsia" w:ascii="Times New Roman" w:hAnsi="Times New Roman"/>
                <w:color w:val="000000"/>
                <w:kern w:val="0"/>
                <w:sz w:val="24"/>
              </w:rPr>
              <w:t>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注册登记机构</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9" w:name="_Toc477955790"/>
      <w:r>
        <w:rPr>
          <w:rFonts w:hint="eastAsia" w:ascii="Times New Roman" w:hAnsi="Times New Roman"/>
          <w:b/>
          <w:color w:val="000000"/>
          <w:kern w:val="0"/>
          <w:sz w:val="24"/>
        </w:rPr>
        <w:t>§</w:t>
      </w:r>
      <w:r>
        <w:rPr>
          <w:rFonts w:hint="default" w:ascii="Times New Roman" w:hAnsi="Times New Roman"/>
          <w:b/>
          <w:color w:val="000000"/>
          <w:kern w:val="0"/>
          <w:sz w:val="24"/>
        </w:rPr>
        <w:t xml:space="preserve">3  </w:t>
      </w:r>
      <w:r>
        <w:rPr>
          <w:rFonts w:hint="eastAsia" w:ascii="Times New Roman" w:hAnsi="Times New Roman"/>
          <w:b/>
          <w:color w:val="000000"/>
          <w:kern w:val="0"/>
          <w:sz w:val="24"/>
        </w:rPr>
        <w:t>主要财务指标、基金净值表现及利润分配情况</w:t>
      </w:r>
      <w:bookmarkEnd w:id="9"/>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10" w:name="_Toc477955791"/>
      <w:r>
        <w:rPr>
          <w:rFonts w:hint="default" w:ascii="Times New Roman" w:hAnsi="Times New Roman"/>
          <w:b/>
          <w:color w:val="000000"/>
          <w:kern w:val="0"/>
          <w:sz w:val="24"/>
        </w:rPr>
        <w:t xml:space="preserve">3.1 </w:t>
      </w:r>
      <w:r>
        <w:rPr>
          <w:rFonts w:hint="eastAsia" w:ascii="Times New Roman" w:hAnsi="Times New Roman"/>
          <w:b/>
          <w:color w:val="000000"/>
          <w:kern w:val="0"/>
          <w:sz w:val="24"/>
        </w:rPr>
        <w:t>主要会计数据和财务指标</w:t>
      </w:r>
      <w:bookmarkEnd w:id="10"/>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3.1.1 </w:t>
            </w:r>
            <w:r>
              <w:rPr>
                <w:rFonts w:hint="eastAsia" w:ascii="Times New Roman" w:hAnsi="Times New Roman"/>
                <w:b/>
                <w:color w:val="000000"/>
                <w:kern w:val="0"/>
                <w:sz w:val="24"/>
              </w:rPr>
              <w:t>期间数据和指标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本期已实现收益</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93,332,855.73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本期利润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-20,590,740.48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加权平均基金份额本期利润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本期加权平均净值利润率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本期基金份额净值增长率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3.1.2 </w:t>
            </w:r>
            <w:r>
              <w:rPr>
                <w:rFonts w:hint="eastAsia" w:ascii="Times New Roman" w:hAnsi="Times New Roman"/>
                <w:b/>
                <w:color w:val="000000"/>
                <w:kern w:val="0"/>
                <w:sz w:val="24"/>
              </w:rPr>
              <w:t>期末数据和指标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期末可供分配利润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10,375,753.77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期末可供分配基金份额利润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期末基金资产净值</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3,452,715,922.47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期末基金份额净值</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3.1.3 </w:t>
            </w:r>
            <w:r>
              <w:rPr>
                <w:rFonts w:hint="eastAsia" w:ascii="Times New Roman" w:hAnsi="Times New Roman"/>
                <w:b/>
                <w:color w:val="000000"/>
                <w:kern w:val="0"/>
                <w:sz w:val="24"/>
              </w:rPr>
              <w:t>累计期末指标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基金份额累计净值增长率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0.90%</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上述基金业绩指标不包括持有人认购或交易基金的各项费用</w:t>
      </w:r>
      <w:r>
        <w:rPr>
          <w:rFonts w:hint="default" w:ascii="Times New Roman" w:hAnsi="Times New Roman"/>
          <w:color w:val="000000"/>
          <w:kern w:val="0"/>
          <w:sz w:val="21"/>
        </w:rPr>
        <w:t>,</w:t>
      </w:r>
      <w:r>
        <w:rPr>
          <w:rFonts w:hint="eastAsia" w:ascii="Times New Roman" w:hAnsi="Times New Roman"/>
          <w:color w:val="000000"/>
          <w:kern w:val="0"/>
          <w:sz w:val="21"/>
        </w:rPr>
        <w:t>计入费用后实际收益水平要低于所列数字。</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本期已实现收益指基金本期利息收入、投资收益、其他收入</w:t>
      </w:r>
      <w:r>
        <w:rPr>
          <w:rFonts w:hint="default" w:ascii="Times New Roman" w:hAnsi="Times New Roman"/>
          <w:color w:val="000000"/>
          <w:kern w:val="0"/>
          <w:sz w:val="21"/>
        </w:rPr>
        <w:t>(</w:t>
      </w:r>
      <w:r>
        <w:rPr>
          <w:rFonts w:hint="eastAsia" w:ascii="Times New Roman" w:hAnsi="Times New Roman"/>
          <w:color w:val="000000"/>
          <w:kern w:val="0"/>
          <w:sz w:val="21"/>
        </w:rPr>
        <w:t>不含公允价值变动收益</w:t>
      </w:r>
      <w:r>
        <w:rPr>
          <w:rFonts w:hint="default" w:ascii="Times New Roman" w:hAnsi="Times New Roman"/>
          <w:color w:val="000000"/>
          <w:kern w:val="0"/>
          <w:sz w:val="21"/>
        </w:rPr>
        <w:t>)</w:t>
      </w:r>
      <w:r>
        <w:rPr>
          <w:rFonts w:hint="eastAsia" w:ascii="Times New Roman" w:hAnsi="Times New Roman"/>
          <w:color w:val="000000"/>
          <w:kern w:val="0"/>
          <w:sz w:val="21"/>
        </w:rPr>
        <w:t>扣除相关费用后的余额</w:t>
      </w:r>
      <w:r>
        <w:rPr>
          <w:rFonts w:hint="default" w:ascii="Times New Roman" w:hAnsi="Times New Roman"/>
          <w:color w:val="000000"/>
          <w:kern w:val="0"/>
          <w:sz w:val="21"/>
        </w:rPr>
        <w:t>,</w:t>
      </w:r>
      <w:r>
        <w:rPr>
          <w:rFonts w:hint="eastAsia" w:ascii="Times New Roman" w:hAnsi="Times New Roman"/>
          <w:color w:val="000000"/>
          <w:kern w:val="0"/>
          <w:sz w:val="21"/>
        </w:rPr>
        <w:t>本期利润为本期已实现收益加上本期公允价值变动收益。</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default" w:ascii="Times New Roman" w:hAnsi="Times New Roman"/>
          <w:color w:val="000000"/>
          <w:kern w:val="0"/>
          <w:sz w:val="21"/>
        </w:rPr>
        <w:t>3.</w:t>
      </w:r>
      <w:r>
        <w:rPr>
          <w:rFonts w:hint="eastAsia" w:ascii="Times New Roman" w:hAnsi="Times New Roman"/>
          <w:color w:val="000000"/>
          <w:kern w:val="0"/>
          <w:sz w:val="21"/>
        </w:rPr>
        <w:t>期末可供分配利润是采用期末资产负债表中未分配利润与未分配利润中已实现部分的孰低数。</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default" w:ascii="Times New Roman" w:hAnsi="Times New Roman"/>
          <w:color w:val="000000"/>
          <w:kern w:val="0"/>
          <w:sz w:val="21"/>
        </w:rPr>
        <w:t>4.</w:t>
      </w:r>
      <w:r>
        <w:rPr>
          <w:rFonts w:hint="eastAsia" w:ascii="Times New Roman" w:hAnsi="Times New Roman"/>
          <w:color w:val="000000"/>
          <w:kern w:val="0"/>
          <w:sz w:val="21"/>
        </w:rPr>
        <w:t>本基金合同生效日为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3</w:t>
      </w:r>
      <w:r>
        <w:rPr>
          <w:rFonts w:hint="eastAsia" w:ascii="Times New Roman" w:hAnsi="Times New Roman"/>
          <w:color w:val="000000"/>
          <w:kern w:val="0"/>
          <w:sz w:val="21"/>
        </w:rPr>
        <w:t>月</w:t>
      </w:r>
      <w:r>
        <w:rPr>
          <w:rFonts w:hint="default" w:ascii="Times New Roman" w:hAnsi="Times New Roman"/>
          <w:color w:val="000000"/>
          <w:kern w:val="0"/>
          <w:sz w:val="21"/>
        </w:rPr>
        <w:t>11</w:t>
      </w:r>
      <w:r>
        <w:rPr>
          <w:rFonts w:hint="eastAsia" w:ascii="Times New Roman" w:hAnsi="Times New Roman"/>
          <w:color w:val="000000"/>
          <w:kern w:val="0"/>
          <w:sz w:val="21"/>
        </w:rPr>
        <w:t>日，截至报告期末，本基金成立不满一年。合同生效当期的相关数据和指标按实际存续期计算。</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11" w:name="_Toc477955792"/>
      <w:r>
        <w:rPr>
          <w:rFonts w:hint="default" w:ascii="Times New Roman" w:hAnsi="Times New Roman"/>
          <w:b/>
          <w:color w:val="000000"/>
          <w:kern w:val="0"/>
          <w:sz w:val="24"/>
        </w:rPr>
        <w:t xml:space="preserve">3.2 </w:t>
      </w:r>
      <w:r>
        <w:rPr>
          <w:rFonts w:hint="eastAsia" w:ascii="Times New Roman" w:hAnsi="Times New Roman"/>
          <w:b/>
          <w:color w:val="000000"/>
          <w:kern w:val="0"/>
          <w:sz w:val="24"/>
        </w:rPr>
        <w:t>基金净值表现</w:t>
      </w:r>
      <w:bookmarkEnd w:id="11"/>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3.2.1 </w:t>
      </w:r>
      <w:r>
        <w:rPr>
          <w:rFonts w:hint="eastAsia" w:ascii="Times New Roman" w:hAnsi="Times New Roman"/>
          <w:b/>
          <w:color w:val="000000"/>
          <w:kern w:val="0"/>
          <w:sz w:val="24"/>
        </w:rPr>
        <w:t>基金份额净值增长率及其与同期业绩比较基准收益率的比较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阶段</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份额净值增长率①</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份额净值增长率标准差②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业绩比较基准收益率③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①</w:t>
            </w:r>
            <w:r>
              <w:rPr>
                <w:rFonts w:hint="default" w:ascii="Times New Roman" w:hAnsi="Times New Roman"/>
                <w:color w:val="000000"/>
                <w:kern w:val="0"/>
                <w:sz w:val="24"/>
              </w:rPr>
              <w:t>-</w:t>
            </w:r>
            <w:r>
              <w:rPr>
                <w:rFonts w:hint="eastAsia" w:ascii="Times New Roman" w:hAnsi="Times New Roman"/>
                <w:color w:val="000000"/>
                <w:kern w:val="0"/>
                <w:sz w:val="24"/>
              </w:rPr>
              <w:t>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②</w:t>
            </w:r>
            <w:r>
              <w:rPr>
                <w:rFonts w:hint="default" w:ascii="Times New Roman" w:hAnsi="Times New Roman"/>
                <w:color w:val="000000"/>
                <w:kern w:val="0"/>
                <w:sz w:val="24"/>
              </w:rPr>
              <w:t>-</w:t>
            </w:r>
            <w:r>
              <w:rPr>
                <w:rFonts w:hint="eastAsia" w:ascii="Times New Roman" w:hAnsi="Times New Roman"/>
                <w:color w:val="000000"/>
                <w:kern w:val="0"/>
                <w:sz w:val="24"/>
              </w:rPr>
              <w:t>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过去三个月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过去六个月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自基金合同生效日起至今（</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3.2.2 </w:t>
      </w:r>
      <w:r>
        <w:rPr>
          <w:rFonts w:hint="eastAsia" w:ascii="Times New Roman" w:hAnsi="Times New Roman"/>
          <w:b/>
          <w:color w:val="000000"/>
          <w:kern w:val="0"/>
          <w:sz w:val="24"/>
        </w:rPr>
        <w:t>自基金合同生效以来基金份额累计净值增长率变动及其与同期业绩比较基准收益率变动的比较</w:t>
      </w:r>
    </w:p>
    <w:p>
      <w:pPr>
        <w:autoSpaceDE w:val="0"/>
        <w:autoSpaceDN w:val="0"/>
        <w:adjustRightInd w:val="0"/>
        <w:spacing w:beforeLines="0" w:afterLines="0" w:line="288" w:lineRule="auto"/>
        <w:jc w:val="left"/>
        <w:rPr>
          <w:rFonts w:hint="default" w:ascii="Times New Roman" w:hAnsi="Times New Roman"/>
          <w:kern w:val="0"/>
          <w:sz w:val="24"/>
        </w:rPr>
      </w:pPr>
      <w:r>
        <w:rPr>
          <w:rFonts w:hint="default" w:ascii="Times New Roman" w:hAnsi="Times New Roman"/>
          <w:kern w:val="0"/>
          <w:sz w:val="24"/>
        </w:rPr>
        <w:pict>
          <v:shape id="_x0000_i1026" o:spt="75" type="#_x0000_t75" style="height:211.7pt;width:443.5pt;" filled="f" stroked="f" coordsize="21600,21600">
            <v:path/>
            <v:fill on="f" focussize="0,0"/>
            <v:stroke on="f"/>
            <v:imagedata r:id="rId6" o:title=""/>
            <o:lock v:ext="edit" aspectratio="t"/>
            <w10:wrap type="none"/>
            <w10:anchorlock/>
          </v:shape>
        </w:pic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3.2.3 </w:t>
      </w:r>
      <w:r>
        <w:rPr>
          <w:rFonts w:hint="eastAsia" w:ascii="Times New Roman" w:hAnsi="Times New Roman"/>
          <w:b/>
          <w:color w:val="000000"/>
          <w:kern w:val="0"/>
          <w:sz w:val="24"/>
        </w:rPr>
        <w:t>自基金合同生效以来基金每年净值增长率及其与同期业绩比较基准收益率的比较</w:t>
      </w:r>
    </w:p>
    <w:p>
      <w:pPr>
        <w:autoSpaceDE w:val="0"/>
        <w:autoSpaceDN w:val="0"/>
        <w:adjustRightInd w:val="0"/>
        <w:spacing w:beforeLines="0" w:afterLines="0" w:line="288" w:lineRule="auto"/>
        <w:jc w:val="left"/>
        <w:rPr>
          <w:rFonts w:hint="default" w:ascii="Times New Roman" w:hAnsi="Times New Roman"/>
          <w:kern w:val="0"/>
          <w:sz w:val="24"/>
        </w:rPr>
      </w:pPr>
      <w:r>
        <w:rPr>
          <w:rFonts w:hint="default" w:ascii="Times New Roman" w:hAnsi="Times New Roman"/>
          <w:kern w:val="0"/>
          <w:sz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12" w:name="_Toc477955793"/>
      <w:r>
        <w:rPr>
          <w:rFonts w:hint="default" w:ascii="Times New Roman" w:hAnsi="Times New Roman"/>
          <w:b/>
          <w:color w:val="000000"/>
          <w:kern w:val="0"/>
          <w:sz w:val="24"/>
        </w:rPr>
        <w:t xml:space="preserve">3.3 </w:t>
      </w:r>
      <w:r>
        <w:rPr>
          <w:rFonts w:hint="eastAsia" w:ascii="Times New Roman" w:hAnsi="Times New Roman"/>
          <w:b/>
          <w:color w:val="000000"/>
          <w:kern w:val="0"/>
          <w:sz w:val="24"/>
        </w:rPr>
        <w:t>过去三年基金的利润分配情况</w:t>
      </w:r>
      <w:bookmarkEnd w:id="12"/>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445"/>
        <w:gridCol w:w="1806"/>
        <w:gridCol w:w="1806"/>
        <w:gridCol w:w="1806"/>
        <w:gridCol w:w="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年度</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每</w:t>
            </w:r>
            <w:r>
              <w:rPr>
                <w:rFonts w:hint="default" w:ascii="Times New Roman" w:hAnsi="Times New Roman"/>
                <w:color w:val="000000"/>
                <w:kern w:val="0"/>
                <w:sz w:val="24"/>
              </w:rPr>
              <w:t>10</w:t>
            </w:r>
            <w:r>
              <w:rPr>
                <w:rFonts w:hint="eastAsia" w:ascii="Times New Roman" w:hAnsi="Times New Roman"/>
                <w:color w:val="000000"/>
                <w:kern w:val="0"/>
                <w:sz w:val="24"/>
              </w:rPr>
              <w:t>份基金份额分红数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现金形式发放总额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再投资形式发放总额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年度利润分配</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16,286,216.99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1,166.01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16,287,383.00</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16,286,216.99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1,166.01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16,287,383.00</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13" w:name="_Toc477955794"/>
      <w:r>
        <w:rPr>
          <w:rFonts w:hint="eastAsia" w:ascii="Times New Roman" w:hAnsi="Times New Roman"/>
          <w:b/>
          <w:color w:val="000000"/>
          <w:kern w:val="0"/>
          <w:sz w:val="24"/>
        </w:rPr>
        <w:t>§</w:t>
      </w:r>
      <w:r>
        <w:rPr>
          <w:rFonts w:hint="default" w:ascii="Times New Roman" w:hAnsi="Times New Roman"/>
          <w:b/>
          <w:color w:val="000000"/>
          <w:kern w:val="0"/>
          <w:sz w:val="24"/>
        </w:rPr>
        <w:t xml:space="preserve">4  </w:t>
      </w:r>
      <w:r>
        <w:rPr>
          <w:rFonts w:hint="eastAsia" w:ascii="Times New Roman" w:hAnsi="Times New Roman"/>
          <w:b/>
          <w:color w:val="000000"/>
          <w:kern w:val="0"/>
          <w:sz w:val="24"/>
        </w:rPr>
        <w:t>管理人报告</w:t>
      </w:r>
      <w:bookmarkEnd w:id="13"/>
    </w:p>
    <w:p>
      <w:pPr>
        <w:autoSpaceDE w:val="0"/>
        <w:autoSpaceDN w:val="0"/>
        <w:adjustRightInd w:val="0"/>
        <w:spacing w:beforeLines="0" w:afterLines="0" w:line="288" w:lineRule="auto"/>
        <w:jc w:val="left"/>
        <w:rPr>
          <w:rFonts w:hint="default" w:ascii="Times New Roman" w:hAnsi="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14" w:name="_Toc477955795"/>
      <w:r>
        <w:rPr>
          <w:rFonts w:hint="default" w:ascii="Times New Roman" w:hAnsi="Times New Roman"/>
          <w:b/>
          <w:color w:val="000000"/>
          <w:kern w:val="0"/>
          <w:sz w:val="24"/>
        </w:rPr>
        <w:t xml:space="preserve">4.1 </w:t>
      </w:r>
      <w:r>
        <w:rPr>
          <w:rFonts w:hint="eastAsia" w:ascii="Times New Roman" w:hAnsi="Times New Roman"/>
          <w:b/>
          <w:color w:val="000000"/>
          <w:kern w:val="0"/>
          <w:sz w:val="24"/>
        </w:rPr>
        <w:t>基金管理人及基金经理情况</w:t>
      </w:r>
      <w:bookmarkEnd w:id="14"/>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4.1.1 </w:t>
      </w:r>
      <w:r>
        <w:rPr>
          <w:rFonts w:hint="eastAsia" w:ascii="Times New Roman" w:hAnsi="Times New Roman"/>
          <w:b/>
          <w:color w:val="000000"/>
          <w:kern w:val="0"/>
          <w:sz w:val="24"/>
        </w:rPr>
        <w:t>基金管理人及其管理基金的经验</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创金合信基金管理有限公司于</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日获得中国证监会批复，</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日正式注册设立，注册地为深圳市。公司由第一创业证券股份有限公司、深圳市金合信投资合伙企业（有限合伙）共同出资设立。公司注册资本</w:t>
      </w:r>
      <w:r>
        <w:rPr>
          <w:rFonts w:hint="default" w:ascii="Times New Roman" w:hAnsi="Times New Roman"/>
          <w:color w:val="000000"/>
          <w:kern w:val="0"/>
          <w:sz w:val="24"/>
        </w:rPr>
        <w:t>1.7</w:t>
      </w:r>
      <w:r>
        <w:rPr>
          <w:rFonts w:hint="eastAsia" w:ascii="Times New Roman" w:hAnsi="Times New Roman"/>
          <w:color w:val="000000"/>
          <w:kern w:val="0"/>
          <w:sz w:val="24"/>
        </w:rPr>
        <w:t>亿元人民币，股东出资情况为：第一创业证券股份有限公司出资</w:t>
      </w:r>
      <w:r>
        <w:rPr>
          <w:rFonts w:hint="default" w:ascii="Times New Roman" w:hAnsi="Times New Roman"/>
          <w:color w:val="000000"/>
          <w:kern w:val="0"/>
          <w:sz w:val="24"/>
        </w:rPr>
        <w:t>11,900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70%</w:t>
      </w:r>
      <w:r>
        <w:rPr>
          <w:rFonts w:hint="eastAsia" w:ascii="Times New Roman" w:hAnsi="Times New Roman"/>
          <w:color w:val="000000"/>
          <w:kern w:val="0"/>
          <w:sz w:val="24"/>
        </w:rPr>
        <w:t>；深圳市金合信投资合伙企业（有限合伙）出资</w:t>
      </w:r>
      <w:r>
        <w:rPr>
          <w:rFonts w:hint="default" w:ascii="Times New Roman" w:hAnsi="Times New Roman"/>
          <w:color w:val="000000"/>
          <w:kern w:val="0"/>
          <w:sz w:val="24"/>
        </w:rPr>
        <w:t>5,100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30%</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公司始终坚持</w:t>
      </w:r>
      <w:r>
        <w:rPr>
          <w:rFonts w:hint="default" w:ascii="Times New Roman" w:hAnsi="Times New Roman"/>
          <w:color w:val="000000"/>
          <w:kern w:val="0"/>
          <w:sz w:val="24"/>
        </w:rPr>
        <w:t>"</w:t>
      </w:r>
      <w:r>
        <w:rPr>
          <w:rFonts w:hint="eastAsia" w:ascii="Times New Roman" w:hAnsi="Times New Roman"/>
          <w:color w:val="000000"/>
          <w:kern w:val="0"/>
          <w:sz w:val="24"/>
        </w:rPr>
        <w:t>客户利益至上</w:t>
      </w:r>
      <w:r>
        <w:rPr>
          <w:rFonts w:hint="default" w:ascii="Times New Roman" w:hAnsi="Times New Roman"/>
          <w:color w:val="000000"/>
          <w:kern w:val="0"/>
          <w:sz w:val="24"/>
        </w:rPr>
        <w:t>"</w:t>
      </w:r>
      <w:r>
        <w:rPr>
          <w:rFonts w:hint="eastAsia" w:ascii="Times New Roman" w:hAnsi="Times New Roman"/>
          <w:color w:val="000000"/>
          <w:kern w:val="0"/>
          <w:sz w:val="24"/>
        </w:rPr>
        <w:t>，致力于为客户实现长期稳定的投资回报，做客户投资理财的亲密伙伴。</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报告期内，本公司共发行</w:t>
      </w:r>
      <w:r>
        <w:rPr>
          <w:rFonts w:hint="default" w:ascii="Times New Roman" w:hAnsi="Times New Roman"/>
          <w:color w:val="000000"/>
          <w:kern w:val="0"/>
          <w:sz w:val="24"/>
        </w:rPr>
        <w:t>17</w:t>
      </w:r>
      <w:r>
        <w:rPr>
          <w:rFonts w:hint="eastAsia" w:ascii="Times New Roman" w:hAnsi="Times New Roman"/>
          <w:color w:val="000000"/>
          <w:kern w:val="0"/>
          <w:sz w:val="24"/>
        </w:rPr>
        <w:t>只公募基金。截至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日，本公司共管理</w:t>
      </w:r>
      <w:r>
        <w:rPr>
          <w:rFonts w:hint="default" w:ascii="Times New Roman" w:hAnsi="Times New Roman"/>
          <w:color w:val="000000"/>
          <w:kern w:val="0"/>
          <w:sz w:val="24"/>
        </w:rPr>
        <w:t>24</w:t>
      </w:r>
      <w:r>
        <w:rPr>
          <w:rFonts w:hint="eastAsia" w:ascii="Times New Roman" w:hAnsi="Times New Roman"/>
          <w:color w:val="000000"/>
          <w:kern w:val="0"/>
          <w:sz w:val="24"/>
        </w:rPr>
        <w:t>只公募基金，其中混合型产品</w:t>
      </w:r>
      <w:r>
        <w:rPr>
          <w:rFonts w:hint="default" w:ascii="Times New Roman" w:hAnsi="Times New Roman"/>
          <w:color w:val="000000"/>
          <w:kern w:val="0"/>
          <w:sz w:val="24"/>
        </w:rPr>
        <w:t>9</w:t>
      </w:r>
      <w:r>
        <w:rPr>
          <w:rFonts w:hint="eastAsia" w:ascii="Times New Roman" w:hAnsi="Times New Roman"/>
          <w:color w:val="000000"/>
          <w:kern w:val="0"/>
          <w:sz w:val="24"/>
        </w:rPr>
        <w:t>只、指数型产品</w:t>
      </w:r>
      <w:r>
        <w:rPr>
          <w:rFonts w:hint="default" w:ascii="Times New Roman" w:hAnsi="Times New Roman"/>
          <w:color w:val="000000"/>
          <w:kern w:val="0"/>
          <w:sz w:val="24"/>
        </w:rPr>
        <w:t>3</w:t>
      </w:r>
      <w:r>
        <w:rPr>
          <w:rFonts w:hint="eastAsia" w:ascii="Times New Roman" w:hAnsi="Times New Roman"/>
          <w:color w:val="000000"/>
          <w:kern w:val="0"/>
          <w:sz w:val="24"/>
        </w:rPr>
        <w:t>只、债券型产品</w:t>
      </w:r>
      <w:r>
        <w:rPr>
          <w:rFonts w:hint="default" w:ascii="Times New Roman" w:hAnsi="Times New Roman"/>
          <w:color w:val="000000"/>
          <w:kern w:val="0"/>
          <w:sz w:val="24"/>
        </w:rPr>
        <w:t>8</w:t>
      </w:r>
      <w:r>
        <w:rPr>
          <w:rFonts w:hint="eastAsia" w:ascii="Times New Roman" w:hAnsi="Times New Roman"/>
          <w:color w:val="000000"/>
          <w:kern w:val="0"/>
          <w:sz w:val="24"/>
        </w:rPr>
        <w:t>只、股票型产品</w:t>
      </w:r>
      <w:r>
        <w:rPr>
          <w:rFonts w:hint="default" w:ascii="Times New Roman" w:hAnsi="Times New Roman"/>
          <w:color w:val="000000"/>
          <w:kern w:val="0"/>
          <w:sz w:val="24"/>
        </w:rPr>
        <w:t>3</w:t>
      </w:r>
      <w:r>
        <w:rPr>
          <w:rFonts w:hint="eastAsia" w:ascii="Times New Roman" w:hAnsi="Times New Roman"/>
          <w:color w:val="000000"/>
          <w:kern w:val="0"/>
          <w:sz w:val="24"/>
        </w:rPr>
        <w:t>只、货币型产品</w:t>
      </w:r>
      <w:r>
        <w:rPr>
          <w:rFonts w:hint="default" w:ascii="Times New Roman" w:hAnsi="Times New Roman"/>
          <w:color w:val="000000"/>
          <w:kern w:val="0"/>
          <w:sz w:val="24"/>
        </w:rPr>
        <w:t>1</w:t>
      </w:r>
      <w:r>
        <w:rPr>
          <w:rFonts w:hint="eastAsia" w:ascii="Times New Roman" w:hAnsi="Times New Roman"/>
          <w:color w:val="000000"/>
          <w:kern w:val="0"/>
          <w:sz w:val="24"/>
        </w:rPr>
        <w:t>只；管理的公募基金规模约</w:t>
      </w:r>
      <w:r>
        <w:rPr>
          <w:rFonts w:hint="default" w:ascii="Times New Roman" w:hAnsi="Times New Roman"/>
          <w:color w:val="000000"/>
          <w:kern w:val="0"/>
          <w:sz w:val="24"/>
        </w:rPr>
        <w:t>142.74</w:t>
      </w:r>
      <w:r>
        <w:rPr>
          <w:rFonts w:hint="eastAsia" w:ascii="Times New Roman" w:hAnsi="Times New Roman"/>
          <w:color w:val="000000"/>
          <w:kern w:val="0"/>
          <w:sz w:val="24"/>
        </w:rPr>
        <w:t>亿元。</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4.1.2 </w:t>
      </w:r>
      <w:r>
        <w:rPr>
          <w:rFonts w:hint="eastAsia" w:ascii="Times New Roman" w:hAnsi="Times New Roman"/>
          <w:b/>
          <w:color w:val="000000"/>
          <w:kern w:val="0"/>
          <w:sz w:val="24"/>
        </w:rPr>
        <w:t>基金经理（或基金经理小组）及基金经理助理简介</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083"/>
        <w:gridCol w:w="1445"/>
        <w:gridCol w:w="1445"/>
        <w:gridCol w:w="1083"/>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姓名</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职务</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任职日期</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离任日期</w:t>
            </w: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hAnsi="Times New Roman"/>
                <w:kern w:val="0"/>
                <w:sz w:val="20"/>
              </w:rPr>
            </w:pPr>
          </w:p>
        </w:tc>
        <w:tc>
          <w:tcPr>
            <w:tcW w:w="289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hAnsi="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王一兵</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基金经理、固定收益部总监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王一兵先生，中国国籍，四川大学</w:t>
            </w:r>
            <w:r>
              <w:rPr>
                <w:rFonts w:hint="default" w:ascii="Times New Roman" w:hAnsi="Times New Roman"/>
                <w:color w:val="000000"/>
                <w:kern w:val="0"/>
                <w:sz w:val="24"/>
              </w:rPr>
              <w:t>MBA</w:t>
            </w:r>
            <w:r>
              <w:rPr>
                <w:rFonts w:hint="eastAsia" w:ascii="Times New Roman" w:hAnsi="Times New Roman"/>
                <w:color w:val="000000"/>
                <w:kern w:val="0"/>
                <w:sz w:val="24"/>
              </w:rPr>
              <w:t>。</w:t>
            </w:r>
            <w:r>
              <w:rPr>
                <w:rFonts w:hint="default" w:ascii="Times New Roman" w:hAnsi="Times New Roman"/>
                <w:color w:val="000000"/>
                <w:kern w:val="0"/>
                <w:sz w:val="24"/>
              </w:rPr>
              <w:t>1994</w:t>
            </w:r>
            <w:r>
              <w:rPr>
                <w:rFonts w:hint="eastAsia" w:ascii="Times New Roman" w:hAnsi="Times New Roman"/>
                <w:color w:val="000000"/>
                <w:kern w:val="0"/>
                <w:sz w:val="24"/>
              </w:rPr>
              <w:t>年即进入证券期货行业，作为公司出市代表任海南中商期货交易所红马甲。</w:t>
            </w:r>
            <w:r>
              <w:rPr>
                <w:rFonts w:hint="default" w:ascii="Times New Roman" w:hAnsi="Times New Roman"/>
                <w:color w:val="000000"/>
                <w:kern w:val="0"/>
                <w:sz w:val="24"/>
              </w:rPr>
              <w:t>1997</w:t>
            </w:r>
            <w:r>
              <w:rPr>
                <w:rFonts w:hint="eastAsia" w:ascii="Times New Roman" w:hAnsi="Times New Roman"/>
                <w:color w:val="000000"/>
                <w:kern w:val="0"/>
                <w:sz w:val="24"/>
              </w:rPr>
              <w:t>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郑振源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基金经理</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郑振源先生，中国国籍，中国人民银行研究生部经济学硕士。</w:t>
            </w:r>
            <w:r>
              <w:rPr>
                <w:rFonts w:hint="default" w:ascii="Times New Roman" w:hAnsi="Times New Roman"/>
                <w:color w:val="000000"/>
                <w:kern w:val="0"/>
                <w:sz w:val="24"/>
              </w:rPr>
              <w:t>2009</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月加入第一创业证券研究所，担任宏观债券研究员。</w:t>
            </w:r>
            <w:r>
              <w:rPr>
                <w:rFonts w:hint="default" w:ascii="Times New Roman" w:hAnsi="Times New Roman"/>
                <w:color w:val="000000"/>
                <w:kern w:val="0"/>
                <w:sz w:val="24"/>
              </w:rPr>
              <w:t>2012</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月加入第一创业证券资产管理部，先后担任宏观债券研究员、投资主办等职务。</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月加入创金合信基金管理有限公司，现任基金经理。</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、本基金首任基金经理的任职日期为本基金合同生效日，离任日期、后任基金经理的任职日期指公司作出决定的公告（生效）日期；</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、证券从业年限计算的起止时间按照从事证券行业开始时间计算。</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15" w:name="_Toc477955796"/>
      <w:r>
        <w:rPr>
          <w:rFonts w:hint="default" w:ascii="Times New Roman" w:hAnsi="Times New Roman"/>
          <w:b/>
          <w:color w:val="000000"/>
          <w:kern w:val="0"/>
          <w:sz w:val="24"/>
        </w:rPr>
        <w:t xml:space="preserve">4.2 </w:t>
      </w:r>
      <w:r>
        <w:rPr>
          <w:rFonts w:hint="eastAsia" w:ascii="Times New Roman" w:hAnsi="Times New Roman"/>
          <w:b/>
          <w:color w:val="000000"/>
          <w:kern w:val="0"/>
          <w:sz w:val="24"/>
        </w:rPr>
        <w:t>管理人对报告期内本基金运作遵规守信情况的说明</w:t>
      </w:r>
      <w:bookmarkEnd w:id="15"/>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尊享纯债债券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16" w:name="_Toc477955797"/>
      <w:r>
        <w:rPr>
          <w:rFonts w:hint="default" w:ascii="Times New Roman" w:hAnsi="Times New Roman"/>
          <w:b/>
          <w:color w:val="000000"/>
          <w:kern w:val="0"/>
          <w:sz w:val="24"/>
        </w:rPr>
        <w:t xml:space="preserve">4.3 </w:t>
      </w:r>
      <w:r>
        <w:rPr>
          <w:rFonts w:hint="eastAsia" w:ascii="Times New Roman" w:hAnsi="Times New Roman"/>
          <w:b/>
          <w:color w:val="000000"/>
          <w:kern w:val="0"/>
          <w:sz w:val="24"/>
        </w:rPr>
        <w:t>管理人对报告期内公平交易情况的专项说明</w:t>
      </w:r>
      <w:bookmarkEnd w:id="16"/>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4.3.1 </w:t>
      </w:r>
      <w:r>
        <w:rPr>
          <w:rFonts w:hint="eastAsia" w:ascii="Times New Roman" w:hAnsi="Times New Roman"/>
          <w:b/>
          <w:color w:val="000000"/>
          <w:kern w:val="0"/>
          <w:sz w:val="24"/>
        </w:rPr>
        <w:t>公平交易制度和控制方法</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为了进一步规范和完善本基金管理人（以下简称</w:t>
      </w:r>
      <w:r>
        <w:rPr>
          <w:rFonts w:hint="default" w:ascii="Times New Roman" w:hAnsi="Times New Roman"/>
          <w:color w:val="000000"/>
          <w:kern w:val="0"/>
          <w:sz w:val="24"/>
        </w:rPr>
        <w:t>"</w:t>
      </w:r>
      <w:r>
        <w:rPr>
          <w:rFonts w:hint="eastAsia" w:ascii="Times New Roman" w:hAnsi="Times New Roman"/>
          <w:color w:val="000000"/>
          <w:kern w:val="0"/>
          <w:sz w:val="24"/>
        </w:rPr>
        <w:t>本公司</w:t>
      </w:r>
      <w:r>
        <w:rPr>
          <w:rFonts w:hint="default" w:ascii="Times New Roman" w:hAnsi="Times New Roman"/>
          <w:color w:val="000000"/>
          <w:kern w:val="0"/>
          <w:sz w:val="24"/>
        </w:rPr>
        <w:t>"</w:t>
      </w:r>
      <w:r>
        <w:rPr>
          <w:rFonts w:hint="eastAsia" w:ascii="Times New Roman" w:hAnsi="Times New Roman"/>
          <w:color w:val="000000"/>
          <w:kern w:val="0"/>
          <w:sz w:val="24"/>
        </w:rPr>
        <w:t>）投资和交易管理，严格遵守法律法规关于公平交易的相关规定，根据《中华人民共和国证券投资基金法》、《证券投资基金管理公司管理办法》、《证券投资基金管理公司公平交易制度指导意见（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、授权、研究分析与投资决策的内部控制</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、交易执行的内部控制</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、交易指令分配的控制</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所有投资对象的投资指令必须经由交易室总监或其授权人审核后分配至交易员执行。</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、公平交易监控</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hint="default" w:ascii="Times New Roman" w:hAnsi="Times New Roman"/>
          <w:color w:val="000000"/>
          <w:kern w:val="0"/>
          <w:sz w:val="24"/>
        </w:rPr>
        <w:t>1</w:t>
      </w:r>
      <w:r>
        <w:rPr>
          <w:rFonts w:hint="eastAsia" w:ascii="Times New Roman" w:hAnsi="Times New Roman"/>
          <w:color w:val="000000"/>
          <w:kern w:val="0"/>
          <w:sz w:val="24"/>
        </w:rPr>
        <w:t>日内、</w:t>
      </w:r>
      <w:r>
        <w:rPr>
          <w:rFonts w:hint="default" w:ascii="Times New Roman" w:hAnsi="Times New Roman"/>
          <w:color w:val="000000"/>
          <w:kern w:val="0"/>
          <w:sz w:val="24"/>
        </w:rPr>
        <w:t>3</w:t>
      </w:r>
      <w:r>
        <w:rPr>
          <w:rFonts w:hint="eastAsia" w:ascii="Times New Roman" w:hAnsi="Times New Roman"/>
          <w:color w:val="000000"/>
          <w:kern w:val="0"/>
          <w:sz w:val="24"/>
        </w:rPr>
        <w:t>日、</w:t>
      </w:r>
      <w:r>
        <w:rPr>
          <w:rFonts w:hint="default" w:ascii="Times New Roman" w:hAnsi="Times New Roman"/>
          <w:color w:val="000000"/>
          <w:kern w:val="0"/>
          <w:sz w:val="24"/>
        </w:rPr>
        <w:t>5</w:t>
      </w:r>
      <w:r>
        <w:rPr>
          <w:rFonts w:hint="eastAsia" w:ascii="Times New Roman" w:hAnsi="Times New Roman"/>
          <w:color w:val="000000"/>
          <w:kern w:val="0"/>
          <w:sz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4.3.2 </w:t>
      </w:r>
      <w:r>
        <w:rPr>
          <w:rFonts w:hint="eastAsia" w:ascii="Times New Roman" w:hAnsi="Times New Roman"/>
          <w:b/>
          <w:color w:val="000000"/>
          <w:kern w:val="0"/>
          <w:sz w:val="24"/>
        </w:rPr>
        <w:t>公平交易制度的执行情况</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本基金管理人严格执行《证券投资基金管理公司公平交易制度指导意见（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年修订）》及《创金合信基金管理有限公司公平交易制度》对本年度同向交易价差、反向交易进行了专项分析，未发现异常交易情况。</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4.3.3 </w:t>
      </w:r>
      <w:r>
        <w:rPr>
          <w:rFonts w:hint="eastAsia" w:ascii="Times New Roman" w:hAnsi="Times New Roman"/>
          <w:b/>
          <w:color w:val="000000"/>
          <w:kern w:val="0"/>
          <w:sz w:val="24"/>
        </w:rPr>
        <w:t>异常交易行为的专项说明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本报告期内，未发现本基金有可能导致不公平交易和利益输送的异常交易。</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17" w:name="_Toc477955798"/>
      <w:r>
        <w:rPr>
          <w:rFonts w:hint="default" w:ascii="Times New Roman" w:hAnsi="Times New Roman"/>
          <w:b/>
          <w:color w:val="000000"/>
          <w:kern w:val="0"/>
          <w:sz w:val="24"/>
        </w:rPr>
        <w:t xml:space="preserve">4.4 </w:t>
      </w:r>
      <w:r>
        <w:rPr>
          <w:rFonts w:hint="eastAsia" w:ascii="Times New Roman" w:hAnsi="Times New Roman"/>
          <w:b/>
          <w:color w:val="000000"/>
          <w:kern w:val="0"/>
          <w:sz w:val="24"/>
        </w:rPr>
        <w:t>管理人对报告期内基金的投资策略和业绩表现的说明</w:t>
      </w:r>
      <w:bookmarkEnd w:id="17"/>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4.4.1 </w:t>
      </w:r>
      <w:r>
        <w:rPr>
          <w:rFonts w:hint="eastAsia" w:ascii="Times New Roman" w:hAnsi="Times New Roman"/>
          <w:b/>
          <w:color w:val="000000"/>
          <w:kern w:val="0"/>
          <w:sz w:val="24"/>
        </w:rPr>
        <w:t>报告期内基金投资策略和运作分析</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年成为</w:t>
      </w:r>
      <w:r>
        <w:rPr>
          <w:rFonts w:hint="default" w:ascii="Times New Roman" w:hAnsi="Times New Roman"/>
          <w:color w:val="000000"/>
          <w:kern w:val="0"/>
          <w:sz w:val="24"/>
        </w:rPr>
        <w:t>2014</w:t>
      </w:r>
      <w:r>
        <w:rPr>
          <w:rFonts w:hint="eastAsia" w:ascii="Times New Roman" w:hAnsi="Times New Roman"/>
          <w:color w:val="000000"/>
          <w:kern w:val="0"/>
          <w:sz w:val="24"/>
        </w:rPr>
        <w:t>年以来债牛的末期，并在年底开始扭转走熊。主要变化因素在于：第一，</w:t>
      </w:r>
      <w:r>
        <w:rPr>
          <w:rFonts w:hint="default" w:ascii="Times New Roman" w:hAnsi="Times New Roman"/>
          <w:color w:val="000000"/>
          <w:kern w:val="0"/>
          <w:sz w:val="24"/>
        </w:rPr>
        <w:t>2016</w:t>
      </w:r>
      <w:r>
        <w:rPr>
          <w:rFonts w:hint="eastAsia" w:ascii="Times New Roman" w:hAnsi="Times New Roman"/>
          <w:color w:val="000000"/>
          <w:kern w:val="0"/>
          <w:sz w:val="24"/>
        </w:rPr>
        <w:t>年经济整体走平，步入</w:t>
      </w:r>
      <w:r>
        <w:rPr>
          <w:rFonts w:hint="default" w:ascii="Times New Roman" w:hAnsi="Times New Roman"/>
          <w:color w:val="000000"/>
          <w:kern w:val="0"/>
          <w:sz w:val="24"/>
        </w:rPr>
        <w:t>L</w:t>
      </w:r>
      <w:r>
        <w:rPr>
          <w:rFonts w:hint="eastAsia" w:ascii="Times New Roman" w:hAnsi="Times New Roman"/>
          <w:color w:val="000000"/>
          <w:kern w:val="0"/>
          <w:sz w:val="24"/>
        </w:rPr>
        <w:t>型的底部阶段，而同时大宗商品价格暴涨、以房价为首的资产价格暴涨；第二，</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hint="default" w:ascii="Times New Roman" w:hAnsi="Times New Roman"/>
          <w:color w:val="000000"/>
          <w:kern w:val="0"/>
          <w:sz w:val="24"/>
        </w:rPr>
        <w:t>MPA</w:t>
      </w:r>
      <w:r>
        <w:rPr>
          <w:rFonts w:hint="eastAsia" w:ascii="Times New Roman" w:hAnsi="Times New Roman"/>
          <w:color w:val="000000"/>
          <w:kern w:val="0"/>
          <w:sz w:val="24"/>
        </w:rPr>
        <w:t>考核等宏观审慎措施。在上述因素变化下，同时叠加了流动性危机，年底债市收益率大幅上行，幅度普遍在</w:t>
      </w:r>
      <w:r>
        <w:rPr>
          <w:rFonts w:hint="default" w:ascii="Times New Roman" w:hAnsi="Times New Roman"/>
          <w:color w:val="000000"/>
          <w:kern w:val="0"/>
          <w:sz w:val="24"/>
        </w:rPr>
        <w:t>100-150bp</w:t>
      </w:r>
      <w:r>
        <w:rPr>
          <w:rFonts w:hint="eastAsia" w:ascii="Times New Roman" w:hAnsi="Times New Roman"/>
          <w:color w:val="000000"/>
          <w:kern w:val="0"/>
          <w:sz w:val="24"/>
        </w:rPr>
        <w:t>。在债券市场极度紧张时期，央行及时释放流动性，守住系统性风险不发生的底线。</w:t>
      </w:r>
      <w:r>
        <w:rPr>
          <w:rFonts w:hint="default" w:ascii="Times New Roman" w:hAnsi="Times New Roman"/>
          <w:color w:val="000000"/>
          <w:kern w:val="0"/>
          <w:sz w:val="24"/>
        </w:rPr>
        <w:t>2016</w:t>
      </w:r>
      <w:r>
        <w:rPr>
          <w:rFonts w:hint="eastAsia" w:ascii="Times New Roman" w:hAnsi="Times New Roman"/>
          <w:color w:val="000000"/>
          <w:kern w:val="0"/>
          <w:sz w:val="24"/>
        </w:rPr>
        <w:t>年本基金采取稳健投资策略，在防范风险的同时为投资者赚取更好的收益。</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4.4.2 </w:t>
      </w:r>
      <w:r>
        <w:rPr>
          <w:rFonts w:hint="eastAsia" w:ascii="Times New Roman" w:hAnsi="Times New Roman"/>
          <w:b/>
          <w:color w:val="000000"/>
          <w:kern w:val="0"/>
          <w:sz w:val="24"/>
        </w:rPr>
        <w:t>报告期内基金的业绩表现</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年本基金净值增长率为</w:t>
      </w:r>
      <w:r>
        <w:rPr>
          <w:rFonts w:hint="default" w:ascii="Times New Roman" w:hAnsi="Times New Roman"/>
          <w:color w:val="000000"/>
          <w:kern w:val="0"/>
          <w:sz w:val="24"/>
        </w:rPr>
        <w:t>0.90%</w:t>
      </w:r>
      <w:r>
        <w:rPr>
          <w:rFonts w:hint="eastAsia" w:ascii="Times New Roman" w:hAnsi="Times New Roman"/>
          <w:color w:val="000000"/>
          <w:kern w:val="0"/>
          <w:sz w:val="24"/>
        </w:rPr>
        <w:t>，同期业绩比较基准增长率为</w:t>
      </w:r>
      <w:r>
        <w:rPr>
          <w:rFonts w:hint="default" w:ascii="Times New Roman" w:hAnsi="Times New Roman"/>
          <w:color w:val="000000"/>
          <w:kern w:val="0"/>
          <w:sz w:val="24"/>
        </w:rPr>
        <w:t>-1.77%</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18" w:name="_Toc477955799"/>
      <w:r>
        <w:rPr>
          <w:rFonts w:hint="default" w:ascii="Times New Roman" w:hAnsi="Times New Roman"/>
          <w:b/>
          <w:color w:val="000000"/>
          <w:kern w:val="0"/>
          <w:sz w:val="24"/>
        </w:rPr>
        <w:t xml:space="preserve">4.5 </w:t>
      </w:r>
      <w:r>
        <w:rPr>
          <w:rFonts w:hint="eastAsia" w:ascii="Times New Roman" w:hAnsi="Times New Roman"/>
          <w:b/>
          <w:color w:val="000000"/>
          <w:kern w:val="0"/>
          <w:sz w:val="24"/>
        </w:rPr>
        <w:t>管理人对宏观经济、证券市场及行业走势的简要展望</w:t>
      </w:r>
      <w:bookmarkEnd w:id="18"/>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hint="default" w:ascii="Times New Roman" w:hAnsi="Times New Roman"/>
          <w:color w:val="000000"/>
          <w:kern w:val="0"/>
          <w:sz w:val="24"/>
        </w:rPr>
        <w:t>MPA</w:t>
      </w:r>
      <w:r>
        <w:rPr>
          <w:rFonts w:hint="eastAsia" w:ascii="Times New Roman" w:hAnsi="Times New Roman"/>
          <w:color w:val="000000"/>
          <w:kern w:val="0"/>
          <w:sz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19" w:name="_Toc477955800"/>
      <w:r>
        <w:rPr>
          <w:rFonts w:hint="default" w:ascii="Times New Roman" w:hAnsi="Times New Roman"/>
          <w:b/>
          <w:color w:val="000000"/>
          <w:kern w:val="0"/>
          <w:sz w:val="24"/>
        </w:rPr>
        <w:t xml:space="preserve">4.6 </w:t>
      </w:r>
      <w:r>
        <w:rPr>
          <w:rFonts w:hint="eastAsia" w:ascii="Times New Roman" w:hAnsi="Times New Roman"/>
          <w:b/>
          <w:color w:val="000000"/>
          <w:kern w:val="0"/>
          <w:sz w:val="24"/>
        </w:rPr>
        <w:t>管理人内部有关本基金的监察稽核工作情况</w:t>
      </w:r>
      <w:bookmarkEnd w:id="19"/>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本报告期内，本基金管理人的主要内部监察稽核工作如下：</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1</w:t>
      </w:r>
      <w:r>
        <w:rPr>
          <w:rFonts w:hint="eastAsia" w:ascii="Times New Roman" w:hAnsi="Times New Roman"/>
          <w:color w:val="000000"/>
          <w:kern w:val="0"/>
          <w:sz w:val="24"/>
        </w:rPr>
        <w:t>）开展全面自查工作，排查各项业务活动中存在的问题或潜在的风险隐患，制定整改计划，并督促按计划完成整改；</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2</w:t>
      </w:r>
      <w:r>
        <w:rPr>
          <w:rFonts w:hint="eastAsia" w:ascii="Times New Roman" w:hAnsi="Times New Roman"/>
          <w:color w:val="000000"/>
          <w:kern w:val="0"/>
          <w:sz w:val="24"/>
        </w:rPr>
        <w:t>）开展公司专项稽核工作，了解合规风险现状、发现薄弱环节，并持续督导改进；</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3</w:t>
      </w:r>
      <w:r>
        <w:rPr>
          <w:rFonts w:hint="eastAsia" w:ascii="Times New Roman" w:hAnsi="Times New Roman"/>
          <w:color w:val="000000"/>
          <w:kern w:val="0"/>
          <w:sz w:val="24"/>
        </w:rPr>
        <w:t>）强化合规法务工作。严格审核公司业务、产品及其合同等法律文件，解读最新的法律法规，发布合规提示或警示，举办合规培训；</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4</w:t>
      </w:r>
      <w:r>
        <w:rPr>
          <w:rFonts w:hint="eastAsia" w:ascii="Times New Roman" w:hAnsi="Times New Roman"/>
          <w:color w:val="000000"/>
          <w:kern w:val="0"/>
          <w:sz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5</w:t>
      </w:r>
      <w:r>
        <w:rPr>
          <w:rFonts w:hint="eastAsia" w:ascii="Times New Roman" w:hAnsi="Times New Roman"/>
          <w:color w:val="000000"/>
          <w:kern w:val="0"/>
          <w:sz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6</w:t>
      </w:r>
      <w:r>
        <w:rPr>
          <w:rFonts w:hint="eastAsia" w:ascii="Times New Roman" w:hAnsi="Times New Roman"/>
          <w:color w:val="000000"/>
          <w:kern w:val="0"/>
          <w:sz w:val="24"/>
        </w:rPr>
        <w:t>）加强关联交易管理。修订《关联交易管理制度》，履行关联交易决策审批程序；</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7</w:t>
      </w:r>
      <w:r>
        <w:rPr>
          <w:rFonts w:hint="eastAsia" w:ascii="Times New Roman" w:hAnsi="Times New Roman"/>
          <w:color w:val="000000"/>
          <w:kern w:val="0"/>
          <w:sz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8</w:t>
      </w:r>
      <w:r>
        <w:rPr>
          <w:rFonts w:hint="eastAsia" w:ascii="Times New Roman" w:hAnsi="Times New Roman"/>
          <w:color w:val="000000"/>
          <w:kern w:val="0"/>
          <w:sz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9</w:t>
      </w:r>
      <w:r>
        <w:rPr>
          <w:rFonts w:hint="eastAsia" w:ascii="Times New Roman" w:hAnsi="Times New Roman"/>
          <w:color w:val="000000"/>
          <w:kern w:val="0"/>
          <w:sz w:val="24"/>
        </w:rPr>
        <w:t>）建立员工投资行为管理机制，规范员工的证券投资行为。</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20" w:name="_Toc477955801"/>
      <w:r>
        <w:rPr>
          <w:rFonts w:hint="default" w:ascii="Times New Roman" w:hAnsi="Times New Roman"/>
          <w:b/>
          <w:color w:val="000000"/>
          <w:kern w:val="0"/>
          <w:sz w:val="24"/>
        </w:rPr>
        <w:t xml:space="preserve">4.7 </w:t>
      </w:r>
      <w:r>
        <w:rPr>
          <w:rFonts w:hint="eastAsia" w:ascii="Times New Roman" w:hAnsi="Times New Roman"/>
          <w:b/>
          <w:color w:val="000000"/>
          <w:kern w:val="0"/>
          <w:sz w:val="24"/>
        </w:rPr>
        <w:t>管理人对报告期内基金估值程序等事项的说明</w:t>
      </w:r>
      <w:bookmarkEnd w:id="20"/>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根据中国证监会相关规定和基金合同约定，本基金管理人严格按照新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公司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定价服务机构按照商业合同约定提供定价服务。</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21" w:name="_Toc477955802"/>
      <w:r>
        <w:rPr>
          <w:rFonts w:hint="default" w:ascii="Times New Roman" w:hAnsi="Times New Roman"/>
          <w:b/>
          <w:color w:val="000000"/>
          <w:kern w:val="0"/>
          <w:sz w:val="24"/>
        </w:rPr>
        <w:t xml:space="preserve">4.8 </w:t>
      </w:r>
      <w:r>
        <w:rPr>
          <w:rFonts w:hint="eastAsia" w:ascii="Times New Roman" w:hAnsi="Times New Roman"/>
          <w:b/>
          <w:color w:val="000000"/>
          <w:kern w:val="0"/>
          <w:sz w:val="24"/>
        </w:rPr>
        <w:t>管理人对报告期内基金利润分配情况的说明</w:t>
      </w:r>
      <w:bookmarkEnd w:id="21"/>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本报告期内本基金已实施利润分配</w:t>
      </w:r>
      <w:r>
        <w:rPr>
          <w:rFonts w:hint="default" w:ascii="Times New Roman" w:hAnsi="Times New Roman"/>
          <w:color w:val="000000"/>
          <w:kern w:val="0"/>
          <w:sz w:val="24"/>
        </w:rPr>
        <w:t>16,287,383.00</w:t>
      </w:r>
      <w:r>
        <w:rPr>
          <w:rFonts w:hint="eastAsia" w:ascii="Times New Roman" w:hAnsi="Times New Roman"/>
          <w:color w:val="000000"/>
          <w:kern w:val="0"/>
          <w:sz w:val="24"/>
        </w:rPr>
        <w:t>元，符合合同约定。</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4.9 </w:t>
      </w:r>
      <w:r>
        <w:rPr>
          <w:rFonts w:hint="eastAsia" w:ascii="Times New Roman" w:hAnsi="Times New Roman"/>
          <w:b/>
          <w:color w:val="000000"/>
          <w:kern w:val="0"/>
          <w:sz w:val="24"/>
        </w:rPr>
        <w:t>报告期内管理人对本基金持有人数或基金资产净值预警情形的说明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本基金本报告期未出现连续二十个工作日基金份额持有人数量不满二百人或者基金资产净值低于五千万元的情形。</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22" w:name="_Toc477955803"/>
      <w:r>
        <w:rPr>
          <w:rFonts w:hint="eastAsia" w:ascii="Times New Roman" w:hAnsi="Times New Roman"/>
          <w:b/>
          <w:color w:val="000000"/>
          <w:kern w:val="0"/>
          <w:sz w:val="24"/>
        </w:rPr>
        <w:t>§</w:t>
      </w:r>
      <w:r>
        <w:rPr>
          <w:rFonts w:hint="default" w:ascii="Times New Roman" w:hAnsi="Times New Roman"/>
          <w:b/>
          <w:color w:val="000000"/>
          <w:kern w:val="0"/>
          <w:sz w:val="24"/>
        </w:rPr>
        <w:t xml:space="preserve">5  </w:t>
      </w:r>
      <w:r>
        <w:rPr>
          <w:rFonts w:hint="eastAsia" w:ascii="Times New Roman" w:hAnsi="Times New Roman"/>
          <w:b/>
          <w:color w:val="000000"/>
          <w:kern w:val="0"/>
          <w:sz w:val="24"/>
        </w:rPr>
        <w:t>托管人报告</w:t>
      </w:r>
      <w:bookmarkEnd w:id="22"/>
    </w:p>
    <w:p>
      <w:pPr>
        <w:autoSpaceDE w:val="0"/>
        <w:autoSpaceDN w:val="0"/>
        <w:adjustRightInd w:val="0"/>
        <w:spacing w:beforeLines="0" w:afterLines="0" w:line="288" w:lineRule="auto"/>
        <w:jc w:val="left"/>
        <w:rPr>
          <w:rFonts w:hint="default" w:ascii="Times New Roman" w:hAnsi="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23" w:name="_Toc477955804"/>
      <w:r>
        <w:rPr>
          <w:rFonts w:hint="default" w:ascii="Times New Roman" w:hAnsi="Times New Roman"/>
          <w:b/>
          <w:color w:val="000000"/>
          <w:kern w:val="0"/>
          <w:sz w:val="24"/>
        </w:rPr>
        <w:t xml:space="preserve">5.1 </w:t>
      </w:r>
      <w:r>
        <w:rPr>
          <w:rFonts w:hint="eastAsia" w:ascii="Times New Roman" w:hAnsi="Times New Roman"/>
          <w:b/>
          <w:color w:val="000000"/>
          <w:kern w:val="0"/>
          <w:sz w:val="24"/>
        </w:rPr>
        <w:t>报告期内本基金托管人遵规守信情况声明</w:t>
      </w:r>
      <w:bookmarkEnd w:id="23"/>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托管人声明，在本报告期内，基金托管人</w:t>
      </w:r>
      <w:r>
        <w:rPr>
          <w:rFonts w:hint="default" w:ascii="Times New Roman" w:hAnsi="Times New Roman"/>
          <w:color w:val="000000"/>
          <w:kern w:val="0"/>
          <w:sz w:val="24"/>
        </w:rPr>
        <w:t>-</w:t>
      </w:r>
      <w:r>
        <w:rPr>
          <w:rFonts w:hint="eastAsia" w:ascii="Times New Roman" w:hAnsi="Times New Roman"/>
          <w:color w:val="000000"/>
          <w:kern w:val="0"/>
          <w:sz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24" w:name="_Toc477955805"/>
      <w:r>
        <w:rPr>
          <w:rFonts w:hint="default" w:ascii="Times New Roman" w:hAnsi="Times New Roman"/>
          <w:b/>
          <w:color w:val="000000"/>
          <w:kern w:val="0"/>
          <w:sz w:val="24"/>
        </w:rPr>
        <w:t xml:space="preserve">5.2 </w:t>
      </w:r>
      <w:r>
        <w:rPr>
          <w:rFonts w:hint="eastAsia" w:ascii="Times New Roman" w:hAnsi="Times New Roman"/>
          <w:b/>
          <w:color w:val="000000"/>
          <w:kern w:val="0"/>
          <w:sz w:val="24"/>
        </w:rPr>
        <w:t>托管人对报告期内本基金投资运作遵规守信、净值计算、利润分配等情况的说明</w:t>
      </w:r>
      <w:bookmarkEnd w:id="24"/>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25" w:name="_Toc477955806"/>
      <w:r>
        <w:rPr>
          <w:rFonts w:hint="default" w:ascii="Times New Roman" w:hAnsi="Times New Roman"/>
          <w:b/>
          <w:color w:val="000000"/>
          <w:kern w:val="0"/>
          <w:sz w:val="24"/>
        </w:rPr>
        <w:t xml:space="preserve">5.3 </w:t>
      </w:r>
      <w:r>
        <w:rPr>
          <w:rFonts w:hint="eastAsia" w:ascii="Times New Roman" w:hAnsi="Times New Roman"/>
          <w:b/>
          <w:color w:val="000000"/>
          <w:kern w:val="0"/>
          <w:sz w:val="24"/>
        </w:rPr>
        <w:t>托管人对本年度报告中财务信息等内容的真实、准确和完整发表意见</w:t>
      </w:r>
      <w:bookmarkEnd w:id="25"/>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本年度报告中财务指标、净值表现、财务会计报告、利润分配、投资组合报告等内容真实、准确和完整</w:t>
      </w:r>
      <w:r>
        <w:rPr>
          <w:rFonts w:hint="default" w:ascii="Times New Roman" w:hAnsi="Times New Roman"/>
          <w:color w:val="000000"/>
          <w:kern w:val="0"/>
          <w:sz w:val="24"/>
        </w:rPr>
        <w:t>,</w:t>
      </w:r>
      <w:r>
        <w:rPr>
          <w:rFonts w:hint="eastAsia" w:ascii="Times New Roman" w:hAnsi="Times New Roman"/>
          <w:color w:val="000000"/>
          <w:kern w:val="0"/>
          <w:sz w:val="24"/>
        </w:rPr>
        <w:t>不存在虚假记载、误导性陈述或者重大遗漏。</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26" w:name="_Toc477955807"/>
      <w:r>
        <w:rPr>
          <w:rFonts w:hint="eastAsia" w:ascii="Times New Roman" w:hAnsi="Times New Roman"/>
          <w:b/>
          <w:color w:val="000000"/>
          <w:kern w:val="0"/>
          <w:sz w:val="24"/>
        </w:rPr>
        <w:t>§</w:t>
      </w:r>
      <w:r>
        <w:rPr>
          <w:rFonts w:hint="default" w:ascii="Times New Roman" w:hAnsi="Times New Roman"/>
          <w:b/>
          <w:color w:val="000000"/>
          <w:kern w:val="0"/>
          <w:sz w:val="24"/>
        </w:rPr>
        <w:t xml:space="preserve">6  </w:t>
      </w:r>
      <w:r>
        <w:rPr>
          <w:rFonts w:hint="eastAsia" w:ascii="Times New Roman" w:hAnsi="Times New Roman"/>
          <w:b/>
          <w:color w:val="000000"/>
          <w:kern w:val="0"/>
          <w:sz w:val="24"/>
        </w:rPr>
        <w:t>审计报告</w:t>
      </w:r>
      <w:bookmarkEnd w:id="26"/>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27" w:name="_Toc477955808"/>
      <w:r>
        <w:rPr>
          <w:rFonts w:hint="default" w:ascii="Times New Roman" w:hAnsi="Times New Roman"/>
          <w:b/>
          <w:color w:val="000000"/>
          <w:kern w:val="0"/>
          <w:sz w:val="24"/>
        </w:rPr>
        <w:t xml:space="preserve">6.1 </w:t>
      </w:r>
      <w:r>
        <w:rPr>
          <w:rFonts w:hint="eastAsia" w:ascii="Times New Roman" w:hAnsi="Times New Roman"/>
          <w:b/>
          <w:color w:val="000000"/>
          <w:kern w:val="0"/>
          <w:sz w:val="24"/>
        </w:rPr>
        <w:t>审计报告基本信息</w:t>
      </w:r>
      <w:bookmarkEnd w:id="2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财务报表是否经过审计</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审计意见类型</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标准无保留意见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审计报告编号</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毕马威华振审字第</w:t>
            </w:r>
            <w:r>
              <w:rPr>
                <w:rFonts w:hint="default" w:ascii="Times New Roman" w:hAnsi="Times New Roman"/>
                <w:color w:val="000000"/>
                <w:kern w:val="0"/>
                <w:sz w:val="24"/>
              </w:rPr>
              <w:t>1700416</w:t>
            </w:r>
            <w:r>
              <w:rPr>
                <w:rFonts w:hint="eastAsia" w:ascii="Times New Roman" w:hAnsi="Times New Roman"/>
                <w:color w:val="000000"/>
                <w:kern w:val="0"/>
                <w:sz w:val="24"/>
              </w:rPr>
              <w:t>号</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28" w:name="_Toc477955809"/>
      <w:r>
        <w:rPr>
          <w:rFonts w:hint="default" w:ascii="Times New Roman" w:hAnsi="Times New Roman"/>
          <w:b/>
          <w:color w:val="000000"/>
          <w:kern w:val="0"/>
          <w:sz w:val="24"/>
        </w:rPr>
        <w:t xml:space="preserve">6.2 </w:t>
      </w:r>
      <w:r>
        <w:rPr>
          <w:rFonts w:hint="eastAsia" w:ascii="Times New Roman" w:hAnsi="Times New Roman"/>
          <w:b/>
          <w:color w:val="000000"/>
          <w:kern w:val="0"/>
          <w:sz w:val="24"/>
        </w:rPr>
        <w:t>审计报告的基本内容</w:t>
      </w:r>
      <w:bookmarkEnd w:id="2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审计报告标题</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审计报告收件人</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创金合信尊享纯债债券型证券投资基金全体基金份额持有人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引言段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我们审计了创金合信尊享纯债债券型证券投资基金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创金合信尊享纯债债券</w:t>
            </w:r>
            <w:r>
              <w:rPr>
                <w:rFonts w:hint="default" w:ascii="Times New Roman" w:hAnsi="Times New Roman"/>
                <w:color w:val="000000"/>
                <w:kern w:val="0"/>
                <w:sz w:val="24"/>
              </w:rPr>
              <w:t>")</w:t>
            </w:r>
            <w:r>
              <w:rPr>
                <w:rFonts w:hint="eastAsia" w:ascii="Times New Roman" w:hAnsi="Times New Roman"/>
                <w:color w:val="000000"/>
                <w:kern w:val="0"/>
                <w:sz w:val="24"/>
              </w:rPr>
              <w:t>财务报表，包括</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日的资产负债表</w:t>
            </w:r>
            <w:r>
              <w:rPr>
                <w:rFonts w:hint="default" w:ascii="Times New Roman" w:hAnsi="Times New Roman"/>
                <w:color w:val="000000"/>
                <w:kern w:val="0"/>
                <w:sz w:val="24"/>
              </w:rPr>
              <w:t>,</w:t>
            </w:r>
            <w:r>
              <w:rPr>
                <w:rFonts w:hint="eastAsia" w:ascii="Times New Roman" w:hAnsi="Times New Roman"/>
                <w:color w:val="000000"/>
                <w:kern w:val="0"/>
                <w:sz w:val="24"/>
              </w:rPr>
              <w:t>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r>
              <w:rPr>
                <w:rFonts w:hint="default" w:ascii="Times New Roman" w:hAnsi="Times New Roman"/>
                <w:color w:val="000000"/>
                <w:kern w:val="0"/>
                <w:sz w:val="24"/>
              </w:rPr>
              <w:t xml:space="preserve"> (</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日止期间的利润表、所有者权益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r>
              <w:rPr>
                <w:rFonts w:hint="eastAsia" w:ascii="Times New Roman" w:hAnsi="Times New Roman"/>
                <w:color w:val="000000"/>
                <w:kern w:val="0"/>
                <w:sz w:val="24"/>
              </w:rPr>
              <w:t>变动表以及财务报表附注。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编制和公允列报财务报表是创金合信尊享纯债债券的管理人创金合信基金管理有限公司管理层的责任，这种责任包括：</w:t>
            </w:r>
            <w:r>
              <w:rPr>
                <w:rFonts w:hint="default" w:ascii="Times New Roman" w:hAnsi="Times New Roman"/>
                <w:color w:val="000000"/>
                <w:kern w:val="0"/>
                <w:sz w:val="24"/>
              </w:rPr>
              <w:t>(1)</w:t>
            </w:r>
            <w:r>
              <w:rPr>
                <w:rFonts w:hint="eastAsia" w:ascii="Times New Roman" w:hAnsi="Times New Roman"/>
                <w:color w:val="000000"/>
                <w:kern w:val="0"/>
                <w:sz w:val="24"/>
              </w:rPr>
              <w:t>按照中华人民共和国财政部颁布的企业会计准则和中国证券监督管理委员会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和中国证券投资基金业协会发布的有关基金行业实务操作的规定编制财务报表，并使其实现公允反映；</w:t>
            </w:r>
            <w:r>
              <w:rPr>
                <w:rFonts w:hint="default" w:ascii="Times New Roman" w:hAnsi="Times New Roman"/>
                <w:color w:val="000000"/>
                <w:kern w:val="0"/>
                <w:sz w:val="24"/>
              </w:rPr>
              <w:t>(2)</w:t>
            </w:r>
            <w:r>
              <w:rPr>
                <w:rFonts w:hint="eastAsia" w:ascii="Times New Roman" w:hAnsi="Times New Roman"/>
                <w:color w:val="000000"/>
                <w:kern w:val="0"/>
                <w:sz w:val="24"/>
              </w:rPr>
              <w:t>设计、执行和维护必要的内部控制，以使财务报表不存在由于舞弊或错误导致的重大错报。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注册会计师的责任段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创金合信基金管理有限公司管理层选用会计政策的恰当性和作出会计估计的合理性，以及评价财务报表的总体列报。</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我们相信，我们获取的审计证据是充分、适当的，为发表审计意见提供了基础。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审计意见段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我们认为，创金合信尊享纯债债券的财务报表在所有重大方面按照中华人民共和国财政部颁布的企业会计准则和在财务报表附注</w:t>
            </w:r>
            <w:r>
              <w:rPr>
                <w:rFonts w:hint="default" w:ascii="Times New Roman" w:hAnsi="Times New Roman"/>
                <w:color w:val="000000"/>
                <w:kern w:val="0"/>
                <w:sz w:val="24"/>
              </w:rPr>
              <w:t>7.4.2</w:t>
            </w:r>
            <w:r>
              <w:rPr>
                <w:rFonts w:hint="eastAsia" w:ascii="Times New Roman" w:hAnsi="Times New Roman"/>
                <w:color w:val="000000"/>
                <w:kern w:val="0"/>
                <w:sz w:val="24"/>
              </w:rPr>
              <w:t>中所列示的中国证监会和中国证券投资基金业协会发布的有关基金行业实务操作的规定编制，公允反映了创金合信尊享纯债债券</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日止期间的经营成果及基金净值变动情况。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注册会计师的姓名</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左艳霞、吴钟鸣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会计师事务所的名称</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毕马威华振会计师事务所（特殊普通合伙）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会计师事务所的地址</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北京市东城区东长安街</w:t>
            </w:r>
            <w:r>
              <w:rPr>
                <w:rFonts w:hint="default" w:ascii="Times New Roman" w:hAnsi="Times New Roman"/>
                <w:color w:val="000000"/>
                <w:kern w:val="0"/>
                <w:sz w:val="24"/>
              </w:rPr>
              <w:t>1</w:t>
            </w:r>
            <w:r>
              <w:rPr>
                <w:rFonts w:hint="eastAsia" w:ascii="Times New Roman" w:hAnsi="Times New Roman"/>
                <w:color w:val="000000"/>
                <w:kern w:val="0"/>
                <w:sz w:val="24"/>
              </w:rPr>
              <w:t>号东方广场东</w:t>
            </w:r>
            <w:r>
              <w:rPr>
                <w:rFonts w:hint="default" w:ascii="Times New Roman" w:hAnsi="Times New Roman"/>
                <w:color w:val="000000"/>
                <w:kern w:val="0"/>
                <w:sz w:val="24"/>
              </w:rPr>
              <w:t>2</w:t>
            </w:r>
            <w:r>
              <w:rPr>
                <w:rFonts w:hint="eastAsia" w:ascii="Times New Roman" w:hAnsi="Times New Roman"/>
                <w:color w:val="000000"/>
                <w:kern w:val="0"/>
                <w:sz w:val="24"/>
              </w:rPr>
              <w:t>座办公楼</w:t>
            </w:r>
            <w:r>
              <w:rPr>
                <w:rFonts w:hint="default" w:ascii="Times New Roman" w:hAnsi="Times New Roman"/>
                <w:color w:val="000000"/>
                <w:kern w:val="0"/>
                <w:sz w:val="24"/>
              </w:rPr>
              <w:t>8</w:t>
            </w:r>
            <w:r>
              <w:rPr>
                <w:rFonts w:hint="eastAsia" w:ascii="Times New Roman" w:hAnsi="Times New Roman"/>
                <w:color w:val="000000"/>
                <w:kern w:val="0"/>
                <w:sz w:val="24"/>
              </w:rPr>
              <w:t>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审计报告日期</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2017-03-23</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29" w:name="_Toc477955810"/>
      <w:r>
        <w:rPr>
          <w:rFonts w:hint="eastAsia" w:ascii="Times New Roman" w:hAnsi="Times New Roman"/>
          <w:b/>
          <w:color w:val="000000"/>
          <w:kern w:val="0"/>
          <w:sz w:val="24"/>
        </w:rPr>
        <w:t>§</w:t>
      </w:r>
      <w:r>
        <w:rPr>
          <w:rFonts w:hint="default" w:ascii="Times New Roman" w:hAnsi="Times New Roman"/>
          <w:b/>
          <w:color w:val="000000"/>
          <w:kern w:val="0"/>
          <w:sz w:val="24"/>
        </w:rPr>
        <w:t xml:space="preserve">7  </w:t>
      </w:r>
      <w:r>
        <w:rPr>
          <w:rFonts w:hint="eastAsia" w:ascii="Times New Roman" w:hAnsi="Times New Roman"/>
          <w:b/>
          <w:color w:val="000000"/>
          <w:kern w:val="0"/>
          <w:sz w:val="24"/>
        </w:rPr>
        <w:t>年度财务报表</w:t>
      </w:r>
      <w:bookmarkEnd w:id="29"/>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30" w:name="_Toc477955811"/>
      <w:r>
        <w:rPr>
          <w:rFonts w:hint="default" w:ascii="Times New Roman" w:hAnsi="Times New Roman"/>
          <w:b/>
          <w:color w:val="000000"/>
          <w:kern w:val="0"/>
          <w:sz w:val="24"/>
        </w:rPr>
        <w:t xml:space="preserve">7.1 </w:t>
      </w:r>
      <w:r>
        <w:rPr>
          <w:rFonts w:hint="eastAsia" w:ascii="Times New Roman" w:hAnsi="Times New Roman"/>
          <w:b/>
          <w:color w:val="000000"/>
          <w:kern w:val="0"/>
          <w:sz w:val="24"/>
        </w:rPr>
        <w:t>资产负债表</w:t>
      </w:r>
      <w:bookmarkEnd w:id="30"/>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会计主体：创金合信尊享纯债债券型证券投资基金</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报告截止日：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1083"/>
        <w:gridCol w:w="5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b/>
                <w:color w:val="000000"/>
                <w:kern w:val="0"/>
                <w:sz w:val="24"/>
              </w:rPr>
            </w:pPr>
            <w:r>
              <w:rPr>
                <w:rFonts w:hint="eastAsia" w:ascii="Times New Roman" w:hAnsi="Times New Roman"/>
                <w:b/>
                <w:color w:val="000000"/>
                <w:kern w:val="0"/>
                <w:sz w:val="24"/>
              </w:rPr>
              <w:t>附注号</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银行存款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8,357,181.56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结算备付金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存出保证金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交易性金融资产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7.4.7.2</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4,139,883,700.00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其中：股票投资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3,521,250,000.00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618,633,700.00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衍生金融资产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买入返售金融资产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7.4.7.4</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7.4.7.5</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74,367,483.96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应收股利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应收申购款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649.48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递延所得税资产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其他资产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7.4.7.6</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资产总计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4,222,609,015.00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b/>
                <w:color w:val="000000"/>
                <w:kern w:val="0"/>
                <w:sz w:val="24"/>
              </w:rPr>
            </w:pPr>
            <w:r>
              <w:rPr>
                <w:rFonts w:hint="eastAsia" w:ascii="Times New Roman" w:hAnsi="Times New Roman"/>
                <w:b/>
                <w:color w:val="000000"/>
                <w:kern w:val="0"/>
                <w:sz w:val="24"/>
              </w:rPr>
              <w:t>负债和所有者权益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b/>
                <w:color w:val="000000"/>
                <w:kern w:val="0"/>
                <w:sz w:val="24"/>
              </w:rPr>
            </w:pPr>
            <w:r>
              <w:rPr>
                <w:rFonts w:hint="eastAsia" w:ascii="Times New Roman" w:hAnsi="Times New Roman"/>
                <w:b/>
                <w:color w:val="000000"/>
                <w:kern w:val="0"/>
                <w:sz w:val="24"/>
              </w:rPr>
              <w:t>附注号</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eastAsia" w:ascii="Times New Roman" w:hAnsi="Times New Roman"/>
                <w:b/>
                <w:color w:val="000000"/>
                <w:kern w:val="0"/>
                <w:sz w:val="24"/>
              </w:rPr>
              <w:t>负</w:t>
            </w:r>
            <w:r>
              <w:rPr>
                <w:rFonts w:hint="default" w:ascii="Times New Roman" w:hAnsi="Times New Roman"/>
                <w:b/>
                <w:color w:val="000000"/>
                <w:kern w:val="0"/>
                <w:sz w:val="24"/>
              </w:rPr>
              <w:t xml:space="preserve"> </w:t>
            </w:r>
            <w:r>
              <w:rPr>
                <w:rFonts w:hint="eastAsia" w:ascii="Times New Roman" w:hAnsi="Times New Roman"/>
                <w:b/>
                <w:color w:val="000000"/>
                <w:kern w:val="0"/>
                <w:sz w:val="24"/>
              </w:rPr>
              <w:t>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短期借款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交易性金融负债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衍生金融负债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卖出回购金融资产款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768,330,253.88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应付证券清算款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应付赎回款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应付管理人报酬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880,689.33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应付托管费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293,563.12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应付销售服务费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应付交易费用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7.4.7.7</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84,147.19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应交税费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应付利息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167,339.44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应付利润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递延所得税负债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其他负债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7.4.7.8</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负债合计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769,893,092.53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eastAsia" w:ascii="Times New Roman" w:hAnsi="Times New Roman"/>
                <w:b/>
                <w:color w:val="000000"/>
                <w:kern w:val="0"/>
                <w:sz w:val="24"/>
              </w:rPr>
              <w:t>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实收基金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7.4.7.9</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3,442,340,168.70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未分配利润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7.4.7.10</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10,375,753.77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所有者权益合计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3,452,715,922.47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负债和所有者权益总计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4,222,609,015.00</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报告截止日</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日，基金份额净值</w:t>
      </w:r>
      <w:r>
        <w:rPr>
          <w:rFonts w:hint="default" w:ascii="Times New Roman" w:hAnsi="Times New Roman"/>
          <w:color w:val="000000"/>
          <w:kern w:val="0"/>
          <w:sz w:val="21"/>
        </w:rPr>
        <w:t>1.003</w:t>
      </w:r>
      <w:r>
        <w:rPr>
          <w:rFonts w:hint="eastAsia" w:ascii="Times New Roman" w:hAnsi="Times New Roman"/>
          <w:color w:val="000000"/>
          <w:kern w:val="0"/>
          <w:sz w:val="21"/>
        </w:rPr>
        <w:t>元，基金份额总额</w:t>
      </w:r>
      <w:r>
        <w:rPr>
          <w:rFonts w:hint="default" w:ascii="Times New Roman" w:hAnsi="Times New Roman"/>
          <w:color w:val="000000"/>
          <w:kern w:val="0"/>
          <w:sz w:val="21"/>
        </w:rPr>
        <w:t>3,442,340,168.70</w:t>
      </w:r>
      <w:r>
        <w:rPr>
          <w:rFonts w:hint="eastAsia" w:ascii="Times New Roman" w:hAnsi="Times New Roman"/>
          <w:color w:val="000000"/>
          <w:kern w:val="0"/>
          <w:sz w:val="21"/>
        </w:rPr>
        <w:t>份。</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本财务报表的实际报告期间为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3</w:t>
      </w:r>
      <w:r>
        <w:rPr>
          <w:rFonts w:hint="eastAsia" w:ascii="Times New Roman" w:hAnsi="Times New Roman"/>
          <w:color w:val="000000"/>
          <w:kern w:val="0"/>
          <w:sz w:val="21"/>
        </w:rPr>
        <w:t>月</w:t>
      </w:r>
      <w:r>
        <w:rPr>
          <w:rFonts w:hint="default" w:ascii="Times New Roman" w:hAnsi="Times New Roman"/>
          <w:color w:val="000000"/>
          <w:kern w:val="0"/>
          <w:sz w:val="21"/>
        </w:rPr>
        <w:t>11</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31" w:name="_Toc477955812"/>
      <w:r>
        <w:rPr>
          <w:rFonts w:hint="default" w:ascii="Times New Roman" w:hAnsi="Times New Roman"/>
          <w:b/>
          <w:color w:val="000000"/>
          <w:kern w:val="0"/>
          <w:sz w:val="24"/>
        </w:rPr>
        <w:t xml:space="preserve">7.2 </w:t>
      </w:r>
      <w:r>
        <w:rPr>
          <w:rFonts w:hint="eastAsia" w:ascii="Times New Roman" w:hAnsi="Times New Roman"/>
          <w:b/>
          <w:color w:val="000000"/>
          <w:kern w:val="0"/>
          <w:sz w:val="24"/>
        </w:rPr>
        <w:t>利润表</w:t>
      </w:r>
      <w:bookmarkEnd w:id="31"/>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会计主体：创金合信尊享纯债债券型证券投资基金</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083"/>
        <w:gridCol w:w="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b/>
                <w:color w:val="000000"/>
                <w:kern w:val="0"/>
                <w:sz w:val="24"/>
              </w:rPr>
            </w:pPr>
            <w:r>
              <w:rPr>
                <w:rFonts w:hint="eastAsia" w:ascii="Times New Roman" w:hAnsi="Times New Roman"/>
                <w:b/>
                <w:color w:val="000000"/>
                <w:kern w:val="0"/>
                <w:sz w:val="24"/>
              </w:rPr>
              <w:t>附注号</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eastAsia" w:ascii="Times New Roman" w:hAnsi="Times New Roman"/>
                <w:b/>
                <w:color w:val="000000"/>
                <w:kern w:val="0"/>
                <w:sz w:val="24"/>
              </w:rPr>
              <w:t>一、收入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2,534,115.02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90,346,857.23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其中：存款利息收入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7.4.7.11</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202,835.61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83,156,697.24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6,617,535.43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买入返售金融资产收入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369,788.95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其他利息收入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投资收益（损失以“</w:t>
            </w:r>
            <w:r>
              <w:rPr>
                <w:rFonts w:hint="default" w:ascii="Times New Roman" w:hAnsi="Times New Roman"/>
                <w:color w:val="000000"/>
                <w:kern w:val="0"/>
                <w:sz w:val="24"/>
              </w:rPr>
              <w:t>-</w:t>
            </w:r>
            <w:r>
              <w:rPr>
                <w:rFonts w:hint="eastAsia" w:ascii="Times New Roman" w:hAnsi="Times New Roman"/>
                <w:color w:val="000000"/>
                <w:kern w:val="0"/>
                <w:sz w:val="24"/>
              </w:rPr>
              <w:t>”填列）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26,109,965.80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其中：股票投资收益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7.4.7.12</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7.4.7.13</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26,088,964.30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r>
              <w:rPr>
                <w:rFonts w:hint="default" w:ascii="Times New Roman" w:hAnsi="Times New Roman"/>
                <w:color w:val="000000"/>
                <w:kern w:val="0"/>
                <w:sz w:val="24"/>
              </w:rPr>
              <w:t>7.4.7.13.3</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21,001.50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衍生工具收益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7.4.7.14</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股利收益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7.4.7.15</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公允价值变动收益（损失以“</w:t>
            </w:r>
            <w:r>
              <w:rPr>
                <w:rFonts w:hint="default" w:ascii="Times New Roman" w:hAnsi="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7.4.7.16</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-113,923,596.21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汇兑收益（损失以“－”号填列）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其他收入（损失以“</w:t>
            </w:r>
            <w:r>
              <w:rPr>
                <w:rFonts w:hint="default" w:ascii="Times New Roman" w:hAnsi="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7.4.7.17</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888.20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eastAsia" w:ascii="Times New Roman" w:hAnsi="Times New Roman"/>
                <w:b/>
                <w:color w:val="000000"/>
                <w:kern w:val="0"/>
                <w:sz w:val="24"/>
              </w:rPr>
              <w:t>减：二、费用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23,124,855.50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6,316,875.87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2,105,625.20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7.4.7.18</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90,075.00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．利息支出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14,443,459.83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14,443,459.83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w:t>
            </w:r>
            <w:r>
              <w:rPr>
                <w:rFonts w:hint="eastAsia" w:ascii="Times New Roman" w:hAnsi="Times New Roman"/>
                <w:color w:val="000000"/>
                <w:kern w:val="0"/>
                <w:sz w:val="24"/>
              </w:rPr>
              <w:t>．其他费用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7.4.7.19</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168,819.60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eastAsia" w:ascii="Times New Roman" w:hAnsi="Times New Roman"/>
                <w:b/>
                <w:color w:val="000000"/>
                <w:kern w:val="0"/>
                <w:sz w:val="24"/>
              </w:rPr>
              <w:t>三、利润总额（亏损总额以“</w:t>
            </w:r>
            <w:r>
              <w:rPr>
                <w:rFonts w:hint="default" w:ascii="Times New Roman" w:hAnsi="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-20,590,740.48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减：所得税费用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eastAsia" w:ascii="Times New Roman" w:hAnsi="Times New Roman"/>
                <w:b/>
                <w:color w:val="000000"/>
                <w:kern w:val="0"/>
                <w:sz w:val="24"/>
              </w:rPr>
              <w:t>四、净利润（净亏损以“</w:t>
            </w:r>
            <w:r>
              <w:rPr>
                <w:rFonts w:hint="default" w:ascii="Times New Roman" w:hAnsi="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-20,590,740.48</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注：本财务报表的实际报告期间为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3</w:t>
      </w:r>
      <w:r>
        <w:rPr>
          <w:rFonts w:hint="eastAsia" w:ascii="Times New Roman" w:hAnsi="Times New Roman"/>
          <w:color w:val="000000"/>
          <w:kern w:val="0"/>
          <w:sz w:val="21"/>
        </w:rPr>
        <w:t>月</w:t>
      </w:r>
      <w:r>
        <w:rPr>
          <w:rFonts w:hint="default" w:ascii="Times New Roman" w:hAnsi="Times New Roman"/>
          <w:color w:val="000000"/>
          <w:kern w:val="0"/>
          <w:sz w:val="21"/>
        </w:rPr>
        <w:t>11</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32" w:name="_Toc477955813"/>
      <w:r>
        <w:rPr>
          <w:rFonts w:hint="default" w:ascii="Times New Roman" w:hAnsi="Times New Roman"/>
          <w:b/>
          <w:color w:val="000000"/>
          <w:kern w:val="0"/>
          <w:sz w:val="24"/>
        </w:rPr>
        <w:t xml:space="preserve">7.3 </w:t>
      </w:r>
      <w:r>
        <w:rPr>
          <w:rFonts w:hint="eastAsia" w:ascii="Times New Roman" w:hAnsi="Times New Roman"/>
          <w:b/>
          <w:color w:val="000000"/>
          <w:kern w:val="0"/>
          <w:sz w:val="24"/>
        </w:rPr>
        <w:t>所有者权益（基金净值）变动表</w:t>
      </w:r>
      <w:bookmarkEnd w:id="32"/>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会计主体：创金合信尊享纯债债券型证券投资基金</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806"/>
        <w:gridCol w:w="1806"/>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实收基金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一、期初所有者权益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200,170,231.68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200,170,231.68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二、本期经营活动产生的基金净值变动数</w:t>
            </w:r>
            <w:r>
              <w:rPr>
                <w:rFonts w:hint="default" w:ascii="Times New Roman" w:hAnsi="Times New Roman"/>
                <w:color w:val="000000"/>
                <w:kern w:val="0"/>
                <w:sz w:val="24"/>
              </w:rPr>
              <w:t>(</w:t>
            </w:r>
            <w:r>
              <w:rPr>
                <w:rFonts w:hint="eastAsia" w:ascii="Times New Roman" w:hAnsi="Times New Roman"/>
                <w:color w:val="000000"/>
                <w:kern w:val="0"/>
                <w:sz w:val="24"/>
              </w:rPr>
              <w:t>本期利润</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-20,590,740.48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-20,590,740.48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hAnsi="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3,242,169,937.02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47,253,877.25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3,289,423,814.27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4,215,960,537.42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86,158,877.80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4,302,119,415.22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-973,790,600.40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-38,905,000.55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-1,012,695,600.95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hAnsi="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-16,287,383.00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-16,287,383.00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五、期末所有者权益</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（基金净值）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3,442,340,168.70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10,375,753.77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3,452,715,922.47</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注：本财务报表的实际报告期间为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3</w:t>
      </w:r>
      <w:r>
        <w:rPr>
          <w:rFonts w:hint="eastAsia" w:ascii="Times New Roman" w:hAnsi="Times New Roman"/>
          <w:color w:val="000000"/>
          <w:kern w:val="0"/>
          <w:sz w:val="21"/>
        </w:rPr>
        <w:t>月</w:t>
      </w:r>
      <w:r>
        <w:rPr>
          <w:rFonts w:hint="default" w:ascii="Times New Roman" w:hAnsi="Times New Roman"/>
          <w:color w:val="000000"/>
          <w:kern w:val="0"/>
          <w:sz w:val="21"/>
        </w:rPr>
        <w:t>11</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报表附注为财务报表的组成部分。</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w:t>
      </w:r>
      <w:r>
        <w:rPr>
          <w:rFonts w:hint="default" w:ascii="Times New Roman" w:hAnsi="Times New Roman"/>
          <w:color w:val="000000"/>
          <w:kern w:val="0"/>
          <w:sz w:val="24"/>
        </w:rPr>
        <w:t>7.1</w:t>
      </w:r>
      <w:r>
        <w:rPr>
          <w:rFonts w:hint="eastAsia" w:ascii="Times New Roman" w:hAnsi="Times New Roman"/>
          <w:color w:val="000000"/>
          <w:kern w:val="0"/>
          <w:sz w:val="24"/>
        </w:rPr>
        <w:t>至</w:t>
      </w:r>
      <w:r>
        <w:rPr>
          <w:rFonts w:hint="default" w:ascii="Times New Roman" w:hAnsi="Times New Roman"/>
          <w:color w:val="000000"/>
          <w:kern w:val="0"/>
          <w:sz w:val="24"/>
        </w:rPr>
        <w:t>7.4</w:t>
      </w:r>
      <w:r>
        <w:rPr>
          <w:rFonts w:hint="eastAsia" w:ascii="Times New Roman" w:hAnsi="Times New Roman"/>
          <w:color w:val="000000"/>
          <w:kern w:val="0"/>
          <w:sz w:val="24"/>
        </w:rPr>
        <w:t>财务报表由下列负责人签署</w:t>
      </w:r>
      <w:r>
        <w:rPr>
          <w:rFonts w:hint="default" w:ascii="Times New Roman" w:hAnsi="Times New Roman"/>
          <w:color w:val="000000"/>
          <w:kern w:val="0"/>
          <w:sz w:val="24"/>
        </w:rPr>
        <w:t>:</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苏彦祝</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基金管理人负责人</w:t>
            </w:r>
          </w:p>
        </w:tc>
        <w:tc>
          <w:tcPr>
            <w:tcW w:w="288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黄越岷</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主管会计工作负责人</w:t>
            </w:r>
          </w:p>
        </w:tc>
        <w:tc>
          <w:tcPr>
            <w:tcW w:w="2890"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安兆国</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会计机构负责人</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33" w:name="_Toc477955814"/>
      <w:r>
        <w:rPr>
          <w:rFonts w:hint="default" w:ascii="Times New Roman" w:hAnsi="Times New Roman"/>
          <w:b/>
          <w:color w:val="000000"/>
          <w:kern w:val="0"/>
          <w:sz w:val="24"/>
        </w:rPr>
        <w:t xml:space="preserve">7.4 </w:t>
      </w:r>
      <w:r>
        <w:rPr>
          <w:rFonts w:hint="eastAsia" w:ascii="Times New Roman" w:hAnsi="Times New Roman"/>
          <w:b/>
          <w:color w:val="000000"/>
          <w:kern w:val="0"/>
          <w:sz w:val="24"/>
        </w:rPr>
        <w:t>报表附注</w:t>
      </w:r>
      <w:bookmarkEnd w:id="33"/>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 </w:t>
      </w:r>
      <w:r>
        <w:rPr>
          <w:rFonts w:hint="eastAsia" w:ascii="Times New Roman" w:hAnsi="Times New Roman"/>
          <w:b/>
          <w:color w:val="000000"/>
          <w:kern w:val="0"/>
          <w:sz w:val="24"/>
        </w:rPr>
        <w:t>基金基本情况</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以下简称</w:t>
      </w:r>
      <w:r>
        <w:rPr>
          <w:rFonts w:hint="default" w:ascii="Times New Roman" w:hAnsi="Times New Roman"/>
          <w:color w:val="000000"/>
          <w:kern w:val="0"/>
          <w:sz w:val="24"/>
        </w:rPr>
        <w:t xml:space="preserve"> "</w:t>
      </w:r>
      <w:r>
        <w:rPr>
          <w:rFonts w:hint="eastAsia" w:ascii="Times New Roman" w:hAnsi="Times New Roman"/>
          <w:color w:val="000000"/>
          <w:kern w:val="0"/>
          <w:sz w:val="24"/>
        </w:rPr>
        <w:t>本基金</w:t>
      </w:r>
      <w:r>
        <w:rPr>
          <w:rFonts w:hint="default" w:ascii="Times New Roman" w:hAnsi="Times New Roman"/>
          <w:color w:val="000000"/>
          <w:kern w:val="0"/>
          <w:sz w:val="24"/>
        </w:rPr>
        <w:t xml:space="preserve">") </w:t>
      </w:r>
      <w:r>
        <w:rPr>
          <w:rFonts w:hint="eastAsia" w:ascii="Times New Roman" w:hAnsi="Times New Roman"/>
          <w:color w:val="000000"/>
          <w:kern w:val="0"/>
          <w:sz w:val="24"/>
        </w:rPr>
        <w:t>经中国证券监督管理委员会</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《关于准予创金合信尊享纯债债券型证券投资基金注册的批复》</w:t>
      </w:r>
      <w:r>
        <w:rPr>
          <w:rFonts w:hint="default" w:ascii="Times New Roman" w:hAnsi="Times New Roman"/>
          <w:color w:val="000000"/>
          <w:kern w:val="0"/>
          <w:sz w:val="24"/>
        </w:rPr>
        <w:t>(</w:t>
      </w:r>
      <w:r>
        <w:rPr>
          <w:rFonts w:hint="eastAsia" w:ascii="Times New Roman" w:hAnsi="Times New Roman"/>
          <w:color w:val="000000"/>
          <w:kern w:val="0"/>
          <w:sz w:val="24"/>
        </w:rPr>
        <w:t>证监许可</w:t>
      </w:r>
      <w:r>
        <w:rPr>
          <w:rFonts w:hint="default" w:ascii="Times New Roman" w:hAnsi="Times New Roman"/>
          <w:color w:val="000000"/>
          <w:kern w:val="0"/>
          <w:sz w:val="24"/>
        </w:rPr>
        <w:t xml:space="preserve"> [2015] 3077</w:t>
      </w:r>
      <w:r>
        <w:rPr>
          <w:rFonts w:hint="eastAsia" w:ascii="Times New Roman" w:hAnsi="Times New Roman"/>
          <w:color w:val="000000"/>
          <w:kern w:val="0"/>
          <w:sz w:val="24"/>
        </w:rPr>
        <w:t>号文</w:t>
      </w:r>
      <w:r>
        <w:rPr>
          <w:rFonts w:hint="default" w:ascii="Times New Roman" w:hAnsi="Times New Roman"/>
          <w:color w:val="000000"/>
          <w:kern w:val="0"/>
          <w:sz w:val="24"/>
        </w:rPr>
        <w:t xml:space="preserve">) </w:t>
      </w:r>
      <w:r>
        <w:rPr>
          <w:rFonts w:hint="eastAsia" w:ascii="Times New Roman" w:hAnsi="Times New Roman"/>
          <w:color w:val="000000"/>
          <w:kern w:val="0"/>
          <w:sz w:val="24"/>
        </w:rPr>
        <w:t>批准，由创金合信基金管理有限公司依照《中华人民共和国证券投资基金法》及其配套规则和《创金合信尊享纯债债券型证券投资基金基金合同》发售，基金合同于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日生效。本基金为契约型开放式，存续期限不定，首次设立募集规模为</w:t>
      </w:r>
      <w:r>
        <w:rPr>
          <w:rFonts w:hint="default" w:ascii="Times New Roman" w:hAnsi="Times New Roman"/>
          <w:color w:val="000000"/>
          <w:kern w:val="0"/>
          <w:sz w:val="24"/>
        </w:rPr>
        <w:t>200,170,231.68</w:t>
      </w:r>
      <w:r>
        <w:rPr>
          <w:rFonts w:hint="eastAsia" w:ascii="Times New Roman" w:hAnsi="Times New Roman"/>
          <w:color w:val="000000"/>
          <w:kern w:val="0"/>
          <w:sz w:val="24"/>
        </w:rPr>
        <w:t>份基金份额。本基金的基金管理人为创金合信基金管理有限公司，基金托管人为招商银行股份有限公司</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招商银行</w:t>
      </w:r>
      <w:r>
        <w:rPr>
          <w:rFonts w:hint="default" w:ascii="Times New Roman" w:hAnsi="Times New Roman"/>
          <w:color w:val="000000"/>
          <w:kern w:val="0"/>
          <w:sz w:val="24"/>
        </w:rPr>
        <w:t xml:space="preserve">") </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2</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日募集，募集期间净认购资金人民币</w:t>
      </w:r>
      <w:r>
        <w:rPr>
          <w:rFonts w:hint="default" w:ascii="Times New Roman" w:hAnsi="Times New Roman"/>
          <w:color w:val="000000"/>
          <w:kern w:val="0"/>
          <w:sz w:val="24"/>
        </w:rPr>
        <w:t>200,161,156.83</w:t>
      </w:r>
      <w:r>
        <w:rPr>
          <w:rFonts w:hint="eastAsia" w:ascii="Times New Roman" w:hAnsi="Times New Roman"/>
          <w:color w:val="000000"/>
          <w:kern w:val="0"/>
          <w:sz w:val="24"/>
        </w:rPr>
        <w:t>元，认购资金在募集期间产生的利息人民币</w:t>
      </w:r>
      <w:r>
        <w:rPr>
          <w:rFonts w:hint="default" w:ascii="Times New Roman" w:hAnsi="Times New Roman"/>
          <w:color w:val="000000"/>
          <w:kern w:val="0"/>
          <w:sz w:val="24"/>
        </w:rPr>
        <w:t>9,074.85</w:t>
      </w:r>
      <w:r>
        <w:rPr>
          <w:rFonts w:hint="eastAsia" w:ascii="Times New Roman" w:hAnsi="Times New Roman"/>
          <w:color w:val="000000"/>
          <w:kern w:val="0"/>
          <w:sz w:val="24"/>
        </w:rPr>
        <w:t>元，募集的有效认购份额及利息结转的基金份额合计</w:t>
      </w:r>
      <w:r>
        <w:rPr>
          <w:rFonts w:hint="default" w:ascii="Times New Roman" w:hAnsi="Times New Roman"/>
          <w:color w:val="000000"/>
          <w:kern w:val="0"/>
          <w:sz w:val="24"/>
        </w:rPr>
        <w:t>200,170,231.68</w:t>
      </w:r>
      <w:r>
        <w:rPr>
          <w:rFonts w:hint="eastAsia" w:ascii="Times New Roman" w:hAnsi="Times New Roman"/>
          <w:color w:val="000000"/>
          <w:kern w:val="0"/>
          <w:sz w:val="24"/>
        </w:rPr>
        <w:t>份。上述募集资金已由毕马威华振会计师事务所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验证，并出具了毕马威华振验字第</w:t>
      </w:r>
      <w:r>
        <w:rPr>
          <w:rFonts w:hint="default" w:ascii="Times New Roman" w:hAnsi="Times New Roman"/>
          <w:color w:val="000000"/>
          <w:kern w:val="0"/>
          <w:sz w:val="24"/>
        </w:rPr>
        <w:t>1600200</w:t>
      </w:r>
      <w:r>
        <w:rPr>
          <w:rFonts w:hint="eastAsia" w:ascii="Times New Roman" w:hAnsi="Times New Roman"/>
          <w:color w:val="000000"/>
          <w:kern w:val="0"/>
          <w:sz w:val="24"/>
        </w:rPr>
        <w:t>号验资报告。</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根据《中华人民共和国证券投资基金法》及其配套规则、《创金合信尊享纯债债券型证券投资基金基金合同》和截至报告期末最新公告的《创金合信尊享纯债债券型证券投资基金招募说明书》的有关规定，本基金主要投资于固定收益类品种，包括国债、央行票据、地方政府债、金融债、企业债、公司债、中期票据、短期融资券、可分离交易可转债的纯债部分、资产支持证券、债券回购、银行存款等。本基金不从二级市场买入股票、权证等权益类资产，也不参与一级市场的新股申购和新股增发，可转债仅投资二级市场可分离交易可转债的纯债部分。本基金的业绩比较基准为：中债综合</w:t>
      </w:r>
      <w:r>
        <w:rPr>
          <w:rFonts w:hint="default" w:ascii="Times New Roman" w:hAnsi="Times New Roman"/>
          <w:color w:val="000000"/>
          <w:kern w:val="0"/>
          <w:sz w:val="24"/>
        </w:rPr>
        <w:t xml:space="preserve"> (</w:t>
      </w:r>
      <w:r>
        <w:rPr>
          <w:rFonts w:hint="eastAsia" w:ascii="Times New Roman" w:hAnsi="Times New Roman"/>
          <w:color w:val="000000"/>
          <w:kern w:val="0"/>
          <w:sz w:val="24"/>
        </w:rPr>
        <w:t>全价</w:t>
      </w:r>
      <w:r>
        <w:rPr>
          <w:rFonts w:hint="default" w:ascii="Times New Roman" w:hAnsi="Times New Roman"/>
          <w:color w:val="000000"/>
          <w:kern w:val="0"/>
          <w:sz w:val="24"/>
        </w:rPr>
        <w:t xml:space="preserve">) </w:t>
      </w:r>
      <w:r>
        <w:rPr>
          <w:rFonts w:hint="eastAsia" w:ascii="Times New Roman" w:hAnsi="Times New Roman"/>
          <w:color w:val="000000"/>
          <w:kern w:val="0"/>
          <w:sz w:val="24"/>
        </w:rPr>
        <w:t>指数收益率。</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7.4.2 </w:t>
      </w:r>
      <w:r>
        <w:rPr>
          <w:rFonts w:hint="eastAsia" w:ascii="Times New Roman" w:hAnsi="Times New Roman"/>
          <w:b/>
          <w:color w:val="000000"/>
          <w:kern w:val="0"/>
          <w:sz w:val="24"/>
        </w:rPr>
        <w:t>会计报表的编制基础</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本基金以持续经营为基础。本财务报表符合中华人民共和国财政部</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财政部</w:t>
      </w:r>
      <w:r>
        <w:rPr>
          <w:rFonts w:hint="default" w:ascii="Times New Roman" w:hAnsi="Times New Roman"/>
          <w:color w:val="000000"/>
          <w:kern w:val="0"/>
          <w:sz w:val="24"/>
        </w:rPr>
        <w:t xml:space="preserve">") </w:t>
      </w:r>
      <w:r>
        <w:rPr>
          <w:rFonts w:hint="eastAsia" w:ascii="Times New Roman" w:hAnsi="Times New Roman"/>
          <w:color w:val="000000"/>
          <w:kern w:val="0"/>
          <w:sz w:val="24"/>
        </w:rPr>
        <w:t>颁布的企业会计准则的要求，同时亦按照中国证监会颁布的《证券投资基金信息披露</w:t>
      </w:r>
      <w:r>
        <w:rPr>
          <w:rFonts w:hint="default" w:ascii="Times New Roman" w:hAnsi="Times New Roman"/>
          <w:color w:val="000000"/>
          <w:kern w:val="0"/>
          <w:sz w:val="24"/>
        </w:rPr>
        <w:t>XBRL</w:t>
      </w:r>
      <w:r>
        <w:rPr>
          <w:rFonts w:hint="eastAsia" w:ascii="Times New Roman" w:hAnsi="Times New Roman"/>
          <w:color w:val="000000"/>
          <w:kern w:val="0"/>
          <w:sz w:val="24"/>
        </w:rPr>
        <w:t>模板第</w:t>
      </w:r>
      <w:r>
        <w:rPr>
          <w:rFonts w:hint="default" w:ascii="Times New Roman" w:hAnsi="Times New Roman"/>
          <w:color w:val="000000"/>
          <w:kern w:val="0"/>
          <w:sz w:val="24"/>
        </w:rPr>
        <w:t>3</w:t>
      </w:r>
      <w:r>
        <w:rPr>
          <w:rFonts w:hint="eastAsia" w:ascii="Times New Roman" w:hAnsi="Times New Roman"/>
          <w:color w:val="000000"/>
          <w:kern w:val="0"/>
          <w:sz w:val="24"/>
        </w:rPr>
        <w:t>号</w:t>
      </w:r>
      <w:r>
        <w:rPr>
          <w:rFonts w:hint="default" w:ascii="Times New Roman" w:hAnsi="Times New Roman"/>
          <w:color w:val="000000"/>
          <w:kern w:val="0"/>
          <w:sz w:val="24"/>
        </w:rPr>
        <w:t>&lt;</w:t>
      </w:r>
      <w:r>
        <w:rPr>
          <w:rFonts w:hint="eastAsia" w:ascii="Times New Roman" w:hAnsi="Times New Roman"/>
          <w:color w:val="000000"/>
          <w:kern w:val="0"/>
          <w:sz w:val="24"/>
        </w:rPr>
        <w:t>年度报告和半年度报告</w:t>
      </w:r>
      <w:r>
        <w:rPr>
          <w:rFonts w:hint="default" w:ascii="Times New Roman" w:hAnsi="Times New Roman"/>
          <w:color w:val="000000"/>
          <w:kern w:val="0"/>
          <w:sz w:val="24"/>
        </w:rPr>
        <w:t>&gt;</w:t>
      </w:r>
      <w:r>
        <w:rPr>
          <w:rFonts w:hint="eastAsia" w:ascii="Times New Roman" w:hAnsi="Times New Roman"/>
          <w:color w:val="000000"/>
          <w:kern w:val="0"/>
          <w:sz w:val="24"/>
        </w:rPr>
        <w:t>》以及中国证券投资基金业协会于</w:t>
      </w:r>
      <w:r>
        <w:rPr>
          <w:rFonts w:hint="default" w:ascii="Times New Roman" w:hAnsi="Times New Roman"/>
          <w:color w:val="000000"/>
          <w:kern w:val="0"/>
          <w:sz w:val="24"/>
        </w:rPr>
        <w:t>2012</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日颁布的《证券投资基金会计核算业务指引》编制财务报表。</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7.4.3 </w:t>
      </w:r>
      <w:r>
        <w:rPr>
          <w:rFonts w:hint="eastAsia" w:ascii="Times New Roman" w:hAnsi="Times New Roman"/>
          <w:b/>
          <w:color w:val="000000"/>
          <w:kern w:val="0"/>
          <w:sz w:val="24"/>
        </w:rPr>
        <w:t>遵循企业会计准则及其他有关规定的声明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本财务报表符合财政部颁布的企业会计准则的要求，真实、完整地反映了本基金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r>
        <w:rPr>
          <w:rFonts w:hint="default" w:ascii="Times New Roman" w:hAnsi="Times New Roman"/>
          <w:color w:val="000000"/>
          <w:kern w:val="0"/>
          <w:sz w:val="24"/>
        </w:rPr>
        <w:t xml:space="preserve"> (</w:t>
      </w:r>
      <w:r>
        <w:rPr>
          <w:rFonts w:hint="eastAsia" w:ascii="Times New Roman" w:hAnsi="Times New Roman"/>
          <w:color w:val="000000"/>
          <w:kern w:val="0"/>
          <w:sz w:val="24"/>
        </w:rPr>
        <w:t>基金合同生效日</w:t>
      </w:r>
      <w:r>
        <w:rPr>
          <w:rFonts w:hint="default" w:ascii="Times New Roman" w:hAnsi="Times New Roman"/>
          <w:color w:val="000000"/>
          <w:kern w:val="0"/>
          <w:sz w:val="24"/>
        </w:rPr>
        <w:t xml:space="preserve">) </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日止期间的经营成果和基金净值变动情况。</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 </w:t>
      </w:r>
      <w:r>
        <w:rPr>
          <w:rFonts w:hint="eastAsia" w:ascii="Times New Roman" w:hAnsi="Times New Roman"/>
          <w:b/>
          <w:color w:val="000000"/>
          <w:kern w:val="0"/>
          <w:sz w:val="24"/>
        </w:rPr>
        <w:t>重要会计政策和会计估计</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7.4.4.1 </w:t>
      </w:r>
      <w:r>
        <w:rPr>
          <w:rFonts w:hint="eastAsia" w:ascii="Times New Roman" w:hAnsi="Times New Roman"/>
          <w:b/>
          <w:color w:val="000000"/>
          <w:kern w:val="0"/>
          <w:sz w:val="24"/>
        </w:rPr>
        <w:t>会计年度</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本基金的会计年度自公历</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日止。本期财务报表的实际编制期间为自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r>
        <w:rPr>
          <w:rFonts w:hint="default" w:ascii="Times New Roman" w:hAnsi="Times New Roman"/>
          <w:color w:val="000000"/>
          <w:kern w:val="0"/>
          <w:sz w:val="24"/>
        </w:rPr>
        <w:t xml:space="preserve"> (</w:t>
      </w:r>
      <w:r>
        <w:rPr>
          <w:rFonts w:hint="eastAsia" w:ascii="Times New Roman" w:hAnsi="Times New Roman"/>
          <w:color w:val="000000"/>
          <w:kern w:val="0"/>
          <w:sz w:val="24"/>
        </w:rPr>
        <w:t>基金合同生效日</w:t>
      </w:r>
      <w:r>
        <w:rPr>
          <w:rFonts w:hint="default" w:ascii="Times New Roman" w:hAnsi="Times New Roman"/>
          <w:color w:val="000000"/>
          <w:kern w:val="0"/>
          <w:sz w:val="24"/>
        </w:rPr>
        <w:t xml:space="preserve">) </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7.4.4.2 </w:t>
      </w:r>
      <w:r>
        <w:rPr>
          <w:rFonts w:hint="eastAsia" w:ascii="Times New Roman" w:hAnsi="Times New Roman"/>
          <w:b/>
          <w:color w:val="000000"/>
          <w:kern w:val="0"/>
          <w:sz w:val="24"/>
        </w:rPr>
        <w:t>记账本位币</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本基金的记账本位币为人民币，编制财务报表采用的货币为人民币。本基金选定记账本位币的依据是主要业务收支的计价和结算币种。</w:t>
      </w:r>
    </w:p>
    <w:p>
      <w:pPr>
        <w:autoSpaceDE w:val="0"/>
        <w:autoSpaceDN w:val="0"/>
        <w:adjustRightInd w:val="0"/>
        <w:spacing w:beforeLines="0" w:afterLines="0" w:line="288" w:lineRule="auto"/>
        <w:jc w:val="left"/>
        <w:rPr>
          <w:rFonts w:hint="default" w:ascii="Times New Roman" w:hAnsi="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7.4.4.3 </w:t>
      </w:r>
      <w:r>
        <w:rPr>
          <w:rFonts w:hint="eastAsia" w:ascii="Times New Roman" w:hAnsi="Times New Roman"/>
          <w:b/>
          <w:color w:val="000000"/>
          <w:kern w:val="0"/>
          <w:sz w:val="24"/>
        </w:rPr>
        <w:t>金融资产和金融负债的分类</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在初始确认时按取得资产或承担负债的目的，把金融资产和金融负债分为不同类别：以公允价值计量且其变动计入当期损益的金融资产和金融负债、应收款项、持有至到期投资、可供出售金融资产和其他金融负债。本基金现无金融资产分类为持有至到期投资和可供出售金融资产。本基金现无金融负债分类为以公允价值计量且其变动计入当期损益的金融负债。</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本基金目前持有的债券投资分类为以公允价值计量且其变动计入当期损益的金融资产。以公允价值计量且其变动计入当期损益的金融资产在资产负债表中以交易性金融资产列示。</w:t>
      </w:r>
    </w:p>
    <w:p>
      <w:pPr>
        <w:autoSpaceDE w:val="0"/>
        <w:autoSpaceDN w:val="0"/>
        <w:adjustRightInd w:val="0"/>
        <w:spacing w:beforeLines="0" w:afterLines="0" w:line="288" w:lineRule="auto"/>
        <w:jc w:val="left"/>
        <w:rPr>
          <w:rFonts w:hint="default" w:ascii="Times New Roman" w:hAnsi="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7.4.4.4 </w:t>
      </w:r>
      <w:r>
        <w:rPr>
          <w:rFonts w:hint="eastAsia" w:ascii="Times New Roman" w:hAnsi="Times New Roman"/>
          <w:b/>
          <w:color w:val="000000"/>
          <w:kern w:val="0"/>
          <w:sz w:val="24"/>
        </w:rPr>
        <w:t>金融资产和金融负债的初始确认、后续计量和终止确认</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金融资产和金融负债在本基金成为相关金融工具合同条款的一方时，于资产负债表内确认。</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在初始确认时，金融资产及金融负债均以公允价值计量。对于以公允价值计量且其变动计入当期损益的金融资产或金融负债，相关交易费用直接计入当期损益；对于其他类别的金融资产或金融负债，相关交易费用计入初始确认金额。</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初始确认后，金融资产和金融负债的后续计量如下：</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以公允价值计量且其变动计入当期损益的金融资产和金融负债以公允价值计量，公允价值变动形成的利得或损失计入当期损益。</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应收款项以实际利率法按摊余成本计量。</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除以公允价值计量且其变动计入当期损益的金融负债以外的金融负债采用实际利率法按摊余成本进行后续计量。</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当收取某项金融资产的现金流量的合同权利终止或将所有权上几乎所有的风险和报酬转移时，本基金终止确认该金融资产。终止确认的金融资产的成本按移动加权平均法于交易日结转。</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金融负债的现时义务全部或部分已经解除的，本基金终止确认该金融负债或其一部分。</w:t>
      </w:r>
    </w:p>
    <w:p>
      <w:pPr>
        <w:autoSpaceDE w:val="0"/>
        <w:autoSpaceDN w:val="0"/>
        <w:adjustRightInd w:val="0"/>
        <w:spacing w:beforeLines="0" w:afterLines="0" w:line="288" w:lineRule="auto"/>
        <w:jc w:val="left"/>
        <w:rPr>
          <w:rFonts w:hint="default" w:ascii="Times New Roman" w:hAnsi="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7.4.4.5 </w:t>
      </w:r>
      <w:r>
        <w:rPr>
          <w:rFonts w:hint="eastAsia" w:ascii="Times New Roman" w:hAnsi="Times New Roman"/>
          <w:b/>
          <w:color w:val="000000"/>
          <w:kern w:val="0"/>
          <w:sz w:val="24"/>
        </w:rPr>
        <w:t>金融资产和金融负债的估值原则</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除特别声明外，本基金按下述原则计量公允价值：</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公允价值是指市场参与者在计量日发生的有序交易中，出售一项资产所能收到或者转移一项负债所需支付的价格。</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本基金估计公允价值时，考虑市场参与者在计量日对相关资产或负债进行定价时考虑的特征</w:t>
      </w:r>
      <w:r>
        <w:rPr>
          <w:rFonts w:hint="default" w:ascii="Times New Roman" w:hAnsi="Times New Roman"/>
          <w:color w:val="000000"/>
          <w:kern w:val="0"/>
          <w:sz w:val="24"/>
        </w:rPr>
        <w:t xml:space="preserve"> (</w:t>
      </w:r>
      <w:r>
        <w:rPr>
          <w:rFonts w:hint="eastAsia" w:ascii="Times New Roman" w:hAnsi="Times New Roman"/>
          <w:color w:val="000000"/>
          <w:kern w:val="0"/>
          <w:sz w:val="24"/>
        </w:rPr>
        <w:t>包括资产状况及所在位置、对资产出售或者使用的限制等</w:t>
      </w:r>
      <w:r>
        <w:rPr>
          <w:rFonts w:hint="default" w:ascii="Times New Roman" w:hAnsi="Times New Roman"/>
          <w:color w:val="000000"/>
          <w:kern w:val="0"/>
          <w:sz w:val="24"/>
        </w:rPr>
        <w:t xml:space="preserve">) </w:t>
      </w:r>
      <w:r>
        <w:rPr>
          <w:rFonts w:hint="eastAsia" w:ascii="Times New Roman" w:hAnsi="Times New Roman"/>
          <w:color w:val="000000"/>
          <w:kern w:val="0"/>
          <w:sz w:val="24"/>
        </w:rPr>
        <w:t>，并采用在当前情况下适用并且有足够可利用数据和其他信息支持的估值技术。</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存在活跃市场的金融工具，如估值日无交易且最近交易日后经济环境发生了重大变化或证券发行机构发生了影响证券价格的重大事件，参考类似投资品种的现行市价及重大变化等因素，调整最近交易市价以确定公允价值。</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beforeLines="0" w:afterLines="0" w:line="288" w:lineRule="auto"/>
        <w:jc w:val="left"/>
        <w:rPr>
          <w:rFonts w:hint="default" w:ascii="Times New Roman" w:hAnsi="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7.4.4.6 </w:t>
      </w:r>
      <w:r>
        <w:rPr>
          <w:rFonts w:hint="eastAsia" w:ascii="Times New Roman" w:hAnsi="Times New Roman"/>
          <w:b/>
          <w:color w:val="000000"/>
          <w:kern w:val="0"/>
          <w:sz w:val="24"/>
        </w:rPr>
        <w:t>金融资产和金融负债的抵销</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金融资产和金融负债在资产负债表内分别列示，没有相互抵销。但是，同时满足下列条件的，以相互抵销后的净额在资产负债表内列示：</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本基金具有抵销已确认金额的法定权利，且该种法定权利现在是可执行的；</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本基金计划以净额结算，或同时变现该金融资产和清偿该金融负债。</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7.4.4.7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实收基金为对外发行基金份额所募集的总金额在扣除损益平准金分摊部分后的余额。由于基金份额拆分引起的实收基金份额变动于基金份额拆分日根据拆分前的基金份额数及确定的拆分比例计算认列。由于申购和赎回引起的实收基金份额变动分别于基金申购确认日及基金赎回确认日认列。上述申购和赎回分别包括基金转换所引起的转入基金的实收基金增加和转出基金的实收基金减少。</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7.4.4.8 </w:t>
      </w:r>
      <w:r>
        <w:rPr>
          <w:rFonts w:hint="eastAsia" w:ascii="Times New Roman" w:hAnsi="Times New Roman"/>
          <w:b/>
          <w:color w:val="000000"/>
          <w:kern w:val="0"/>
          <w:sz w:val="24"/>
        </w:rPr>
        <w:t>损益平准金</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损益平准金核算在基金份额发生变动时，申购、赎回、转入、转出及红利再投资等款项中包含的未分配利润和公允价值变动损益，包括已实现损益平准金和未实现损益平准金。已实现损益平准金指根据交易申请日申购或赎回款项中包含的按累计未分配的已实现损益占基金净值比例计算的金额。未实现损益平准金指根据交易申请日申购或赎回款项中包含的按累计未分配的未实现损益占基金净值比例计算的金额。损益平准金于基金申购确认日或基金赎回确认日进行确认和计量，并于会计期末全额转入</w:t>
      </w:r>
      <w:r>
        <w:rPr>
          <w:rFonts w:hint="default" w:ascii="Times New Roman" w:hAnsi="Times New Roman"/>
          <w:color w:val="000000"/>
          <w:kern w:val="0"/>
          <w:sz w:val="24"/>
        </w:rPr>
        <w:t>"</w:t>
      </w:r>
      <w:r>
        <w:rPr>
          <w:rFonts w:hint="eastAsia" w:ascii="Times New Roman" w:hAnsi="Times New Roman"/>
          <w:color w:val="000000"/>
          <w:kern w:val="0"/>
          <w:sz w:val="24"/>
        </w:rPr>
        <w:t>未分配利润</w:t>
      </w:r>
      <w:r>
        <w:rPr>
          <w:rFonts w:hint="default" w:ascii="Times New Roman" w:hAnsi="Times New Roman"/>
          <w:color w:val="000000"/>
          <w:kern w:val="0"/>
          <w:sz w:val="24"/>
        </w:rPr>
        <w:t xml:space="preserve"> / (</w:t>
      </w:r>
      <w:r>
        <w:rPr>
          <w:rFonts w:hint="eastAsia" w:ascii="Times New Roman" w:hAnsi="Times New Roman"/>
          <w:color w:val="000000"/>
          <w:kern w:val="0"/>
          <w:sz w:val="24"/>
        </w:rPr>
        <w:t>累计亏损</w:t>
      </w:r>
      <w:r>
        <w:rPr>
          <w:rFonts w:hint="default" w:ascii="Times New Roman" w:hAnsi="Times New Roman"/>
          <w:color w:val="000000"/>
          <w:kern w:val="0"/>
          <w:sz w:val="24"/>
        </w:rPr>
        <w:t>) "</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7.4.4.9 </w:t>
      </w:r>
      <w:r>
        <w:rPr>
          <w:rFonts w:hint="eastAsia" w:ascii="Times New Roman" w:hAnsi="Times New Roman"/>
          <w:b/>
          <w:color w:val="000000"/>
          <w:kern w:val="0"/>
          <w:sz w:val="24"/>
        </w:rPr>
        <w:t>收入</w:t>
      </w:r>
      <w:r>
        <w:rPr>
          <w:rFonts w:hint="default" w:ascii="Times New Roman" w:hAnsi="Times New Roman"/>
          <w:b/>
          <w:color w:val="000000"/>
          <w:kern w:val="0"/>
          <w:sz w:val="24"/>
        </w:rPr>
        <w:t>/</w:t>
      </w:r>
      <w:r>
        <w:rPr>
          <w:rFonts w:hint="eastAsia" w:ascii="Times New Roman" w:hAnsi="Times New Roman"/>
          <w:b/>
          <w:color w:val="000000"/>
          <w:kern w:val="0"/>
          <w:sz w:val="24"/>
        </w:rPr>
        <w:t>（损失）的确认和计量</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债券投资收益按相关金融资产于处置日成交金额与其成本的差额确认。</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债券利息收入按债券投资的票面价值与票面利率计算的金额扣除应由发行债券的企业代扣代缴的个人所得税</w:t>
      </w:r>
      <w:r>
        <w:rPr>
          <w:rFonts w:hint="default" w:ascii="Times New Roman" w:hAnsi="Times New Roman"/>
          <w:color w:val="000000"/>
          <w:kern w:val="0"/>
          <w:sz w:val="24"/>
        </w:rPr>
        <w:t>(</w:t>
      </w:r>
      <w:r>
        <w:rPr>
          <w:rFonts w:hint="eastAsia" w:ascii="Times New Roman" w:hAnsi="Times New Roman"/>
          <w:color w:val="000000"/>
          <w:kern w:val="0"/>
          <w:sz w:val="24"/>
        </w:rPr>
        <w:t>如适用</w:t>
      </w:r>
      <w:r>
        <w:rPr>
          <w:rFonts w:hint="default" w:ascii="Times New Roman" w:hAnsi="Times New Roman"/>
          <w:color w:val="000000"/>
          <w:kern w:val="0"/>
          <w:sz w:val="24"/>
        </w:rPr>
        <w:t>)</w:t>
      </w:r>
      <w:r>
        <w:rPr>
          <w:rFonts w:hint="eastAsia" w:ascii="Times New Roman" w:hAnsi="Times New Roman"/>
          <w:color w:val="000000"/>
          <w:kern w:val="0"/>
          <w:sz w:val="24"/>
        </w:rPr>
        <w:t>后的净额确认，在债券实际持有期内逐日计提。贴息债视同到期一次性还本付息的附息债，根据其发行价、到期价和发行期限按直线法推算内含票面利率后，逐日计提利息收入。如票面利率与实际利率出现重大差异，按实际利率计算利息收入。</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利息收入是按借出货币资金的时间和实际利率计算确定。</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买入返售金融资产收入按到期应收或实际收到的金额与初始确认金额的差额，在回购期内按实际利率法逐日确认，直线法与实际利率法确定的收入差异较小的可采用直线法。</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公允价值变动收益</w:t>
      </w:r>
      <w:r>
        <w:rPr>
          <w:rFonts w:hint="default" w:ascii="Times New Roman" w:hAnsi="Times New Roman"/>
          <w:color w:val="000000"/>
          <w:kern w:val="0"/>
          <w:sz w:val="24"/>
        </w:rPr>
        <w:t>/(</w:t>
      </w:r>
      <w:r>
        <w:rPr>
          <w:rFonts w:hint="eastAsia" w:ascii="Times New Roman" w:hAnsi="Times New Roman"/>
          <w:color w:val="000000"/>
          <w:kern w:val="0"/>
          <w:sz w:val="24"/>
        </w:rPr>
        <w:t>损失</w:t>
      </w:r>
      <w:r>
        <w:rPr>
          <w:rFonts w:hint="default" w:ascii="Times New Roman" w:hAnsi="Times New Roman"/>
          <w:color w:val="000000"/>
          <w:kern w:val="0"/>
          <w:sz w:val="24"/>
        </w:rPr>
        <w:t>)</w:t>
      </w:r>
      <w:r>
        <w:rPr>
          <w:rFonts w:hint="eastAsia" w:ascii="Times New Roman" w:hAnsi="Times New Roman"/>
          <w:color w:val="000000"/>
          <w:kern w:val="0"/>
          <w:sz w:val="24"/>
        </w:rPr>
        <w:t>核算基金持有的采用公允价值模式计量的以公允价值计量且变动计入当期损益的金融资产、衍生金融资产、以公允价值计量且变动计入当期损益的金融负债等公允价值变动形成的应计入当期损益的利得或损失。</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7.4.4.10 </w:t>
      </w:r>
      <w:r>
        <w:rPr>
          <w:rFonts w:hint="eastAsia" w:ascii="Times New Roman" w:hAnsi="Times New Roman"/>
          <w:b/>
          <w:color w:val="000000"/>
          <w:kern w:val="0"/>
          <w:sz w:val="24"/>
        </w:rPr>
        <w:t>费用的确认和计量</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本基金的管理人报酬和托管费在费用涵盖期间按基金合同约定的费率和计算方法逐日确认。</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本基金的交易费用于进行债券交易发生时按照确定的金额确认。</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本基金的利息支出按资金的本金和适用利率逐日计提。</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卖出回购金融资产利息支出按到期应付或实际支付的金额与初始确认金额的差额，在回购期内以实际利率法逐日确认，直线法与实际利率法确定的支出差异较小的可采用直线法。</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本基金的其他费用如不影响估值日基金份额净值小数点后第四位，发生时直接计入基金损益；如果影响基金份额净值小数点后第四位的，应采用待摊或预提的方法，待摊或预提计入基金损益。</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7.4.4.11 </w:t>
      </w:r>
      <w:r>
        <w:rPr>
          <w:rFonts w:hint="eastAsia" w:ascii="Times New Roman" w:hAnsi="Times New Roman"/>
          <w:b/>
          <w:color w:val="000000"/>
          <w:kern w:val="0"/>
          <w:sz w:val="24"/>
        </w:rPr>
        <w:t>基金的收益分配政策</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本基金收益分配方式分两种：现金分红与红利再投资，投资者可选择现金红利或将现金红利自动转为基金份额进行再投资；若投资者不选择，本基金默认的收益分配方式是现金分红；</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(b)</w:t>
      </w:r>
      <w:r>
        <w:rPr>
          <w:rFonts w:hint="eastAsia" w:ascii="Times New Roman" w:hAnsi="Times New Roman"/>
          <w:color w:val="000000"/>
          <w:kern w:val="0"/>
          <w:sz w:val="24"/>
        </w:rPr>
        <w:t>基金收益分配后基金份额净值不能低于面值；即基金收益分配基准日的基金份额净值减去每单位基金份额收益分配金额后不能低于面值；</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(c)</w:t>
      </w:r>
      <w:r>
        <w:rPr>
          <w:rFonts w:hint="eastAsia" w:ascii="Times New Roman" w:hAnsi="Times New Roman"/>
          <w:color w:val="000000"/>
          <w:kern w:val="0"/>
          <w:sz w:val="24"/>
        </w:rPr>
        <w:t>每一基金份额享有同等分配权；</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(d)</w:t>
      </w:r>
      <w:r>
        <w:rPr>
          <w:rFonts w:hint="eastAsia" w:ascii="Times New Roman" w:hAnsi="Times New Roman"/>
          <w:color w:val="000000"/>
          <w:kern w:val="0"/>
          <w:sz w:val="24"/>
        </w:rPr>
        <w:t>在对基金份额持有人利益无实质不利影响的前提下，基金管理人可调整基金收益的分配原则和支付方式，不需召开基金份额持有人大会审议；</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(e)</w:t>
      </w:r>
      <w:r>
        <w:rPr>
          <w:rFonts w:hint="eastAsia" w:ascii="Times New Roman" w:hAnsi="Times New Roman"/>
          <w:color w:val="000000"/>
          <w:kern w:val="0"/>
          <w:sz w:val="24"/>
        </w:rPr>
        <w:t>法律法规或监管机关另有规定的，从其规定。</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7.4.4.12 </w:t>
      </w:r>
      <w:r>
        <w:rPr>
          <w:rFonts w:hint="eastAsia" w:ascii="Times New Roman" w:hAnsi="Times New Roman"/>
          <w:b/>
          <w:color w:val="000000"/>
          <w:kern w:val="0"/>
          <w:sz w:val="24"/>
        </w:rPr>
        <w:t>分部报告</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本基金以内部组织结构、管理要求、内部报告制度为依据确定经营分部，以经营分部为基础确定报告分部。</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本基金目前以一个经营分部运作，不需要进行分部报告的披露。</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7.4.4.13 </w:t>
      </w:r>
      <w:r>
        <w:rPr>
          <w:rFonts w:hint="eastAsia" w:ascii="Times New Roman" w:hAnsi="Times New Roman"/>
          <w:b/>
          <w:color w:val="000000"/>
          <w:kern w:val="0"/>
          <w:sz w:val="24"/>
        </w:rPr>
        <w:t>其他重要的会计政策和会计估计</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对于证券交易所上市的股票，若出现重大事项停牌或交易不活跃</w:t>
      </w:r>
      <w:r>
        <w:rPr>
          <w:rFonts w:hint="default" w:ascii="Times New Roman" w:hAnsi="Times New Roman"/>
          <w:color w:val="000000"/>
          <w:kern w:val="0"/>
          <w:sz w:val="24"/>
        </w:rPr>
        <w:t xml:space="preserve"> (</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 xml:space="preserve">) </w:t>
      </w:r>
      <w:r>
        <w:rPr>
          <w:rFonts w:hint="eastAsia" w:ascii="Times New Roman" w:hAnsi="Times New Roman"/>
          <w:color w:val="000000"/>
          <w:kern w:val="0"/>
          <w:sz w:val="24"/>
        </w:rPr>
        <w:t>等情况，本基金根据中国证监会公告</w:t>
      </w:r>
      <w:r>
        <w:rPr>
          <w:rFonts w:hint="default" w:ascii="Times New Roman" w:hAnsi="Times New Roman"/>
          <w:color w:val="000000"/>
          <w:kern w:val="0"/>
          <w:sz w:val="24"/>
        </w:rPr>
        <w:t xml:space="preserve">[2008]38 </w:t>
      </w:r>
      <w:r>
        <w:rPr>
          <w:rFonts w:hint="eastAsia" w:ascii="Times New Roman" w:hAnsi="Times New Roman"/>
          <w:color w:val="000000"/>
          <w:kern w:val="0"/>
          <w:sz w:val="24"/>
        </w:rPr>
        <w:t>号《关于进一步规范证券投资基金估值业务的指导意见》，根据具体情况采用《关于发布中基协</w:t>
      </w:r>
      <w:r>
        <w:rPr>
          <w:rFonts w:hint="default" w:ascii="Times New Roman" w:hAnsi="Times New Roman"/>
          <w:color w:val="000000"/>
          <w:kern w:val="0"/>
          <w:sz w:val="24"/>
        </w:rPr>
        <w:t xml:space="preserve"> (AMAC) </w:t>
      </w:r>
      <w:r>
        <w:rPr>
          <w:rFonts w:hint="eastAsia" w:ascii="Times New Roman" w:hAnsi="Times New Roman"/>
          <w:color w:val="000000"/>
          <w:kern w:val="0"/>
          <w:sz w:val="24"/>
        </w:rPr>
        <w:t>基金行业股票估值指数的通知》提供的指数收益法、市盈率法、现金流量折现法等估值技术进行估值。</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对于在锁定期内的非公开发行股票，根据中国证监会证监会计字</w:t>
      </w:r>
      <w:r>
        <w:rPr>
          <w:rFonts w:hint="default" w:ascii="Times New Roman" w:hAnsi="Times New Roman"/>
          <w:color w:val="000000"/>
          <w:kern w:val="0"/>
          <w:sz w:val="24"/>
        </w:rPr>
        <w:t>[2007]21</w:t>
      </w:r>
      <w:r>
        <w:rPr>
          <w:rFonts w:hint="eastAsia" w:ascii="Times New Roman" w:hAnsi="Times New Roman"/>
          <w:color w:val="000000"/>
          <w:kern w:val="0"/>
          <w:sz w:val="24"/>
        </w:rPr>
        <w:t>号《关于证券投资基金执行</w:t>
      </w:r>
      <w:r>
        <w:rPr>
          <w:rFonts w:hint="default" w:ascii="Times New Roman" w:hAnsi="Times New Roman"/>
          <w:color w:val="000000"/>
          <w:kern w:val="0"/>
          <w:sz w:val="24"/>
        </w:rPr>
        <w:t>&lt;</w:t>
      </w:r>
      <w:r>
        <w:rPr>
          <w:rFonts w:hint="eastAsia" w:ascii="Times New Roman" w:hAnsi="Times New Roman"/>
          <w:color w:val="000000"/>
          <w:kern w:val="0"/>
          <w:sz w:val="24"/>
        </w:rPr>
        <w:t>企业会计准则</w:t>
      </w:r>
      <w:r>
        <w:rPr>
          <w:rFonts w:hint="default" w:ascii="Times New Roman" w:hAnsi="Times New Roman"/>
          <w:color w:val="000000"/>
          <w:kern w:val="0"/>
          <w:sz w:val="24"/>
        </w:rPr>
        <w:t>&gt;</w:t>
      </w:r>
      <w:r>
        <w:rPr>
          <w:rFonts w:hint="eastAsia" w:ascii="Times New Roman" w:hAnsi="Times New Roman"/>
          <w:color w:val="000000"/>
          <w:kern w:val="0"/>
          <w:sz w:val="24"/>
        </w:rPr>
        <w:t>估值业务及份额净值计价有关事项的通知》，若在证券交易所挂牌的同一股票的市场交易收盘价低于非公开发行股票的初始投资成本，按估值日证券交易所挂牌的同一股票的市场交易收盘价估值；若在证券交易所挂牌的同一股票的市场交易收盘价高于非公开发行股票的初始投资成本，按锁定期内已经过交易所交易天数占锁定期内总交易所交易天数的比例将两者之间差价的一部分确认为估值增值。</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根据《中国证券投资基金业协会估值核算工作小组关于</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季度固定收益品种的估值处理标准》，在上海证券交易所、深圳证券交易所及银行间同业市场上市交易或挂牌转让的固定收益品种</w:t>
      </w:r>
      <w:r>
        <w:rPr>
          <w:rFonts w:hint="default" w:ascii="Times New Roman" w:hAnsi="Times New Roman"/>
          <w:color w:val="000000"/>
          <w:kern w:val="0"/>
          <w:sz w:val="24"/>
        </w:rPr>
        <w:t xml:space="preserve"> (</w:t>
      </w:r>
      <w:r>
        <w:rPr>
          <w:rFonts w:hint="eastAsia" w:ascii="Times New Roman" w:hAnsi="Times New Roman"/>
          <w:color w:val="000000"/>
          <w:kern w:val="0"/>
          <w:sz w:val="24"/>
        </w:rPr>
        <w:t>估值处理标准另有规定的除外</w:t>
      </w:r>
      <w:r>
        <w:rPr>
          <w:rFonts w:hint="default" w:ascii="Times New Roman" w:hAnsi="Times New Roman"/>
          <w:color w:val="000000"/>
          <w:kern w:val="0"/>
          <w:sz w:val="24"/>
        </w:rPr>
        <w:t xml:space="preserve">) </w:t>
      </w:r>
      <w:r>
        <w:rPr>
          <w:rFonts w:hint="eastAsia" w:ascii="Times New Roman" w:hAnsi="Times New Roman"/>
          <w:color w:val="000000"/>
          <w:kern w:val="0"/>
          <w:sz w:val="24"/>
        </w:rPr>
        <w:t>，采用第三方估值机构提供的价格数据进行估值。</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7.4.5 </w:t>
      </w:r>
      <w:r>
        <w:rPr>
          <w:rFonts w:hint="eastAsia" w:ascii="Times New Roman" w:hAnsi="Times New Roman"/>
          <w:b/>
          <w:color w:val="000000"/>
          <w:kern w:val="0"/>
          <w:sz w:val="24"/>
        </w:rPr>
        <w:t>会计政策和会计估计变更以及差错更正的说明</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7.4.5.1 </w:t>
      </w:r>
      <w:r>
        <w:rPr>
          <w:rFonts w:hint="eastAsia" w:ascii="Times New Roman" w:hAnsi="Times New Roman"/>
          <w:b/>
          <w:color w:val="000000"/>
          <w:kern w:val="0"/>
          <w:sz w:val="24"/>
        </w:rPr>
        <w:t>会计政策变更的说明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本基金在本报告期内未发生重大会计政策变更。</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9028" w:type="dxa"/>
            <w:tcBorders>
              <w:top w:val="nil"/>
              <w:left w:val="nil"/>
              <w:bottom w:val="nil"/>
              <w:right w:val="nil"/>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7.4.5.2 </w:t>
      </w:r>
      <w:r>
        <w:rPr>
          <w:rFonts w:hint="eastAsia" w:ascii="Times New Roman" w:hAnsi="Times New Roman"/>
          <w:b/>
          <w:color w:val="000000"/>
          <w:kern w:val="0"/>
          <w:sz w:val="24"/>
        </w:rPr>
        <w:t>会计估计变更的说明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本基金在本报告期内未发生重大会计估计变更。</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7.4.5.3 </w:t>
      </w:r>
      <w:r>
        <w:rPr>
          <w:rFonts w:hint="eastAsia" w:ascii="Times New Roman" w:hAnsi="Times New Roman"/>
          <w:b/>
          <w:color w:val="000000"/>
          <w:kern w:val="0"/>
          <w:sz w:val="24"/>
        </w:rPr>
        <w:t>差错更正的说明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本基金在本报告期内未发生重大会计差错更正。</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7.4.6 </w:t>
      </w:r>
      <w:r>
        <w:rPr>
          <w:rFonts w:hint="eastAsia" w:ascii="Times New Roman" w:hAnsi="Times New Roman"/>
          <w:b/>
          <w:color w:val="000000"/>
          <w:kern w:val="0"/>
          <w:sz w:val="24"/>
        </w:rPr>
        <w:t>税项</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根据财税字</w:t>
      </w:r>
      <w:r>
        <w:rPr>
          <w:rFonts w:hint="default" w:ascii="Times New Roman" w:hAnsi="Times New Roman"/>
          <w:color w:val="000000"/>
          <w:kern w:val="0"/>
          <w:sz w:val="24"/>
        </w:rPr>
        <w:t>[1998]55</w:t>
      </w:r>
      <w:r>
        <w:rPr>
          <w:rFonts w:hint="eastAsia" w:ascii="Times New Roman" w:hAnsi="Times New Roman"/>
          <w:color w:val="000000"/>
          <w:kern w:val="0"/>
          <w:sz w:val="24"/>
        </w:rPr>
        <w:t>号文《财政部、国家税务总局关于证券投资基金税收问题的通知》、财税</w:t>
      </w:r>
      <w:r>
        <w:rPr>
          <w:rFonts w:hint="default" w:ascii="Times New Roman" w:hAnsi="Times New Roman"/>
          <w:color w:val="000000"/>
          <w:kern w:val="0"/>
          <w:sz w:val="24"/>
        </w:rPr>
        <w:t>[2002]128</w:t>
      </w:r>
      <w:r>
        <w:rPr>
          <w:rFonts w:hint="eastAsia" w:ascii="Times New Roman" w:hAnsi="Times New Roman"/>
          <w:color w:val="000000"/>
          <w:kern w:val="0"/>
          <w:sz w:val="24"/>
        </w:rPr>
        <w:t>号文《关于开放式证券投资基金有关税收问题的通知》、财税</w:t>
      </w:r>
      <w:r>
        <w:rPr>
          <w:rFonts w:hint="default" w:ascii="Times New Roman" w:hAnsi="Times New Roman"/>
          <w:color w:val="000000"/>
          <w:kern w:val="0"/>
          <w:sz w:val="24"/>
        </w:rPr>
        <w:t>[2004]78</w:t>
      </w:r>
      <w:r>
        <w:rPr>
          <w:rFonts w:hint="eastAsia" w:ascii="Times New Roman" w:hAnsi="Times New Roman"/>
          <w:color w:val="000000"/>
          <w:kern w:val="0"/>
          <w:sz w:val="24"/>
        </w:rPr>
        <w:t>号文《关于证券投资基金税收政策的通知》、财税</w:t>
      </w:r>
      <w:r>
        <w:rPr>
          <w:rFonts w:hint="default" w:ascii="Times New Roman" w:hAnsi="Times New Roman"/>
          <w:color w:val="000000"/>
          <w:kern w:val="0"/>
          <w:sz w:val="24"/>
        </w:rPr>
        <w:t>[2012]85</w:t>
      </w:r>
      <w:r>
        <w:rPr>
          <w:rFonts w:hint="eastAsia" w:ascii="Times New Roman" w:hAnsi="Times New Roman"/>
          <w:color w:val="000000"/>
          <w:kern w:val="0"/>
          <w:sz w:val="24"/>
        </w:rPr>
        <w:t>号文《财政部、国家税务总局、证监会关于实施上市公司股息红利差别化个人所得税政策有关问题的通知》、财税</w:t>
      </w:r>
      <w:r>
        <w:rPr>
          <w:rFonts w:hint="default" w:ascii="Times New Roman" w:hAnsi="Times New Roman"/>
          <w:color w:val="000000"/>
          <w:kern w:val="0"/>
          <w:sz w:val="24"/>
        </w:rPr>
        <w:t>[2015]101</w:t>
      </w:r>
      <w:r>
        <w:rPr>
          <w:rFonts w:hint="eastAsia" w:ascii="Times New Roman" w:hAnsi="Times New Roman"/>
          <w:color w:val="000000"/>
          <w:kern w:val="0"/>
          <w:sz w:val="24"/>
        </w:rPr>
        <w:t>号《财政部</w:t>
      </w:r>
      <w:r>
        <w:rPr>
          <w:rFonts w:hint="default" w:ascii="Times New Roman" w:hAnsi="Times New Roman"/>
          <w:color w:val="000000"/>
          <w:kern w:val="0"/>
          <w:sz w:val="24"/>
        </w:rPr>
        <w:t xml:space="preserve"> </w:t>
      </w:r>
      <w:r>
        <w:rPr>
          <w:rFonts w:hint="eastAsia" w:ascii="Times New Roman" w:hAnsi="Times New Roman"/>
          <w:color w:val="000000"/>
          <w:kern w:val="0"/>
          <w:sz w:val="24"/>
        </w:rPr>
        <w:t>国家税务总局</w:t>
      </w:r>
      <w:r>
        <w:rPr>
          <w:rFonts w:hint="default" w:ascii="Times New Roman" w:hAnsi="Times New Roman"/>
          <w:color w:val="000000"/>
          <w:kern w:val="0"/>
          <w:sz w:val="24"/>
        </w:rPr>
        <w:t xml:space="preserve"> </w:t>
      </w:r>
      <w:r>
        <w:rPr>
          <w:rFonts w:hint="eastAsia" w:ascii="Times New Roman" w:hAnsi="Times New Roman"/>
          <w:color w:val="000000"/>
          <w:kern w:val="0"/>
          <w:sz w:val="24"/>
        </w:rPr>
        <w:t>证监会关于上市公司股息红利差别化个人所得税政策有关问题的通知》、财税</w:t>
      </w:r>
      <w:r>
        <w:rPr>
          <w:rFonts w:hint="default" w:ascii="Times New Roman" w:hAnsi="Times New Roman"/>
          <w:color w:val="000000"/>
          <w:kern w:val="0"/>
          <w:sz w:val="24"/>
        </w:rPr>
        <w:t>[2005]103</w:t>
      </w:r>
      <w:r>
        <w:rPr>
          <w:rFonts w:hint="eastAsia" w:ascii="Times New Roman" w:hAnsi="Times New Roman"/>
          <w:color w:val="000000"/>
          <w:kern w:val="0"/>
          <w:sz w:val="24"/>
        </w:rPr>
        <w:t>号文《关于股权分置试点改革有关税收政策问题的通知》、上证交字</w:t>
      </w:r>
      <w:r>
        <w:rPr>
          <w:rFonts w:hint="default" w:ascii="Times New Roman" w:hAnsi="Times New Roman"/>
          <w:color w:val="000000"/>
          <w:kern w:val="0"/>
          <w:sz w:val="24"/>
        </w:rPr>
        <w:t>[2008]16</w:t>
      </w:r>
      <w:r>
        <w:rPr>
          <w:rFonts w:hint="eastAsia" w:ascii="Times New Roman" w:hAnsi="Times New Roman"/>
          <w:color w:val="000000"/>
          <w:kern w:val="0"/>
          <w:sz w:val="24"/>
        </w:rPr>
        <w:t>号《关于做好调整证券交易印花税税率相关工作的通知》及深圳证券交易所于</w:t>
      </w:r>
      <w:r>
        <w:rPr>
          <w:rFonts w:hint="default" w:ascii="Times New Roman" w:hAnsi="Times New Roman"/>
          <w:color w:val="000000"/>
          <w:kern w:val="0"/>
          <w:sz w:val="24"/>
        </w:rPr>
        <w:t>2008</w:t>
      </w:r>
      <w:r>
        <w:rPr>
          <w:rFonts w:hint="eastAsia" w:ascii="Times New Roman" w:hAnsi="Times New Roman"/>
          <w:color w:val="000000"/>
          <w:kern w:val="0"/>
          <w:sz w:val="24"/>
        </w:rPr>
        <w:t>年</w:t>
      </w:r>
      <w:r>
        <w:rPr>
          <w:rFonts w:hint="default" w:ascii="Times New Roman" w:hAnsi="Times New Roman"/>
          <w:color w:val="000000"/>
          <w:kern w:val="0"/>
          <w:sz w:val="24"/>
        </w:rPr>
        <w:t>9</w:t>
      </w:r>
      <w:r>
        <w:rPr>
          <w:rFonts w:hint="eastAsia" w:ascii="Times New Roman" w:hAnsi="Times New Roman"/>
          <w:color w:val="000000"/>
          <w:kern w:val="0"/>
          <w:sz w:val="24"/>
        </w:rPr>
        <w:t>月</w:t>
      </w:r>
      <w:r>
        <w:rPr>
          <w:rFonts w:hint="default" w:ascii="Times New Roman" w:hAnsi="Times New Roman"/>
          <w:color w:val="000000"/>
          <w:kern w:val="0"/>
          <w:sz w:val="24"/>
        </w:rPr>
        <w:t>18</w:t>
      </w:r>
      <w:r>
        <w:rPr>
          <w:rFonts w:hint="eastAsia" w:ascii="Times New Roman" w:hAnsi="Times New Roman"/>
          <w:color w:val="000000"/>
          <w:kern w:val="0"/>
          <w:sz w:val="24"/>
        </w:rPr>
        <w:t>日发布的《深圳证券交易所关于做好证券交易印花税征收方式调整工作的通知》、财税</w:t>
      </w:r>
      <w:r>
        <w:rPr>
          <w:rFonts w:hint="default" w:ascii="Times New Roman" w:hAnsi="Times New Roman"/>
          <w:color w:val="000000"/>
          <w:kern w:val="0"/>
          <w:sz w:val="24"/>
        </w:rPr>
        <w:t xml:space="preserve"> [2008]1</w:t>
      </w:r>
      <w:r>
        <w:rPr>
          <w:rFonts w:hint="eastAsia" w:ascii="Times New Roman" w:hAnsi="Times New Roman"/>
          <w:color w:val="000000"/>
          <w:kern w:val="0"/>
          <w:sz w:val="24"/>
        </w:rPr>
        <w:t>号文《财政部、国家税务总局关于企业所得税若干优惠政策的通知》、财税</w:t>
      </w:r>
      <w:r>
        <w:rPr>
          <w:rFonts w:hint="default" w:ascii="Times New Roman" w:hAnsi="Times New Roman"/>
          <w:color w:val="000000"/>
          <w:kern w:val="0"/>
          <w:sz w:val="24"/>
        </w:rPr>
        <w:t>[2016]36</w:t>
      </w:r>
      <w:r>
        <w:rPr>
          <w:rFonts w:hint="eastAsia" w:ascii="Times New Roman" w:hAnsi="Times New Roman"/>
          <w:color w:val="000000"/>
          <w:kern w:val="0"/>
          <w:sz w:val="24"/>
        </w:rPr>
        <w:t>号文《财政部、国家税务总局关于全面推开营业税改征增值税试点的通知》、财税</w:t>
      </w:r>
      <w:r>
        <w:rPr>
          <w:rFonts w:hint="default" w:ascii="Times New Roman" w:hAnsi="Times New Roman"/>
          <w:color w:val="000000"/>
          <w:kern w:val="0"/>
          <w:sz w:val="24"/>
        </w:rPr>
        <w:t>[2016]140</w:t>
      </w:r>
      <w:r>
        <w:rPr>
          <w:rFonts w:hint="eastAsia" w:ascii="Times New Roman" w:hAnsi="Times New Roman"/>
          <w:color w:val="000000"/>
          <w:kern w:val="0"/>
          <w:sz w:val="24"/>
        </w:rPr>
        <w:t>号文《关于明确金融、房地产开发、教育辅助服务等增值税政策的通知》、财税</w:t>
      </w:r>
      <w:r>
        <w:rPr>
          <w:rFonts w:hint="default" w:ascii="Times New Roman" w:hAnsi="Times New Roman"/>
          <w:color w:val="000000"/>
          <w:kern w:val="0"/>
          <w:sz w:val="24"/>
        </w:rPr>
        <w:t>[2017]2</w:t>
      </w:r>
      <w:r>
        <w:rPr>
          <w:rFonts w:hint="eastAsia" w:ascii="Times New Roman" w:hAnsi="Times New Roman"/>
          <w:color w:val="000000"/>
          <w:kern w:val="0"/>
          <w:sz w:val="24"/>
        </w:rPr>
        <w:t>号文《关于资管产品增值税政策有关问题的补充通知》、财税</w:t>
      </w:r>
      <w:r>
        <w:rPr>
          <w:rFonts w:hint="default" w:ascii="Times New Roman" w:hAnsi="Times New Roman"/>
          <w:color w:val="000000"/>
          <w:kern w:val="0"/>
          <w:sz w:val="24"/>
        </w:rPr>
        <w:t>[2015] 125</w:t>
      </w:r>
      <w:r>
        <w:rPr>
          <w:rFonts w:hint="eastAsia" w:ascii="Times New Roman" w:hAnsi="Times New Roman"/>
          <w:color w:val="000000"/>
          <w:kern w:val="0"/>
          <w:sz w:val="24"/>
        </w:rPr>
        <w:t>号文《关于内地与香港基金互认有关税收政策的通知》及其他相关税务法规和实务操作，本基金适用的主要税项列示如下：</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以发行基金方式募集资金，不属于营业税征收范围，不征收营业税。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(b)</w:t>
      </w:r>
      <w:r>
        <w:rPr>
          <w:rFonts w:hint="eastAsia" w:ascii="Times New Roman" w:hAnsi="Times New Roman"/>
          <w:color w:val="000000"/>
          <w:kern w:val="0"/>
          <w:sz w:val="24"/>
        </w:rPr>
        <w:t>证券投资基金管理人运用基金买卖股票、债券的差价收入暂免征收营业税和企业所得税。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(c)</w:t>
      </w:r>
      <w:r>
        <w:rPr>
          <w:rFonts w:hint="eastAsia" w:ascii="Times New Roman" w:hAnsi="Times New Roman"/>
          <w:color w:val="000000"/>
          <w:kern w:val="0"/>
          <w:sz w:val="24"/>
        </w:rPr>
        <w:t>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日起，在全国范围内全面推开营业税改征增值税</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以下称营改增</w:t>
      </w:r>
      <w:r>
        <w:rPr>
          <w:rFonts w:hint="default" w:ascii="Times New Roman" w:hAnsi="Times New Roman"/>
          <w:color w:val="000000"/>
          <w:kern w:val="0"/>
          <w:sz w:val="24"/>
        </w:rPr>
        <w:t xml:space="preserve">) </w:t>
      </w:r>
      <w:r>
        <w:rPr>
          <w:rFonts w:hint="eastAsia" w:ascii="Times New Roman" w:hAnsi="Times New Roman"/>
          <w:color w:val="000000"/>
          <w:kern w:val="0"/>
          <w:sz w:val="24"/>
        </w:rPr>
        <w:t>试点</w:t>
      </w:r>
      <w:r>
        <w:rPr>
          <w:rFonts w:hint="default" w:ascii="Times New Roman" w:hAnsi="Times New Roman"/>
          <w:color w:val="000000"/>
          <w:kern w:val="0"/>
          <w:sz w:val="24"/>
        </w:rPr>
        <w:t xml:space="preserve">, </w:t>
      </w:r>
      <w:r>
        <w:rPr>
          <w:rFonts w:hint="eastAsia" w:ascii="Times New Roman" w:hAnsi="Times New Roman"/>
          <w:color w:val="000000"/>
          <w:kern w:val="0"/>
          <w:sz w:val="24"/>
        </w:rPr>
        <w:t>建筑业、房地产业、金融业、生活服务业等全部营业税纳税人</w:t>
      </w:r>
      <w:r>
        <w:rPr>
          <w:rFonts w:hint="default" w:ascii="Times New Roman" w:hAnsi="Times New Roman"/>
          <w:color w:val="000000"/>
          <w:kern w:val="0"/>
          <w:sz w:val="24"/>
        </w:rPr>
        <w:t xml:space="preserve">, </w:t>
      </w:r>
      <w:r>
        <w:rPr>
          <w:rFonts w:hint="eastAsia" w:ascii="Times New Roman" w:hAnsi="Times New Roman"/>
          <w:color w:val="000000"/>
          <w:kern w:val="0"/>
          <w:sz w:val="24"/>
        </w:rPr>
        <w:t>纳入试点范围，由缴纳营业税改为缴纳增值税。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封闭式证券投资基金，开放式证券投资基金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管理人运用基金买卖股票、债券收入免征增值税。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对香港市场投资者</w:t>
      </w:r>
      <w:r>
        <w:rPr>
          <w:rFonts w:hint="default" w:ascii="Times New Roman" w:hAnsi="Times New Roman"/>
          <w:color w:val="000000"/>
          <w:kern w:val="0"/>
          <w:sz w:val="24"/>
        </w:rPr>
        <w:t xml:space="preserve"> (</w:t>
      </w:r>
      <w:r>
        <w:rPr>
          <w:rFonts w:hint="eastAsia" w:ascii="Times New Roman" w:hAnsi="Times New Roman"/>
          <w:color w:val="000000"/>
          <w:kern w:val="0"/>
          <w:sz w:val="24"/>
        </w:rPr>
        <w:t>包括单位和个人</w:t>
      </w:r>
      <w:r>
        <w:rPr>
          <w:rFonts w:hint="default" w:ascii="Times New Roman" w:hAnsi="Times New Roman"/>
          <w:color w:val="000000"/>
          <w:kern w:val="0"/>
          <w:sz w:val="24"/>
        </w:rPr>
        <w:t xml:space="preserve">) </w:t>
      </w:r>
      <w:r>
        <w:rPr>
          <w:rFonts w:hint="eastAsia" w:ascii="Times New Roman" w:hAnsi="Times New Roman"/>
          <w:color w:val="000000"/>
          <w:kern w:val="0"/>
          <w:sz w:val="24"/>
        </w:rPr>
        <w:t>通过基金互认买卖内地基金份额免征增值税。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w:t>
      </w:r>
      <w:r>
        <w:rPr>
          <w:rFonts w:hint="default" w:ascii="Times New Roman" w:hAnsi="Times New Roman"/>
          <w:color w:val="000000"/>
          <w:kern w:val="0"/>
          <w:sz w:val="24"/>
        </w:rPr>
        <w:t xml:space="preserve"> (</w:t>
      </w:r>
      <w:r>
        <w:rPr>
          <w:rFonts w:hint="eastAsia" w:ascii="Times New Roman" w:hAnsi="Times New Roman"/>
          <w:color w:val="000000"/>
          <w:kern w:val="0"/>
          <w:sz w:val="24"/>
        </w:rPr>
        <w:t>含</w:t>
      </w:r>
      <w:r>
        <w:rPr>
          <w:rFonts w:hint="default" w:ascii="Times New Roman" w:hAnsi="Times New Roman"/>
          <w:color w:val="000000"/>
          <w:kern w:val="0"/>
          <w:sz w:val="24"/>
        </w:rPr>
        <w:t xml:space="preserve">) </w:t>
      </w:r>
      <w:r>
        <w:rPr>
          <w:rFonts w:hint="eastAsia" w:ascii="Times New Roman" w:hAnsi="Times New Roman"/>
          <w:color w:val="000000"/>
          <w:kern w:val="0"/>
          <w:sz w:val="24"/>
        </w:rPr>
        <w:t>以后，资管产品运营过程中发生的增值税应税行为，以资管产品管理人为增值税纳税人，按照现行规定缴纳增值税。对资管产品在</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日前运营过程中发生的增值税应税行为，未缴纳增值税的，不再缴纳；已缴纳增值税的，已纳税额从资管产品管理人以后月份的增值税应纳税额中抵减。因此，截至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日，本基金没有计提有关增值税费用。</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(d)</w:t>
      </w:r>
      <w:r>
        <w:rPr>
          <w:rFonts w:hint="eastAsia" w:ascii="Times New Roman" w:hAnsi="Times New Roman"/>
          <w:color w:val="000000"/>
          <w:kern w:val="0"/>
          <w:sz w:val="24"/>
        </w:rPr>
        <w:t>基金作为流通股股东在股权分置改革过程中收到由非流通股股东支付的股份、现金对价，暂免征收印花税、企业所得税和个人所得税。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(e)</w:t>
      </w:r>
      <w:r>
        <w:rPr>
          <w:rFonts w:hint="eastAsia" w:ascii="Times New Roman" w:hAnsi="Times New Roman"/>
          <w:color w:val="000000"/>
          <w:kern w:val="0"/>
          <w:sz w:val="24"/>
        </w:rPr>
        <w:t>对基金取得的股票的股息、红利收入，债券的利息收入，由上市公司、发行债券的企业在向基金支付上述收入时代扣代缴</w:t>
      </w:r>
      <w:r>
        <w:rPr>
          <w:rFonts w:hint="default" w:ascii="Times New Roman" w:hAnsi="Times New Roman"/>
          <w:color w:val="000000"/>
          <w:kern w:val="0"/>
          <w:sz w:val="24"/>
        </w:rPr>
        <w:t>20%</w:t>
      </w:r>
      <w:r>
        <w:rPr>
          <w:rFonts w:hint="eastAsia" w:ascii="Times New Roman" w:hAnsi="Times New Roman"/>
          <w:color w:val="000000"/>
          <w:kern w:val="0"/>
          <w:sz w:val="24"/>
        </w:rPr>
        <w:t>的个人所得税。自</w:t>
      </w:r>
      <w:r>
        <w:rPr>
          <w:rFonts w:hint="default" w:ascii="Times New Roman" w:hAnsi="Times New Roman"/>
          <w:color w:val="000000"/>
          <w:kern w:val="0"/>
          <w:sz w:val="24"/>
        </w:rPr>
        <w:t>2013</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日起，对所取得的股息红利收入根据持股期限差别化计算个人所得税的应纳税所得额：持股期限在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个月以内</w:t>
      </w:r>
      <w:r>
        <w:rPr>
          <w:rFonts w:hint="default" w:ascii="Times New Roman" w:hAnsi="Times New Roman"/>
          <w:color w:val="000000"/>
          <w:kern w:val="0"/>
          <w:sz w:val="24"/>
        </w:rPr>
        <w:t xml:space="preserve"> (</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个月</w:t>
      </w:r>
      <w:r>
        <w:rPr>
          <w:rFonts w:hint="default" w:ascii="Times New Roman" w:hAnsi="Times New Roman"/>
          <w:color w:val="000000"/>
          <w:kern w:val="0"/>
          <w:sz w:val="24"/>
        </w:rPr>
        <w:t xml:space="preserve">) </w:t>
      </w:r>
      <w:r>
        <w:rPr>
          <w:rFonts w:hint="eastAsia" w:ascii="Times New Roman" w:hAnsi="Times New Roman"/>
          <w:color w:val="000000"/>
          <w:kern w:val="0"/>
          <w:sz w:val="24"/>
        </w:rPr>
        <w:t>的，其股息红利所得全额计入应纳税所得额；持股期限在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个月以上至</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 xml:space="preserve"> (</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 xml:space="preserve">) </w:t>
      </w:r>
      <w:r>
        <w:rPr>
          <w:rFonts w:hint="eastAsia" w:ascii="Times New Roman" w:hAnsi="Times New Roman"/>
          <w:color w:val="000000"/>
          <w:kern w:val="0"/>
          <w:sz w:val="24"/>
        </w:rPr>
        <w:t>的，暂减按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计入应纳税所得额；持股期限超过</w:t>
      </w:r>
      <w:r>
        <w:rPr>
          <w:rFonts w:hint="default" w:ascii="Times New Roman" w:hAnsi="Times New Roman"/>
          <w:color w:val="000000"/>
          <w:kern w:val="0"/>
          <w:sz w:val="24"/>
        </w:rPr>
        <w:t>1</w:t>
      </w:r>
      <w:r>
        <w:rPr>
          <w:rFonts w:hint="eastAsia" w:ascii="Times New Roman" w:hAnsi="Times New Roman"/>
          <w:color w:val="000000"/>
          <w:kern w:val="0"/>
          <w:sz w:val="24"/>
        </w:rPr>
        <w:t>年的，股权登记日为自</w:t>
      </w:r>
      <w:r>
        <w:rPr>
          <w:rFonts w:hint="default" w:ascii="Times New Roman" w:hAnsi="Times New Roman"/>
          <w:color w:val="000000"/>
          <w:kern w:val="0"/>
          <w:sz w:val="24"/>
        </w:rPr>
        <w:t>2013</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9</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日期间的，暂减按</w:t>
      </w:r>
      <w:r>
        <w:rPr>
          <w:rFonts w:hint="default" w:ascii="Times New Roman" w:hAnsi="Times New Roman"/>
          <w:color w:val="000000"/>
          <w:kern w:val="0"/>
          <w:sz w:val="24"/>
        </w:rPr>
        <w:t>25%</w:t>
      </w:r>
      <w:r>
        <w:rPr>
          <w:rFonts w:hint="eastAsia" w:ascii="Times New Roman" w:hAnsi="Times New Roman"/>
          <w:color w:val="000000"/>
          <w:kern w:val="0"/>
          <w:sz w:val="24"/>
        </w:rPr>
        <w:t>计入应纳税所得额，股权登记日在</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9</w:t>
      </w:r>
      <w:r>
        <w:rPr>
          <w:rFonts w:hint="eastAsia" w:ascii="Times New Roman" w:hAnsi="Times New Roman"/>
          <w:color w:val="000000"/>
          <w:kern w:val="0"/>
          <w:sz w:val="24"/>
        </w:rPr>
        <w:t>月</w:t>
      </w:r>
      <w:r>
        <w:rPr>
          <w:rFonts w:hint="default" w:ascii="Times New Roman" w:hAnsi="Times New Roman"/>
          <w:color w:val="000000"/>
          <w:kern w:val="0"/>
          <w:sz w:val="24"/>
        </w:rPr>
        <w:t>8</w:t>
      </w:r>
      <w:r>
        <w:rPr>
          <w:rFonts w:hint="eastAsia" w:ascii="Times New Roman" w:hAnsi="Times New Roman"/>
          <w:color w:val="000000"/>
          <w:kern w:val="0"/>
          <w:sz w:val="24"/>
        </w:rPr>
        <w:t>日及以后的，暂免征收个人所得税。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(f)</w:t>
      </w:r>
      <w:r>
        <w:rPr>
          <w:rFonts w:hint="eastAsia" w:ascii="Times New Roman" w:hAnsi="Times New Roman"/>
          <w:color w:val="000000"/>
          <w:kern w:val="0"/>
          <w:sz w:val="24"/>
        </w:rPr>
        <w:t>关于香港市场投资者通过基金互认买卖内地基金份额的所得税问题：</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对香港市场投资者</w:t>
      </w:r>
      <w:r>
        <w:rPr>
          <w:rFonts w:hint="default" w:ascii="Times New Roman" w:hAnsi="Times New Roman"/>
          <w:color w:val="000000"/>
          <w:kern w:val="0"/>
          <w:sz w:val="24"/>
        </w:rPr>
        <w:t xml:space="preserve"> (</w:t>
      </w:r>
      <w:r>
        <w:rPr>
          <w:rFonts w:hint="eastAsia" w:ascii="Times New Roman" w:hAnsi="Times New Roman"/>
          <w:color w:val="000000"/>
          <w:kern w:val="0"/>
          <w:sz w:val="24"/>
        </w:rPr>
        <w:t>包括企业和个人</w:t>
      </w:r>
      <w:r>
        <w:rPr>
          <w:rFonts w:hint="default" w:ascii="Times New Roman" w:hAnsi="Times New Roman"/>
          <w:color w:val="000000"/>
          <w:kern w:val="0"/>
          <w:sz w:val="24"/>
        </w:rPr>
        <w:t xml:space="preserve">) </w:t>
      </w:r>
      <w:r>
        <w:rPr>
          <w:rFonts w:hint="eastAsia" w:ascii="Times New Roman" w:hAnsi="Times New Roman"/>
          <w:color w:val="000000"/>
          <w:kern w:val="0"/>
          <w:sz w:val="24"/>
        </w:rPr>
        <w:t>通过基金互认买卖内地基金份额取得的转让差价所得，暂免征收所得税。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对香港市场投资者</w:t>
      </w:r>
      <w:r>
        <w:rPr>
          <w:rFonts w:hint="default" w:ascii="Times New Roman" w:hAnsi="Times New Roman"/>
          <w:color w:val="000000"/>
          <w:kern w:val="0"/>
          <w:sz w:val="24"/>
        </w:rPr>
        <w:t xml:space="preserve"> (</w:t>
      </w:r>
      <w:r>
        <w:rPr>
          <w:rFonts w:hint="eastAsia" w:ascii="Times New Roman" w:hAnsi="Times New Roman"/>
          <w:color w:val="000000"/>
          <w:kern w:val="0"/>
          <w:sz w:val="24"/>
        </w:rPr>
        <w:t>包括企业和个人</w:t>
      </w:r>
      <w:r>
        <w:rPr>
          <w:rFonts w:hint="default" w:ascii="Times New Roman" w:hAnsi="Times New Roman"/>
          <w:color w:val="000000"/>
          <w:kern w:val="0"/>
          <w:sz w:val="24"/>
        </w:rPr>
        <w:t xml:space="preserve">) </w:t>
      </w:r>
      <w:r>
        <w:rPr>
          <w:rFonts w:hint="eastAsia" w:ascii="Times New Roman" w:hAnsi="Times New Roman"/>
          <w:color w:val="000000"/>
          <w:kern w:val="0"/>
          <w:sz w:val="24"/>
        </w:rPr>
        <w:t>通过基金互认从内地基金分配取得的收益，由内地上市公司向该内地基金分配股息红利时</w:t>
      </w:r>
      <w:r>
        <w:rPr>
          <w:rFonts w:hint="default" w:ascii="Times New Roman" w:hAnsi="Times New Roman"/>
          <w:color w:val="000000"/>
          <w:kern w:val="0"/>
          <w:sz w:val="24"/>
        </w:rPr>
        <w:t>,</w:t>
      </w:r>
      <w:r>
        <w:rPr>
          <w:rFonts w:hint="eastAsia" w:ascii="Times New Roman" w:hAnsi="Times New Roman"/>
          <w:color w:val="000000"/>
          <w:kern w:val="0"/>
          <w:sz w:val="24"/>
        </w:rPr>
        <w:t>对香港市场投资者按照</w:t>
      </w:r>
      <w:r>
        <w:rPr>
          <w:rFonts w:hint="default" w:ascii="Times New Roman" w:hAnsi="Times New Roman"/>
          <w:color w:val="000000"/>
          <w:kern w:val="0"/>
          <w:sz w:val="24"/>
        </w:rPr>
        <w:t>10%</w:t>
      </w:r>
      <w:r>
        <w:rPr>
          <w:rFonts w:hint="eastAsia" w:ascii="Times New Roman" w:hAnsi="Times New Roman"/>
          <w:color w:val="000000"/>
          <w:kern w:val="0"/>
          <w:sz w:val="24"/>
        </w:rPr>
        <w:t>的税率代扣所得税；或发行债券的企业向该内地基金分配利息时</w:t>
      </w:r>
      <w:r>
        <w:rPr>
          <w:rFonts w:hint="default" w:ascii="Times New Roman" w:hAnsi="Times New Roman"/>
          <w:color w:val="000000"/>
          <w:kern w:val="0"/>
          <w:sz w:val="24"/>
        </w:rPr>
        <w:t xml:space="preserve">, </w:t>
      </w:r>
      <w:r>
        <w:rPr>
          <w:rFonts w:hint="eastAsia" w:ascii="Times New Roman" w:hAnsi="Times New Roman"/>
          <w:color w:val="000000"/>
          <w:kern w:val="0"/>
          <w:sz w:val="24"/>
        </w:rPr>
        <w:t>对香港市场投资者按照</w:t>
      </w:r>
      <w:r>
        <w:rPr>
          <w:rFonts w:hint="default" w:ascii="Times New Roman" w:hAnsi="Times New Roman"/>
          <w:color w:val="000000"/>
          <w:kern w:val="0"/>
          <w:sz w:val="24"/>
        </w:rPr>
        <w:t>7%</w:t>
      </w:r>
      <w:r>
        <w:rPr>
          <w:rFonts w:hint="eastAsia" w:ascii="Times New Roman" w:hAnsi="Times New Roman"/>
          <w:color w:val="000000"/>
          <w:kern w:val="0"/>
          <w:sz w:val="24"/>
        </w:rPr>
        <w:t>的税率代扣所得税，并由内地上市公司或发行债券的企业向其主管税务机关办理扣缴申报。该内地基金向投资者分配收益时</w:t>
      </w:r>
      <w:r>
        <w:rPr>
          <w:rFonts w:hint="default" w:ascii="Times New Roman" w:hAnsi="Times New Roman"/>
          <w:color w:val="000000"/>
          <w:kern w:val="0"/>
          <w:sz w:val="24"/>
        </w:rPr>
        <w:t>,</w:t>
      </w:r>
      <w:r>
        <w:rPr>
          <w:rFonts w:hint="eastAsia" w:ascii="Times New Roman" w:hAnsi="Times New Roman"/>
          <w:color w:val="000000"/>
          <w:kern w:val="0"/>
          <w:sz w:val="24"/>
        </w:rPr>
        <w:t>不再扣缴所得税。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内地基金管理人应当向相关证券登记结算机构提供内地基金的香港市场投资者的相关信息。</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(g)</w:t>
      </w:r>
      <w:r>
        <w:rPr>
          <w:rFonts w:hint="eastAsia" w:ascii="Times New Roman" w:hAnsi="Times New Roman"/>
          <w:color w:val="000000"/>
          <w:kern w:val="0"/>
          <w:sz w:val="24"/>
        </w:rPr>
        <w:t>基金卖出股票按</w:t>
      </w:r>
      <w:r>
        <w:rPr>
          <w:rFonts w:hint="default" w:ascii="Times New Roman" w:hAnsi="Times New Roman"/>
          <w:color w:val="000000"/>
          <w:kern w:val="0"/>
          <w:sz w:val="24"/>
        </w:rPr>
        <w:t>0.1%</w:t>
      </w:r>
      <w:r>
        <w:rPr>
          <w:rFonts w:hint="eastAsia" w:ascii="Times New Roman" w:hAnsi="Times New Roman"/>
          <w:color w:val="000000"/>
          <w:kern w:val="0"/>
          <w:sz w:val="24"/>
        </w:rPr>
        <w:t>的税率缴纳股票交易印花税，买入股票不征收股票交易印花税。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(h)</w:t>
      </w:r>
      <w:r>
        <w:rPr>
          <w:rFonts w:hint="eastAsia" w:ascii="Times New Roman" w:hAnsi="Times New Roman"/>
          <w:color w:val="000000"/>
          <w:kern w:val="0"/>
          <w:sz w:val="24"/>
        </w:rPr>
        <w:t>对投资者</w:t>
      </w:r>
      <w:r>
        <w:rPr>
          <w:rFonts w:hint="default" w:ascii="Times New Roman" w:hAnsi="Times New Roman"/>
          <w:color w:val="000000"/>
          <w:kern w:val="0"/>
          <w:sz w:val="24"/>
        </w:rPr>
        <w:t xml:space="preserve"> (</w:t>
      </w:r>
      <w:r>
        <w:rPr>
          <w:rFonts w:hint="eastAsia" w:ascii="Times New Roman" w:hAnsi="Times New Roman"/>
          <w:color w:val="000000"/>
          <w:kern w:val="0"/>
          <w:sz w:val="24"/>
        </w:rPr>
        <w:t>包括个人和机构投资者</w:t>
      </w:r>
      <w:r>
        <w:rPr>
          <w:rFonts w:hint="default" w:ascii="Times New Roman" w:hAnsi="Times New Roman"/>
          <w:color w:val="000000"/>
          <w:kern w:val="0"/>
          <w:sz w:val="24"/>
        </w:rPr>
        <w:t xml:space="preserve">) </w:t>
      </w:r>
      <w:r>
        <w:rPr>
          <w:rFonts w:hint="eastAsia" w:ascii="Times New Roman" w:hAnsi="Times New Roman"/>
          <w:color w:val="000000"/>
          <w:kern w:val="0"/>
          <w:sz w:val="24"/>
        </w:rPr>
        <w:t>从基金分配中取得的收入，暂不征收个人所得税和企业所得税。</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 </w:t>
      </w:r>
      <w:r>
        <w:rPr>
          <w:rFonts w:hint="eastAsia" w:ascii="Times New Roman" w:hAnsi="Times New Roman"/>
          <w:b/>
          <w:color w:val="000000"/>
          <w:kern w:val="0"/>
          <w:sz w:val="24"/>
        </w:rPr>
        <w:t>重要财务报表项目的说明</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 </w:t>
      </w:r>
      <w:r>
        <w:rPr>
          <w:rFonts w:hint="eastAsia" w:ascii="Times New Roman" w:hAnsi="Times New Roman"/>
          <w:b/>
          <w:color w:val="000000"/>
          <w:kern w:val="0"/>
          <w:sz w:val="24"/>
        </w:rPr>
        <w:t>银行存款</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6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活期存款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8,357,181.56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定期存款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其中：存款期限</w:t>
            </w:r>
            <w:r>
              <w:rPr>
                <w:rFonts w:hint="default" w:ascii="Times New Roman" w:hAnsi="Times New Roman"/>
                <w:color w:val="000000"/>
                <w:kern w:val="0"/>
                <w:sz w:val="24"/>
              </w:rPr>
              <w:t>1-3</w:t>
            </w:r>
            <w:r>
              <w:rPr>
                <w:rFonts w:hint="eastAsia" w:ascii="Times New Roman" w:hAnsi="Times New Roman"/>
                <w:color w:val="000000"/>
                <w:kern w:val="0"/>
                <w:sz w:val="24"/>
              </w:rPr>
              <w:t>个月</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其他存款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8,357,181.56</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7.4.7.2 </w:t>
      </w:r>
      <w:r>
        <w:rPr>
          <w:rFonts w:hint="eastAsia" w:ascii="Times New Roman" w:hAnsi="Times New Roman"/>
          <w:b/>
          <w:color w:val="000000"/>
          <w:kern w:val="0"/>
          <w:sz w:val="24"/>
        </w:rPr>
        <w:t>交易性金融资产</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80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成本</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股票</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贵金属投资</w:t>
            </w:r>
            <w:r>
              <w:rPr>
                <w:rFonts w:hint="default" w:ascii="Times New Roman" w:hAnsi="Times New Roman"/>
                <w:color w:val="000000"/>
                <w:kern w:val="0"/>
                <w:sz w:val="24"/>
              </w:rPr>
              <w:t>-</w:t>
            </w:r>
            <w:r>
              <w:rPr>
                <w:rFonts w:hint="eastAsia" w:ascii="Times New Roman" w:hAnsi="Times New Roman"/>
                <w:color w:val="000000"/>
                <w:kern w:val="0"/>
                <w:sz w:val="24"/>
              </w:rPr>
              <w:t>金交所黄金合约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债券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交易所市场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银行间市场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3,629,459,958.39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3,521,250,000.00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-108,209,958.39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3,629,459,958.39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3,521,250,000.00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-108,209,958.39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资产支持证券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624,347,337.82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618,633,700.00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-5,713,637.82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其他</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4,253,807,296.21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4,139,883,700.00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-113,923,596.21</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7.4.7.3 </w:t>
      </w:r>
      <w:r>
        <w:rPr>
          <w:rFonts w:hint="eastAsia" w:ascii="Times New Roman" w:hAnsi="Times New Roman"/>
          <w:b/>
          <w:color w:val="000000"/>
          <w:kern w:val="0"/>
          <w:sz w:val="24"/>
        </w:rPr>
        <w:t>衍生金融资产</w:t>
      </w:r>
      <w:r>
        <w:rPr>
          <w:rFonts w:hint="default" w:ascii="Times New Roman" w:hAnsi="Times New Roman"/>
          <w:b/>
          <w:color w:val="000000"/>
          <w:kern w:val="0"/>
          <w:sz w:val="24"/>
        </w:rPr>
        <w:t>/</w:t>
      </w:r>
      <w:r>
        <w:rPr>
          <w:rFonts w:hint="eastAsia" w:ascii="Times New Roman" w:hAnsi="Times New Roman"/>
          <w:b/>
          <w:color w:val="000000"/>
          <w:kern w:val="0"/>
          <w:sz w:val="24"/>
        </w:rPr>
        <w:t>负债</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本基金于本报告期末未持有衍生金融资产</w:t>
      </w:r>
      <w:r>
        <w:rPr>
          <w:rFonts w:hint="default" w:ascii="Times New Roman" w:hAnsi="Times New Roman"/>
          <w:color w:val="000000"/>
          <w:kern w:val="0"/>
          <w:sz w:val="24"/>
        </w:rPr>
        <w:t>/</w:t>
      </w:r>
      <w:r>
        <w:rPr>
          <w:rFonts w:hint="eastAsia" w:ascii="Times New Roman" w:hAnsi="Times New Roman"/>
          <w:color w:val="000000"/>
          <w:kern w:val="0"/>
          <w:sz w:val="24"/>
        </w:rPr>
        <w:t>负债。</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7.4.7.4 </w:t>
      </w:r>
      <w:r>
        <w:rPr>
          <w:rFonts w:hint="eastAsia" w:ascii="Times New Roman" w:hAnsi="Times New Roman"/>
          <w:b/>
          <w:color w:val="000000"/>
          <w:kern w:val="0"/>
          <w:sz w:val="24"/>
        </w:rPr>
        <w:t>买入返售金融资产</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7.4.7.4.1 </w:t>
      </w:r>
      <w:r>
        <w:rPr>
          <w:rFonts w:hint="eastAsia" w:ascii="Times New Roman" w:hAnsi="Times New Roman"/>
          <w:b/>
          <w:color w:val="000000"/>
          <w:kern w:val="0"/>
          <w:sz w:val="24"/>
        </w:rPr>
        <w:t>各项买入返售金融资产期末余额</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本基金于本报告期末未持有买入返售金融资产。</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7.4.7.4.2 </w:t>
      </w:r>
      <w:r>
        <w:rPr>
          <w:rFonts w:hint="eastAsia" w:ascii="Times New Roman" w:hAnsi="Times New Roman"/>
          <w:b/>
          <w:color w:val="000000"/>
          <w:kern w:val="0"/>
          <w:sz w:val="24"/>
        </w:rPr>
        <w:t>期末买断式逆回购交易中取得的债券</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本基金本报告期末无买断式逆回购交易取得的债券。</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7.4.7.5 </w:t>
      </w:r>
      <w:r>
        <w:rPr>
          <w:rFonts w:hint="eastAsia" w:ascii="Times New Roman" w:hAnsi="Times New Roman"/>
          <w:b/>
          <w:color w:val="000000"/>
          <w:kern w:val="0"/>
          <w:sz w:val="24"/>
        </w:rPr>
        <w:t>应收利息</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应收活期存款利息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应收定期存款利息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应收其他存款利息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应收结算备付金利息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应收债券利息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71,865,216.69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应收买入返售证券利息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应收申购款利息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应收黄金合约拆借孳息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2,499,461.39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74,367,483.96</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7.4.7.6 </w:t>
      </w:r>
      <w:r>
        <w:rPr>
          <w:rFonts w:hint="eastAsia" w:ascii="Times New Roman" w:hAnsi="Times New Roman"/>
          <w:b/>
          <w:color w:val="000000"/>
          <w:kern w:val="0"/>
          <w:sz w:val="24"/>
        </w:rPr>
        <w:t>其他资产</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本基金本报告期末无其他资产。</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7.4.7.7 </w:t>
      </w:r>
      <w:r>
        <w:rPr>
          <w:rFonts w:hint="eastAsia" w:ascii="Times New Roman" w:hAnsi="Times New Roman"/>
          <w:b/>
          <w:color w:val="000000"/>
          <w:kern w:val="0"/>
          <w:sz w:val="24"/>
        </w:rPr>
        <w:t>应付交易费用</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交易所市场应付交易费用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银行间市场应付交易费用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84,147.19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84,147.19</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7.4.7.8 </w:t>
      </w:r>
      <w:r>
        <w:rPr>
          <w:rFonts w:hint="eastAsia" w:ascii="Times New Roman" w:hAnsi="Times New Roman"/>
          <w:b/>
          <w:color w:val="000000"/>
          <w:kern w:val="0"/>
          <w:sz w:val="24"/>
        </w:rPr>
        <w:t>其他负债</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应付券商交易单元保证金</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应付赎回费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预提费用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137,000.00</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7.4.7.9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日（基金合同生效日）至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基金份额（份）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账面金额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基金合同生效日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200,170,231.68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200,170,231.68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本期申购</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4,215,960,537.42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4,215,960,537.42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本期赎回（以“</w:t>
            </w:r>
            <w:r>
              <w:rPr>
                <w:rFonts w:hint="default" w:ascii="Times New Roman" w:hAnsi="Times New Roman"/>
                <w:color w:val="000000"/>
                <w:kern w:val="0"/>
                <w:sz w:val="24"/>
              </w:rPr>
              <w:t>-</w:t>
            </w:r>
            <w:r>
              <w:rPr>
                <w:rFonts w:hint="eastAsia" w:ascii="Times New Roman" w:hAnsi="Times New Roman"/>
                <w:color w:val="000000"/>
                <w:kern w:val="0"/>
                <w:sz w:val="24"/>
              </w:rPr>
              <w:t>”号填列）</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-973,790,600.40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-973,790,600.40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本期末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3,442,340,168.70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3,442,340,168.70</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、申购含红利再投、转换入份</w:t>
      </w:r>
      <w:r>
        <w:rPr>
          <w:rFonts w:hint="default" w:ascii="Times New Roman" w:hAnsi="Times New Roman"/>
          <w:color w:val="000000"/>
          <w:kern w:val="0"/>
          <w:sz w:val="21"/>
        </w:rPr>
        <w:t>(</w:t>
      </w:r>
      <w:r>
        <w:rPr>
          <w:rFonts w:hint="eastAsia" w:ascii="Times New Roman" w:hAnsi="Times New Roman"/>
          <w:color w:val="000000"/>
          <w:kern w:val="0"/>
          <w:sz w:val="21"/>
        </w:rPr>
        <w:t>金</w:t>
      </w:r>
      <w:r>
        <w:rPr>
          <w:rFonts w:hint="default" w:ascii="Times New Roman" w:hAnsi="Times New Roman"/>
          <w:color w:val="000000"/>
          <w:kern w:val="0"/>
          <w:sz w:val="21"/>
        </w:rPr>
        <w:t>)</w:t>
      </w:r>
      <w:r>
        <w:rPr>
          <w:rFonts w:hint="eastAsia" w:ascii="Times New Roman" w:hAnsi="Times New Roman"/>
          <w:color w:val="000000"/>
          <w:kern w:val="0"/>
          <w:sz w:val="21"/>
        </w:rPr>
        <w:t>额；赎回含转换出份</w:t>
      </w:r>
      <w:r>
        <w:rPr>
          <w:rFonts w:hint="default" w:ascii="Times New Roman" w:hAnsi="Times New Roman"/>
          <w:color w:val="000000"/>
          <w:kern w:val="0"/>
          <w:sz w:val="21"/>
        </w:rPr>
        <w:t>(</w:t>
      </w:r>
      <w:r>
        <w:rPr>
          <w:rFonts w:hint="eastAsia" w:ascii="Times New Roman" w:hAnsi="Times New Roman"/>
          <w:color w:val="000000"/>
          <w:kern w:val="0"/>
          <w:sz w:val="21"/>
        </w:rPr>
        <w:t>金</w:t>
      </w:r>
      <w:r>
        <w:rPr>
          <w:rFonts w:hint="default" w:ascii="Times New Roman" w:hAnsi="Times New Roman"/>
          <w:color w:val="000000"/>
          <w:kern w:val="0"/>
          <w:sz w:val="21"/>
        </w:rPr>
        <w:t>)</w:t>
      </w:r>
      <w:r>
        <w:rPr>
          <w:rFonts w:hint="eastAsia" w:ascii="Times New Roman" w:hAnsi="Times New Roman"/>
          <w:color w:val="000000"/>
          <w:kern w:val="0"/>
          <w:sz w:val="21"/>
        </w:rPr>
        <w:t>额。</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、本基金自</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2</w:t>
      </w:r>
      <w:r>
        <w:rPr>
          <w:rFonts w:hint="eastAsia" w:ascii="Times New Roman" w:hAnsi="Times New Roman"/>
          <w:color w:val="000000"/>
          <w:kern w:val="0"/>
          <w:sz w:val="21"/>
        </w:rPr>
        <w:t>月</w:t>
      </w:r>
      <w:r>
        <w:rPr>
          <w:rFonts w:hint="default" w:ascii="Times New Roman" w:hAnsi="Times New Roman"/>
          <w:color w:val="000000"/>
          <w:kern w:val="0"/>
          <w:sz w:val="21"/>
        </w:rPr>
        <w:t>3</w:t>
      </w:r>
      <w:r>
        <w:rPr>
          <w:rFonts w:hint="eastAsia" w:ascii="Times New Roman" w:hAnsi="Times New Roman"/>
          <w:color w:val="000000"/>
          <w:kern w:val="0"/>
          <w:sz w:val="21"/>
        </w:rPr>
        <w:t>日至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3</w:t>
      </w:r>
      <w:r>
        <w:rPr>
          <w:rFonts w:hint="eastAsia" w:ascii="Times New Roman" w:hAnsi="Times New Roman"/>
          <w:color w:val="000000"/>
          <w:kern w:val="0"/>
          <w:sz w:val="21"/>
        </w:rPr>
        <w:t>月</w:t>
      </w:r>
      <w:r>
        <w:rPr>
          <w:rFonts w:hint="default" w:ascii="Times New Roman" w:hAnsi="Times New Roman"/>
          <w:color w:val="000000"/>
          <w:kern w:val="0"/>
          <w:sz w:val="21"/>
        </w:rPr>
        <w:t>7</w:t>
      </w:r>
      <w:r>
        <w:rPr>
          <w:rFonts w:hint="eastAsia" w:ascii="Times New Roman" w:hAnsi="Times New Roman"/>
          <w:color w:val="000000"/>
          <w:kern w:val="0"/>
          <w:sz w:val="21"/>
        </w:rPr>
        <w:t>日止期间公开发售，共募集有效净认购资金</w:t>
      </w:r>
      <w:r>
        <w:rPr>
          <w:rFonts w:hint="default" w:ascii="Times New Roman" w:hAnsi="Times New Roman"/>
          <w:color w:val="000000"/>
          <w:kern w:val="0"/>
          <w:sz w:val="21"/>
        </w:rPr>
        <w:t>200,161,156.83</w:t>
      </w:r>
      <w:r>
        <w:rPr>
          <w:rFonts w:hint="eastAsia" w:ascii="Times New Roman" w:hAnsi="Times New Roman"/>
          <w:color w:val="000000"/>
          <w:kern w:val="0"/>
          <w:sz w:val="21"/>
        </w:rPr>
        <w:t>元。根据《创金合信尊享纯债债券型证券投资基金募集说明书》的规定，本基金设立募集期内认购资金产生的利息收入</w:t>
      </w:r>
      <w:r>
        <w:rPr>
          <w:rFonts w:hint="default" w:ascii="Times New Roman" w:hAnsi="Times New Roman"/>
          <w:color w:val="000000"/>
          <w:kern w:val="0"/>
          <w:sz w:val="21"/>
        </w:rPr>
        <w:t>9,074.85</w:t>
      </w:r>
      <w:r>
        <w:rPr>
          <w:rFonts w:hint="eastAsia" w:ascii="Times New Roman" w:hAnsi="Times New Roman"/>
          <w:color w:val="000000"/>
          <w:kern w:val="0"/>
          <w:sz w:val="21"/>
        </w:rPr>
        <w:t>元，在本基金成立后，折算为</w:t>
      </w:r>
      <w:r>
        <w:rPr>
          <w:rFonts w:hint="default" w:ascii="Times New Roman" w:hAnsi="Times New Roman"/>
          <w:color w:val="000000"/>
          <w:kern w:val="0"/>
          <w:sz w:val="21"/>
        </w:rPr>
        <w:t>9,074.85</w:t>
      </w:r>
      <w:r>
        <w:rPr>
          <w:rFonts w:hint="eastAsia" w:ascii="Times New Roman" w:hAnsi="Times New Roman"/>
          <w:color w:val="000000"/>
          <w:kern w:val="0"/>
          <w:sz w:val="21"/>
        </w:rPr>
        <w:t>份基金份额，划入基金份额持有人账户。</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7.4.7.10 </w:t>
      </w:r>
      <w:r>
        <w:rPr>
          <w:rFonts w:hint="eastAsia" w:ascii="Times New Roman" w:hAnsi="Times New Roman"/>
          <w:b/>
          <w:color w:val="000000"/>
          <w:kern w:val="0"/>
          <w:sz w:val="24"/>
        </w:rPr>
        <w:t>未分配利润</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已实现部分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未实现部分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未分配利润合计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基金合同生效日</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本期利润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93,332,855.73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-113,923,596.21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-20,590,740.48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19,554,456.38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27,699,420.87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47,253,877.25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其中：基金申购款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43,844,154.08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42,314,723.72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86,158,877.80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基金赎回款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-24,289,697.70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-14,615,302.85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-38,905,000.55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本期已分配利润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-16,287,383.00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-16,287,383.00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本期末</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96,599,929.11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-86,224,175.34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10,375,753.77</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7.4.7.11 </w:t>
      </w:r>
      <w:r>
        <w:rPr>
          <w:rFonts w:hint="eastAsia" w:ascii="Times New Roman" w:hAnsi="Times New Roman"/>
          <w:b/>
          <w:color w:val="000000"/>
          <w:kern w:val="0"/>
          <w:sz w:val="24"/>
        </w:rPr>
        <w:t>存款利息收入</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活期存款利息收入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188,797.01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定期存款利息收入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其他存款利息收入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结算备付金利息收入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14,038.60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202,835.61</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7.4.7.12 </w:t>
      </w:r>
      <w:r>
        <w:rPr>
          <w:rFonts w:hint="eastAsia" w:ascii="Times New Roman" w:hAnsi="Times New Roman"/>
          <w:b/>
          <w:color w:val="000000"/>
          <w:kern w:val="0"/>
          <w:sz w:val="24"/>
        </w:rPr>
        <w:t>股票投资收益</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本基金于本报告期内无股票投资收益。</w:t>
      </w:r>
    </w:p>
    <w:p>
      <w:pPr>
        <w:autoSpaceDE w:val="0"/>
        <w:autoSpaceDN w:val="0"/>
        <w:adjustRightInd w:val="0"/>
        <w:spacing w:beforeLines="0" w:afterLines="0" w:line="288" w:lineRule="auto"/>
        <w:jc w:val="left"/>
        <w:rPr>
          <w:rFonts w:hint="default" w:ascii="Times New Roman" w:hAnsi="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7.4.7.13 </w:t>
      </w:r>
      <w:r>
        <w:rPr>
          <w:rFonts w:hint="eastAsia" w:ascii="Times New Roman" w:hAnsi="Times New Roman"/>
          <w:b/>
          <w:color w:val="000000"/>
          <w:kern w:val="0"/>
          <w:sz w:val="24"/>
        </w:rPr>
        <w:t>债券投资收益</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7.4.7.13.1 </w:t>
      </w:r>
      <w:r>
        <w:rPr>
          <w:rFonts w:hint="eastAsia" w:ascii="Times New Roman" w:hAnsi="Times New Roman"/>
          <w:b/>
          <w:color w:val="000000"/>
          <w:kern w:val="0"/>
          <w:sz w:val="24"/>
        </w:rPr>
        <w:t>债券投资收益项目构成</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买卖债券（、债转股及债券到期兑付）差价收入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26,088,964.30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赎回差价收入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申购差价收入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26,088,964.30</w:t>
            </w:r>
          </w:p>
        </w:tc>
      </w:tr>
    </w:tbl>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7.4.7.13.2 </w:t>
      </w:r>
      <w:r>
        <w:rPr>
          <w:rFonts w:hint="eastAsia" w:ascii="Times New Roman" w:hAnsi="Times New Roman"/>
          <w:b/>
          <w:color w:val="000000"/>
          <w:kern w:val="0"/>
          <w:sz w:val="24"/>
        </w:rPr>
        <w:t>债券投资收益</w:t>
      </w:r>
      <w:r>
        <w:rPr>
          <w:rFonts w:hint="default" w:ascii="Times New Roman" w:hAnsi="Times New Roman"/>
          <w:b/>
          <w:color w:val="000000"/>
          <w:kern w:val="0"/>
          <w:sz w:val="24"/>
        </w:rPr>
        <w:t>——</w:t>
      </w:r>
      <w:r>
        <w:rPr>
          <w:rFonts w:hint="eastAsia" w:ascii="Times New Roman" w:hAnsi="Times New Roman"/>
          <w:b/>
          <w:color w:val="000000"/>
          <w:kern w:val="0"/>
          <w:sz w:val="24"/>
        </w:rPr>
        <w:t>买卖债券差价收入</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卖出债券（、债转股及债券到期兑付）成交总额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11,777,319,245.41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减：卖出债券（、债转股及债券到期兑付）成本总额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11,545,464,935.70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减：应收利息总额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205,765,345.41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买卖债券差价收入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26,088,964.30</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7.4.7.13.3 </w:t>
      </w:r>
      <w:r>
        <w:rPr>
          <w:rFonts w:hint="eastAsia" w:ascii="Times New Roman" w:hAnsi="Times New Roman"/>
          <w:b/>
          <w:color w:val="000000"/>
          <w:kern w:val="0"/>
          <w:sz w:val="24"/>
        </w:rPr>
        <w:t>资产支持证券投资收益</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卖出资产支持证券成交总额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70,400,526.68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减：卖出资产支持证券成本总额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66,695,998.50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减：应收利息总额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3,683,526.68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资产支持证券投资收益</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21,001.50</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7.4.7.14 </w:t>
      </w:r>
      <w:r>
        <w:rPr>
          <w:rFonts w:hint="eastAsia" w:ascii="Times New Roman" w:hAnsi="Times New Roman"/>
          <w:b/>
          <w:color w:val="000000"/>
          <w:kern w:val="0"/>
          <w:sz w:val="24"/>
        </w:rPr>
        <w:t>衍生工具收益</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本基金于本报告期内无衍生工具投资收益。</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7.4.7.14.1 </w:t>
      </w:r>
      <w:r>
        <w:rPr>
          <w:rFonts w:hint="eastAsia" w:ascii="Times New Roman" w:hAnsi="Times New Roman"/>
          <w:b/>
          <w:color w:val="000000"/>
          <w:kern w:val="0"/>
          <w:sz w:val="24"/>
        </w:rPr>
        <w:t>衍生工具收益</w:t>
      </w:r>
      <w:r>
        <w:rPr>
          <w:rFonts w:hint="default" w:ascii="Times New Roman" w:hAnsi="Times New Roman"/>
          <w:b/>
          <w:color w:val="000000"/>
          <w:kern w:val="0"/>
          <w:sz w:val="24"/>
        </w:rPr>
        <w:t>——</w:t>
      </w:r>
      <w:r>
        <w:rPr>
          <w:rFonts w:hint="eastAsia" w:ascii="Times New Roman" w:hAnsi="Times New Roman"/>
          <w:b/>
          <w:color w:val="000000"/>
          <w:kern w:val="0"/>
          <w:sz w:val="24"/>
        </w:rPr>
        <w:t>其他投资收益</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本基金于本报告期内无其它投资收益。</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7.4.7.15 </w:t>
      </w:r>
      <w:r>
        <w:rPr>
          <w:rFonts w:hint="eastAsia" w:ascii="Times New Roman" w:hAnsi="Times New Roman"/>
          <w:b/>
          <w:color w:val="000000"/>
          <w:kern w:val="0"/>
          <w:sz w:val="24"/>
        </w:rPr>
        <w:t>股利收益</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本基金本报告期内无股利收益。</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7.4.7.16 </w:t>
      </w:r>
      <w:r>
        <w:rPr>
          <w:rFonts w:hint="eastAsia" w:ascii="Times New Roman" w:hAnsi="Times New Roman"/>
          <w:b/>
          <w:color w:val="000000"/>
          <w:kern w:val="0"/>
          <w:sz w:val="24"/>
        </w:rPr>
        <w:t>公允价值变动收益</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交易性金融资产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-113,923,596.21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股票投资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债券投资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-108,209,958.39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资产支持证券投资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-5,713,637.82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基金投资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贵金属投资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衍生工具</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权证投资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-113,923,596.21</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7.4.7.17 </w:t>
      </w:r>
      <w:r>
        <w:rPr>
          <w:rFonts w:hint="eastAsia" w:ascii="Times New Roman" w:hAnsi="Times New Roman"/>
          <w:b/>
          <w:color w:val="000000"/>
          <w:kern w:val="0"/>
          <w:sz w:val="24"/>
        </w:rPr>
        <w:t>其他收入</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基金赎回费收入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888.20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888.20</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7.4.7.18 </w:t>
      </w:r>
      <w:r>
        <w:rPr>
          <w:rFonts w:hint="eastAsia" w:ascii="Times New Roman" w:hAnsi="Times New Roman"/>
          <w:b/>
          <w:color w:val="000000"/>
          <w:kern w:val="0"/>
          <w:sz w:val="24"/>
        </w:rPr>
        <w:t>交易费用</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交易所市场交易费用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银行间市场交易费用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90,075.00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90,075.00</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7.4.7.19 </w:t>
      </w:r>
      <w:r>
        <w:rPr>
          <w:rFonts w:hint="eastAsia" w:ascii="Times New Roman" w:hAnsi="Times New Roman"/>
          <w:b/>
          <w:color w:val="000000"/>
          <w:kern w:val="0"/>
          <w:sz w:val="24"/>
        </w:rPr>
        <w:t>其他费用</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审计费用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信息披露费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帐户维护费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汇划手续费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15,919.60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查询服务费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168,819.60</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7.4.8 </w:t>
      </w:r>
      <w:r>
        <w:rPr>
          <w:rFonts w:hint="eastAsia" w:ascii="Times New Roman" w:hAnsi="Times New Roman"/>
          <w:b/>
          <w:color w:val="000000"/>
          <w:kern w:val="0"/>
          <w:sz w:val="24"/>
        </w:rPr>
        <w:t>或有事项、资产负债表日后事项的说明</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7.4.8.1 </w:t>
      </w:r>
      <w:r>
        <w:rPr>
          <w:rFonts w:hint="eastAsia" w:ascii="Times New Roman" w:hAnsi="Times New Roman"/>
          <w:b/>
          <w:color w:val="000000"/>
          <w:kern w:val="0"/>
          <w:sz w:val="24"/>
        </w:rPr>
        <w:t>或有事项</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截至资产负债表日，本基金无须作披露的或有事项。</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7.4.8.2 </w:t>
      </w:r>
      <w:r>
        <w:rPr>
          <w:rFonts w:hint="eastAsia" w:ascii="Times New Roman" w:hAnsi="Times New Roman"/>
          <w:b/>
          <w:color w:val="000000"/>
          <w:kern w:val="0"/>
          <w:sz w:val="24"/>
        </w:rPr>
        <w:t>资产负债表日后事项</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截至本财务报表批准报出日，本基金无需作披露的资产负债表日后事项。</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7.4.9 </w:t>
      </w:r>
      <w:r>
        <w:rPr>
          <w:rFonts w:hint="eastAsia" w:ascii="Times New Roman" w:hAnsi="Times New Roman"/>
          <w:b/>
          <w:color w:val="000000"/>
          <w:kern w:val="0"/>
          <w:sz w:val="24"/>
        </w:rPr>
        <w:t>关联方关系</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7.4.9.1 </w:t>
      </w:r>
      <w:r>
        <w:rPr>
          <w:rFonts w:hint="eastAsia" w:ascii="Times New Roman" w:hAnsi="Times New Roman"/>
          <w:b/>
          <w:color w:val="000000"/>
          <w:kern w:val="0"/>
          <w:sz w:val="24"/>
        </w:rPr>
        <w:t>本报告期存在控制关系或其他重大利害关系的关联方发生变化的情况</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本报告期不存在重大关联方发生变化的情况。</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7.4.9.2 </w:t>
      </w:r>
      <w:r>
        <w:rPr>
          <w:rFonts w:hint="eastAsia" w:ascii="Times New Roman" w:hAnsi="Times New Roman"/>
          <w:b/>
          <w:color w:val="000000"/>
          <w:kern w:val="0"/>
          <w:sz w:val="24"/>
        </w:rPr>
        <w:t>本报告期与基金发生关联交易的各关联方</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3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关联方名称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与本基金的关系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基金管理人、注册登记机构、基金销售机构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招商银行股份有限公司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“招商银行”</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深圳市金合信投资合伙企业（有限合伙）</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基金管理人的股东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第一创业证券股份有限公司</w:t>
            </w:r>
            <w:r>
              <w:rPr>
                <w:rFonts w:hint="default" w:ascii="Times New Roman" w:hAnsi="Times New Roman"/>
                <w:color w:val="000000"/>
                <w:kern w:val="0"/>
                <w:sz w:val="24"/>
              </w:rPr>
              <w:t>(</w:t>
            </w:r>
            <w:r>
              <w:rPr>
                <w:rFonts w:hint="eastAsia" w:ascii="Times New Roman" w:hAnsi="Times New Roman"/>
                <w:color w:val="000000"/>
                <w:kern w:val="0"/>
                <w:sz w:val="24"/>
              </w:rPr>
              <w:t>“第一创业证券”</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基金管理人的股东</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 </w:t>
      </w:r>
      <w:r>
        <w:rPr>
          <w:rFonts w:hint="eastAsia" w:ascii="Times New Roman" w:hAnsi="Times New Roman"/>
          <w:b/>
          <w:color w:val="000000"/>
          <w:kern w:val="0"/>
          <w:sz w:val="24"/>
        </w:rPr>
        <w:t>本报告期及上年度可比期间的关联方交易</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7.4.10.1 </w:t>
      </w:r>
      <w:r>
        <w:rPr>
          <w:rFonts w:hint="eastAsia" w:ascii="Times New Roman" w:hAnsi="Times New Roman"/>
          <w:b/>
          <w:color w:val="000000"/>
          <w:kern w:val="0"/>
          <w:sz w:val="24"/>
        </w:rPr>
        <w:t>通过关联方交易单元进行的交易</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7.4.10.1.1 </w:t>
      </w:r>
      <w:r>
        <w:rPr>
          <w:rFonts w:hint="eastAsia" w:ascii="Times New Roman" w:hAnsi="Times New Roman"/>
          <w:b/>
          <w:color w:val="000000"/>
          <w:kern w:val="0"/>
          <w:sz w:val="24"/>
        </w:rPr>
        <w:t>股票交易</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本基金本报告期内无通过关联方交易单元进行的股票交易。</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7.4.10.1.2 </w:t>
      </w:r>
      <w:r>
        <w:rPr>
          <w:rFonts w:hint="eastAsia" w:ascii="Times New Roman" w:hAnsi="Times New Roman"/>
          <w:b/>
          <w:color w:val="000000"/>
          <w:kern w:val="0"/>
          <w:sz w:val="24"/>
        </w:rPr>
        <w:t>债券回购交易</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关联方名称</w:t>
            </w:r>
          </w:p>
        </w:tc>
        <w:tc>
          <w:tcPr>
            <w:tcW w:w="7224"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成交金额</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占当期债券回购成交总额的比例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第一创业证券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1,890,000,000.00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7.4.10.1.3 </w:t>
      </w:r>
      <w:r>
        <w:rPr>
          <w:rFonts w:hint="eastAsia" w:ascii="Times New Roman" w:hAnsi="Times New Roman"/>
          <w:b/>
          <w:color w:val="000000"/>
          <w:kern w:val="0"/>
          <w:sz w:val="24"/>
        </w:rPr>
        <w:t>权证交易</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本基金本报告期内无通过关联方交易单元进行的权证交易。</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7.4.10.1.4 </w:t>
      </w:r>
      <w:r>
        <w:rPr>
          <w:rFonts w:hint="eastAsia" w:ascii="Times New Roman" w:hAnsi="Times New Roman"/>
          <w:b/>
          <w:color w:val="000000"/>
          <w:kern w:val="0"/>
          <w:sz w:val="24"/>
        </w:rPr>
        <w:t>应支付关联方的佣金</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本基金本报告期内无应支付关联方的佣金。</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7.4.10.2 </w:t>
      </w:r>
      <w:r>
        <w:rPr>
          <w:rFonts w:hint="eastAsia" w:ascii="Times New Roman" w:hAnsi="Times New Roman"/>
          <w:b/>
          <w:color w:val="000000"/>
          <w:kern w:val="0"/>
          <w:sz w:val="24"/>
        </w:rPr>
        <w:t>关联方报酬</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7.4.10.2.1 </w:t>
      </w:r>
      <w:r>
        <w:rPr>
          <w:rFonts w:hint="eastAsia" w:ascii="Times New Roman" w:hAnsi="Times New Roman"/>
          <w:b/>
          <w:color w:val="000000"/>
          <w:kern w:val="0"/>
          <w:sz w:val="24"/>
        </w:rPr>
        <w:t>基金管理费</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当期发生的基金应支付的管理费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6,316,875.87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其中：支付销售机构的客户维护费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773.06</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注：支付基金管理人创金合信基金管理有限公司的管理人报酬按前一日基金资产净值</w:t>
      </w:r>
      <w:r>
        <w:rPr>
          <w:rFonts w:hint="default" w:ascii="Times New Roman" w:hAnsi="Times New Roman"/>
          <w:color w:val="000000"/>
          <w:kern w:val="0"/>
          <w:sz w:val="21"/>
        </w:rPr>
        <w:t>0.30%</w:t>
      </w:r>
      <w:r>
        <w:rPr>
          <w:rFonts w:hint="eastAsia" w:ascii="Times New Roman" w:hAnsi="Times New Roman"/>
          <w:color w:val="000000"/>
          <w:kern w:val="0"/>
          <w:sz w:val="21"/>
        </w:rPr>
        <w:t>的年费率计提，逐日累计至每月月底，按月支付。其计算公式为：日基金管理费＝前一日基金资产净值</w:t>
      </w:r>
      <w:r>
        <w:rPr>
          <w:rFonts w:hint="default" w:ascii="Times New Roman" w:hAnsi="Times New Roman"/>
          <w:color w:val="000000"/>
          <w:kern w:val="0"/>
          <w:sz w:val="21"/>
        </w:rPr>
        <w:t>*0.30%/</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7.4.10.2.2 </w:t>
      </w:r>
      <w:r>
        <w:rPr>
          <w:rFonts w:hint="eastAsia" w:ascii="Times New Roman" w:hAnsi="Times New Roman"/>
          <w:b/>
          <w:color w:val="000000"/>
          <w:kern w:val="0"/>
          <w:sz w:val="24"/>
        </w:rPr>
        <w:t>基金托管费</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当期发生的基金应支付的托管费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2,105,625.20</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注：支付基金托管人招商银行的基金托管费按前一日基金资产净值</w:t>
      </w:r>
      <w:r>
        <w:rPr>
          <w:rFonts w:hint="default" w:ascii="Times New Roman" w:hAnsi="Times New Roman"/>
          <w:color w:val="000000"/>
          <w:kern w:val="0"/>
          <w:sz w:val="21"/>
        </w:rPr>
        <w:t>0.10%</w:t>
      </w:r>
      <w:r>
        <w:rPr>
          <w:rFonts w:hint="eastAsia" w:ascii="Times New Roman" w:hAnsi="Times New Roman"/>
          <w:color w:val="000000"/>
          <w:kern w:val="0"/>
          <w:sz w:val="21"/>
        </w:rPr>
        <w:t>的年费率计提，逐日累计至每月月底，按月支付。其计算公式为：日基金托管费＝前一日基金资产净值</w:t>
      </w:r>
      <w:r>
        <w:rPr>
          <w:rFonts w:hint="default" w:ascii="Times New Roman" w:hAnsi="Times New Roman"/>
          <w:color w:val="000000"/>
          <w:kern w:val="0"/>
          <w:sz w:val="21"/>
        </w:rPr>
        <w:t>*0.10%/</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7.4.10.3 </w:t>
      </w:r>
      <w:r>
        <w:rPr>
          <w:rFonts w:hint="eastAsia" w:ascii="Times New Roman" w:hAnsi="Times New Roman"/>
          <w:b/>
          <w:color w:val="000000"/>
          <w:kern w:val="0"/>
          <w:sz w:val="24"/>
        </w:rPr>
        <w:t>与关联方进行银行间同业市场的债券</w:t>
      </w:r>
      <w:r>
        <w:rPr>
          <w:rFonts w:hint="default" w:ascii="Times New Roman" w:hAnsi="Times New Roman"/>
          <w:b/>
          <w:color w:val="000000"/>
          <w:kern w:val="0"/>
          <w:sz w:val="24"/>
        </w:rPr>
        <w:t>(</w:t>
      </w:r>
      <w:r>
        <w:rPr>
          <w:rFonts w:hint="eastAsia" w:ascii="Times New Roman" w:hAnsi="Times New Roman"/>
          <w:b/>
          <w:color w:val="000000"/>
          <w:kern w:val="0"/>
          <w:sz w:val="24"/>
        </w:rPr>
        <w:t>含回购</w:t>
      </w:r>
      <w:r>
        <w:rPr>
          <w:rFonts w:hint="default" w:ascii="Times New Roman" w:hAnsi="Times New Roman"/>
          <w:b/>
          <w:color w:val="000000"/>
          <w:kern w:val="0"/>
          <w:sz w:val="24"/>
        </w:rPr>
        <w:t>)</w:t>
      </w:r>
      <w:r>
        <w:rPr>
          <w:rFonts w:hint="eastAsia" w:ascii="Times New Roman" w:hAnsi="Times New Roman"/>
          <w:b/>
          <w:color w:val="000000"/>
          <w:kern w:val="0"/>
          <w:sz w:val="24"/>
        </w:rPr>
        <w:t>交易</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28" w:type="dxa"/>
            <w:gridSpan w:val="7"/>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银行间市场交易的</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各关联方名称</w:t>
            </w:r>
          </w:p>
        </w:tc>
        <w:tc>
          <w:tcPr>
            <w:tcW w:w="216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债券交易金额</w:t>
            </w:r>
          </w:p>
        </w:tc>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基金逆回购</w:t>
            </w:r>
          </w:p>
        </w:tc>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基金正回购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基金买入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基金卖出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交易金额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交易金额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利息支出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招商银行</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10,795,550,000.00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922,784.20</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7.4.10.4 </w:t>
      </w:r>
      <w:r>
        <w:rPr>
          <w:rFonts w:hint="eastAsia" w:ascii="Times New Roman" w:hAnsi="Times New Roman"/>
          <w:b/>
          <w:color w:val="000000"/>
          <w:kern w:val="0"/>
          <w:sz w:val="24"/>
        </w:rPr>
        <w:t>各关联方投资本基金的情况</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7.4.10.4.1 </w:t>
      </w:r>
      <w:r>
        <w:rPr>
          <w:rFonts w:hint="eastAsia" w:ascii="Times New Roman" w:hAnsi="Times New Roman"/>
          <w:b/>
          <w:color w:val="000000"/>
          <w:kern w:val="0"/>
          <w:sz w:val="24"/>
        </w:rPr>
        <w:t>报告期内基金管理人运用固有资金投资本基金的情况</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本报告期内无基金管理人运用固有资金投资本基金的情况。</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7.4.10.4.2 </w:t>
      </w:r>
      <w:r>
        <w:rPr>
          <w:rFonts w:hint="eastAsia" w:ascii="Times New Roman" w:hAnsi="Times New Roman"/>
          <w:b/>
          <w:color w:val="000000"/>
          <w:kern w:val="0"/>
          <w:sz w:val="24"/>
        </w:rPr>
        <w:t>报告期末除基金管理人之外的其他关联方投资本基金的情况</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本报告期末无除基金管理人之外的其他关联方投资本基金的情况。</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7.4.10.5 </w:t>
      </w:r>
      <w:r>
        <w:rPr>
          <w:rFonts w:hint="eastAsia" w:ascii="Times New Roman" w:hAnsi="Times New Roman"/>
          <w:b/>
          <w:color w:val="000000"/>
          <w:kern w:val="0"/>
          <w:sz w:val="24"/>
        </w:rPr>
        <w:t>由关联方保管的银行存款余额及当期产生的利息收入</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关联方名称</w:t>
            </w:r>
          </w:p>
        </w:tc>
        <w:tc>
          <w:tcPr>
            <w:tcW w:w="7224"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期末余额</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当期利息收入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招商银行</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8,357,181.56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188,797.01</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注：本基金的银行存款由基金托管人招商银行保管，按金融机构同业存款利率计息。</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7.4.10.6 </w:t>
      </w:r>
      <w:r>
        <w:rPr>
          <w:rFonts w:hint="eastAsia" w:ascii="Times New Roman" w:hAnsi="Times New Roman"/>
          <w:b/>
          <w:color w:val="000000"/>
          <w:kern w:val="0"/>
          <w:sz w:val="24"/>
        </w:rPr>
        <w:t>本基金在承销期内参与关联方承销证券的情况</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本基金本报告期内无在承销期内参与关联方承销证券的情况。</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7.4.10.7 </w:t>
      </w:r>
      <w:r>
        <w:rPr>
          <w:rFonts w:hint="eastAsia" w:ascii="Times New Roman" w:hAnsi="Times New Roman"/>
          <w:b/>
          <w:color w:val="000000"/>
          <w:kern w:val="0"/>
          <w:sz w:val="24"/>
        </w:rPr>
        <w:t>其他关联交易事项的说明</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7.4.11 </w:t>
      </w:r>
      <w:r>
        <w:rPr>
          <w:rFonts w:hint="eastAsia" w:ascii="Times New Roman" w:hAnsi="Times New Roman"/>
          <w:b/>
          <w:color w:val="000000"/>
          <w:kern w:val="0"/>
          <w:sz w:val="24"/>
        </w:rPr>
        <w:t>利润分配情况</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084"/>
        <w:gridCol w:w="1445"/>
        <w:gridCol w:w="1445"/>
        <w:gridCol w:w="1083"/>
        <w:gridCol w:w="1445"/>
        <w:gridCol w:w="1084"/>
        <w:gridCol w:w="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序号</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权益</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登记日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除息日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每</w:t>
            </w:r>
            <w:r>
              <w:rPr>
                <w:rFonts w:hint="default" w:ascii="Times New Roman" w:hAnsi="Times New Roman"/>
                <w:color w:val="000000"/>
                <w:kern w:val="0"/>
                <w:sz w:val="24"/>
              </w:rPr>
              <w:t>10</w:t>
            </w:r>
            <w:r>
              <w:rPr>
                <w:rFonts w:hint="eastAsia" w:ascii="Times New Roman" w:hAnsi="Times New Roman"/>
                <w:color w:val="000000"/>
                <w:kern w:val="0"/>
                <w:sz w:val="24"/>
              </w:rPr>
              <w:t>份基金</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份额分红数</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现金形式</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发放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再投资形式</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发放</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利润分配</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5,959,604.19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745.28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5,960,349.47</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10,326,612.80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420.73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10,327,033.53</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16,286,216.99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1,166.01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16,287,383.00</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7.4.12 </w:t>
      </w:r>
      <w:r>
        <w:rPr>
          <w:rFonts w:hint="eastAsia" w:ascii="Times New Roman" w:hAnsi="Times New Roman"/>
          <w:b/>
          <w:color w:val="000000"/>
          <w:kern w:val="0"/>
          <w:sz w:val="24"/>
        </w:rPr>
        <w:t>期末（</w:t>
      </w: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日）本基金持有的流通受限证券</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7.4.12.1 </w:t>
      </w:r>
      <w:r>
        <w:rPr>
          <w:rFonts w:hint="eastAsia" w:ascii="Times New Roman" w:hAnsi="Times New Roman"/>
          <w:b/>
          <w:color w:val="000000"/>
          <w:kern w:val="0"/>
          <w:sz w:val="24"/>
        </w:rPr>
        <w:t>因认购新发</w:t>
      </w:r>
      <w:r>
        <w:rPr>
          <w:rFonts w:hint="default" w:ascii="Times New Roman" w:hAnsi="Times New Roman"/>
          <w:b/>
          <w:color w:val="000000"/>
          <w:kern w:val="0"/>
          <w:sz w:val="24"/>
        </w:rPr>
        <w:t>/</w:t>
      </w:r>
      <w:r>
        <w:rPr>
          <w:rFonts w:hint="eastAsia" w:ascii="Times New Roman" w:hAnsi="Times New Roman"/>
          <w:b/>
          <w:color w:val="000000"/>
          <w:kern w:val="0"/>
          <w:sz w:val="24"/>
        </w:rPr>
        <w:t>增发证券而于期末持有的流通受限证券</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本基金无因认购新发</w:t>
      </w:r>
      <w:r>
        <w:rPr>
          <w:rFonts w:hint="default" w:ascii="Times New Roman" w:hAnsi="Times New Roman"/>
          <w:color w:val="000000"/>
          <w:kern w:val="0"/>
          <w:sz w:val="24"/>
        </w:rPr>
        <w:t>/</w:t>
      </w:r>
      <w:r>
        <w:rPr>
          <w:rFonts w:hint="eastAsia" w:ascii="Times New Roman" w:hAnsi="Times New Roman"/>
          <w:color w:val="000000"/>
          <w:kern w:val="0"/>
          <w:sz w:val="24"/>
        </w:rPr>
        <w:t>增发证券而于期末持有的流通受限的证券。</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7.4.12.2 </w:t>
      </w:r>
      <w:r>
        <w:rPr>
          <w:rFonts w:hint="eastAsia" w:ascii="Times New Roman" w:hAnsi="Times New Roman"/>
          <w:b/>
          <w:color w:val="000000"/>
          <w:kern w:val="0"/>
          <w:sz w:val="24"/>
        </w:rPr>
        <w:t>期末持有的暂时停牌等流通受限股票</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本基金本报告期末未持有暂时停牌等流通受限股票。</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7.4.12.3 </w:t>
      </w:r>
      <w:r>
        <w:rPr>
          <w:rFonts w:hint="eastAsia" w:ascii="Times New Roman" w:hAnsi="Times New Roman"/>
          <w:b/>
          <w:color w:val="000000"/>
          <w:kern w:val="0"/>
          <w:sz w:val="24"/>
        </w:rPr>
        <w:t>期末债券正回购交易中作为抵押的债券</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7.4.12.3.1 </w:t>
      </w:r>
      <w:r>
        <w:rPr>
          <w:rFonts w:hint="eastAsia" w:ascii="Times New Roman" w:hAnsi="Times New Roman"/>
          <w:b/>
          <w:color w:val="000000"/>
          <w:kern w:val="0"/>
          <w:sz w:val="24"/>
        </w:rPr>
        <w:t>银行间市场债券正回购</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日止，本基金从事银行间市场债券正回购交易形成的卖出回购证券款余额</w:t>
      </w:r>
      <w:r>
        <w:rPr>
          <w:rFonts w:hint="default" w:ascii="Times New Roman" w:hAnsi="Times New Roman"/>
          <w:color w:val="000000"/>
          <w:kern w:val="0"/>
          <w:sz w:val="24"/>
        </w:rPr>
        <w:t>768,330,253.88</w:t>
      </w:r>
      <w:r>
        <w:rPr>
          <w:rFonts w:hint="eastAsia" w:ascii="Times New Roman" w:hAnsi="Times New Roman"/>
          <w:color w:val="000000"/>
          <w:kern w:val="0"/>
          <w:sz w:val="24"/>
        </w:rPr>
        <w:t>元，是以如下债券作为质押：</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806"/>
        <w:gridCol w:w="1445"/>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债券代码</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债券名称</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回购到期日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期末估值单价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数量（张）</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期末估值总额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160417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农发</w:t>
            </w: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2017-01-03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157,136,000.00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160417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农发</w:t>
            </w: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2017-01-04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196,420,000.00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160417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农发</w:t>
            </w: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2017-01-06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408,553,600.00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hAnsi="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762,109,600.00</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7.4.12.3.2 </w:t>
      </w:r>
      <w:r>
        <w:rPr>
          <w:rFonts w:hint="eastAsia" w:ascii="Times New Roman" w:hAnsi="Times New Roman"/>
          <w:b/>
          <w:color w:val="000000"/>
          <w:kern w:val="0"/>
          <w:sz w:val="24"/>
        </w:rPr>
        <w:t>交易所市场债券正回购</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日止，本基金从事证券交易所债券正回购交易形成的卖出回购证券款余额</w:t>
      </w:r>
      <w:r>
        <w:rPr>
          <w:rFonts w:hint="default" w:ascii="Times New Roman" w:hAnsi="Times New Roman"/>
          <w:color w:val="000000"/>
          <w:kern w:val="0"/>
          <w:sz w:val="24"/>
        </w:rPr>
        <w:t>0</w:t>
      </w:r>
      <w:r>
        <w:rPr>
          <w:rFonts w:hint="eastAsia" w:ascii="Times New Roman" w:hAnsi="Times New Roman"/>
          <w:color w:val="000000"/>
          <w:kern w:val="0"/>
          <w:sz w:val="24"/>
        </w:rPr>
        <w:t>元，无抵押债券。</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 </w:t>
      </w:r>
      <w:r>
        <w:rPr>
          <w:rFonts w:hint="eastAsia" w:ascii="Times New Roman" w:hAnsi="Times New Roman"/>
          <w:b/>
          <w:color w:val="000000"/>
          <w:kern w:val="0"/>
          <w:sz w:val="24"/>
        </w:rPr>
        <w:t>金融工具风险及管理</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7.4.13.1 </w:t>
      </w:r>
      <w:r>
        <w:rPr>
          <w:rFonts w:hint="eastAsia" w:ascii="Times New Roman" w:hAnsi="Times New Roman"/>
          <w:b/>
          <w:color w:val="000000"/>
          <w:kern w:val="0"/>
          <w:sz w:val="24"/>
        </w:rPr>
        <w:t>风险管理政策和组织架构</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7.4.13.2</w:t>
      </w:r>
      <w:r>
        <w:rPr>
          <w:rFonts w:hint="eastAsia" w:ascii="Times New Roman" w:hAnsi="Times New Roman"/>
          <w:b/>
          <w:color w:val="000000"/>
          <w:kern w:val="0"/>
          <w:sz w:val="24"/>
        </w:rPr>
        <w:t>信用风险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本基金债券投资的信用评级情况按《中国人民银行信用评级管理指导意见》设定的标准统计及汇总。</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7.4.13.2.1 </w:t>
      </w:r>
      <w:r>
        <w:rPr>
          <w:rFonts w:hint="eastAsia" w:ascii="Times New Roman" w:hAnsi="Times New Roman"/>
          <w:b/>
          <w:color w:val="000000"/>
          <w:kern w:val="0"/>
          <w:sz w:val="24"/>
        </w:rPr>
        <w:t>按短期信用评级列示的债券投资</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短期信用评级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A-1</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A-1</w:t>
            </w:r>
            <w:r>
              <w:rPr>
                <w:rFonts w:hint="eastAsia" w:ascii="Times New Roman" w:hAnsi="Times New Roman"/>
                <w:color w:val="000000"/>
                <w:kern w:val="0"/>
                <w:sz w:val="24"/>
              </w:rPr>
              <w:t>以下</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未评级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195,900,000.00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195,900,000.00</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注：未评级债券为国债、央行票据及政策性金融债等利率债券。</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7.4.13.2.2 </w:t>
      </w:r>
      <w:r>
        <w:rPr>
          <w:rFonts w:hint="eastAsia" w:ascii="Times New Roman" w:hAnsi="Times New Roman"/>
          <w:b/>
          <w:color w:val="000000"/>
          <w:kern w:val="0"/>
          <w:sz w:val="24"/>
        </w:rPr>
        <w:t>按长期信用评级列示的债券投资</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长期信用评级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AAA</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574,142,200.00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AAA</w:t>
            </w:r>
            <w:r>
              <w:rPr>
                <w:rFonts w:hint="eastAsia" w:ascii="Times New Roman" w:hAnsi="Times New Roman"/>
                <w:color w:val="000000"/>
                <w:kern w:val="0"/>
                <w:sz w:val="24"/>
              </w:rPr>
              <w:t>以下</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516,137,500.00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未评级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2,853,704,000.00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3,943,983,700.00</w:t>
            </w: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注：未评级债券为国债、央行票据及政策性金融债等利率债券。</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7.4.13.3 </w:t>
      </w:r>
      <w:r>
        <w:rPr>
          <w:rFonts w:hint="eastAsia" w:ascii="Times New Roman" w:hAnsi="Times New Roman"/>
          <w:b/>
          <w:color w:val="000000"/>
          <w:kern w:val="0"/>
          <w:sz w:val="24"/>
        </w:rPr>
        <w:t>流动性风险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hint="default" w:ascii="Times New Roman" w:hAnsi="Times New Roman"/>
          <w:color w:val="000000"/>
          <w:kern w:val="0"/>
          <w:sz w:val="24"/>
        </w:rPr>
        <w:t>10%</w:t>
      </w:r>
      <w:r>
        <w:rPr>
          <w:rFonts w:hint="eastAsia" w:ascii="Times New Roman" w:hAnsi="Times New Roman"/>
          <w:color w:val="000000"/>
          <w:kern w:val="0"/>
          <w:sz w:val="24"/>
        </w:rPr>
        <w:t>，且本基金与由本基金的基金管理人管理的其他基金共同持有一家公司发行的证券不得超过该证券的</w:t>
      </w:r>
      <w:r>
        <w:rPr>
          <w:rFonts w:hint="default" w:ascii="Times New Roman" w:hAnsi="Times New Roman"/>
          <w:color w:val="000000"/>
          <w:kern w:val="0"/>
          <w:sz w:val="24"/>
        </w:rPr>
        <w:t>10%</w:t>
      </w:r>
      <w:r>
        <w:rPr>
          <w:rFonts w:hint="eastAsia" w:ascii="Times New Roman" w:hAnsi="Times New Roman"/>
          <w:color w:val="000000"/>
          <w:kern w:val="0"/>
          <w:sz w:val="24"/>
        </w:rPr>
        <w:t>。本基金所持大部分证券在证券交易所上市，其余亦可在银行间同业市场交易，因此除附注</w:t>
      </w:r>
      <w:r>
        <w:rPr>
          <w:rFonts w:hint="default" w:ascii="Times New Roman" w:hAnsi="Times New Roman"/>
          <w:color w:val="000000"/>
          <w:kern w:val="0"/>
          <w:sz w:val="24"/>
        </w:rPr>
        <w:t>7.4.12</w:t>
      </w:r>
      <w:r>
        <w:rPr>
          <w:rFonts w:hint="eastAsia" w:ascii="Times New Roman" w:hAnsi="Times New Roman"/>
          <w:color w:val="000000"/>
          <w:kern w:val="0"/>
          <w:sz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7.4.13.4 </w:t>
      </w:r>
      <w:r>
        <w:rPr>
          <w:rFonts w:hint="eastAsia" w:ascii="Times New Roman" w:hAnsi="Times New Roman"/>
          <w:b/>
          <w:color w:val="000000"/>
          <w:kern w:val="0"/>
          <w:sz w:val="24"/>
        </w:rPr>
        <w:t>市场风险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7.4.13.4.1 </w:t>
      </w:r>
      <w:r>
        <w:rPr>
          <w:rFonts w:hint="eastAsia" w:ascii="Times New Roman" w:hAnsi="Times New Roman"/>
          <w:b/>
          <w:color w:val="000000"/>
          <w:kern w:val="0"/>
          <w:sz w:val="24"/>
        </w:rPr>
        <w:t>利率风险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本基金的基金管理人定期对本基金面临的利率敏感性缺口进行监控，并通过调整投资组合的久期等方法对上述利率风险进行管理。</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7.4.13.4.1.1 </w:t>
      </w:r>
      <w:r>
        <w:rPr>
          <w:rFonts w:hint="eastAsia" w:ascii="Times New Roman" w:hAnsi="Times New Roman"/>
          <w:b/>
          <w:color w:val="000000"/>
          <w:kern w:val="0"/>
          <w:sz w:val="24"/>
        </w:rPr>
        <w:t>利率风险敞口</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445"/>
        <w:gridCol w:w="1445"/>
        <w:gridCol w:w="1444"/>
        <w:gridCol w:w="1445"/>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8,357,181.56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8,357,181.56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447,450,000.00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1,387,129,700.00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2,305,304,000.00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hAnsi="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4,139,883,700.00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74,367,483.96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74,367,483.96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应收申购款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649.48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649.48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455,807,181.56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1,387,129,700.00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2,305,304,000.00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74,368,133.44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4,222,609,015.00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hAnsi="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hAnsi="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hAnsi="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hAnsi="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hAnsi="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卖出回购金融资产款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768,330,253.88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768,330,253.88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应付赎回款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880,689.33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880,689.33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293,563.12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293,563.12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84,147.19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84,147.19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应付利息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167,339.44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167,339.44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其他负债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137,000.00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768,330,253.88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1,562,838.65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769,893,092.53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-312,523,072.32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1,387,129,700.00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2,305,304,000.00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72,805,294.79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3,452,715,922.47</w:t>
            </w:r>
          </w:p>
        </w:tc>
      </w:tr>
    </w:tbl>
    <w:p>
      <w:pPr>
        <w:autoSpaceDE w:val="0"/>
        <w:autoSpaceDN w:val="0"/>
        <w:adjustRightInd w:val="0"/>
        <w:spacing w:before="145"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注：表中所示为本基金资产及负债的账面价值，并按照合约规定的利率重新定价日或到期日孰早者予以分类。</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7.4.13.4.1.2 </w:t>
      </w:r>
      <w:r>
        <w:rPr>
          <w:rFonts w:hint="eastAsia" w:ascii="Times New Roman" w:hAnsi="Times New Roman"/>
          <w:b/>
          <w:color w:val="000000"/>
          <w:kern w:val="0"/>
          <w:sz w:val="24"/>
        </w:rPr>
        <w:t>利率风险的敏感性分析</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2889"/>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假设</w:t>
            </w:r>
          </w:p>
        </w:tc>
        <w:tc>
          <w:tcPr>
            <w:tcW w:w="794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除市场利率以外的其他市场变量保持不变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vMerge w:val="restart"/>
            <w:tcBorders>
              <w:top w:val="single" w:color="000000" w:sz="8" w:space="0"/>
              <w:left w:val="single" w:color="000000" w:sz="8" w:space="0"/>
              <w:bottom w:val="nil"/>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分析</w:t>
            </w:r>
          </w:p>
        </w:tc>
        <w:tc>
          <w:tcPr>
            <w:tcW w:w="288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相关风险变量的变动</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对资产负债表日基金资产净值的</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影响金额（单位：人民币元）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vMerge w:val="continue"/>
            <w:tcBorders>
              <w:top w:val="single" w:color="000000" w:sz="8" w:space="0"/>
              <w:left w:val="single" w:color="000000" w:sz="8" w:space="0"/>
              <w:bottom w:val="nil"/>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288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市场利率上升</w:t>
            </w:r>
            <w:r>
              <w:rPr>
                <w:rFonts w:hint="default" w:ascii="Times New Roman" w:hAnsi="Times New Roman"/>
                <w:color w:val="000000"/>
                <w:kern w:val="0"/>
                <w:sz w:val="24"/>
              </w:rPr>
              <w:t>25</w:t>
            </w:r>
            <w:r>
              <w:rPr>
                <w:rFonts w:hint="eastAsia" w:ascii="Times New Roman" w:hAnsi="Times New Roman"/>
                <w:color w:val="000000"/>
                <w:kern w:val="0"/>
                <w:sz w:val="24"/>
              </w:rPr>
              <w:t>个基点</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-35,938,459.77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市场利率下降</w:t>
            </w:r>
            <w:r>
              <w:rPr>
                <w:rFonts w:hint="default" w:ascii="Times New Roman" w:hAnsi="Times New Roman"/>
                <w:color w:val="000000"/>
                <w:kern w:val="0"/>
                <w:sz w:val="24"/>
              </w:rPr>
              <w:t>25</w:t>
            </w:r>
            <w:r>
              <w:rPr>
                <w:rFonts w:hint="eastAsia" w:ascii="Times New Roman" w:hAnsi="Times New Roman"/>
                <w:color w:val="000000"/>
                <w:kern w:val="0"/>
                <w:sz w:val="24"/>
              </w:rPr>
              <w:t>个基点</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36,509,504.98</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7.4.13.4.2 </w:t>
      </w:r>
      <w:r>
        <w:rPr>
          <w:rFonts w:hint="eastAsia" w:ascii="Times New Roman" w:hAnsi="Times New Roman"/>
          <w:b/>
          <w:color w:val="000000"/>
          <w:kern w:val="0"/>
          <w:sz w:val="24"/>
        </w:rPr>
        <w:t>外汇风险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7.4.13.4.3 </w:t>
      </w:r>
      <w:r>
        <w:rPr>
          <w:rFonts w:hint="eastAsia" w:ascii="Times New Roman" w:hAnsi="Times New Roman"/>
          <w:b/>
          <w:color w:val="000000"/>
          <w:kern w:val="0"/>
          <w:sz w:val="24"/>
        </w:rPr>
        <w:t>其他价格风险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承受的其他价格风险，主要是基金所持金融工具的公允价值或未来现金流量因除市场利率和外汇汇率以外的市场价格因素变动而发生波动的风险。本基金的其他价格风险，主要受到证券交易所上市的股票整体涨跌趋势的影响，由所持有的金融工具的公允价值决定。本基金通过投资组合的分散化降低其他价格风险，并且本基金管理人每日对本基金所持有的证券价格实施监控，通过组合估值、行业配置分析等进行市场价格风险管理。</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7.4.13.4.3.1 </w:t>
      </w:r>
      <w:r>
        <w:rPr>
          <w:rFonts w:hint="eastAsia" w:ascii="Times New Roman" w:hAnsi="Times New Roman"/>
          <w:b/>
          <w:color w:val="000000"/>
          <w:kern w:val="0"/>
          <w:sz w:val="24"/>
        </w:rPr>
        <w:t>其他价格风险敞口</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本基金本报告期末未持有交易性权益类投资，因此除市场利率和外汇汇率以外的市场价格因素的变动对于本基金资产净值无重大影响。</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7.4.13.4.3.2 </w:t>
      </w:r>
      <w:r>
        <w:rPr>
          <w:rFonts w:hint="eastAsia" w:ascii="Times New Roman" w:hAnsi="Times New Roman"/>
          <w:b/>
          <w:color w:val="000000"/>
          <w:kern w:val="0"/>
          <w:sz w:val="24"/>
        </w:rPr>
        <w:t>其他价格风险的敏感性分析</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注：于本报告期末，本基金未持有股票投资、权证投资等权益性投资，若除市场利率和外汇汇率外的其他市场因素变化导致本基金所持有的权益性投资的市场价格上升或下降</w:t>
      </w:r>
      <w:r>
        <w:rPr>
          <w:rFonts w:hint="default" w:ascii="Times New Roman" w:hAnsi="Times New Roman"/>
          <w:color w:val="000000"/>
          <w:kern w:val="0"/>
          <w:sz w:val="21"/>
        </w:rPr>
        <w:t>5%</w:t>
      </w:r>
      <w:r>
        <w:rPr>
          <w:rFonts w:hint="eastAsia" w:ascii="Times New Roman" w:hAnsi="Times New Roman"/>
          <w:color w:val="000000"/>
          <w:kern w:val="0"/>
          <w:sz w:val="21"/>
        </w:rPr>
        <w:t>且其他市场变量保持不变，对于本基金的基金资产净值无重大影响。</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7.4.14 </w:t>
      </w:r>
      <w:r>
        <w:rPr>
          <w:rFonts w:hint="eastAsia" w:ascii="Times New Roman" w:hAnsi="Times New Roman"/>
          <w:b/>
          <w:color w:val="000000"/>
          <w:kern w:val="0"/>
          <w:sz w:val="24"/>
        </w:rPr>
        <w:t>有助于理解和分析会计报表需要说明的其他事项</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7.4.14.1</w:t>
      </w:r>
      <w:r>
        <w:rPr>
          <w:rFonts w:hint="eastAsia" w:ascii="Times New Roman" w:hAnsi="Times New Roman"/>
          <w:color w:val="000000"/>
          <w:kern w:val="0"/>
          <w:sz w:val="24"/>
        </w:rPr>
        <w:t>公允价值</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金融工具公允价值计量的方法</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公允价值计量结果所属的层次，由对公允价值计量整体而言具有重要意义的输入值所属的最低层次决定：</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第一层次：相同资产或负债在活跃市场上未经调整的报价。</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第二层次：除第一层次输入值外相关资产或负债直接或间接可观察的输入值。</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第三层次：相关资产或负债的不可观察输入值。</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(b)</w:t>
      </w:r>
      <w:r>
        <w:rPr>
          <w:rFonts w:hint="eastAsia" w:ascii="Times New Roman" w:hAnsi="Times New Roman"/>
          <w:color w:val="000000"/>
          <w:kern w:val="0"/>
          <w:sz w:val="24"/>
        </w:rPr>
        <w:t>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(i)</w:t>
      </w:r>
      <w:r>
        <w:rPr>
          <w:rFonts w:hint="eastAsia" w:ascii="Times New Roman" w:hAnsi="Times New Roman"/>
          <w:color w:val="000000"/>
          <w:kern w:val="0"/>
          <w:sz w:val="24"/>
        </w:rPr>
        <w:t>各层次金融工具公允价值</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日，本基金持有的以公允价值计量且其变动计入当期损益的金融资产中属于第二层次的余额为</w:t>
      </w:r>
      <w:r>
        <w:rPr>
          <w:rFonts w:hint="default" w:ascii="Times New Roman" w:hAnsi="Times New Roman"/>
          <w:color w:val="000000"/>
          <w:kern w:val="0"/>
          <w:sz w:val="24"/>
        </w:rPr>
        <w:t>4,139,883.700.00</w:t>
      </w:r>
      <w:r>
        <w:rPr>
          <w:rFonts w:hint="eastAsia" w:ascii="Times New Roman" w:hAnsi="Times New Roman"/>
          <w:color w:val="000000"/>
          <w:kern w:val="0"/>
          <w:sz w:val="24"/>
        </w:rPr>
        <w:t>元，无属于第一层次和第三层次的余额。</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(ii)</w:t>
      </w:r>
      <w:r>
        <w:rPr>
          <w:rFonts w:hint="eastAsia" w:ascii="Times New Roman" w:hAnsi="Times New Roman"/>
          <w:color w:val="000000"/>
          <w:kern w:val="0"/>
          <w:sz w:val="24"/>
        </w:rPr>
        <w:t>公允价值所属层次间的重大变动</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对于证券交易所上市的股票和债券，若出现重大事项停牌、交易不活跃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本基金本期持有的以公允价值计量的金融工具的公允价值所属层次未发生重大变动。</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(iii)</w:t>
      </w:r>
      <w:r>
        <w:rPr>
          <w:rFonts w:hint="eastAsia" w:ascii="Times New Roman" w:hAnsi="Times New Roman"/>
          <w:color w:val="000000"/>
          <w:kern w:val="0"/>
          <w:sz w:val="24"/>
        </w:rPr>
        <w:t>第三层次公允价值余额和本期变动金额</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(c)</w:t>
      </w:r>
      <w:r>
        <w:rPr>
          <w:rFonts w:hint="eastAsia" w:ascii="Times New Roman" w:hAnsi="Times New Roman"/>
          <w:color w:val="000000"/>
          <w:kern w:val="0"/>
          <w:sz w:val="24"/>
        </w:rPr>
        <w:t>非持续的以公允价值计量的金融工具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日，本基金未持有非持续的以公允价值计量的金融资产。</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(d)</w:t>
      </w:r>
      <w:r>
        <w:rPr>
          <w:rFonts w:hint="eastAsia" w:ascii="Times New Roman" w:hAnsi="Times New Roman"/>
          <w:color w:val="000000"/>
          <w:kern w:val="0"/>
          <w:sz w:val="24"/>
        </w:rPr>
        <w:t>不以公允价值计量的金融工具</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不以公允价值计量的金融资产和负债主要包括应收款项和其他金融负债，其账面价值与公允价值相差很小。</w:t>
      </w:r>
    </w:p>
    <w:p>
      <w:pPr>
        <w:autoSpaceDE w:val="0"/>
        <w:autoSpaceDN w:val="0"/>
        <w:adjustRightInd w:val="0"/>
        <w:spacing w:before="145"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7.4.14.2</w:t>
      </w:r>
      <w:r>
        <w:rPr>
          <w:rFonts w:hint="eastAsia" w:ascii="Times New Roman" w:hAnsi="Times New Roman"/>
          <w:color w:val="000000"/>
          <w:kern w:val="0"/>
          <w:sz w:val="24"/>
        </w:rPr>
        <w:t>除公允价值外，截至资产负债表日本基金无需要说明的其他重要事项。</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34" w:name="_Toc477955815"/>
      <w:r>
        <w:rPr>
          <w:rFonts w:hint="eastAsia" w:ascii="Times New Roman" w:hAnsi="Times New Roman"/>
          <w:b/>
          <w:color w:val="000000"/>
          <w:kern w:val="0"/>
          <w:sz w:val="24"/>
        </w:rPr>
        <w:t>§</w:t>
      </w:r>
      <w:r>
        <w:rPr>
          <w:rFonts w:hint="default" w:ascii="Times New Roman" w:hAnsi="Times New Roman"/>
          <w:b/>
          <w:color w:val="000000"/>
          <w:kern w:val="0"/>
          <w:sz w:val="24"/>
        </w:rPr>
        <w:t xml:space="preserve">8  </w:t>
      </w:r>
      <w:r>
        <w:rPr>
          <w:rFonts w:hint="eastAsia" w:ascii="Times New Roman" w:hAnsi="Times New Roman"/>
          <w:b/>
          <w:color w:val="000000"/>
          <w:kern w:val="0"/>
          <w:sz w:val="24"/>
        </w:rPr>
        <w:t>投资组合报告</w:t>
      </w:r>
      <w:bookmarkEnd w:id="34"/>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35" w:name="_Toc477955816"/>
      <w:r>
        <w:rPr>
          <w:rFonts w:hint="default" w:ascii="Times New Roman" w:hAnsi="Times New Roman"/>
          <w:b/>
          <w:color w:val="000000"/>
          <w:kern w:val="0"/>
          <w:sz w:val="24"/>
        </w:rPr>
        <w:t xml:space="preserve">8.1 </w:t>
      </w:r>
      <w:r>
        <w:rPr>
          <w:rFonts w:hint="eastAsia" w:ascii="Times New Roman" w:hAnsi="Times New Roman"/>
          <w:b/>
          <w:color w:val="000000"/>
          <w:kern w:val="0"/>
          <w:sz w:val="24"/>
        </w:rPr>
        <w:t>期末基金资产组合情况</w:t>
      </w:r>
      <w:bookmarkEnd w:id="35"/>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占基金总资产的比例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权益投资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其中：股票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固定收益投资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4,139,883,700.00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其中：债券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3,521,250,000.00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618,633,700.00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贵金属投资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金融衍生品投资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8,357,181.56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其他各项资产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74,368,133.44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4,222,609,015.00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8.2 </w:t>
      </w:r>
      <w:r>
        <w:rPr>
          <w:rFonts w:hint="eastAsia" w:ascii="Times New Roman" w:hAnsi="Times New Roman"/>
          <w:b/>
          <w:color w:val="000000"/>
          <w:kern w:val="0"/>
          <w:sz w:val="24"/>
        </w:rPr>
        <w:t>报告期末按行业分类的股票投资组合</w:t>
      </w: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36" w:name="_Toc477955817"/>
      <w:r>
        <w:rPr>
          <w:rFonts w:hint="default" w:ascii="Times New Roman" w:hAnsi="Times New Roman"/>
          <w:b/>
          <w:color w:val="000000"/>
          <w:kern w:val="0"/>
          <w:sz w:val="24"/>
        </w:rPr>
        <w:t xml:space="preserve">8.2.1 </w:t>
      </w:r>
      <w:r>
        <w:rPr>
          <w:rFonts w:hint="eastAsia" w:ascii="Times New Roman" w:hAnsi="Times New Roman"/>
          <w:b/>
          <w:color w:val="000000"/>
          <w:kern w:val="0"/>
          <w:sz w:val="24"/>
        </w:rPr>
        <w:t>报告期末按行业分类的境内股票投资组合</w:t>
      </w:r>
      <w:bookmarkEnd w:id="36"/>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本基金本报告期末未持有股票。</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37" w:name="_Toc477955818"/>
      <w:r>
        <w:rPr>
          <w:rFonts w:hint="default" w:ascii="Times New Roman" w:hAnsi="Times New Roman"/>
          <w:b/>
          <w:color w:val="000000"/>
          <w:kern w:val="0"/>
          <w:sz w:val="24"/>
        </w:rPr>
        <w:t xml:space="preserve">8.3 </w:t>
      </w:r>
      <w:r>
        <w:rPr>
          <w:rFonts w:hint="eastAsia" w:ascii="Times New Roman" w:hAnsi="Times New Roman"/>
          <w:b/>
          <w:color w:val="000000"/>
          <w:kern w:val="0"/>
          <w:sz w:val="24"/>
        </w:rPr>
        <w:t>期末按公允价值占基金资产净值比例大小排序的所有股票投资明细</w:t>
      </w:r>
      <w:bookmarkEnd w:id="37"/>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本基金本报告期末未持有股票。</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38" w:name="_Toc477955819"/>
      <w:r>
        <w:rPr>
          <w:rFonts w:hint="default" w:ascii="Times New Roman" w:hAnsi="Times New Roman"/>
          <w:b/>
          <w:color w:val="000000"/>
          <w:kern w:val="0"/>
          <w:sz w:val="24"/>
        </w:rPr>
        <w:t xml:space="preserve">8.4 </w:t>
      </w:r>
      <w:r>
        <w:rPr>
          <w:rFonts w:hint="eastAsia" w:ascii="Times New Roman" w:hAnsi="Times New Roman"/>
          <w:b/>
          <w:color w:val="000000"/>
          <w:kern w:val="0"/>
          <w:sz w:val="24"/>
        </w:rPr>
        <w:t>报告期内股票投资组合的重大变动</w:t>
      </w:r>
      <w:bookmarkEnd w:id="38"/>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8.4.1 </w:t>
      </w:r>
      <w:r>
        <w:rPr>
          <w:rFonts w:hint="eastAsia" w:ascii="Times New Roman" w:hAnsi="Times New Roman"/>
          <w:b/>
          <w:color w:val="000000"/>
          <w:kern w:val="0"/>
          <w:sz w:val="24"/>
        </w:rPr>
        <w:t>累计买入金额超出期末基金资产净值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本基金本报告期内未投资股票。</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8.4.2 </w:t>
      </w:r>
      <w:r>
        <w:rPr>
          <w:rFonts w:hint="eastAsia" w:ascii="Times New Roman" w:hAnsi="Times New Roman"/>
          <w:b/>
          <w:color w:val="000000"/>
          <w:kern w:val="0"/>
          <w:sz w:val="24"/>
        </w:rPr>
        <w:t>累计卖出金额超出期末基金资产净值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本基金本报告期内未投资股票。</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8.4.3 </w:t>
      </w:r>
      <w:r>
        <w:rPr>
          <w:rFonts w:hint="eastAsia" w:ascii="Times New Roman" w:hAnsi="Times New Roman"/>
          <w:b/>
          <w:color w:val="000000"/>
          <w:kern w:val="0"/>
          <w:sz w:val="24"/>
        </w:rPr>
        <w:t>买入股票的成本总额及卖出股票的收入总额</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本基金本报告期内未投资股票。</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39" w:name="_Toc477955820"/>
      <w:r>
        <w:rPr>
          <w:rFonts w:hint="default" w:ascii="Times New Roman" w:hAnsi="Times New Roman"/>
          <w:b/>
          <w:color w:val="000000"/>
          <w:kern w:val="0"/>
          <w:sz w:val="24"/>
        </w:rPr>
        <w:t xml:space="preserve">8.5 </w:t>
      </w:r>
      <w:r>
        <w:rPr>
          <w:rFonts w:hint="eastAsia" w:ascii="Times New Roman" w:hAnsi="Times New Roman"/>
          <w:b/>
          <w:color w:val="000000"/>
          <w:kern w:val="0"/>
          <w:sz w:val="24"/>
        </w:rPr>
        <w:t>期末按债券品种分类的债券投资组合</w:t>
      </w:r>
      <w:bookmarkEnd w:id="39"/>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529"/>
        <w:gridCol w:w="2528"/>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序号</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债券品种</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公允价值</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国家债券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央行票据</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金融债券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3,325,350,000.00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其中：政策性金融债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2,853,704,000.00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企业债券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企业短期融资券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中期票据</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可转债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同业存单</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195,900,000.00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其他</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3,521,250,000.00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101.98</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40" w:name="_Toc477955821"/>
      <w:r>
        <w:rPr>
          <w:rFonts w:hint="default" w:ascii="Times New Roman" w:hAnsi="Times New Roman"/>
          <w:b/>
          <w:color w:val="000000"/>
          <w:kern w:val="0"/>
          <w:sz w:val="24"/>
        </w:rPr>
        <w:t xml:space="preserve">8.6 </w:t>
      </w:r>
      <w:r>
        <w:rPr>
          <w:rFonts w:hint="eastAsia" w:ascii="Times New Roman" w:hAnsi="Times New Roman"/>
          <w:b/>
          <w:color w:val="000000"/>
          <w:kern w:val="0"/>
          <w:sz w:val="24"/>
        </w:rPr>
        <w:t>期末按公允价值占基金资产净值比例大小排序的前五名债券投资明细</w:t>
      </w:r>
      <w:bookmarkEnd w:id="40"/>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806"/>
        <w:gridCol w:w="1445"/>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债券代码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债券名称</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数量（张）</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160417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农发</w:t>
            </w: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1,924,916,000.00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150223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国开</w:t>
            </w:r>
            <w:r>
              <w:rPr>
                <w:rFonts w:hint="default" w:ascii="Times New Roman" w:hAnsi="Times New Roman"/>
                <w:color w:val="000000"/>
                <w:kern w:val="0"/>
                <w:sz w:val="24"/>
              </w:rPr>
              <w:t>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296,850,000.00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160207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国开</w:t>
            </w:r>
            <w:r>
              <w:rPr>
                <w:rFonts w:hint="default" w:ascii="Times New Roman" w:hAnsi="Times New Roman"/>
                <w:color w:val="000000"/>
                <w:kern w:val="0"/>
                <w:sz w:val="24"/>
              </w:rPr>
              <w:t>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281,358,000.00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140335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r>
              <w:rPr>
                <w:rFonts w:hint="eastAsia" w:ascii="Times New Roman" w:hAnsi="Times New Roman"/>
                <w:color w:val="000000"/>
                <w:kern w:val="0"/>
                <w:sz w:val="24"/>
              </w:rPr>
              <w:t>进出</w:t>
            </w:r>
            <w:r>
              <w:rPr>
                <w:rFonts w:hint="default" w:ascii="Times New Roman" w:hAnsi="Times New Roman"/>
                <w:color w:val="000000"/>
                <w:kern w:val="0"/>
                <w:sz w:val="24"/>
              </w:rPr>
              <w:t>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251,550,000.00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111609503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浦发</w:t>
            </w:r>
            <w:r>
              <w:rPr>
                <w:rFonts w:hint="default" w:ascii="Times New Roman" w:hAnsi="Times New Roman"/>
                <w:color w:val="000000"/>
                <w:kern w:val="0"/>
                <w:sz w:val="24"/>
              </w:rPr>
              <w:t>CD503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195,900,000.00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5.67</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41" w:name="_Toc477955822"/>
      <w:r>
        <w:rPr>
          <w:rFonts w:hint="default" w:ascii="Times New Roman" w:hAnsi="Times New Roman"/>
          <w:b/>
          <w:color w:val="000000"/>
          <w:kern w:val="0"/>
          <w:sz w:val="24"/>
        </w:rPr>
        <w:t xml:space="preserve">8.7 </w:t>
      </w:r>
      <w:r>
        <w:rPr>
          <w:rFonts w:hint="eastAsia" w:ascii="Times New Roman" w:hAnsi="Times New Roman"/>
          <w:b/>
          <w:color w:val="000000"/>
          <w:kern w:val="0"/>
          <w:sz w:val="24"/>
        </w:rPr>
        <w:t>期末按公允价值占基金资产净值比例大小排序的所有资产支持证券投资明细</w:t>
      </w:r>
      <w:bookmarkEnd w:id="41"/>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证券代码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权证名称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数量（张）</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1689280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龙元</w:t>
            </w:r>
            <w:r>
              <w:rPr>
                <w:rFonts w:hint="default" w:ascii="Times New Roman" w:hAnsi="Times New Roman"/>
                <w:color w:val="000000"/>
                <w:kern w:val="0"/>
                <w:sz w:val="24"/>
              </w:rPr>
              <w:t>2A2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248,825,000.00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1689202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建鑫</w:t>
            </w:r>
            <w:r>
              <w:rPr>
                <w:rFonts w:hint="default" w:ascii="Times New Roman" w:hAnsi="Times New Roman"/>
                <w:color w:val="000000"/>
                <w:kern w:val="0"/>
                <w:sz w:val="24"/>
              </w:rPr>
              <w:t>2</w:t>
            </w:r>
            <w:r>
              <w:rPr>
                <w:rFonts w:hint="eastAsia" w:ascii="Times New Roman" w:hAnsi="Times New Roman"/>
                <w:color w:val="000000"/>
                <w:kern w:val="0"/>
                <w:sz w:val="24"/>
              </w:rPr>
              <w:t>优先</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116,496,000.00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131848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远东</w:t>
            </w:r>
            <w:r>
              <w:rPr>
                <w:rFonts w:hint="default" w:ascii="Times New Roman" w:hAnsi="Times New Roman"/>
                <w:color w:val="000000"/>
                <w:kern w:val="0"/>
                <w:sz w:val="24"/>
              </w:rPr>
              <w:t>3</w:t>
            </w:r>
            <w:r>
              <w:rPr>
                <w:rFonts w:hint="eastAsia" w:ascii="Times New Roman" w:hAnsi="Times New Roman"/>
                <w:color w:val="000000"/>
                <w:kern w:val="0"/>
                <w:sz w:val="24"/>
              </w:rPr>
              <w:t>优</w:t>
            </w:r>
            <w:r>
              <w:rPr>
                <w:rFonts w:hint="default" w:ascii="Times New Roman" w:hAnsi="Times New Roman"/>
                <w:color w:val="000000"/>
                <w:kern w:val="0"/>
                <w:sz w:val="24"/>
              </w:rPr>
              <w:t>A</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101,528,000.00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1689281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龙元</w:t>
            </w:r>
            <w:r>
              <w:rPr>
                <w:rFonts w:hint="default" w:ascii="Times New Roman" w:hAnsi="Times New Roman"/>
                <w:color w:val="000000"/>
                <w:kern w:val="0"/>
                <w:sz w:val="24"/>
              </w:rPr>
              <w:t>2B</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44,491,500.00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131708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远东</w:t>
            </w:r>
            <w:r>
              <w:rPr>
                <w:rFonts w:hint="default" w:ascii="Times New Roman" w:hAnsi="Times New Roman"/>
                <w:color w:val="000000"/>
                <w:kern w:val="0"/>
                <w:sz w:val="24"/>
              </w:rPr>
              <w:t>2A</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37,910,000.00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1689142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和萃</w:t>
            </w:r>
            <w:r>
              <w:rPr>
                <w:rFonts w:hint="default" w:ascii="Times New Roman" w:hAnsi="Times New Roman"/>
                <w:color w:val="000000"/>
                <w:kern w:val="0"/>
                <w:sz w:val="24"/>
              </w:rPr>
              <w:t>2</w:t>
            </w:r>
            <w:r>
              <w:rPr>
                <w:rFonts w:hint="eastAsia" w:ascii="Times New Roman" w:hAnsi="Times New Roman"/>
                <w:color w:val="000000"/>
                <w:kern w:val="0"/>
                <w:sz w:val="24"/>
              </w:rPr>
              <w:t>优先</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35,953,200.00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1689080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融汇</w:t>
            </w:r>
            <w:r>
              <w:rPr>
                <w:rFonts w:hint="default" w:ascii="Times New Roman" w:hAnsi="Times New Roman"/>
                <w:color w:val="000000"/>
                <w:kern w:val="0"/>
                <w:sz w:val="24"/>
              </w:rPr>
              <w:t>1A</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33,430,000.00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0.97</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42" w:name="_Toc477955823"/>
      <w:r>
        <w:rPr>
          <w:rFonts w:hint="default" w:ascii="Times New Roman" w:hAnsi="Times New Roman"/>
          <w:b/>
          <w:color w:val="000000"/>
          <w:kern w:val="0"/>
          <w:sz w:val="24"/>
        </w:rPr>
        <w:t xml:space="preserve">8.8 </w:t>
      </w:r>
      <w:r>
        <w:rPr>
          <w:rFonts w:hint="eastAsia" w:ascii="Times New Roman" w:hAnsi="Times New Roman"/>
          <w:b/>
          <w:color w:val="000000"/>
          <w:kern w:val="0"/>
          <w:sz w:val="24"/>
        </w:rPr>
        <w:t>报告期末按公允价值占基金资产净值比例大小排序的前五名贵金属投资明细</w:t>
      </w:r>
      <w:bookmarkEnd w:id="42"/>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本基金本报告期末未持有贵金属。</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43" w:name="_Toc477955824"/>
      <w:r>
        <w:rPr>
          <w:rFonts w:hint="default" w:ascii="Times New Roman" w:hAnsi="Times New Roman"/>
          <w:b/>
          <w:color w:val="000000"/>
          <w:kern w:val="0"/>
          <w:sz w:val="24"/>
        </w:rPr>
        <w:t xml:space="preserve">8.9 </w:t>
      </w:r>
      <w:r>
        <w:rPr>
          <w:rFonts w:hint="eastAsia" w:ascii="Times New Roman" w:hAnsi="Times New Roman"/>
          <w:b/>
          <w:color w:val="000000"/>
          <w:kern w:val="0"/>
          <w:sz w:val="24"/>
        </w:rPr>
        <w:t>期末按公允价值占基金资产净值比例大小排序的前五名权证投资明细</w:t>
      </w:r>
      <w:bookmarkEnd w:id="43"/>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本基金本报告期末未持有权证。</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44" w:name="_Toc477955825"/>
      <w:r>
        <w:rPr>
          <w:rFonts w:hint="default" w:ascii="Times New Roman" w:hAnsi="Times New Roman"/>
          <w:b/>
          <w:color w:val="000000"/>
          <w:kern w:val="0"/>
          <w:sz w:val="24"/>
        </w:rPr>
        <w:t xml:space="preserve">8.10 </w:t>
      </w:r>
      <w:r>
        <w:rPr>
          <w:rFonts w:hint="eastAsia" w:ascii="Times New Roman" w:hAnsi="Times New Roman"/>
          <w:b/>
          <w:color w:val="000000"/>
          <w:kern w:val="0"/>
          <w:sz w:val="24"/>
        </w:rPr>
        <w:t>报告期末本基金投资的股指期货交易情况说明</w:t>
      </w:r>
      <w:bookmarkEnd w:id="44"/>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本基金本报告期未投资股指期货。</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45" w:name="_Toc477955826"/>
      <w:r>
        <w:rPr>
          <w:rFonts w:hint="default" w:ascii="Times New Roman" w:hAnsi="Times New Roman"/>
          <w:b/>
          <w:color w:val="000000"/>
          <w:kern w:val="0"/>
          <w:sz w:val="24"/>
        </w:rPr>
        <w:t xml:space="preserve">8.11 </w:t>
      </w:r>
      <w:r>
        <w:rPr>
          <w:rFonts w:hint="eastAsia" w:ascii="Times New Roman" w:hAnsi="Times New Roman"/>
          <w:b/>
          <w:color w:val="000000"/>
          <w:kern w:val="0"/>
          <w:sz w:val="24"/>
        </w:rPr>
        <w:t>报告期末本基金投资的国债期货交易情况说明</w:t>
      </w:r>
      <w:bookmarkEnd w:id="45"/>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本基金本报告期未投资国债期货。</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46" w:name="_Toc477955827"/>
      <w:r>
        <w:rPr>
          <w:rFonts w:hint="default" w:ascii="Times New Roman" w:hAnsi="Times New Roman"/>
          <w:b/>
          <w:color w:val="000000"/>
          <w:kern w:val="0"/>
          <w:sz w:val="24"/>
        </w:rPr>
        <w:t xml:space="preserve">8.12 </w:t>
      </w:r>
      <w:r>
        <w:rPr>
          <w:rFonts w:hint="eastAsia" w:ascii="Times New Roman" w:hAnsi="Times New Roman"/>
          <w:b/>
          <w:color w:val="000000"/>
          <w:kern w:val="0"/>
          <w:sz w:val="24"/>
        </w:rPr>
        <w:t>投资组合报告附注</w:t>
      </w:r>
      <w:bookmarkEnd w:id="46"/>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8.12.1</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本报告期内基金投资的前十名证券的发行主体未受到监管部门的立案调查，编制日前一年内也未受到公开谴责和处罚。</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8.12.2</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本基金未投资于股票。</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8.12.3 </w:t>
      </w:r>
      <w:r>
        <w:rPr>
          <w:rFonts w:hint="eastAsia" w:ascii="Times New Roman" w:hAnsi="Times New Roman"/>
          <w:b/>
          <w:color w:val="000000"/>
          <w:kern w:val="0"/>
          <w:sz w:val="24"/>
        </w:rPr>
        <w:t>期末其他各项资产构成</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存出保证金</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应收证券清算款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应收股利</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应收利息</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74,367,483.96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应收申购款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649.48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其他应收款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待摊费用</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其他</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合计</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74,368,133.44</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8.12.4 </w:t>
      </w:r>
      <w:r>
        <w:rPr>
          <w:rFonts w:hint="eastAsia" w:ascii="Times New Roman" w:hAnsi="Times New Roman"/>
          <w:b/>
          <w:color w:val="000000"/>
          <w:kern w:val="0"/>
          <w:sz w:val="24"/>
        </w:rPr>
        <w:t>期末持有的处于转股期的可转换债券明细</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本基金本报告期末未持有处于转股期的可转换债券。</w:t>
      </w:r>
    </w:p>
    <w:p>
      <w:pPr>
        <w:autoSpaceDE w:val="0"/>
        <w:autoSpaceDN w:val="0"/>
        <w:adjustRightInd w:val="0"/>
        <w:spacing w:beforeLines="0" w:afterLines="0" w:line="288" w:lineRule="auto"/>
        <w:jc w:val="left"/>
        <w:rPr>
          <w:rFonts w:hint="default" w:ascii="Times New Roman" w:hAnsi="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8.12.5 </w:t>
      </w:r>
      <w:r>
        <w:rPr>
          <w:rFonts w:hint="eastAsia" w:ascii="Times New Roman" w:hAnsi="Times New Roman"/>
          <w:b/>
          <w:color w:val="000000"/>
          <w:kern w:val="0"/>
          <w:sz w:val="24"/>
        </w:rPr>
        <w:t>期末前十名股票中存在流通受限情况的说明</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本基金本报告期末未持有股票。</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47" w:name="_Toc477955828"/>
      <w:r>
        <w:rPr>
          <w:rFonts w:hint="eastAsia" w:ascii="Times New Roman" w:hAnsi="Times New Roman"/>
          <w:b/>
          <w:color w:val="000000"/>
          <w:kern w:val="0"/>
          <w:sz w:val="24"/>
        </w:rPr>
        <w:t>§</w:t>
      </w:r>
      <w:r>
        <w:rPr>
          <w:rFonts w:hint="default" w:ascii="Times New Roman" w:hAnsi="Times New Roman"/>
          <w:b/>
          <w:color w:val="000000"/>
          <w:kern w:val="0"/>
          <w:sz w:val="24"/>
        </w:rPr>
        <w:t xml:space="preserve">9  </w:t>
      </w:r>
      <w:r>
        <w:rPr>
          <w:rFonts w:hint="eastAsia" w:ascii="Times New Roman" w:hAnsi="Times New Roman"/>
          <w:b/>
          <w:color w:val="000000"/>
          <w:kern w:val="0"/>
          <w:sz w:val="24"/>
        </w:rPr>
        <w:t>基金份额持有人信息</w:t>
      </w:r>
      <w:bookmarkEnd w:id="47"/>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48" w:name="_Toc477955829"/>
      <w:r>
        <w:rPr>
          <w:rFonts w:hint="default" w:ascii="Times New Roman" w:hAnsi="Times New Roman"/>
          <w:b/>
          <w:color w:val="000000"/>
          <w:kern w:val="0"/>
          <w:sz w:val="24"/>
        </w:rPr>
        <w:t xml:space="preserve">9.1 </w:t>
      </w:r>
      <w:r>
        <w:rPr>
          <w:rFonts w:hint="eastAsia" w:ascii="Times New Roman" w:hAnsi="Times New Roman"/>
          <w:b/>
          <w:color w:val="000000"/>
          <w:kern w:val="0"/>
          <w:sz w:val="24"/>
        </w:rPr>
        <w:t>期末基金份额持有人户数及持有人结构</w:t>
      </w:r>
      <w:bookmarkEnd w:id="48"/>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份额单位：份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806"/>
        <w:gridCol w:w="1806"/>
        <w:gridCol w:w="1083"/>
        <w:gridCol w:w="1806"/>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持有人户数</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户</w:t>
            </w:r>
            <w:r>
              <w:rPr>
                <w:rFonts w:hint="default" w:ascii="Times New Roman" w:hAnsi="Times New Roman"/>
                <w:color w:val="000000"/>
                <w:kern w:val="0"/>
                <w:sz w:val="24"/>
              </w:rPr>
              <w:t>)</w:t>
            </w:r>
          </w:p>
        </w:tc>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持有人结构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288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机构投资者</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个人投资者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份额</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占总份额比例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份额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17,928,855.05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3,442,065,695.04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274,473.66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49" w:name="_Toc477955830"/>
      <w:r>
        <w:rPr>
          <w:rFonts w:hint="default" w:ascii="Times New Roman" w:hAnsi="Times New Roman"/>
          <w:b/>
          <w:color w:val="000000"/>
          <w:kern w:val="0"/>
          <w:sz w:val="24"/>
        </w:rPr>
        <w:t xml:space="preserve">9.2 </w:t>
      </w:r>
      <w:r>
        <w:rPr>
          <w:rFonts w:hint="eastAsia" w:ascii="Times New Roman" w:hAnsi="Times New Roman"/>
          <w:b/>
          <w:color w:val="000000"/>
          <w:kern w:val="0"/>
          <w:sz w:val="24"/>
        </w:rPr>
        <w:t>期末基金管理人的从业人员持有本基金的情况</w:t>
      </w:r>
      <w:bookmarkEnd w:id="49"/>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持有份额总数（份）</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9,994.24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50" w:name="_Toc477955831"/>
      <w:r>
        <w:rPr>
          <w:rFonts w:hint="default" w:ascii="Times New Roman" w:hAnsi="Times New Roman"/>
          <w:b/>
          <w:color w:val="000000"/>
          <w:kern w:val="0"/>
          <w:sz w:val="24"/>
        </w:rPr>
        <w:t xml:space="preserve">9.3 </w:t>
      </w:r>
      <w:r>
        <w:rPr>
          <w:rFonts w:hint="eastAsia" w:ascii="Times New Roman" w:hAnsi="Times New Roman"/>
          <w:b/>
          <w:color w:val="000000"/>
          <w:kern w:val="0"/>
          <w:sz w:val="24"/>
        </w:rPr>
        <w:t>期末基金管理人的从业人员持有本开放式基金份额总量区间情况</w:t>
      </w:r>
      <w:bookmarkEnd w:id="50"/>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项目</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持有基金份额总量的数量区间（万份）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51" w:name="_Toc477955832"/>
      <w:r>
        <w:rPr>
          <w:rFonts w:hint="eastAsia" w:ascii="Times New Roman" w:hAnsi="Times New Roman"/>
          <w:b/>
          <w:color w:val="000000"/>
          <w:kern w:val="0"/>
          <w:sz w:val="24"/>
        </w:rPr>
        <w:t>§</w:t>
      </w:r>
      <w:r>
        <w:rPr>
          <w:rFonts w:hint="default" w:ascii="Times New Roman" w:hAnsi="Times New Roman"/>
          <w:b/>
          <w:color w:val="000000"/>
          <w:kern w:val="0"/>
          <w:sz w:val="24"/>
        </w:rPr>
        <w:t xml:space="preserve">10 </w:t>
      </w:r>
      <w:r>
        <w:rPr>
          <w:rFonts w:hint="eastAsia" w:ascii="Times New Roman" w:hAnsi="Times New Roman"/>
          <w:b/>
          <w:color w:val="000000"/>
          <w:kern w:val="0"/>
          <w:sz w:val="24"/>
        </w:rPr>
        <w:t>开放式基金份额变动</w:t>
      </w:r>
      <w:bookmarkEnd w:id="51"/>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3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基金合同生效日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200,170,231.68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4,215,960,537.42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973,790,600.40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3,442,340,168.70</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52" w:name="_Toc477955833"/>
      <w:r>
        <w:rPr>
          <w:rFonts w:hint="eastAsia" w:ascii="Times New Roman" w:hAnsi="Times New Roman"/>
          <w:b/>
          <w:color w:val="000000"/>
          <w:kern w:val="0"/>
          <w:sz w:val="24"/>
        </w:rPr>
        <w:t>§</w:t>
      </w:r>
      <w:r>
        <w:rPr>
          <w:rFonts w:hint="default" w:ascii="Times New Roman" w:hAnsi="Times New Roman"/>
          <w:b/>
          <w:color w:val="000000"/>
          <w:kern w:val="0"/>
          <w:sz w:val="24"/>
        </w:rPr>
        <w:t xml:space="preserve">11 </w:t>
      </w:r>
      <w:r>
        <w:rPr>
          <w:rFonts w:hint="eastAsia" w:ascii="Times New Roman" w:hAnsi="Times New Roman"/>
          <w:b/>
          <w:color w:val="000000"/>
          <w:kern w:val="0"/>
          <w:sz w:val="24"/>
        </w:rPr>
        <w:t>重大事件揭示</w:t>
      </w:r>
      <w:bookmarkEnd w:id="52"/>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53" w:name="_Toc477955834"/>
      <w:r>
        <w:rPr>
          <w:rFonts w:hint="default" w:ascii="Times New Roman" w:hAnsi="Times New Roman"/>
          <w:b/>
          <w:color w:val="000000"/>
          <w:kern w:val="0"/>
          <w:sz w:val="24"/>
        </w:rPr>
        <w:t xml:space="preserve">11.1 </w:t>
      </w:r>
      <w:r>
        <w:rPr>
          <w:rFonts w:hint="eastAsia" w:ascii="Times New Roman" w:hAnsi="Times New Roman"/>
          <w:b/>
          <w:color w:val="000000"/>
          <w:kern w:val="0"/>
          <w:sz w:val="24"/>
        </w:rPr>
        <w:t>基金份额持有人大会决议</w:t>
      </w:r>
      <w:bookmarkEnd w:id="53"/>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本报告期内未召开基金份额持有人大会。</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54" w:name="_Toc477955835"/>
      <w:r>
        <w:rPr>
          <w:rFonts w:hint="default" w:ascii="Times New Roman" w:hAnsi="Times New Roman"/>
          <w:b/>
          <w:color w:val="000000"/>
          <w:kern w:val="0"/>
          <w:sz w:val="24"/>
        </w:rPr>
        <w:t xml:space="preserve">11.2 </w:t>
      </w:r>
      <w:r>
        <w:rPr>
          <w:rFonts w:hint="eastAsia" w:ascii="Times New Roman" w:hAnsi="Times New Roman"/>
          <w:b/>
          <w:color w:val="000000"/>
          <w:kern w:val="0"/>
          <w:sz w:val="24"/>
        </w:rPr>
        <w:t>基金管理人、基金托管人的专门基金托管部门的重大人事变动</w:t>
      </w:r>
      <w:bookmarkEnd w:id="54"/>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本报告期内基金管理人、基金托管人的专门基金托管部门无重大人事变动。</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55" w:name="_Toc477955836"/>
      <w:r>
        <w:rPr>
          <w:rFonts w:hint="default" w:ascii="Times New Roman" w:hAnsi="Times New Roman"/>
          <w:b/>
          <w:color w:val="000000"/>
          <w:kern w:val="0"/>
          <w:sz w:val="24"/>
        </w:rPr>
        <w:t xml:space="preserve">11.3 </w:t>
      </w:r>
      <w:r>
        <w:rPr>
          <w:rFonts w:hint="eastAsia" w:ascii="Times New Roman" w:hAnsi="Times New Roman"/>
          <w:b/>
          <w:color w:val="000000"/>
          <w:kern w:val="0"/>
          <w:sz w:val="24"/>
        </w:rPr>
        <w:t>涉及基金管理人、基金财产、基金托管业务的诉讼</w:t>
      </w:r>
      <w:bookmarkEnd w:id="55"/>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本报告期内，无涉及基金管理人、基金财产、基金托管业务的诉讼。</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56" w:name="_Toc477955837"/>
      <w:r>
        <w:rPr>
          <w:rFonts w:hint="default" w:ascii="Times New Roman" w:hAnsi="Times New Roman"/>
          <w:b/>
          <w:color w:val="000000"/>
          <w:kern w:val="0"/>
          <w:sz w:val="24"/>
        </w:rPr>
        <w:t xml:space="preserve">11.4 </w:t>
      </w:r>
      <w:r>
        <w:rPr>
          <w:rFonts w:hint="eastAsia" w:ascii="Times New Roman" w:hAnsi="Times New Roman"/>
          <w:b/>
          <w:color w:val="000000"/>
          <w:kern w:val="0"/>
          <w:sz w:val="24"/>
        </w:rPr>
        <w:t>基金投资策略的改变</w:t>
      </w:r>
      <w:bookmarkEnd w:id="56"/>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本报告期内基金投资策略无重大改变。</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57" w:name="_Toc477955838"/>
      <w:r>
        <w:rPr>
          <w:rFonts w:hint="default" w:ascii="Times New Roman" w:hAnsi="Times New Roman"/>
          <w:b/>
          <w:color w:val="000000"/>
          <w:kern w:val="0"/>
          <w:sz w:val="24"/>
        </w:rPr>
        <w:t xml:space="preserve">11.5 </w:t>
      </w:r>
      <w:r>
        <w:rPr>
          <w:rFonts w:hint="eastAsia" w:ascii="Times New Roman" w:hAnsi="Times New Roman"/>
          <w:b/>
          <w:color w:val="000000"/>
          <w:kern w:val="0"/>
          <w:sz w:val="24"/>
        </w:rPr>
        <w:t>为基金进行审计的会计师事务所情况</w:t>
      </w:r>
      <w:bookmarkEnd w:id="57"/>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本报告期内本基金未更换会计师事务所，本年度支付给毕马威华振会计师事务所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审计费用</w:t>
      </w:r>
      <w:r>
        <w:rPr>
          <w:rFonts w:hint="default" w:ascii="Times New Roman" w:hAnsi="Times New Roman"/>
          <w:color w:val="000000"/>
          <w:kern w:val="0"/>
          <w:sz w:val="24"/>
        </w:rPr>
        <w:t>53,000.00</w:t>
      </w:r>
      <w:r>
        <w:rPr>
          <w:rFonts w:hint="eastAsia" w:ascii="Times New Roman" w:hAnsi="Times New Roman"/>
          <w:color w:val="000000"/>
          <w:kern w:val="0"/>
          <w:sz w:val="24"/>
        </w:rPr>
        <w:t>元，该审计机构连续提供审计服务的年限为</w:t>
      </w:r>
      <w:r>
        <w:rPr>
          <w:rFonts w:hint="default" w:ascii="Times New Roman" w:hAnsi="Times New Roman"/>
          <w:color w:val="000000"/>
          <w:kern w:val="0"/>
          <w:sz w:val="24"/>
        </w:rPr>
        <w:t>1</w:t>
      </w:r>
      <w:r>
        <w:rPr>
          <w:rFonts w:hint="eastAsia" w:ascii="Times New Roman" w:hAnsi="Times New Roman"/>
          <w:color w:val="000000"/>
          <w:kern w:val="0"/>
          <w:sz w:val="24"/>
        </w:rPr>
        <w:t>年。</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58" w:name="_Toc477955839"/>
      <w:r>
        <w:rPr>
          <w:rFonts w:hint="default" w:ascii="Times New Roman" w:hAnsi="Times New Roman"/>
          <w:b/>
          <w:color w:val="000000"/>
          <w:kern w:val="0"/>
          <w:sz w:val="24"/>
        </w:rPr>
        <w:t xml:space="preserve">11.6 </w:t>
      </w:r>
      <w:r>
        <w:rPr>
          <w:rFonts w:hint="eastAsia" w:ascii="Times New Roman" w:hAnsi="Times New Roman"/>
          <w:b/>
          <w:color w:val="000000"/>
          <w:kern w:val="0"/>
          <w:sz w:val="24"/>
        </w:rPr>
        <w:t>管理人、托管人及其高级管理人员受稽查或处罚等情况</w:t>
      </w:r>
      <w:bookmarkEnd w:id="58"/>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本报告期内，没有管理人、托管人及其高级管理人员受监管部门稽查或处罚的情况。</w:t>
      </w: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59" w:name="_Toc477955840"/>
      <w:r>
        <w:rPr>
          <w:rFonts w:hint="default" w:ascii="Times New Roman" w:hAnsi="Times New Roman"/>
          <w:b/>
          <w:color w:val="000000"/>
          <w:kern w:val="0"/>
          <w:sz w:val="24"/>
        </w:rPr>
        <w:t xml:space="preserve">11.7 </w:t>
      </w:r>
      <w:r>
        <w:rPr>
          <w:rFonts w:hint="eastAsia" w:ascii="Times New Roman" w:hAnsi="Times New Roman"/>
          <w:b/>
          <w:color w:val="000000"/>
          <w:kern w:val="0"/>
          <w:sz w:val="24"/>
        </w:rPr>
        <w:t>基金租用证券公司交易单元的有关情况</w:t>
      </w:r>
      <w:bookmarkEnd w:id="59"/>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11.7.1 </w:t>
      </w:r>
      <w:r>
        <w:rPr>
          <w:rFonts w:hint="eastAsia" w:ascii="Times New Roman" w:hAnsi="Times New Roman"/>
          <w:b/>
          <w:color w:val="000000"/>
          <w:kern w:val="0"/>
          <w:sz w:val="24"/>
        </w:rPr>
        <w:t>基金租用证券公司交易单元进行股票投资及佣金支付情况</w:t>
      </w: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445"/>
        <w:gridCol w:w="1445"/>
        <w:gridCol w:w="1445"/>
        <w:gridCol w:w="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券商名称</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交易单元</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数量</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股票交易</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占股票</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成交总额比例</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占当期佣金</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hAnsi="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hAnsi="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光大证券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hAnsi="Times New Roman"/>
                <w:color w:val="000000"/>
                <w:kern w:val="0"/>
                <w:sz w:val="23"/>
              </w:rPr>
            </w:pPr>
          </w:p>
        </w:tc>
      </w:tr>
    </w:tbl>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注：注：交易单元的选择标准和程序：</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1</w:t>
      </w:r>
      <w:r>
        <w:rPr>
          <w:rFonts w:hint="eastAsia" w:ascii="Times New Roman" w:hAnsi="Times New Roman"/>
          <w:color w:val="000000"/>
          <w:kern w:val="0"/>
          <w:sz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2</w:t>
      </w:r>
      <w:r>
        <w:rPr>
          <w:rFonts w:hint="eastAsia" w:ascii="Times New Roman" w:hAnsi="Times New Roman"/>
          <w:color w:val="000000"/>
          <w:kern w:val="0"/>
          <w:sz w:val="21"/>
        </w:rPr>
        <w:t>）财务状况良好，各项财务指标显示公司经营状况稳定；</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3</w:t>
      </w:r>
      <w:r>
        <w:rPr>
          <w:rFonts w:hint="eastAsia" w:ascii="Times New Roman" w:hAnsi="Times New Roman"/>
          <w:color w:val="000000"/>
          <w:kern w:val="0"/>
          <w:sz w:val="21"/>
        </w:rPr>
        <w:t>）经营行为规范，内部管理规范、严格，具备健全的内部控制制度，并能满足基金运作高度保密的要求；</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4</w:t>
      </w:r>
      <w:r>
        <w:rPr>
          <w:rFonts w:hint="eastAsia" w:ascii="Times New Roman" w:hAnsi="Times New Roman"/>
          <w:color w:val="000000"/>
          <w:kern w:val="0"/>
          <w:sz w:val="21"/>
        </w:rPr>
        <w:t>）具备基金运作所需的高效、安全的通讯条件，交易设施符合代理基金进行证券交易的需要，并能为基金提供全面的信息服务。基金管理人根据以上标准进行考察后确定租用券商的交易单元，并与被选中的证券经营机构签订交易单元租用协议。</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本基金在报告期内成立，交易单元均于本期内新增。</w:t>
      </w: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 xml:space="preserve">11.7.2 </w:t>
      </w:r>
      <w:r>
        <w:rPr>
          <w:rFonts w:hint="eastAsia" w:ascii="Times New Roman" w:hAnsi="Times New Roman"/>
          <w:b/>
          <w:color w:val="000000"/>
          <w:kern w:val="0"/>
          <w:sz w:val="24"/>
        </w:rPr>
        <w:t>基金租用证券公司交易单元进行其他证券投资的情况</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084"/>
        <w:gridCol w:w="1445"/>
        <w:gridCol w:w="1083"/>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券商名称</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债券交易</w:t>
            </w: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权证交易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hAnsi="Times New Roman"/>
                <w:kern w:val="0"/>
                <w:sz w:val="20"/>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占债券</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成交总额比例</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占债券回购</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成交总额比例</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占权证</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成交总额比例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1,890,000,000.00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光大证券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60" w:name="_Toc477955841"/>
      <w:r>
        <w:rPr>
          <w:rFonts w:hint="default" w:ascii="Times New Roman" w:hAnsi="Times New Roman"/>
          <w:b/>
          <w:color w:val="000000"/>
          <w:kern w:val="0"/>
          <w:sz w:val="24"/>
        </w:rPr>
        <w:t xml:space="preserve">11.8 </w:t>
      </w:r>
      <w:r>
        <w:rPr>
          <w:rFonts w:hint="eastAsia" w:ascii="Times New Roman" w:hAnsi="Times New Roman"/>
          <w:b/>
          <w:color w:val="000000"/>
          <w:kern w:val="0"/>
          <w:sz w:val="24"/>
        </w:rPr>
        <w:t>其他重大事件</w:t>
      </w:r>
      <w:bookmarkEnd w:id="60"/>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890"/>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公告事项</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法定披露方式</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法定披露日期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创金合信尊享纯债债券型证券投资基金合同</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创金合信尊享纯债债券型证券投资基金基金份额发售公告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创金合信尊享纯债债券型证券投资基金基金合同摘要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创金合信尊享纯债债券型证券投资基金托管协议</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创金合信尊享纯债债券型证券投资基金招募说明书</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创金合信基金管理有限公司关于创金合信尊享纯债债券型证券投资基金提前结束募集的公告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创金合信尊享纯债债券型证券投资基金基金合同生效公告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创金合信尊享纯债债券型证券投资基金暂停大额申购公告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创金合信尊享纯债债券型证券投资基金分红公告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创金合信尊享纯债债券型证券投资基金恢复大额申购公告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创金合信尊享纯债债券型证券投资基金暂停大额申购公告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创金合信尊享纯债债券型证券投资基金恢复大额申购公告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创金合信尊享纯债债券型证券投资基金暂停大额申购的公告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3</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创金合信尊享纯债债券型证券投资基金分红公告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公司官网、证券日报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2016-12-15</w:t>
            </w:r>
          </w:p>
        </w:tc>
      </w:tr>
    </w:tbl>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61" w:name="_Toc477955842"/>
      <w:r>
        <w:rPr>
          <w:rFonts w:hint="eastAsia" w:ascii="Times New Roman" w:hAnsi="Times New Roman"/>
          <w:b/>
          <w:color w:val="000000"/>
          <w:kern w:val="0"/>
          <w:sz w:val="24"/>
        </w:rPr>
        <w:t>§</w:t>
      </w:r>
      <w:r>
        <w:rPr>
          <w:rFonts w:hint="default" w:ascii="Times New Roman" w:hAnsi="Times New Roman"/>
          <w:b/>
          <w:color w:val="000000"/>
          <w:kern w:val="0"/>
          <w:sz w:val="24"/>
        </w:rPr>
        <w:t xml:space="preserve">12  </w:t>
      </w:r>
      <w:r>
        <w:rPr>
          <w:rFonts w:hint="eastAsia" w:ascii="Times New Roman" w:hAnsi="Times New Roman"/>
          <w:b/>
          <w:color w:val="000000"/>
          <w:kern w:val="0"/>
          <w:sz w:val="24"/>
        </w:rPr>
        <w:t>影响投资者决策的其他重要信息</w:t>
      </w:r>
      <w:bookmarkEnd w:id="61"/>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145"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本报告期内，未出现影响投资者决策的其他重要信息。</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hAnsi="Times New Roman"/>
          <w:b/>
          <w:color w:val="000000"/>
          <w:kern w:val="0"/>
          <w:sz w:val="24"/>
        </w:rPr>
      </w:pPr>
      <w:bookmarkStart w:id="62" w:name="_Toc477955843"/>
      <w:r>
        <w:rPr>
          <w:rFonts w:hint="eastAsia" w:ascii="Times New Roman" w:hAnsi="Times New Roman"/>
          <w:b/>
          <w:color w:val="000000"/>
          <w:kern w:val="0"/>
          <w:sz w:val="24"/>
        </w:rPr>
        <w:t>§</w:t>
      </w:r>
      <w:r>
        <w:rPr>
          <w:rFonts w:hint="default" w:ascii="Times New Roman" w:hAnsi="Times New Roman"/>
          <w:b/>
          <w:color w:val="000000"/>
          <w:kern w:val="0"/>
          <w:sz w:val="24"/>
        </w:rPr>
        <w:t xml:space="preserve">13 </w:t>
      </w:r>
      <w:r>
        <w:rPr>
          <w:rFonts w:hint="eastAsia" w:ascii="Times New Roman" w:hAnsi="Times New Roman"/>
          <w:b/>
          <w:color w:val="000000"/>
          <w:kern w:val="0"/>
          <w:sz w:val="24"/>
        </w:rPr>
        <w:t>备查文件目录</w:t>
      </w:r>
      <w:bookmarkEnd w:id="62"/>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63" w:name="_Toc477955844"/>
      <w:r>
        <w:rPr>
          <w:rFonts w:hint="default" w:ascii="Times New Roman" w:hAnsi="Times New Roman"/>
          <w:b/>
          <w:color w:val="000000"/>
          <w:kern w:val="0"/>
          <w:sz w:val="24"/>
        </w:rPr>
        <w:t xml:space="preserve">13.1 </w:t>
      </w:r>
      <w:r>
        <w:rPr>
          <w:rFonts w:hint="eastAsia" w:ascii="Times New Roman" w:hAnsi="Times New Roman"/>
          <w:b/>
          <w:color w:val="000000"/>
          <w:kern w:val="0"/>
          <w:sz w:val="24"/>
        </w:rPr>
        <w:t>备查文件目录</w:t>
      </w:r>
      <w:bookmarkEnd w:id="63"/>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、《创金合信尊享纯债债券型证券投资基金基金合同》；</w:t>
      </w:r>
      <w:r>
        <w:rPr>
          <w:rFonts w:hint="default" w:ascii="Times New Roman" w:hAnsi="Times New Roman"/>
          <w:color w:val="000000"/>
          <w:kern w:val="0"/>
          <w:sz w:val="24"/>
        </w:rPr>
        <w:t>2</w:t>
      </w:r>
      <w:r>
        <w:rPr>
          <w:rFonts w:hint="eastAsia" w:ascii="Times New Roman" w:hAnsi="Times New Roman"/>
          <w:color w:val="000000"/>
          <w:kern w:val="0"/>
          <w:sz w:val="24"/>
        </w:rPr>
        <w:t>、《创金合信尊享纯债债券型证券投资基金托管协议》；</w:t>
      </w:r>
      <w:r>
        <w:rPr>
          <w:rFonts w:hint="default" w:ascii="Times New Roman" w:hAnsi="Times New Roman"/>
          <w:color w:val="000000"/>
          <w:kern w:val="0"/>
          <w:sz w:val="24"/>
        </w:rPr>
        <w:t>3</w:t>
      </w:r>
      <w:r>
        <w:rPr>
          <w:rFonts w:hint="eastAsia" w:ascii="Times New Roman" w:hAnsi="Times New Roman"/>
          <w:color w:val="000000"/>
          <w:kern w:val="0"/>
          <w:sz w:val="24"/>
        </w:rPr>
        <w:t>、创金合信尊享纯债债券型证券投资基金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64" w:name="_Toc477955845"/>
      <w:r>
        <w:rPr>
          <w:rFonts w:hint="default" w:ascii="Times New Roman" w:hAnsi="Times New Roman"/>
          <w:b/>
          <w:color w:val="000000"/>
          <w:kern w:val="0"/>
          <w:sz w:val="24"/>
        </w:rPr>
        <w:t xml:space="preserve">13.2 </w:t>
      </w:r>
      <w:r>
        <w:rPr>
          <w:rFonts w:hint="eastAsia" w:ascii="Times New Roman" w:hAnsi="Times New Roman"/>
          <w:b/>
          <w:color w:val="000000"/>
          <w:kern w:val="0"/>
          <w:sz w:val="24"/>
        </w:rPr>
        <w:t>存放地点</w:t>
      </w:r>
      <w:bookmarkEnd w:id="64"/>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hAnsi="Times New Roman"/>
          <w:b/>
          <w:color w:val="000000"/>
          <w:kern w:val="0"/>
          <w:sz w:val="24"/>
        </w:rPr>
      </w:pPr>
      <w:bookmarkStart w:id="65" w:name="_Toc477955846"/>
      <w:r>
        <w:rPr>
          <w:rFonts w:hint="default" w:ascii="Times New Roman" w:hAnsi="Times New Roman"/>
          <w:b/>
          <w:color w:val="000000"/>
          <w:kern w:val="0"/>
          <w:sz w:val="24"/>
        </w:rPr>
        <w:t xml:space="preserve">13.3 </w:t>
      </w:r>
      <w:r>
        <w:rPr>
          <w:rFonts w:hint="eastAsia" w:ascii="Times New Roman" w:hAnsi="Times New Roman"/>
          <w:b/>
          <w:color w:val="000000"/>
          <w:kern w:val="0"/>
          <w:sz w:val="24"/>
        </w:rPr>
        <w:t>查阅方式</w:t>
      </w:r>
      <w:bookmarkEnd w:id="65"/>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p>
      <w:pPr>
        <w:autoSpaceDE w:val="0"/>
        <w:autoSpaceDN w:val="0"/>
        <w:adjustRightInd w:val="0"/>
        <w:spacing w:beforeLines="0" w:afterLines="0" w:line="288" w:lineRule="auto"/>
        <w:jc w:val="left"/>
        <w:rPr>
          <w:rFonts w:hint="default" w:ascii="Times New Roman" w:hAnsi="Times New Roman"/>
          <w:color w:val="000000"/>
          <w:kern w:val="0"/>
          <w:sz w:val="23"/>
        </w:rPr>
      </w:pPr>
    </w:p>
    <w:p>
      <w:pPr>
        <w:autoSpaceDE w:val="0"/>
        <w:autoSpaceDN w:val="0"/>
        <w:adjustRightInd w:val="0"/>
        <w:spacing w:before="29" w:beforeLines="0" w:afterLines="0" w:line="288" w:lineRule="auto"/>
        <w:ind w:left="15" w:firstLine="482"/>
        <w:jc w:val="right"/>
        <w:rPr>
          <w:rFonts w:hint="default" w:ascii="Times New Roman" w:hAnsi="Times New Roman"/>
          <w:b/>
          <w:color w:val="000000"/>
          <w:kern w:val="0"/>
          <w:sz w:val="24"/>
        </w:rPr>
      </w:pPr>
      <w:r>
        <w:rPr>
          <w:rFonts w:hint="eastAsia" w:ascii="Times New Roman" w:hAnsi="Times New Roman"/>
          <w:b/>
          <w:color w:val="000000"/>
          <w:kern w:val="0"/>
          <w:sz w:val="24"/>
        </w:rPr>
        <w:t>创金合信基金管理有限公司</w:t>
      </w:r>
    </w:p>
    <w:p>
      <w:pPr>
        <w:autoSpaceDE w:val="0"/>
        <w:autoSpaceDN w:val="0"/>
        <w:adjustRightInd w:val="0"/>
        <w:spacing w:before="29" w:beforeLines="0" w:afterLines="0" w:line="288" w:lineRule="auto"/>
        <w:ind w:left="15" w:firstLine="482"/>
        <w:jc w:val="right"/>
        <w:rPr>
          <w:rFonts w:hint="default" w:ascii="Times New Roman" w:hAnsi="Times New Roman"/>
          <w:b/>
          <w:color w:val="000000"/>
          <w:kern w:val="0"/>
          <w:sz w:val="24"/>
        </w:rPr>
      </w:pPr>
      <w:r>
        <w:rPr>
          <w:rFonts w:hint="eastAsia" w:ascii="Times New Roman" w:hAnsi="Times New Roman"/>
          <w:b/>
          <w:color w:val="000000"/>
          <w:kern w:val="0"/>
          <w:sz w:val="24"/>
        </w:rPr>
        <w:t>二〇一七年三月二十七日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beforeLines="0" w:afterLines="0"/>
      <w:jc w:val="left"/>
      <w:rPr>
        <w:rFonts w:hint="default" w:ascii="宋体"/>
        <w:kern w:val="0"/>
        <w:sz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6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8" w:type="dxa"/>
          <w:tcBorders>
            <w:top w:val="nil"/>
            <w:left w:val="nil"/>
            <w:bottom w:val="nil"/>
            <w:right w:val="nil"/>
            <w:tl2br w:val="nil"/>
            <w:tr2bl w:val="nil"/>
          </w:tcBorders>
          <w:noWrap w:val="0"/>
          <w:vAlign w:val="top"/>
        </w:tcPr>
        <w:p>
          <w:pPr>
            <w:autoSpaceDE w:val="0"/>
            <w:autoSpaceDN w:val="0"/>
            <w:adjustRightInd w:val="0"/>
            <w:spacing w:beforeLines="0" w:afterLines="0" w:line="240" w:lineRule="atLeast"/>
            <w:jc w:val="left"/>
            <w:rPr>
              <w:rFonts w:hint="default" w:ascii="宋体"/>
              <w:kern w:val="0"/>
              <w:sz w:val="24"/>
            </w:rPr>
          </w:pPr>
          <w:r>
            <w:rPr>
              <w:rFonts w:hint="default" w:ascii="宋体"/>
              <w:kern w:val="0"/>
              <w:sz w:val="24"/>
            </w:rPr>
            <w:pict>
              <v:shape id="_x0000_i1025" o:spt="75" type="#_x0000_t75" style="height:17.6pt;width:141pt;" filled="f" stroked="f" coordsize="21600,21600">
                <v:path/>
                <v:fill on="f" focussize="0,0"/>
                <v:stroke on="f"/>
                <v:imagedata r:id="rId1" o:title=""/>
                <o:lock v:ext="edit" aspectratio="t"/>
                <w10:wrap type="none"/>
                <w10:anchorlock/>
              </v:shape>
            </w:pict>
          </w:r>
        </w:p>
      </w:tc>
      <w:tc>
        <w:tcPr>
          <w:tcW w:w="6140" w:type="dxa"/>
          <w:tcBorders>
            <w:top w:val="nil"/>
            <w:left w:val="nil"/>
            <w:bottom w:val="nil"/>
            <w:right w:val="nil"/>
            <w:tl2br w:val="nil"/>
            <w:tr2bl w:val="nil"/>
          </w:tcBorders>
          <w:noWrap w:val="0"/>
          <w:vAlign w:val="center"/>
        </w:tcPr>
        <w:p>
          <w:pPr>
            <w:autoSpaceDE w:val="0"/>
            <w:autoSpaceDN w:val="0"/>
            <w:adjustRightInd w:val="0"/>
            <w:spacing w:before="30" w:beforeLines="0" w:afterLines="0" w:line="211" w:lineRule="exact"/>
            <w:ind w:left="15"/>
            <w:jc w:val="right"/>
            <w:rPr>
              <w:rFonts w:hint="default" w:ascii="宋体"/>
              <w:color w:val="000000"/>
              <w:kern w:val="0"/>
              <w:sz w:val="21"/>
            </w:rPr>
          </w:pPr>
          <w:r>
            <w:rPr>
              <w:rFonts w:hint="eastAsia" w:ascii="宋体"/>
              <w:color w:val="000000"/>
              <w:kern w:val="0"/>
              <w:sz w:val="21"/>
            </w:rPr>
            <w:t>创金合信尊享纯债债券型证券投资基金2016年年度报告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28" w:type="dxa"/>
          <w:gridSpan w:val="2"/>
          <w:tcBorders>
            <w:top w:val="single" w:color="000000" w:sz="8" w:space="0"/>
            <w:left w:val="nil"/>
            <w:bottom w:val="nil"/>
            <w:right w:val="nil"/>
            <w:tl2br w:val="nil"/>
            <w:tr2bl w:val="nil"/>
          </w:tcBorders>
          <w:noWrap w:val="0"/>
          <w:vAlign w:val="top"/>
        </w:tcPr>
        <w:p>
          <w:pPr>
            <w:autoSpaceDE w:val="0"/>
            <w:autoSpaceDN w:val="0"/>
            <w:adjustRightInd w:val="0"/>
            <w:spacing w:beforeLines="0" w:afterLines="0"/>
            <w:jc w:val="left"/>
            <w:rPr>
              <w:rFonts w:hint="default" w:ascii="Arial" w:hAnsi="Arial"/>
              <w:color w:val="000000"/>
              <w:kern w:val="0"/>
              <w:sz w:val="1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68D05E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Calibri" w:hAnsi="Calibri" w:eastAsia="宋体"/>
      <w:kern w:val="2"/>
      <w:sz w:val="21"/>
      <w:lang w:val="en-US" w:eastAsia="zh-CN"/>
    </w:rPr>
  </w:style>
  <w:style w:type="character" w:default="1" w:styleId="9">
    <w:name w:val="Default Paragraph Font"/>
    <w:unhideWhenUsed/>
    <w:uiPriority w:val="1"/>
    <w:rPr>
      <w:rFonts w:hint="default"/>
      <w:sz w:val="24"/>
    </w:rPr>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ocument Map"/>
    <w:basedOn w:val="1"/>
    <w:link w:val="11"/>
    <w:unhideWhenUsed/>
    <w:uiPriority w:val="99"/>
    <w:pPr>
      <w:spacing w:beforeLines="0" w:afterLines="0"/>
    </w:pPr>
    <w:rPr>
      <w:rFonts w:hint="eastAsia" w:ascii="宋体"/>
      <w:sz w:val="18"/>
    </w:rPr>
  </w:style>
  <w:style w:type="paragraph" w:styleId="3">
    <w:name w:val="Balloon Text"/>
    <w:basedOn w:val="1"/>
    <w:link w:val="14"/>
    <w:unhideWhenUsed/>
    <w:uiPriority w:val="99"/>
    <w:pPr>
      <w:spacing w:beforeLines="0" w:afterLines="0"/>
    </w:pPr>
    <w:rPr>
      <w:rFonts w:hint="eastAsia"/>
      <w:sz w:val="18"/>
    </w:rPr>
  </w:style>
  <w:style w:type="paragraph" w:styleId="4">
    <w:name w:val="footer"/>
    <w:basedOn w:val="1"/>
    <w:link w:val="13"/>
    <w:unhideWhenUsed/>
    <w:uiPriority w:val="99"/>
    <w:pPr>
      <w:tabs>
        <w:tab w:val="center" w:pos="4153"/>
        <w:tab w:val="right" w:pos="8306"/>
      </w:tabs>
      <w:snapToGrid w:val="0"/>
      <w:spacing w:beforeLines="0" w:afterLines="0"/>
      <w:jc w:val="left"/>
    </w:pPr>
    <w:rPr>
      <w:rFonts w:hint="eastAsia"/>
      <w:sz w:val="18"/>
    </w:rPr>
  </w:style>
  <w:style w:type="paragraph" w:styleId="5">
    <w:name w:val="header"/>
    <w:basedOn w:val="1"/>
    <w:link w:val="12"/>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6">
    <w:name w:val="toc 1"/>
    <w:basedOn w:val="1"/>
    <w:next w:val="1"/>
    <w:unhideWhenUsed/>
    <w:uiPriority w:val="39"/>
    <w:pPr>
      <w:spacing w:beforeLines="0" w:afterLines="0"/>
    </w:pPr>
    <w:rPr>
      <w:rFonts w:hint="eastAsia"/>
      <w:sz w:val="21"/>
    </w:rPr>
  </w:style>
  <w:style w:type="paragraph" w:styleId="7">
    <w:name w:val="toc 2"/>
    <w:basedOn w:val="1"/>
    <w:next w:val="1"/>
    <w:unhideWhenUsed/>
    <w:uiPriority w:val="39"/>
    <w:pPr>
      <w:spacing w:beforeLines="0" w:afterLines="0"/>
      <w:ind w:left="420" w:leftChars="200"/>
    </w:pPr>
    <w:rPr>
      <w:rFonts w:hint="eastAsia"/>
      <w:sz w:val="21"/>
    </w:rPr>
  </w:style>
  <w:style w:type="character" w:styleId="10">
    <w:name w:val="Hyperlink"/>
    <w:basedOn w:val="9"/>
    <w:unhideWhenUsed/>
    <w:uiPriority w:val="99"/>
    <w:rPr>
      <w:rFonts w:hint="default" w:ascii="Times New Roman"/>
      <w:color w:val="0000FF"/>
      <w:sz w:val="24"/>
      <w:u w:val="single"/>
    </w:rPr>
  </w:style>
  <w:style w:type="character" w:customStyle="1" w:styleId="11">
    <w:name w:val="文档结构图 Char"/>
    <w:basedOn w:val="9"/>
    <w:link w:val="2"/>
    <w:unhideWhenUsed/>
    <w:locked/>
    <w:uiPriority w:val="99"/>
    <w:rPr>
      <w:rFonts w:hint="eastAsia" w:ascii="宋体" w:eastAsia="宋体"/>
      <w:sz w:val="18"/>
    </w:rPr>
  </w:style>
  <w:style w:type="character" w:customStyle="1" w:styleId="12">
    <w:name w:val="页眉 Char"/>
    <w:basedOn w:val="9"/>
    <w:link w:val="5"/>
    <w:unhideWhenUsed/>
    <w:locked/>
    <w:uiPriority w:val="99"/>
    <w:rPr>
      <w:rFonts w:hint="default" w:ascii="Times New Roman"/>
      <w:sz w:val="18"/>
    </w:rPr>
  </w:style>
  <w:style w:type="character" w:customStyle="1" w:styleId="13">
    <w:name w:val="页脚 Char"/>
    <w:basedOn w:val="9"/>
    <w:link w:val="4"/>
    <w:unhideWhenUsed/>
    <w:locked/>
    <w:uiPriority w:val="99"/>
    <w:rPr>
      <w:rFonts w:hint="default" w:ascii="Times New Roman"/>
      <w:sz w:val="18"/>
    </w:rPr>
  </w:style>
  <w:style w:type="character" w:customStyle="1" w:styleId="14">
    <w:name w:val="批注框文本 Char"/>
    <w:basedOn w:val="9"/>
    <w:link w:val="3"/>
    <w:unhideWhenUsed/>
    <w:locked/>
    <w:uiPriority w:val="99"/>
    <w:rPr>
      <w:rFonts w:hint="default" w:asci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2019-12-26T14:05:57Z</dcterms:created>
  <cp:lastModifiedBy>Administrator</cp:lastModifiedBy>
  <dcterms:modified xsi:type="dcterms:W3CDTF">2019-12-26T14:05:59Z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