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创金合信尊享纯债债券型证券投资基金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487525"/>
      <w:r>
        <w:rPr>
          <w:rFonts w:hint="eastAsia" w:hAnsi="Calibri"/>
          <w:b/>
          <w:color w:val="000000"/>
        </w:rPr>
        <w:t>§1  重要提示及目录</w:t>
      </w:r>
      <w:bookmarkEnd w:id="0"/>
      <w:r>
        <w:rPr>
          <w:rFonts w:hint="eastAsia"/>
        </w:rPr>
        <w:t xml:space="preserve"> </w:t>
      </w:r>
    </w:p>
    <w:p>
      <w:pPr>
        <w:pStyle w:val="14"/>
        <w:rPr>
          <w:rFonts w:hint="eastAsia"/>
        </w:rPr>
      </w:pPr>
      <w:bookmarkStart w:id="1" w:name="_Toc4487526"/>
      <w:r>
        <w:rPr>
          <w:rFonts w:hint="eastAsia"/>
          <w:b/>
          <w:bCs/>
        </w:rPr>
        <w:t>1.1 重要提示</w:t>
      </w:r>
      <w:bookmarkEnd w:id="1"/>
    </w:p>
    <w:tbl>
      <w:tblPr>
        <w:tblStyle w:val="8"/>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487527"/>
      <w:r>
        <w:rPr>
          <w:rFonts w:hint="eastAsia"/>
          <w:b/>
          <w:bCs/>
        </w:rPr>
        <w:t>1.2 目录</w:t>
      </w:r>
      <w:bookmarkEnd w:id="2"/>
    </w:p>
    <w:p>
      <w:pPr>
        <w:pStyle w:val="5"/>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"_Toc4487525"</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_Toc4487525 \h </w:instrText>
      </w:r>
      <w:r>
        <w:rPr>
          <w:lang/>
        </w:rPr>
        <w:fldChar w:fldCharType="separate"/>
      </w:r>
      <w:r>
        <w:rPr>
          <w:lang/>
        </w:rPr>
        <w:t>2</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"_Toc4487526"</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_Toc4487526 \h </w:instrText>
      </w:r>
      <w:r>
        <w:rPr>
          <w:lang/>
        </w:rPr>
        <w:fldChar w:fldCharType="separate"/>
      </w:r>
      <w:r>
        <w:rPr>
          <w:lang/>
        </w:rPr>
        <w:t>2</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"_Toc4487527"</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_Toc4487527 \h </w:instrText>
      </w:r>
      <w:r>
        <w:rPr>
          <w:lang/>
        </w:rPr>
        <w:fldChar w:fldCharType="separate"/>
      </w:r>
      <w:r>
        <w:rPr>
          <w:lang/>
        </w:rPr>
        <w:t>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"_Toc4487528"</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_Toc4487528 \h </w:instrText>
      </w:r>
      <w:r>
        <w:rPr>
          <w:lang/>
        </w:rPr>
        <w:fldChar w:fldCharType="separate"/>
      </w:r>
      <w:r>
        <w:rPr>
          <w:lang/>
        </w:rPr>
        <w:t>5</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"_Toc4487529"</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_Toc4487529 \h </w:instrText>
      </w:r>
      <w:r>
        <w:rPr>
          <w:lang/>
        </w:rPr>
        <w:fldChar w:fldCharType="separate"/>
      </w:r>
      <w:r>
        <w:rPr>
          <w:lang/>
        </w:rPr>
        <w:t>5</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"_Toc4487530"</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_Toc4487530 \h </w:instrText>
      </w:r>
      <w:r>
        <w:rPr>
          <w:lang/>
        </w:rPr>
        <w:fldChar w:fldCharType="separate"/>
      </w:r>
      <w:r>
        <w:rPr>
          <w:lang/>
        </w:rPr>
        <w:t>5</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"_Toc4487531"</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_Toc4487531 \h </w:instrText>
      </w:r>
      <w:r>
        <w:rPr>
          <w:lang/>
        </w:rPr>
        <w:fldChar w:fldCharType="separate"/>
      </w:r>
      <w:r>
        <w:rPr>
          <w:lang/>
        </w:rPr>
        <w:t>5</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"_Toc4487532"</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_Toc4487532 \h </w:instrText>
      </w:r>
      <w:r>
        <w:rPr>
          <w:lang/>
        </w:rPr>
        <w:fldChar w:fldCharType="separate"/>
      </w:r>
      <w:r>
        <w:rPr>
          <w:lang/>
        </w:rPr>
        <w:t>6</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"_Toc4487533"</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_Toc4487533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"_Toc4487534"</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_Toc4487534 \h </w:instrText>
      </w:r>
      <w:r>
        <w:rPr>
          <w:lang/>
        </w:rPr>
        <w:fldChar w:fldCharType="separate"/>
      </w:r>
      <w:r>
        <w:rPr>
          <w:lang/>
        </w:rPr>
        <w:t>6</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"_Toc4487535"</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_Toc4487535 \h </w:instrText>
      </w:r>
      <w:r>
        <w:rPr>
          <w:lang/>
        </w:rPr>
        <w:fldChar w:fldCharType="separate"/>
      </w:r>
      <w:r>
        <w:rPr>
          <w:lang/>
        </w:rPr>
        <w:t>6</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"_Toc4487536"</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_Toc4487536 \h </w:instrText>
      </w:r>
      <w:r>
        <w:rPr>
          <w:lang/>
        </w:rPr>
        <w:fldChar w:fldCharType="separate"/>
      </w:r>
      <w:r>
        <w:rPr>
          <w:lang/>
        </w:rPr>
        <w:t>7</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"_Toc4487537"</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_Toc4487537 \h </w:instrText>
      </w:r>
      <w:r>
        <w:rPr>
          <w:lang/>
        </w:rPr>
        <w:fldChar w:fldCharType="separate"/>
      </w:r>
      <w:r>
        <w:rPr>
          <w:lang/>
        </w:rPr>
        <w:t>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"_Toc4487538"</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_Toc4487538 \h </w:instrText>
      </w:r>
      <w:r>
        <w:rPr>
          <w:lang/>
        </w:rPr>
        <w:fldChar w:fldCharType="separate"/>
      </w:r>
      <w:r>
        <w:rPr>
          <w:lang/>
        </w:rPr>
        <w:t>9</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"_Toc4487539"</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_Toc4487539 \h </w:instrText>
      </w:r>
      <w:r>
        <w:rPr>
          <w:lang/>
        </w:rPr>
        <w:fldChar w:fldCharType="separate"/>
      </w:r>
      <w:r>
        <w:rPr>
          <w:lang/>
        </w:rPr>
        <w:t>9</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"_Toc4487540"</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_Toc4487540 \h </w:instrText>
      </w:r>
      <w:r>
        <w:rPr>
          <w:lang/>
        </w:rPr>
        <w:fldChar w:fldCharType="separate"/>
      </w:r>
      <w:r>
        <w:rPr>
          <w:lang/>
        </w:rPr>
        <w:t>10</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"_Toc4487541"</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_Toc4487541 \h </w:instrText>
      </w:r>
      <w:r>
        <w:rPr>
          <w:lang/>
        </w:rPr>
        <w:fldChar w:fldCharType="separate"/>
      </w:r>
      <w:r>
        <w:rPr>
          <w:lang/>
        </w:rPr>
        <w:t>11</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"_Toc4487542"</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_Toc4487542 \h </w:instrText>
      </w:r>
      <w:r>
        <w:rPr>
          <w:lang/>
        </w:rPr>
        <w:fldChar w:fldCharType="separate"/>
      </w:r>
      <w:r>
        <w:rPr>
          <w:lang/>
        </w:rPr>
        <w:t>12</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"_Toc4487543"</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_Toc4487543 \h </w:instrText>
      </w:r>
      <w:r>
        <w:rPr>
          <w:lang/>
        </w:rPr>
        <w:fldChar w:fldCharType="separate"/>
      </w:r>
      <w:r>
        <w:rPr>
          <w:lang/>
        </w:rPr>
        <w:t>12</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"_Toc4487544"</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_Toc4487544 \h </w:instrText>
      </w:r>
      <w:r>
        <w:rPr>
          <w:lang/>
        </w:rPr>
        <w:fldChar w:fldCharType="separate"/>
      </w:r>
      <w:r>
        <w:rPr>
          <w:lang/>
        </w:rPr>
        <w:t>13</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"_Toc4487545"</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_Toc4487545 \h </w:instrText>
      </w:r>
      <w:r>
        <w:rPr>
          <w:lang/>
        </w:rPr>
        <w:fldChar w:fldCharType="separate"/>
      </w:r>
      <w:r>
        <w:rPr>
          <w:lang/>
        </w:rPr>
        <w:t>14</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"_Toc4487546"</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_Toc4487546 \h </w:instrText>
      </w:r>
      <w:r>
        <w:rPr>
          <w:lang/>
        </w:rPr>
        <w:fldChar w:fldCharType="separate"/>
      </w:r>
      <w:r>
        <w:rPr>
          <w:lang/>
        </w:rPr>
        <w:t>14</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"_Toc4487547"</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_Toc4487547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"_Toc4487548"</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_Toc4487548 \h </w:instrText>
      </w:r>
      <w:r>
        <w:rPr>
          <w:lang/>
        </w:rPr>
        <w:fldChar w:fldCharType="separate"/>
      </w:r>
      <w:r>
        <w:rPr>
          <w:lang/>
        </w:rPr>
        <w:t>14</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"_Toc4487549"</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_Toc4487549 \h </w:instrText>
      </w:r>
      <w:r>
        <w:rPr>
          <w:lang/>
        </w:rPr>
        <w:fldChar w:fldCharType="separate"/>
      </w:r>
      <w:r>
        <w:rPr>
          <w:lang/>
        </w:rPr>
        <w:t>14</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"_Toc4487550"</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_Toc4487550 \h </w:instrText>
      </w:r>
      <w:r>
        <w:rPr>
          <w:lang/>
        </w:rPr>
        <w:fldChar w:fldCharType="separate"/>
      </w:r>
      <w:r>
        <w:rPr>
          <w:lang/>
        </w:rPr>
        <w:t>14</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"_Toc4487551"</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_Toc4487551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"_Toc4487552"</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_Toc4487552 \h </w:instrText>
      </w:r>
      <w:r>
        <w:rPr>
          <w:lang/>
        </w:rPr>
        <w:fldChar w:fldCharType="separate"/>
      </w:r>
      <w:r>
        <w:rPr>
          <w:lang/>
        </w:rPr>
        <w:t>15</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"_Toc4487553"</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_Toc4487553 \h </w:instrText>
      </w:r>
      <w:r>
        <w:rPr>
          <w:lang/>
        </w:rPr>
        <w:fldChar w:fldCharType="separate"/>
      </w:r>
      <w:r>
        <w:rPr>
          <w:lang/>
        </w:rPr>
        <w:t>15</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"_Toc4487554"</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_Toc4487554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"_Toc4487555"</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_Toc4487555 \h </w:instrText>
      </w:r>
      <w:r>
        <w:rPr>
          <w:lang/>
        </w:rPr>
        <w:fldChar w:fldCharType="separate"/>
      </w:r>
      <w:r>
        <w:rPr>
          <w:lang/>
        </w:rPr>
        <w:t>18</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"_Toc4487556"</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_Toc4487556 \h </w:instrText>
      </w:r>
      <w:r>
        <w:rPr>
          <w:lang/>
        </w:rPr>
        <w:fldChar w:fldCharType="separate"/>
      </w:r>
      <w:r>
        <w:rPr>
          <w:lang/>
        </w:rPr>
        <w:t>18</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"_Toc4487557"</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_Toc4487557 \h </w:instrText>
      </w:r>
      <w:r>
        <w:rPr>
          <w:lang/>
        </w:rPr>
        <w:fldChar w:fldCharType="separate"/>
      </w:r>
      <w:r>
        <w:rPr>
          <w:lang/>
        </w:rPr>
        <w:t>20</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"_Toc4487558"</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_Toc4487558 \h </w:instrText>
      </w:r>
      <w:r>
        <w:rPr>
          <w:lang/>
        </w:rPr>
        <w:fldChar w:fldCharType="separate"/>
      </w:r>
      <w:r>
        <w:rPr>
          <w:lang/>
        </w:rPr>
        <w:t>21</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"_Toc4487559"</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_Toc4487559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"_Toc4487560"</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_Toc4487560 \h </w:instrText>
      </w:r>
      <w:r>
        <w:rPr>
          <w:lang/>
        </w:rPr>
        <w:fldChar w:fldCharType="separate"/>
      </w:r>
      <w:r>
        <w:rPr>
          <w:lang/>
        </w:rPr>
        <w:t>48</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"_Toc4487561"</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_Toc4487561 \h </w:instrText>
      </w:r>
      <w:r>
        <w:rPr>
          <w:lang/>
        </w:rPr>
        <w:fldChar w:fldCharType="separate"/>
      </w:r>
      <w:r>
        <w:rPr>
          <w:lang/>
        </w:rPr>
        <w:t>48</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"_Toc4487562"</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_Toc4487562 \h </w:instrText>
      </w:r>
      <w:r>
        <w:rPr>
          <w:lang/>
        </w:rPr>
        <w:fldChar w:fldCharType="separate"/>
      </w:r>
      <w:r>
        <w:rPr>
          <w:lang/>
        </w:rPr>
        <w:t>48</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"_Toc4487563"</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_Toc4487563 \h </w:instrText>
      </w:r>
      <w:r>
        <w:rPr>
          <w:lang/>
        </w:rPr>
        <w:fldChar w:fldCharType="separate"/>
      </w:r>
      <w:r>
        <w:rPr>
          <w:lang/>
        </w:rPr>
        <w:t>49</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"_Toc4487564"</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_Toc4487564 \h </w:instrText>
      </w:r>
      <w:r>
        <w:rPr>
          <w:lang/>
        </w:rPr>
        <w:fldChar w:fldCharType="separate"/>
      </w:r>
      <w:r>
        <w:rPr>
          <w:lang/>
        </w:rPr>
        <w:t>49</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"_Toc4487565"</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_Toc4487565 \h </w:instrText>
      </w:r>
      <w:r>
        <w:rPr>
          <w:lang/>
        </w:rPr>
        <w:fldChar w:fldCharType="separate"/>
      </w:r>
      <w:r>
        <w:rPr>
          <w:lang/>
        </w:rPr>
        <w:t>49</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"_Toc4487566"</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_Toc4487566 \h </w:instrText>
      </w:r>
      <w:r>
        <w:rPr>
          <w:lang/>
        </w:rPr>
        <w:fldChar w:fldCharType="separate"/>
      </w:r>
      <w:r>
        <w:rPr>
          <w:lang/>
        </w:rPr>
        <w:t>49</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"_Toc4487567"</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_Toc4487567 \h </w:instrText>
      </w:r>
      <w:r>
        <w:rPr>
          <w:lang/>
        </w:rPr>
        <w:fldChar w:fldCharType="separate"/>
      </w:r>
      <w:r>
        <w:rPr>
          <w:lang/>
        </w:rPr>
        <w:t>50</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"_Toc4487568"</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_Toc4487568 \h </w:instrText>
      </w:r>
      <w:r>
        <w:rPr>
          <w:lang/>
        </w:rPr>
        <w:fldChar w:fldCharType="separate"/>
      </w:r>
      <w:r>
        <w:rPr>
          <w:lang/>
        </w:rPr>
        <w:t>50</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"_Toc4487569"</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_Toc4487569 \h </w:instrText>
      </w:r>
      <w:r>
        <w:rPr>
          <w:lang/>
        </w:rPr>
        <w:fldChar w:fldCharType="separate"/>
      </w:r>
      <w:r>
        <w:rPr>
          <w:lang/>
        </w:rPr>
        <w:t>50</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"_Toc4487570"</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_Toc4487570 \h </w:instrText>
      </w:r>
      <w:r>
        <w:rPr>
          <w:lang/>
        </w:rPr>
        <w:fldChar w:fldCharType="separate"/>
      </w:r>
      <w:r>
        <w:rPr>
          <w:lang/>
        </w:rPr>
        <w:t>50</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"_Toc4487571"</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_Toc4487571 \h </w:instrText>
      </w:r>
      <w:r>
        <w:rPr>
          <w:lang/>
        </w:rPr>
        <w:fldChar w:fldCharType="separate"/>
      </w:r>
      <w:r>
        <w:rPr>
          <w:lang/>
        </w:rPr>
        <w:t>50</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"_Toc4487572"</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_Toc4487572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"_Toc4487573"</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_Toc4487573 \h </w:instrText>
      </w:r>
      <w:r>
        <w:rPr>
          <w:lang/>
        </w:rPr>
        <w:fldChar w:fldCharType="separate"/>
      </w:r>
      <w:r>
        <w:rPr>
          <w:lang/>
        </w:rPr>
        <w:t>51</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"_Toc4487574"</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_Toc4487574 \h </w:instrText>
      </w:r>
      <w:r>
        <w:rPr>
          <w:lang/>
        </w:rPr>
        <w:fldChar w:fldCharType="separate"/>
      </w:r>
      <w:r>
        <w:rPr>
          <w:lang/>
        </w:rPr>
        <w:t>51</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"_Toc4487575"</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_Toc4487575 \h </w:instrText>
      </w:r>
      <w:r>
        <w:rPr>
          <w:lang/>
        </w:rPr>
        <w:fldChar w:fldCharType="separate"/>
      </w:r>
      <w:r>
        <w:rPr>
          <w:lang/>
        </w:rPr>
        <w:t>52</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"_Toc4487576"</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_Toc4487576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"_Toc4487577"</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_Toc4487577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"_Toc4487578"</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_Toc4487578 \h </w:instrText>
      </w:r>
      <w:r>
        <w:rPr>
          <w:lang/>
        </w:rPr>
        <w:fldChar w:fldCharType="separate"/>
      </w:r>
      <w:r>
        <w:rPr>
          <w:lang/>
        </w:rPr>
        <w:t>52</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"_Toc4487579"</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_Toc4487579 \h </w:instrText>
      </w:r>
      <w:r>
        <w:rPr>
          <w:lang/>
        </w:rPr>
        <w:fldChar w:fldCharType="separate"/>
      </w:r>
      <w:r>
        <w:rPr>
          <w:lang/>
        </w:rPr>
        <w:t>52</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"_Toc4487580"</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_Toc4487580 \h </w:instrText>
      </w:r>
      <w:r>
        <w:rPr>
          <w:lang/>
        </w:rPr>
        <w:fldChar w:fldCharType="separate"/>
      </w:r>
      <w:r>
        <w:rPr>
          <w:lang/>
        </w:rPr>
        <w:t>52</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"_Toc4487581"</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_Toc4487581 \h </w:instrText>
      </w:r>
      <w:r>
        <w:rPr>
          <w:lang/>
        </w:rPr>
        <w:fldChar w:fldCharType="separate"/>
      </w:r>
      <w:r>
        <w:rPr>
          <w:lang/>
        </w:rPr>
        <w:t>52</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"_Toc4487582"</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_Toc4487582 \h </w:instrText>
      </w:r>
      <w:r>
        <w:rPr>
          <w:lang/>
        </w:rPr>
        <w:fldChar w:fldCharType="separate"/>
      </w:r>
      <w:r>
        <w:rPr>
          <w:lang/>
        </w:rPr>
        <w:t>52</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"_Toc4487583"</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_Toc4487583 \h </w:instrText>
      </w:r>
      <w:r>
        <w:rPr>
          <w:lang/>
        </w:rPr>
        <w:fldChar w:fldCharType="separate"/>
      </w:r>
      <w:r>
        <w:rPr>
          <w:lang/>
        </w:rPr>
        <w:t>52</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"_Toc4487584"</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_Toc4487584 \h </w:instrText>
      </w:r>
      <w:r>
        <w:rPr>
          <w:lang/>
        </w:rPr>
        <w:fldChar w:fldCharType="separate"/>
      </w:r>
      <w:r>
        <w:rPr>
          <w:lang/>
        </w:rPr>
        <w:t>53</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"_Toc4487585"</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_Toc4487585 \h </w:instrText>
      </w:r>
      <w:r>
        <w:rPr>
          <w:lang/>
        </w:rPr>
        <w:fldChar w:fldCharType="separate"/>
      </w:r>
      <w:r>
        <w:rPr>
          <w:lang/>
        </w:rPr>
        <w:t>53</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"_Toc4487586"</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_Toc4487586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"_Toc4487587"</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_Toc4487587 \h </w:instrText>
      </w:r>
      <w:r>
        <w:rPr>
          <w:lang/>
        </w:rPr>
        <w:fldChar w:fldCharType="separate"/>
      </w:r>
      <w:r>
        <w:rPr>
          <w:lang/>
        </w:rPr>
        <w:t>56</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"_Toc4487588"</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_Toc4487588 \h </w:instrText>
      </w:r>
      <w:r>
        <w:rPr>
          <w:lang/>
        </w:rPr>
        <w:fldChar w:fldCharType="separate"/>
      </w:r>
      <w:r>
        <w:rPr>
          <w:lang/>
        </w:rPr>
        <w:t>56</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"_Toc4487589"</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_Toc4487589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"_Toc4487590"</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_Toc4487590 \h </w:instrText>
      </w:r>
      <w:r>
        <w:rPr>
          <w:lang/>
        </w:rPr>
        <w:fldChar w:fldCharType="separate"/>
      </w:r>
      <w:r>
        <w:rPr>
          <w:lang/>
        </w:rPr>
        <w:t>57</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"_Toc4487591"</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_Toc4487591 \h </w:instrText>
      </w:r>
      <w:r>
        <w:rPr>
          <w:lang/>
        </w:rPr>
        <w:fldChar w:fldCharType="separate"/>
      </w:r>
      <w:r>
        <w:rPr>
          <w:lang/>
        </w:rPr>
        <w:t>57</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"_Toc4487592"</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_Toc4487592 \h </w:instrText>
      </w:r>
      <w:r>
        <w:rPr>
          <w:lang/>
        </w:rPr>
        <w:fldChar w:fldCharType="separate"/>
      </w:r>
      <w:r>
        <w:rPr>
          <w:lang/>
        </w:rPr>
        <w:t>57</w:t>
      </w:r>
      <w:r>
        <w:rPr>
          <w:lang/>
        </w:rPr>
        <w:fldChar w:fldCharType="end"/>
      </w:r>
      <w:r>
        <w:rPr>
          <w:rStyle w:val="11"/>
          <w:lang/>
        </w:rPr>
        <w:fldChar w:fldCharType="end"/>
      </w:r>
    </w:p>
    <w:p>
      <w:pPr>
        <w:pStyle w:val="6"/>
        <w:tabs>
          <w:tab w:val="right" w:leader="dot" w:pos="9080"/>
        </w:tabs>
        <w:rPr>
          <w:lang/>
        </w:rPr>
      </w:pPr>
      <w:r>
        <w:rPr>
          <w:rStyle w:val="11"/>
          <w:lang/>
        </w:rPr>
        <w:fldChar w:fldCharType="begin"/>
      </w:r>
      <w:r>
        <w:rPr>
          <w:rStyle w:val="11"/>
          <w:lang/>
        </w:rPr>
        <w:instrText xml:space="preserve"> </w:instrText>
      </w:r>
      <w:r>
        <w:rPr>
          <w:lang/>
        </w:rPr>
        <w:instrText xml:space="preserve">HYPERLINK \l "_Toc4487593"</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_Toc4487593 \h </w:instrText>
      </w:r>
      <w:r>
        <w:rPr>
          <w:lang/>
        </w:rPr>
        <w:fldChar w:fldCharType="separate"/>
      </w:r>
      <w:r>
        <w:rPr>
          <w:lang/>
        </w:rPr>
        <w:t>58</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487528"/>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487529"/>
      <w:r>
        <w:rPr>
          <w:rFonts w:hint="eastAsia"/>
          <w:b/>
          <w:bCs/>
        </w:rPr>
        <w:t>2.1 基金基本情况</w:t>
      </w:r>
      <w:bookmarkEnd w:id="4"/>
    </w:p>
    <w:tbl>
      <w:tblPr>
        <w:tblStyle w:val="8"/>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创金合信尊享纯债债券型证券投资基金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创金合信尊享纯债债券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2016年03月11日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2,843,523,576.26份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bl>
    <w:p>
      <w:pPr>
        <w:widowControl/>
        <w:jc w:val="left"/>
        <w:rPr>
          <w:rFonts w:hint="eastAsia" w:ascii="宋体" w:hAnsi="宋体" w:cs="宋体"/>
          <w:kern w:val="0"/>
          <w:sz w:val="24"/>
          <w:szCs w:val="24"/>
        </w:rPr>
      </w:pPr>
    </w:p>
    <w:p>
      <w:pPr>
        <w:pStyle w:val="14"/>
        <w:rPr>
          <w:rFonts w:hint="eastAsia"/>
        </w:rPr>
      </w:pPr>
      <w:bookmarkStart w:id="5" w:name="_Toc4487530"/>
      <w:r>
        <w:rPr>
          <w:rFonts w:hint="eastAsia"/>
          <w:b/>
          <w:bCs/>
        </w:rPr>
        <w:t>2.2 基金产品说明</w:t>
      </w:r>
      <w:bookmarkEnd w:id="5"/>
    </w:p>
    <w:tbl>
      <w:tblPr>
        <w:tblStyle w:val="8"/>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本基金通过对宏观经济的持续跟踪，基于对利率、信用等市场的分析和预测，综合运用久期配置策略、跨市场套利、杠杆放大等策略，力争实现基金资产的稳健增值。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本基金为债券型基金，长期来看，其预期风险和预期收益水平低于股票型基金、混合型基金，高于货币市场基金。</w:t>
            </w:r>
          </w:p>
        </w:tc>
      </w:tr>
    </w:tbl>
    <w:p>
      <w:pPr>
        <w:widowControl/>
        <w:jc w:val="left"/>
        <w:rPr>
          <w:rFonts w:hint="eastAsia" w:ascii="宋体" w:hAnsi="宋体" w:cs="宋体"/>
          <w:kern w:val="0"/>
          <w:sz w:val="24"/>
          <w:szCs w:val="24"/>
        </w:rPr>
      </w:pPr>
    </w:p>
    <w:p>
      <w:pPr>
        <w:pStyle w:val="14"/>
        <w:rPr>
          <w:rFonts w:hint="eastAsia"/>
        </w:rPr>
      </w:pPr>
      <w:bookmarkStart w:id="6" w:name="_Toc4487531"/>
      <w:r>
        <w:rPr>
          <w:rFonts w:hint="eastAsia"/>
          <w:b/>
          <w:bCs/>
        </w:rPr>
        <w:t>2.3 基金管理人和基金托管人</w:t>
      </w:r>
      <w:bookmarkEnd w:id="6"/>
    </w:p>
    <w:tbl>
      <w:tblPr>
        <w:tblStyle w:val="8"/>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487532"/>
      <w:r>
        <w:rPr>
          <w:rFonts w:hint="eastAsia"/>
          <w:b/>
          <w:bCs/>
        </w:rPr>
        <w:t>2.4 信息披露方式</w:t>
      </w:r>
      <w:bookmarkEnd w:id="7"/>
    </w:p>
    <w:tbl>
      <w:tblPr>
        <w:tblStyle w:val="8"/>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注：本基金自2019年1月19日起信息披露报纸由《证券日报》变更为《上海证券报》。</w:t>
      </w:r>
    </w:p>
    <w:p>
      <w:pPr>
        <w:widowControl/>
        <w:jc w:val="left"/>
        <w:rPr>
          <w:rFonts w:hint="eastAsia" w:ascii="宋体" w:hAnsi="宋体" w:cs="宋体"/>
          <w:kern w:val="0"/>
          <w:sz w:val="24"/>
          <w:szCs w:val="24"/>
        </w:rPr>
      </w:pPr>
    </w:p>
    <w:p>
      <w:pPr>
        <w:pStyle w:val="14"/>
        <w:rPr>
          <w:rFonts w:hint="eastAsia"/>
        </w:rPr>
      </w:pPr>
      <w:bookmarkStart w:id="8" w:name="_Toc4487533"/>
      <w:r>
        <w:rPr>
          <w:rFonts w:hint="eastAsia"/>
          <w:b/>
          <w:bCs/>
        </w:rPr>
        <w:t>2.5 其他相关资料</w:t>
      </w:r>
      <w:bookmarkEnd w:id="8"/>
    </w:p>
    <w:tbl>
      <w:tblPr>
        <w:tblStyle w:val="8"/>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毕马威华振会计师事务所（特殊普通合伙）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北京市东城区东长安街1号东方广场东2座办公楼8层</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487534"/>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487535"/>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8"/>
        <w:tblW w:w="9045" w:type="dxa"/>
        <w:tblInd w:w="108" w:type="dxa"/>
        <w:tblLayout w:type="autofit"/>
        <w:tblCellMar>
          <w:top w:w="0" w:type="dxa"/>
          <w:left w:w="108" w:type="dxa"/>
          <w:bottom w:w="0" w:type="dxa"/>
          <w:right w:w="108" w:type="dxa"/>
        </w:tblCellMar>
      </w:tblPr>
      <w:tblGrid>
        <w:gridCol w:w="3111"/>
        <w:gridCol w:w="1315"/>
        <w:gridCol w:w="1315"/>
        <w:gridCol w:w="3304"/>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5"/>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2016年03月11日（基金合同生效日）-2016年12月31日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121,933,909.26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33,933,232.43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93,332,855.73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255,560,582.90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21,133,968.87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-20,590,740.48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5"/>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210,724,159.35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33,305,892.16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10,375,753.77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3,103,978,515.20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2,876,620,199.91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3,452,715,922.47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5"/>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0.90%</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487536"/>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8"/>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2336_FB010010_20190002_1.jpg" type="#_x0000_t75" style="height:286.5pt;width:441pt;" filled="f" stroked="f" coordsize="21600,21600">
            <v:path/>
            <v:fill on="f" focussize="0,0"/>
            <v:stroke on="f"/>
            <v:imagedata r:id="rId7" grayscale="f" bilevel="f" o:title="CN_50990000_002336_FB010010_20190002_1"/>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6" o:spt="75" alt="D:\fcsc\HSFA\Bin\Bin\MOD\TMP\CN_50990000_002336_FB010010_20190002_3.jpg" type="#_x0000_t75" style="height:286.5pt;width:441pt;" filled="f" stroked="f" coordsize="21600,21600">
            <v:path/>
            <v:fill on="f" focussize="0,0"/>
            <v:stroke on="f"/>
            <v:imagedata r:id="rId8" grayscale="f" bilevel="f" o:title="CN_50990000_002336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487537"/>
      <w:r>
        <w:rPr>
          <w:rFonts w:hint="eastAsia" w:hAnsi="Calibri"/>
          <w:b/>
          <w:color w:val="000000"/>
        </w:rPr>
        <w:t>3.3 过去三年基金的利润分配情况</w:t>
      </w:r>
      <w:bookmarkEnd w:id="12"/>
    </w:p>
    <w:p>
      <w:pPr>
        <w:pStyle w:val="22"/>
        <w:jc w:val="right"/>
        <w:rPr>
          <w:rFonts w:hint="eastAsia"/>
        </w:rPr>
      </w:pPr>
      <w:r>
        <w:rPr>
          <w:rFonts w:hint="eastAsia"/>
        </w:rPr>
        <w:t>单位：人民币元</w:t>
      </w:r>
    </w:p>
    <w:tbl>
      <w:tblPr>
        <w:tblStyle w:val="8"/>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28,432,970.19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28,432,981.17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16,286,216.99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16,287,383.00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44,719,187.18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44,720,364.17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3"/>
        <w:rPr>
          <w:rFonts w:hint="eastAsia"/>
        </w:rPr>
      </w:pPr>
      <w:bookmarkStart w:id="13" w:name="_Toc4487538"/>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487539"/>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8"/>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487540"/>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487541"/>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487542"/>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截至报告期末创金合信尊享纯债债券基金份额净值为1.092元，本报告期内，基金份额净值增长率为8.96%，同期业绩比较基准收益率为4.79%。</w:t>
      </w:r>
    </w:p>
    <w:p>
      <w:pPr>
        <w:widowControl/>
        <w:jc w:val="left"/>
        <w:rPr>
          <w:rFonts w:hint="eastAsia" w:ascii="宋体" w:hAnsi="宋体" w:cs="宋体"/>
          <w:kern w:val="0"/>
          <w:sz w:val="24"/>
          <w:szCs w:val="24"/>
        </w:rPr>
      </w:pPr>
    </w:p>
    <w:p>
      <w:pPr>
        <w:pStyle w:val="14"/>
        <w:rPr>
          <w:rFonts w:hint="eastAsia"/>
        </w:rPr>
      </w:pPr>
      <w:bookmarkStart w:id="18" w:name="_Toc4487543"/>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2018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4"/>
        <w:rPr>
          <w:rFonts w:hint="eastAsia"/>
        </w:rPr>
      </w:pPr>
      <w:bookmarkStart w:id="19" w:name="_Toc4487544"/>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487545"/>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487546"/>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本报告期内,本基金已实施利润分配28,432,981.17元，符合合同约定。</w:t>
      </w:r>
    </w:p>
    <w:p>
      <w:pPr>
        <w:widowControl/>
        <w:jc w:val="left"/>
        <w:rPr>
          <w:rFonts w:hint="eastAsia" w:ascii="宋体" w:hAnsi="宋体" w:cs="宋体"/>
          <w:kern w:val="0"/>
          <w:sz w:val="24"/>
          <w:szCs w:val="24"/>
        </w:rPr>
      </w:pPr>
    </w:p>
    <w:p>
      <w:pPr>
        <w:pStyle w:val="14"/>
        <w:rPr>
          <w:rFonts w:hint="eastAsia"/>
        </w:rPr>
      </w:pPr>
      <w:bookmarkStart w:id="22" w:name="_Toc4487547"/>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4487548"/>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487549"/>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487550"/>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487551"/>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487552"/>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487553"/>
      <w:r>
        <w:rPr>
          <w:rFonts w:hint="eastAsia"/>
          <w:b/>
          <w:bCs/>
        </w:rPr>
        <w:t>6.1 审计报告基本信息</w:t>
      </w:r>
      <w:bookmarkEnd w:id="28"/>
    </w:p>
    <w:tbl>
      <w:tblPr>
        <w:tblStyle w:val="8"/>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毕马威华振审字第1901227号 </w:t>
            </w:r>
          </w:p>
        </w:tc>
      </w:tr>
    </w:tbl>
    <w:p>
      <w:pPr>
        <w:widowControl/>
        <w:jc w:val="left"/>
        <w:rPr>
          <w:rFonts w:hint="eastAsia" w:ascii="宋体" w:hAnsi="宋体" w:cs="宋体"/>
          <w:kern w:val="0"/>
          <w:sz w:val="24"/>
          <w:szCs w:val="24"/>
        </w:rPr>
      </w:pPr>
    </w:p>
    <w:p>
      <w:pPr>
        <w:pStyle w:val="14"/>
        <w:rPr>
          <w:rFonts w:hint="eastAsia"/>
        </w:rPr>
      </w:pPr>
      <w:bookmarkStart w:id="29" w:name="_Toc4487554"/>
      <w:r>
        <w:rPr>
          <w:rFonts w:hint="eastAsia"/>
          <w:b/>
          <w:bCs/>
        </w:rPr>
        <w:t>6.2 审计报告的基本内容</w:t>
      </w:r>
      <w:bookmarkEnd w:id="29"/>
    </w:p>
    <w:tbl>
      <w:tblPr>
        <w:tblStyle w:val="8"/>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创金合信尊享纯债债券型证券投资基金全体基金份额持有人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我们审计了后附的第1页至第33页的创金合信尊享纯债债券型证券投资基金 (以下简称“创金合信尊享纯债债券基金”) 财务报表，包括2018年12月31日的资产负债表、2018年度的利润表、所有者权益 (基金净值) 变动表以及财务报表附注。 我们认为，后附的财务报表在所有重大方面按照中华人民共和国财政部颁布的企业会计准则、在财务报表附注7.4.2中所列示的中国证券监督管理委员会 (以下简称“中国证监会”) 和中国证券投资基金业协会发布的有关基金行业实务操作的规定编制，公允反映了创金合信尊享纯债债券基金2018年12月31日的财务状况以及2018年度的经营成果及基金净值变动情况。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 (以下简称“审计准则”) 的规定执行了审计工作。审计报告的“注册会计师对财务报表审计的责任”部分进一步阐述了我们在这些准则下的责任。按照中国注册会计师职业道德守则，我们独立于创金合信尊享纯债债券基金，并履行了职业道德方面的其他责任。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创金合信尊享纯债债券基金管理人创金合信基金管理有限公司对其他信息负责。其他信息包括创金合信尊享纯债债券基金2018年年度报告中涵盖的信息，但不包括财务报表和我们的审计报告。 我们对财务报表发表的审计意见不涵盖其他信息，我们也不对其他信息发表任何形式的鉴证结论。 结合我们对财务报表的审计，我们的责任是阅读其他信息，在此过程中，考虑其他信息是否与财务报表或我们在审计过程中了解到的情况存在重大不一致或者似乎存在重大错报。 基于我们已执行的工作，如果我们确定其他信息存在重大错报，我们应当报告该事实。在这方面，我们无任何事项需要报告。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尊享纯债债券基金管理人创金合信基金管理有限公司管理层负责按照中华人民共和国财政部颁布的企业会计准则、中国证监会和中国证券投资基金业协会发布的有关基金行业实务操作的规定编制财务报表，使其实现公允反映，并设计、执行和维护必要的内部控制，以使财务报表不存在由于舞弊或错误导致的重大错报。 在编制财务报表时，创金合信尊享纯债债券基金管理人创金合信基金管理有限公司管理层负责评估创金合信尊享纯债债券基金的持续经营能力，披露与持续经营相关的事项 (如适用)，并运用持续经营假设，除非创金合信尊享纯债债券基金计划进行清算、终止运营或别无其他现实的选择。 创金合信尊享纯债债券基金管理人创金合信基金管理有限公司治理层负责监督创金合信尊享纯债债券基金的财务报告过程。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(1)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(2) 了解与审计相关的内部控制，以设计恰当的审计程序，但目的并非对内部控制的有效性发表意见。 (3) 评价创金合信尊享纯债债券基金管理人创金合信基金管理有限公司管理层选用会计政策的恰当性和作出会计估计及相关披露的合理性。 (4) 对创金合信尊享纯债债券基金管理人创金合信基金管理有限公司管理层使用持续经营假设的恰当性得出结论。同时，根据获取的审计证据，就可能导致对创金合信尊享纯债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尊享纯债债券基金不能持续经营。 (5) 评价财务报表的总体列报、结构和内容 (包括披露)，并评价财务报表是否公允反映相关交易和事项。 我们与创金合信尊享纯债债券基金管理人创金合信基金管理有限公司治理层就计划的审计范围、时间安排和重大审计发现等事项进行沟通，包括沟通我们在审计中识别出的值得关注的内部控制缺陷。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毕马威华振会计师事务所（特殊普通合伙）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薛晨俊、王磊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北京市东城区东长安街1号东方广场东2座办公楼8层</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2019-03-22</w:t>
            </w:r>
          </w:p>
        </w:tc>
      </w:tr>
    </w:tbl>
    <w:p>
      <w:pPr>
        <w:widowControl/>
        <w:jc w:val="left"/>
        <w:rPr>
          <w:rFonts w:hint="eastAsia" w:ascii="宋体" w:hAnsi="宋体" w:cs="宋体"/>
          <w:kern w:val="0"/>
          <w:sz w:val="24"/>
          <w:szCs w:val="24"/>
        </w:rPr>
      </w:pPr>
    </w:p>
    <w:p>
      <w:pPr>
        <w:pStyle w:val="13"/>
        <w:rPr>
          <w:rFonts w:hint="eastAsia"/>
        </w:rPr>
      </w:pPr>
      <w:bookmarkStart w:id="30" w:name="_Toc4487555"/>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487556"/>
      <w:r>
        <w:rPr>
          <w:rFonts w:hint="eastAsia"/>
          <w:b/>
          <w:bCs/>
        </w:rPr>
        <w:t>7.1 资产负债表</w:t>
      </w:r>
      <w:bookmarkEnd w:id="31"/>
    </w:p>
    <w:p>
      <w:pPr>
        <w:pStyle w:val="17"/>
        <w:rPr>
          <w:rFonts w:hint="eastAsia"/>
        </w:rPr>
      </w:pPr>
      <w:r>
        <w:rPr>
          <w:rFonts w:hint="eastAsia"/>
        </w:rPr>
        <w:t>会计主体：创金合信尊享纯债债券型证券投资基金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8"/>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3,046,794.36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3,371,024.13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3,218,800,000.00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3,581,000,000.00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3,208,501,000.00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3,444,801,000.00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10,299,000.00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136,199,000.00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20,800,151.20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19,800,149.70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71,786,631.58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65,970,035.20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3,314,433,577.14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3,670,141,209.03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208,857,863.35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792,023,012.53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787,944.48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731,917.55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262,648.14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243,972.52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19,069.13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38,437.72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33,453.76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315,567.01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300,168.80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183,500.00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210,455,061.94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793,521,009.12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2,843,523,576.26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2,843,314,307.75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260,454,938.94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33,305,892.16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3,103,978,515.20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2,876,620,199.91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3,314,433,577.14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3,670,141,209.03</w:t>
            </w:r>
          </w:p>
        </w:tc>
      </w:tr>
    </w:tbl>
    <w:p>
      <w:pPr>
        <w:pStyle w:val="20"/>
        <w:rPr>
          <w:rFonts w:hint="eastAsia"/>
        </w:rPr>
      </w:pPr>
      <w:r>
        <w:rPr>
          <w:rFonts w:hint="eastAsia"/>
        </w:rPr>
        <w:t>注：报告截止日2018年12月31日，基金份额净值1.092元，基金份额总额2,843,523,576.26份。</w:t>
      </w:r>
    </w:p>
    <w:p>
      <w:pPr>
        <w:widowControl/>
        <w:jc w:val="left"/>
        <w:rPr>
          <w:rFonts w:hint="eastAsia" w:ascii="宋体" w:hAnsi="宋体" w:cs="宋体"/>
          <w:kern w:val="0"/>
          <w:sz w:val="24"/>
          <w:szCs w:val="24"/>
        </w:rPr>
      </w:pPr>
    </w:p>
    <w:p>
      <w:pPr>
        <w:pStyle w:val="14"/>
        <w:rPr>
          <w:rFonts w:hint="eastAsia"/>
        </w:rPr>
      </w:pPr>
      <w:bookmarkStart w:id="32" w:name="_Toc4487557"/>
      <w:r>
        <w:rPr>
          <w:rFonts w:hint="eastAsia"/>
          <w:b/>
          <w:bCs/>
        </w:rPr>
        <w:t>7.2 利润表</w:t>
      </w:r>
      <w:bookmarkEnd w:id="32"/>
    </w:p>
    <w:p>
      <w:pPr>
        <w:pStyle w:val="17"/>
        <w:rPr>
          <w:rFonts w:hint="eastAsia"/>
        </w:rPr>
      </w:pPr>
      <w:r>
        <w:rPr>
          <w:rFonts w:hint="eastAsia"/>
        </w:rPr>
        <w:t>会计主体：创金合信尊享纯债债券型证券投资基金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8"/>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282,351,164.17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42,255,316.36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140,852,634.87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124,218,512.68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57,148.09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145,144.36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137,260,044.74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100,806,041.42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2,995,566.76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11,606,554.34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539,875.28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11,660,772.56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7,871,005.95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-69,163,979.36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7,632,617.29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-65,414,087.37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238,388.66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-3,749,891.99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133,626,673.64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-12,799,263.56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26,790,581.27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21,121,347.49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8,946,335.18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9,140,605.14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2,982,111.64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3,046,868.38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30,327.50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14,527,048.65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8,668,475.40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14,527,048.65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8,668,475.40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83,912.94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220,097.86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235,071.07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255,560,582.90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21,133,968.87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255,560,582.90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21,133,968.87</w:t>
            </w:r>
          </w:p>
        </w:tc>
      </w:tr>
    </w:tbl>
    <w:p>
      <w:pPr>
        <w:widowControl/>
        <w:jc w:val="left"/>
        <w:rPr>
          <w:rFonts w:hint="eastAsia" w:ascii="宋体" w:hAnsi="宋体" w:cs="宋体"/>
          <w:kern w:val="0"/>
          <w:sz w:val="24"/>
          <w:szCs w:val="24"/>
        </w:rPr>
      </w:pPr>
    </w:p>
    <w:p>
      <w:pPr>
        <w:pStyle w:val="14"/>
        <w:rPr>
          <w:rFonts w:hint="eastAsia"/>
        </w:rPr>
      </w:pPr>
      <w:bookmarkStart w:id="33" w:name="_Toc4487558"/>
      <w:r>
        <w:rPr>
          <w:rFonts w:hint="eastAsia"/>
          <w:b/>
          <w:bCs/>
        </w:rPr>
        <w:t>7.3 所有者权益（基金净值）变动表</w:t>
      </w:r>
      <w:bookmarkEnd w:id="33"/>
    </w:p>
    <w:p>
      <w:pPr>
        <w:pStyle w:val="17"/>
        <w:rPr>
          <w:rFonts w:hint="eastAsia"/>
        </w:rPr>
      </w:pPr>
      <w:r>
        <w:rPr>
          <w:rFonts w:hint="eastAsia"/>
        </w:rPr>
        <w:t>会计主体：创金合信尊享纯债债券型证券投资基金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8"/>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2,843,314,307.75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33,305,892.16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2,876,620,199.91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255,560,582.90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255,560,582.90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209,268.51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21,445.05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230,713.56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1,834,377.71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118,133.55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1,952,511.26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-1,625,109.20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-96,688.50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-1,721,797.70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-28,432,981.17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-28,432,981.17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2,843,523,576.26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260,454,938.94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3,103,978,515.20</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3,442,340,168.70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10,375,753.77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3,452,715,922.47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21,133,968.87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21,133,968.87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-599,025,860.95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1,796,169.52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-597,229,691.43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18,366.41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18,506.18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-599,044,227.36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1,796,029.75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-597,248,197.61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2,843,314,307.75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33,305,892.16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2,876,620,199.91</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8"/>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487559"/>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创金合信尊享纯债债券型证券投资基金 (以下简称 "本基金") 经中国证券监督管理委员会 (以下简称"中国证监会")《关于准予创金合信尊享纯债债券型证券投资基金注册的批复》(证监许可 [2015] 3077号文) 批准，由创金合信基金管理有限公司依照《中华人民共和国证券投资基金法》及其配套规则和《创金合信尊享纯债债券型证券投资基金基金合同》发售，基金合同于2016年3月11日生效。本基金为契约型开放式，存续期限不定，首次设立募集规模为200,170,231.68份基金份额。本基金的基金管理人为创金合信基金管理有限公司，基金托管人为招商银行股份有限公司 (以下简称"招商银行") 。</w:t>
      </w:r>
    </w:p>
    <w:p>
      <w:pPr>
        <w:pStyle w:val="20"/>
        <w:spacing w:before="0"/>
        <w:ind w:left="0" w:firstLine="480"/>
        <w:rPr>
          <w:rFonts w:hint="eastAsia"/>
        </w:rPr>
      </w:pPr>
      <w:r>
        <w:rPr>
          <w:rFonts w:hint="eastAsia"/>
        </w:rPr>
        <w:t>本基金于2016年2月3日至2016年3月7日募集，募集期间净认购资金人民币200,161,156.83元，认购资金在募集期间产生的利息人民币9,074.85元，募集的有效认购份额及利息结转的基金份额合计200,170,231.68份。上述募集资金已由毕马威华振会计师事务所 (特殊普通合伙) 验证，并出具了毕马威华振验字第1600200号验资报告。</w:t>
      </w:r>
    </w:p>
    <w:p>
      <w:pPr>
        <w:pStyle w:val="20"/>
        <w:spacing w:before="0"/>
        <w:ind w:left="0" w:firstLine="480"/>
        <w:rPr>
          <w:rFonts w:hint="eastAsia"/>
        </w:rPr>
      </w:pPr>
      <w:r>
        <w:rPr>
          <w:rFonts w:hint="eastAsia"/>
        </w:rPr>
        <w:t>根据《中华人民共和国证券投资基金法》及其配套规则、《创金合信尊享纯债债券型证券投资基金基金合同》和截至报告期末最新公告的《创金合信尊享纯债债券型证券投资基金招募说明书》的有关规定，本基金主要投资于固定收益类品种，包括国债、央行票据、地方政府债、金融债、企业债、公司债、中期票据、短期融资券、可分离交易可转债的纯债部分、资产支持证券、债券回购、银行存款等。本基金不从二级市场买入股票、权证等权益类资产，也不参与一级市场的新股申购和新股增发，可转债仅投资二级市场可分离交易可转债的纯债部分。本基金的业绩比较基准为：中债综合 (全价) 指数收益率。</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以持续经营为基础。本财务报表符合中华人民共和国财政部(以下简称"财政部")颁布的企业会计准则的要求，同时亦按照中国证监会颁布的《证券投资基金信息披露XBRL模板第3号&lt;年度报告和半年度报告&gt;》以及中国证券投资基金业协会于2012年11月16日颁布的《证券投资基金会计核算业务指引》编制财务报表。</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财务报表符合财政部颁布的企业会计准则及附注7.4.2中所列示的中国证监会和中国证券投资基金业协会发布的有关基金行业实务操作的规定的要求，真实、完整地反映了本基金2018年12月31日的财务状况、2018年度的经营成果和基金净值变动情况。</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本基金的会计年度自公历1月1日至12月31日止。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本基金的记账本位币为人民币，编制财务报表采用的货币为人民币。本基金选定记账本位币的依据是主要业务收支的计价和结算币种。</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本基金在初始确认时按取得资产或承担负债的目的，把金融资产和金融负债分为不同类别：以公允价值计量且其变动计入当期损益的金融资产和金融负债、应收款项、持有至到期投资、可供出售金融资产和其他金融负债。本基金现无金融资产分类为持有至到期投资和可供出售金融资产。本基金现无金融负债分类为以公允价值计量且其变动计入当期损益的金融负债。</w:t>
      </w:r>
    </w:p>
    <w:p>
      <w:pPr>
        <w:pStyle w:val="20"/>
        <w:spacing w:before="0"/>
        <w:ind w:left="0" w:firstLine="480"/>
        <w:rPr>
          <w:rFonts w:hint="eastAsia"/>
        </w:rPr>
      </w:pPr>
      <w:r>
        <w:rPr>
          <w:rFonts w:hint="eastAsia"/>
        </w:rPr>
        <w:t>本基金目前持有的债券投资和资产支持证券投资分类为以公允价值计量且其变动计入当期损益的金融资产。以公允价值计量且其变动计入当期损益的金融资产在资产负债表中以交易性金融资产列示。</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金融资产和金融负债在本基金成为相关金融工具合同条款的一方时，于资产负债表内确认。</w:t>
      </w:r>
    </w:p>
    <w:p>
      <w:pPr>
        <w:pStyle w:val="20"/>
        <w:spacing w:before="0"/>
        <w:ind w:left="0" w:firstLine="480"/>
        <w:rPr>
          <w:rFonts w:hint="eastAsia"/>
        </w:rPr>
      </w:pPr>
      <w:r>
        <w:rPr>
          <w:rFonts w:hint="eastAsia"/>
        </w:rPr>
        <w:t>在初始确认时，金融资产及金融负债均以公允价值计量。对于以公允价值计量且其变动计入当期损益的金融资产或金融负债，相关交易费用直接计入当期损益；对于其他类别的金融资产或金融负债，相关交易费用计入初始确认金额。</w:t>
      </w:r>
    </w:p>
    <w:p>
      <w:pPr>
        <w:pStyle w:val="20"/>
        <w:spacing w:before="0"/>
        <w:ind w:left="0" w:firstLine="480"/>
        <w:rPr>
          <w:rFonts w:hint="eastAsia"/>
        </w:rPr>
      </w:pPr>
      <w:r>
        <w:rPr>
          <w:rFonts w:hint="eastAsia"/>
        </w:rPr>
        <w:t>初始确认后，金融资产和金融负债的后续计量如下：</w:t>
      </w:r>
    </w:p>
    <w:p>
      <w:pPr>
        <w:pStyle w:val="20"/>
        <w:spacing w:before="0"/>
        <w:ind w:left="0" w:firstLine="480"/>
        <w:rPr>
          <w:rFonts w:hint="eastAsia"/>
        </w:rPr>
      </w:pPr>
      <w:r>
        <w:rPr>
          <w:rFonts w:hint="eastAsia"/>
        </w:rPr>
        <w:t>-以公允价值计量且其变动计入当期损益的金融资产和金融负债以公允价值计 量，公允价值变动形成的利得或损失计入当期损益。</w:t>
      </w:r>
    </w:p>
    <w:p>
      <w:pPr>
        <w:pStyle w:val="20"/>
        <w:spacing w:before="0"/>
        <w:ind w:left="0" w:firstLine="480"/>
        <w:rPr>
          <w:rFonts w:hint="eastAsia"/>
        </w:rPr>
      </w:pPr>
      <w:r>
        <w:rPr>
          <w:rFonts w:hint="eastAsia"/>
        </w:rPr>
        <w:t>-应收款项以实际利率法按摊余成本计量。</w:t>
      </w:r>
    </w:p>
    <w:p>
      <w:pPr>
        <w:pStyle w:val="20"/>
        <w:spacing w:before="0"/>
        <w:ind w:left="0" w:firstLine="480"/>
        <w:rPr>
          <w:rFonts w:hint="eastAsia"/>
        </w:rPr>
      </w:pPr>
      <w:r>
        <w:rPr>
          <w:rFonts w:hint="eastAsia"/>
        </w:rPr>
        <w:t>-除以公允价值计量且其变动计入当期损益的金融负债以外的金融负债采用实际利率法按摊余成本进行后续计量。</w:t>
      </w:r>
    </w:p>
    <w:p>
      <w:pPr>
        <w:pStyle w:val="20"/>
        <w:spacing w:before="0"/>
        <w:ind w:left="0" w:firstLine="480"/>
        <w:rPr>
          <w:rFonts w:hint="eastAsia"/>
        </w:rPr>
      </w:pPr>
      <w:r>
        <w:rPr>
          <w:rFonts w:hint="eastAsia"/>
        </w:rPr>
        <w:t>满足下列条件之一时，本基金终止确认该金融资产：</w:t>
      </w:r>
    </w:p>
    <w:p>
      <w:pPr>
        <w:pStyle w:val="20"/>
        <w:spacing w:before="0"/>
        <w:ind w:left="0" w:firstLine="480"/>
        <w:rPr>
          <w:rFonts w:hint="eastAsia"/>
        </w:rPr>
      </w:pPr>
      <w:r>
        <w:rPr>
          <w:rFonts w:hint="eastAsia"/>
        </w:rPr>
        <w:t>-收取该金融资产现金流量的合同权利终止；</w:t>
      </w:r>
    </w:p>
    <w:p>
      <w:pPr>
        <w:pStyle w:val="20"/>
        <w:spacing w:before="0"/>
        <w:ind w:left="0" w:firstLine="480"/>
        <w:rPr>
          <w:rFonts w:hint="eastAsia"/>
        </w:rPr>
      </w:pPr>
      <w:r>
        <w:rPr>
          <w:rFonts w:hint="eastAsia"/>
        </w:rPr>
        <w:t>-该金融资产已转移，且本基金将金融资产所有权上几乎所有的风险和报酬转移给转入方；</w:t>
      </w:r>
    </w:p>
    <w:p>
      <w:pPr>
        <w:pStyle w:val="20"/>
        <w:spacing w:before="0"/>
        <w:ind w:left="0" w:firstLine="480"/>
        <w:rPr>
          <w:rFonts w:hint="eastAsia"/>
        </w:rPr>
      </w:pPr>
      <w:r>
        <w:rPr>
          <w:rFonts w:hint="eastAsia"/>
        </w:rPr>
        <w:t>-该金融资产已转移，虽然本基金既没有转移也没有保留金融资产所有权上几乎所有的风险和报酬，但是放弃了对该金融资产控制。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金融资产整体转移满足终止确认条件的，本基金将下列两项金额的差额计入当期损益：</w:t>
      </w:r>
    </w:p>
    <w:p>
      <w:pPr>
        <w:pStyle w:val="20"/>
        <w:spacing w:before="0"/>
        <w:ind w:left="0" w:firstLine="480"/>
        <w:rPr>
          <w:rFonts w:hint="eastAsia"/>
        </w:rPr>
      </w:pPr>
      <w:r>
        <w:rPr>
          <w:rFonts w:hint="eastAsia"/>
        </w:rPr>
        <w:t>-所转移金融资产的账面价值</w:t>
      </w:r>
    </w:p>
    <w:p>
      <w:pPr>
        <w:pStyle w:val="20"/>
        <w:spacing w:before="0"/>
        <w:ind w:left="0" w:firstLine="480"/>
        <w:rPr>
          <w:rFonts w:hint="eastAsia"/>
        </w:rPr>
      </w:pPr>
      <w:r>
        <w:rPr>
          <w:rFonts w:hint="eastAsia"/>
        </w:rPr>
        <w:t>-因转移而收到的对价</w:t>
      </w:r>
    </w:p>
    <w:p>
      <w:pPr>
        <w:pStyle w:val="20"/>
        <w:spacing w:before="0"/>
        <w:ind w:left="0" w:firstLine="480"/>
        <w:rPr>
          <w:rFonts w:hint="eastAsia"/>
        </w:rPr>
      </w:pPr>
      <w:r>
        <w:rPr>
          <w:rFonts w:hint="eastAsia"/>
        </w:rPr>
        <w:t>金融负债的现时义务全部或部分已经解除的，本基金终止确认该金融负债或其一部分。</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除特别声明外，本基金按下述原则计量公允价值：</w:t>
      </w:r>
    </w:p>
    <w:p>
      <w:pPr>
        <w:pStyle w:val="20"/>
        <w:spacing w:before="0"/>
        <w:ind w:left="0" w:firstLine="480"/>
        <w:rPr>
          <w:rFonts w:hint="eastAsia"/>
        </w:rPr>
      </w:pPr>
      <w:r>
        <w:rPr>
          <w:rFonts w:hint="eastAsia"/>
        </w:rPr>
        <w:t>公允价值是指市场参与者在计量日发生的有序交易中，出售一项资产所能收到或者转移一项负债所需支付的价格。</w:t>
      </w:r>
    </w:p>
    <w:p>
      <w:pPr>
        <w:pStyle w:val="20"/>
        <w:spacing w:before="0"/>
        <w:ind w:left="0" w:firstLine="480"/>
        <w:rPr>
          <w:rFonts w:hint="eastAsia"/>
        </w:rPr>
      </w:pPr>
      <w:r>
        <w:rPr>
          <w:rFonts w:hint="eastAsia"/>
        </w:rPr>
        <w:t>本基金在确定相关金融资产和金融负债的公允价值时，根据《企业会计准则》的规定采用在当前情况下适用并且有足够可利用数据和其他信息支持的估值技术。</w:t>
      </w:r>
    </w:p>
    <w:p>
      <w:pPr>
        <w:pStyle w:val="20"/>
        <w:spacing w:before="0"/>
        <w:ind w:left="0" w:firstLine="480"/>
        <w:rPr>
          <w:rFonts w:hint="eastAsia"/>
        </w:rPr>
      </w:pPr>
      <w:r>
        <w:rPr>
          <w:rFonts w:hint="eastAsia"/>
        </w:rPr>
        <w:t>存在活跃市场且能够获取相同资产或负债报价的金融工具，在估值日有报价的，除会计准则规定的情况外，将该报价不加调整地应用于该资产或负债的公允价值计量；估值日无报价且最近交易日后未发生影响公允价值计量的重大事件的，采用最近交易日的报价确定公允价值。有充足证据表明估值日或最近交易日的报价不能真实反映公允价值的，对报价进行调整，确定公允价值。与上述金融工具相同，但具有不同特征的，以相同资产或负债的公允价值为基础，并在估值技术中考虑不同特征因素的影响。特征是指对资产出售或使用的限制等，如果该限制是针对资产持有者的，那么在估值技术中不应将该限制作为特征考虑。此外，本基金不考虑因其大量持有相关资产或负债所产生的溢价或折价。</w:t>
      </w:r>
    </w:p>
    <w:p>
      <w:pPr>
        <w:pStyle w:val="20"/>
        <w:spacing w:before="0"/>
        <w:ind w:left="0" w:firstLine="480"/>
        <w:rPr>
          <w:rFonts w:hint="eastAsia"/>
        </w:rPr>
      </w:pPr>
      <w:r>
        <w:rPr>
          <w:rFonts w:hint="eastAsia"/>
        </w:rPr>
        <w:t>对不存在活跃市场的金融工具，采用在当前情况下适用并且有足够可利用数据和其他信息支持的估值技术确定公允价值。采用估值技术确定公允价值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如经济环境发生重大变化或证券发行人发生影响证券价格的重大事件，参考类似投资品种的现行市价及重大变化等因素，对估值进行调整并确定公允价值。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金融资产和金融负债在资产负债表内分别列示，没有相互抵销。但是，同时满足下列条件的，以相互抵销后的净额在资产负债表内列示：</w:t>
      </w:r>
    </w:p>
    <w:p>
      <w:pPr>
        <w:pStyle w:val="20"/>
        <w:spacing w:before="0"/>
        <w:ind w:left="0" w:firstLine="480"/>
        <w:rPr>
          <w:rFonts w:hint="eastAsia"/>
        </w:rPr>
      </w:pPr>
      <w:r>
        <w:rPr>
          <w:rFonts w:hint="eastAsia"/>
        </w:rPr>
        <w:t>-本基金具有抵销已确认金额的法定权利，且该种法定权利是当前可执行的；</w:t>
      </w:r>
    </w:p>
    <w:p>
      <w:pPr>
        <w:pStyle w:val="20"/>
        <w:spacing w:before="0"/>
        <w:ind w:left="0" w:firstLine="480"/>
        <w:rPr>
          <w:rFonts w:hint="eastAsia"/>
        </w:rPr>
      </w:pPr>
      <w:r>
        <w:rPr>
          <w:rFonts w:hint="eastAsia"/>
        </w:rPr>
        <w:t>-本基金计划以净额结算，或同时变现该金融资产和清偿该金融负债。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基金份额拆分引起的实收基金份额变动于基金份额拆分日根据拆分前的基金份额数及确定的拆分比例计算认列。由于申购和赎回引起的实收基金份额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核算在基金份额发生变动时，申购、赎回、转入、转出及红利再投资等款项中包含的未分配利润和公允价值变动损益，包括已实现损益平准金和未实现损益平准金。已实现损益平准金指根据交易申请日申购或赎回款项中包含的按累计未分配的已实现损益占基金净值比例计算的金额。未实现损益平准金指根据交易申请日申购或赎回款项中包含的按累计未分配的未实现损益占基金净值比例计算的金额。损益平准金于基金申购确认日或基金赎回确认日进行确认和计量，并于会计期末全额转入"未分配利润 / (累计亏损)"。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股票投资收益、债券投资收益和衍生工具收益按相关金融资产于处置日成交金额与其成本的差额确认。</w:t>
      </w:r>
    </w:p>
    <w:p>
      <w:pPr>
        <w:pStyle w:val="20"/>
        <w:spacing w:before="0"/>
        <w:ind w:left="0" w:firstLine="480"/>
        <w:rPr>
          <w:rFonts w:hint="eastAsia"/>
        </w:rPr>
      </w:pPr>
      <w:r>
        <w:rPr>
          <w:rFonts w:hint="eastAsia"/>
        </w:rPr>
        <w:t>股利收益按上市公司宣告的分红派息比例计算的金额扣除应由上市公司代扣代缴的个人所得税后的净额确认。</w:t>
      </w:r>
    </w:p>
    <w:p>
      <w:pPr>
        <w:pStyle w:val="20"/>
        <w:spacing w:before="0"/>
        <w:ind w:left="0" w:firstLine="480"/>
        <w:rPr>
          <w:rFonts w:hint="eastAsia"/>
        </w:rPr>
      </w:pPr>
      <w:r>
        <w:rPr>
          <w:rFonts w:hint="eastAsia"/>
        </w:rPr>
        <w:t>债券利息收入按债券投资的票面价值与票面利率计算的金额扣除应由发行债券的企业代扣代缴的个人所得税 (如适用) 后的净额确认，在债券实际持有期内逐日计提。贴息债视同到期一次性还本付息的附息债，根据其发行价、到期价和发行期限按直线法推算内含票面利率后，逐日计提利息收入。如票面利率与实际利率出现重大差异，按实际利率计算利息收入。</w:t>
      </w:r>
    </w:p>
    <w:p>
      <w:pPr>
        <w:pStyle w:val="20"/>
        <w:spacing w:before="0"/>
        <w:ind w:left="0" w:firstLine="480"/>
        <w:rPr>
          <w:rFonts w:hint="eastAsia"/>
        </w:rPr>
      </w:pPr>
      <w:r>
        <w:rPr>
          <w:rFonts w:hint="eastAsia"/>
        </w:rPr>
        <w:t>利息收入是按借出货币资金的时间和实际利率计算确定。</w:t>
      </w:r>
    </w:p>
    <w:p>
      <w:pPr>
        <w:pStyle w:val="20"/>
        <w:spacing w:before="0"/>
        <w:ind w:left="0" w:firstLine="480"/>
        <w:rPr>
          <w:rFonts w:hint="eastAsia"/>
        </w:rPr>
      </w:pPr>
      <w:r>
        <w:rPr>
          <w:rFonts w:hint="eastAsia"/>
        </w:rPr>
        <w:t>买入返售金融资产收入按到期应收或实际收到的金额与初始确认金额的差额，在资金实际占用期间内按实际利率法逐日确认，直线法与实际利率法确定的收入差异较小的可采用直线法。</w:t>
      </w:r>
    </w:p>
    <w:p>
      <w:pPr>
        <w:pStyle w:val="20"/>
        <w:spacing w:before="0"/>
        <w:ind w:left="0" w:firstLine="480"/>
        <w:rPr>
          <w:rFonts w:hint="eastAsia"/>
        </w:rPr>
      </w:pPr>
      <w:r>
        <w:rPr>
          <w:rFonts w:hint="eastAsia"/>
        </w:rPr>
        <w:t>公允价值变动收益核算基金持有的采用公允价值模式计量的以公允价值计量且变动计入当期损益的金融资产、衍生金融资产、以公允价值计量且变动计入当期损益的金融负债等公允价值变动形成的应计入当期损益的利得或损失。</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本基金的管理人报酬和托管费在费用涵盖期间按基金合同约定的费率和计算方法逐日确认。</w:t>
      </w:r>
    </w:p>
    <w:p>
      <w:pPr>
        <w:pStyle w:val="20"/>
        <w:spacing w:before="0"/>
        <w:ind w:left="0" w:firstLine="480"/>
        <w:rPr>
          <w:rFonts w:hint="eastAsia"/>
        </w:rPr>
      </w:pPr>
      <w:r>
        <w:rPr>
          <w:rFonts w:hint="eastAsia"/>
        </w:rPr>
        <w:t>本基金的交易费用于进行股票、债券、权证等交易发生时按照确定的金额确认。</w:t>
      </w:r>
    </w:p>
    <w:p>
      <w:pPr>
        <w:pStyle w:val="20"/>
        <w:spacing w:before="0"/>
        <w:ind w:left="0" w:firstLine="480"/>
        <w:rPr>
          <w:rFonts w:hint="eastAsia"/>
        </w:rPr>
      </w:pPr>
      <w:r>
        <w:rPr>
          <w:rFonts w:hint="eastAsia"/>
        </w:rPr>
        <w:t>本基金的利息支出按资金的本金和适用利率逐日计提。</w:t>
      </w:r>
    </w:p>
    <w:p>
      <w:pPr>
        <w:pStyle w:val="20"/>
        <w:spacing w:before="0"/>
        <w:ind w:left="0" w:firstLine="480"/>
        <w:rPr>
          <w:rFonts w:hint="eastAsia"/>
        </w:rPr>
      </w:pPr>
      <w:r>
        <w:rPr>
          <w:rFonts w:hint="eastAsia"/>
        </w:rPr>
        <w:t>卖出回购金融资产利息支出按到期应付或实际支付的金额与初始确认金额的差额，在资金实际占用期间内以实际利率法逐日确认，直线法与实际利率法确定的支出差异较小的可采用直线法。</w:t>
      </w:r>
    </w:p>
    <w:p>
      <w:pPr>
        <w:pStyle w:val="20"/>
        <w:spacing w:before="0"/>
        <w:ind w:left="0" w:firstLine="480"/>
        <w:rPr>
          <w:rFonts w:hint="eastAsia"/>
        </w:rPr>
      </w:pPr>
      <w:r>
        <w:rPr>
          <w:rFonts w:hint="eastAsia"/>
        </w:rPr>
        <w:t>本基金的其他费用如不影响估值日基金份额净值小数点后第四位，发生时直接计入基金损益；如果影响基金份额净值小数点后第四位的，应采用待摊或预提的方法，待摊或预提计入基金损益。</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(a)本基金收益分配方式分两种：现金分红与红利再投资，投资者可选择现金红利或将现金红利自动转为基金份额进行再投资；若投资者不选择，本基金默认的收益分配方式是现金分红；</w:t>
      </w:r>
    </w:p>
    <w:p>
      <w:pPr>
        <w:pStyle w:val="20"/>
        <w:spacing w:before="0"/>
        <w:ind w:left="0" w:firstLine="480"/>
        <w:rPr>
          <w:rFonts w:hint="eastAsia"/>
        </w:rPr>
      </w:pPr>
      <w:r>
        <w:rPr>
          <w:rFonts w:hint="eastAsia"/>
        </w:rPr>
        <w:t>(b)基金收益分配后基金份额净值不能低于面值；即基金收益分配基准日的基金份额净值减去每单位基金份额收益分配金额后不能低于面值；</w:t>
      </w:r>
    </w:p>
    <w:p>
      <w:pPr>
        <w:pStyle w:val="20"/>
        <w:spacing w:before="0"/>
        <w:ind w:left="0" w:firstLine="480"/>
        <w:rPr>
          <w:rFonts w:hint="eastAsia"/>
        </w:rPr>
      </w:pPr>
      <w:r>
        <w:rPr>
          <w:rFonts w:hint="eastAsia"/>
        </w:rPr>
        <w:t>(c)每一基金份额享有同等分配权；</w:t>
      </w:r>
    </w:p>
    <w:p>
      <w:pPr>
        <w:pStyle w:val="20"/>
        <w:spacing w:before="0"/>
        <w:ind w:left="0" w:firstLine="480"/>
        <w:rPr>
          <w:rFonts w:hint="eastAsia"/>
        </w:rPr>
      </w:pPr>
      <w:r>
        <w:rPr>
          <w:rFonts w:hint="eastAsia"/>
        </w:rPr>
        <w:t>(d)在对基金份额持有人利益无实质不利影响的前提下，基金管理人可调整基金收益的分配原则和支付方式，不需召开基金份额持有人大会审议；</w:t>
      </w:r>
    </w:p>
    <w:p>
      <w:pPr>
        <w:pStyle w:val="20"/>
        <w:spacing w:before="0"/>
        <w:ind w:left="0" w:firstLine="480"/>
        <w:rPr>
          <w:rFonts w:hint="eastAsia"/>
        </w:rPr>
      </w:pPr>
      <w:r>
        <w:rPr>
          <w:rFonts w:hint="eastAsia"/>
        </w:rPr>
        <w:t>(e)法律法规或监管机关另有规定的，从其规定。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w:t>
      </w:r>
    </w:p>
    <w:p>
      <w:pPr>
        <w:pStyle w:val="20"/>
        <w:spacing w:before="0"/>
        <w:ind w:left="0" w:firstLine="480"/>
        <w:rPr>
          <w:rFonts w:hint="eastAsia"/>
        </w:rPr>
      </w:pPr>
      <w:r>
        <w:rPr>
          <w:rFonts w:hint="eastAsia"/>
        </w:rPr>
        <w:t>本基金目前以一个经营分部运作，不需要进行分部报告的披露。</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对于证券交易所上市的股票，若出现重大事项停牌或交易不活跃(包括涨跌停时的交易不活跃)等情况，本基金根据中国证监会公告[2017]13号《中国证券监督管理委员会关于证券投资基金估值业务的指导意见》，根据具体情况采用《关于发布中基协(AMAC)基金行业股票估值指数的通知》提供的指数收益法、市盈率法、现金流量折现法等估值技术进行估值。</w:t>
      </w:r>
    </w:p>
    <w:p>
      <w:pPr>
        <w:pStyle w:val="20"/>
        <w:spacing w:before="0"/>
        <w:ind w:left="0" w:firstLine="480"/>
        <w:rPr>
          <w:rFonts w:hint="eastAsia"/>
        </w:rPr>
      </w:pPr>
      <w:r>
        <w:rPr>
          <w:rFonts w:hint="eastAsia"/>
        </w:rPr>
        <w:t>对于在发行时明确一定期限限售期的股票，包括但不限于非公开发行股票、首次公开发行股票时公司股东公开发售股份、通过大宗交易取得的带限售期的股票等，不包括停牌、新发行未上市、回购交易中的质押券等流通受限股票，根据中基协发[2017]6号《关于发布&lt;证券投资基金投资流通受限股票估值指引（试行）&gt;的通知》，在估值日按照流通受限股票计算公式确定估值日流通受限股票的价值。</w:t>
      </w:r>
    </w:p>
    <w:p>
      <w:pPr>
        <w:pStyle w:val="20"/>
        <w:spacing w:before="0"/>
        <w:ind w:left="0" w:firstLine="480"/>
        <w:rPr>
          <w:rFonts w:hint="eastAsia"/>
        </w:rPr>
      </w:pPr>
      <w:r>
        <w:rPr>
          <w:rFonts w:hint="eastAsia"/>
        </w:rPr>
        <w:t>根据《中国证券投资基金业协会估值核算工作小组关于2015年1季度固定收益品种的估值处理标准》（以下简称"估值处理标准"），在上海证券交易所、深圳证券交易所及银行间同业市场上市交易或挂牌转让的固定收益品种（估值处理标准另有规定的除外），采用第三方估值机构提供的价格数据进行估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本基金在本报告期内未发生重大会计政策变更。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本基金在本报告期内未发生重大会计估计变更。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本基金在本报告期内未发生重大会计差错更正。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根据财政部、国家税务总局财税[2002]128号《关于开放式证券投资基金有关税收问题的通知》、财税 [2004] 78号文《关于证券投资基金税收政策的通知》、财税 [2012] 85号文《财政部、国家税务总局、证监会关于实施上市公司股息红利差别化个人所得税政策有关问题的通知》、财税 [2015] 101号《财政部、国家税务总局、证监会关于上市公司股息红利差别化个人所得税政策有关问题的通知》、财税 [2005] 103号文《关于股权分置试点改革有关税收政策问题的通知》、上证交字 [2008] 16号《关于做好调整证券交易印花税税率相关工作的通知》及深圳证券交易所于2008年9月18日发布的《深圳证券交易所关于做好证券交易印花税征收方式调整工作的通知》、财税 [2008] 1号文《财政部、国家税务总局关于企业所得税若干优惠政策的通知》、财税 [2016] 36号文《财政部、国家税务总局关于全面推开营业税改征增值税试点的通知》、财税[2016]46号《关于进一步明确全面推开营改增试点金融业有关政策的通知》、财税[2016]70号《关于金融机构同业往来等增值税政策的补充通知》、财税 [2016] 140号文《关于明确金融、房地产开发、教育辅助服务等增值税政策的通知》、财税 [2017] 2号文《关于资管产品增值税政策有关问题的补充通知》、财税 [2017] 56号《关于资管产品增值税有关问题的通知》及其他相关税务法规和实务操作，本基金适用的主要税项列示如下：</w:t>
      </w:r>
    </w:p>
    <w:p>
      <w:pPr>
        <w:pStyle w:val="20"/>
        <w:spacing w:before="0"/>
        <w:ind w:left="0" w:firstLine="480"/>
        <w:rPr>
          <w:rFonts w:hint="eastAsia"/>
        </w:rPr>
      </w:pPr>
      <w:r>
        <w:rPr>
          <w:rFonts w:hint="eastAsia"/>
        </w:rPr>
        <w:t>(a)对证券投资基金管理人运用基金买卖股票、债券的差价收入，暂不征收企业所得税。</w:t>
      </w:r>
    </w:p>
    <w:p>
      <w:pPr>
        <w:pStyle w:val="20"/>
        <w:spacing w:before="0"/>
        <w:ind w:left="0" w:firstLine="480"/>
        <w:rPr>
          <w:rFonts w:hint="eastAsia"/>
        </w:rPr>
      </w:pPr>
      <w:r>
        <w:rPr>
          <w:rFonts w:hint="eastAsia"/>
        </w:rPr>
        <w:t>(b)自2016年5月1日起，在全国范围内全面推开营业税改征增值税 (以下称营改增) 试点，建筑业、房地产业、金融业、生活服务业等全部营业税纳税人，纳入试点范围，由缴纳营业税改为缴纳增值税。</w:t>
      </w:r>
    </w:p>
    <w:p>
      <w:pPr>
        <w:pStyle w:val="20"/>
        <w:spacing w:before="0"/>
        <w:ind w:left="0" w:firstLine="480"/>
        <w:rPr>
          <w:rFonts w:hint="eastAsia"/>
        </w:rPr>
      </w:pPr>
      <w:r>
        <w:rPr>
          <w:rFonts w:hint="eastAsia"/>
        </w:rPr>
        <w:t>2018年1月1日 (含) 以后，资管产品管理人 (以下称管理人) 运营资管产品过程中发生的增值税应税行为，以管理人为增值税纳税人，暂适用简易计税方法，按照3%的征收率缴纳增值税。对资管产品在2018年1月1日以前运营过程中发生的增值税应税行为，未缴纳增值税的，不再缴纳；已缴纳增值税的，已纳税额从管理人以后月份的增值税应纳税额中抵减。</w:t>
      </w:r>
    </w:p>
    <w:p>
      <w:pPr>
        <w:pStyle w:val="20"/>
        <w:spacing w:before="0"/>
        <w:ind w:left="0" w:firstLine="480"/>
        <w:rPr>
          <w:rFonts w:hint="eastAsia"/>
        </w:rPr>
      </w:pPr>
      <w:r>
        <w:rPr>
          <w:rFonts w:hint="eastAsia"/>
        </w:rPr>
        <w:t>证券投资基金管理人运用基金买卖股票、债券收入取得的金融商品转让收入免征增值税；对国债、地方政府债利息收入以及金融同业往来取得的利息收入免征增值税；同业存款利息收入免征增值税以及一般存款利息收入不征收增值税。</w:t>
      </w:r>
    </w:p>
    <w:p>
      <w:pPr>
        <w:pStyle w:val="20"/>
        <w:spacing w:before="0"/>
        <w:ind w:left="0" w:firstLine="480"/>
        <w:rPr>
          <w:rFonts w:hint="eastAsia"/>
        </w:rPr>
      </w:pPr>
      <w:r>
        <w:rPr>
          <w:rFonts w:hint="eastAsia"/>
        </w:rPr>
        <w:t>(c)基金作为流通股股东在股权分置改革过程中收到由非流通股股东支付的股份、现金对价，暂免征收印花税、企业所得税和个人所得税。</w:t>
      </w:r>
    </w:p>
    <w:p>
      <w:pPr>
        <w:pStyle w:val="20"/>
        <w:spacing w:before="0"/>
        <w:ind w:left="0" w:firstLine="480"/>
        <w:rPr>
          <w:rFonts w:hint="eastAsia"/>
        </w:rPr>
      </w:pPr>
      <w:r>
        <w:rPr>
          <w:rFonts w:hint="eastAsia"/>
        </w:rPr>
        <w:t>(d)对基金从上市公司取得的股息、红利所得，由上市公司在向基金支付上述收入时代扣代缴20%的个人所得税。自2013年1月1日起，对所取得的股息红利收入根据持股期限差别化计算个人所得税的应纳税所得额：持股期限在1个月以内 (含1个月) 的，其股息红利所得全额计入应纳税所得额；持股期限在1个月以上至1年 (含1年) 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个人所得税应纳税所得额。</w:t>
      </w:r>
    </w:p>
    <w:p>
      <w:pPr>
        <w:pStyle w:val="20"/>
        <w:spacing w:before="0"/>
        <w:ind w:left="0" w:firstLine="480"/>
        <w:rPr>
          <w:rFonts w:hint="eastAsia"/>
        </w:rPr>
      </w:pPr>
      <w:r>
        <w:rPr>
          <w:rFonts w:hint="eastAsia"/>
        </w:rPr>
        <w:t>(e)基金卖出股票按0.1%的税率缴纳股票交易印花税，买入股票不征收股票交易印花税。</w:t>
      </w:r>
    </w:p>
    <w:p>
      <w:pPr>
        <w:pStyle w:val="20"/>
        <w:spacing w:before="0"/>
        <w:ind w:left="0" w:firstLine="480"/>
        <w:rPr>
          <w:rFonts w:hint="eastAsia"/>
        </w:rPr>
      </w:pPr>
      <w:r>
        <w:rPr>
          <w:rFonts w:hint="eastAsia"/>
        </w:rPr>
        <w:t>(f)对投资者从证券投资基金分配中取得的收入，暂不征收企业所得税。</w:t>
      </w:r>
    </w:p>
    <w:p>
      <w:pPr>
        <w:pStyle w:val="20"/>
        <w:spacing w:before="0"/>
        <w:ind w:left="0" w:firstLine="480"/>
        <w:rPr>
          <w:rFonts w:hint="eastAsia"/>
        </w:rPr>
      </w:pPr>
      <w:r>
        <w:rPr>
          <w:rFonts w:hint="eastAsia"/>
        </w:rPr>
        <w:t>(g)对基金在2018年1月1日 (含) 以后运营过程中缴纳的增值税，分别按照证券投资基金管理人所在地适用的税率，计算缴纳城市维护建设税、教育费附加和地方教育费附加。</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8"/>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3,046,794.36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3,371,024.13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3,046,794.36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3,371,024.13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8"/>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3,201,625,399.41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3,208,501,000.00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6,875,600.59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3,201,625,399.41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3,208,501,000.00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6,875,600.59</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10,270,786.72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10,299,000.00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28,213.28</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3,211,896,186.13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3,218,800,000.00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6,903,813.87</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3,571,265,461.71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3,444,801,000.00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-126,464,461.71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3,571,265,461.71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3,444,801,000.00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-126,464,461.71</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136,457,398.06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136,199,000.00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-258,398.06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3,707,722,859.77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3,581,000,000.00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-126,722,859.77</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20,800,151.20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20,800,151.20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19,800,149.70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19,800,149.70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71,759,128.75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65,618,859.29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337,139.11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8,996.84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11,279.52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71,786,631.58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65,970,035.20</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19,069.13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38,437.72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19,069.13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38,437.72</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183,500.00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9"/>
        <w:rPr>
          <w:rFonts w:hint="eastAsia"/>
        </w:rPr>
      </w:pPr>
      <w:r>
        <w:rPr>
          <w:rFonts w:hint="eastAsia" w:hAnsi="Calibri"/>
          <w:color w:val="000000"/>
        </w:rPr>
        <w:t>金额单位：人民币元</w:t>
      </w:r>
    </w:p>
    <w:tbl>
      <w:tblPr>
        <w:tblStyle w:val="8"/>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2,843,314,307.75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2,843,314,307.75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1,834,377.71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1,834,377.71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-1,625,109.20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-1,625,109.20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2,843,523,576.26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2,843,523,576.26</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117,219,091.37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-83,913,199.21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33,305,892.16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121,933,909.26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133,626,673.64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255,560,582.90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4,139.89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17,305.16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21,445.05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99,354.18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18,779.37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118,133.55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-95,214.29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-1,474.21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-96,688.50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-28,432,981.17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-28,432,981.17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210,724,159.35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49,730,779.59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260,454,938.94</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8"/>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57,148.09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139,674.46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5,469.90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57,148.09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145,144.36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20"/>
        <w:rPr>
          <w:rFonts w:hint="eastAsia"/>
        </w:rPr>
      </w:pPr>
      <w:r>
        <w:rPr>
          <w:rFonts w:hint="eastAsia"/>
        </w:rPr>
        <w:t>本基金本报告期及上年度可比期间无股票投资收益。</w:t>
      </w:r>
    </w:p>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7,632,617.29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-65,414,087.37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7,632,617.29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-65,414,087.37</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5,276,024,606.62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3,255,602,743.65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5,164,386,912.30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3,247,383,737.37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104,005,077.03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73,633,093.65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7,632,617.29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-65,414,087.37</w:t>
            </w:r>
          </w:p>
        </w:tc>
      </w:tr>
    </w:tbl>
    <w:p>
      <w:pPr>
        <w:widowControl/>
        <w:jc w:val="left"/>
        <w:rPr>
          <w:rFonts w:hint="eastAsia" w:ascii="宋体" w:hAnsi="宋体" w:cs="宋体"/>
          <w:kern w:val="0"/>
          <w:sz w:val="24"/>
          <w:szCs w:val="24"/>
        </w:rPr>
      </w:pPr>
    </w:p>
    <w:p>
      <w:pPr>
        <w:pStyle w:val="15"/>
        <w:rPr>
          <w:rFonts w:hint="eastAsia"/>
        </w:rPr>
      </w:pPr>
      <w:r>
        <w:rPr>
          <w:rFonts w:hint="eastAsia"/>
          <w:b/>
          <w:bCs/>
        </w:rPr>
        <w:t>7.4.7.13.3 资产支持证券投资收益</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卖出资产支持证券成交总额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129,144,930.09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528,385,818.49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减：卖出资产支持证券成本总额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126,186,611.34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521,797,164.76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2,719,930.09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10,338,545.72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238,388.66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-3,749,891.99</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20"/>
        <w:rPr>
          <w:rFonts w:hint="eastAsia"/>
        </w:rPr>
      </w:pPr>
      <w:r>
        <w:rPr>
          <w:rFonts w:hint="eastAsia"/>
        </w:rPr>
        <w:t>本基金本报告期及上年度可比期间无股利收益。</w:t>
      </w:r>
    </w:p>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133,626,673.64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-12,799,263.56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133,340,062.30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-18,254,503.32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286,611.34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5,455,239.76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133,626,673.64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-12,799,263.56</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46.60</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8"/>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30,327.50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30,327.50</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15,397.86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23,371.07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220,097.86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235,071.07</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8"/>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20"/>
        <w:rPr>
          <w:rFonts w:hint="eastAsia"/>
        </w:rPr>
      </w:pPr>
      <w:r>
        <w:rPr>
          <w:rFonts w:hint="eastAsia"/>
        </w:rPr>
        <w:t>本基金于本报告期及上年度可比期间均未通过关联方交易单元进行股票交易。 </w:t>
      </w:r>
    </w:p>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 </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20"/>
        <w:rPr>
          <w:rFonts w:hint="eastAsia"/>
        </w:rPr>
      </w:pPr>
      <w:r>
        <w:rPr>
          <w:rFonts w:hint="eastAsia"/>
        </w:rPr>
        <w:t>本基金于本报告期末及上年度末均无应支付关联方的佣金。</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8,946,335.18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9,140,605.14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185.63</w:t>
            </w:r>
          </w:p>
        </w:tc>
      </w:tr>
    </w:tbl>
    <w:p>
      <w:pPr>
        <w:pStyle w:val="20"/>
        <w:rPr>
          <w:rFonts w:hint="eastAsia"/>
        </w:rPr>
      </w:pPr>
      <w:r>
        <w:rPr>
          <w:rFonts w:hint="eastAsia"/>
        </w:rPr>
        <w:t>注：本基金的管理费按前一日基金资产净值的0.30%年费率计提。管理费的计算方法如下：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2,982,111.64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3,046,868.38</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19"/>
        <w:rPr>
          <w:rFonts w:hint="eastAsia"/>
        </w:rPr>
      </w:pPr>
      <w:r>
        <w:rPr>
          <w:rFonts w:hint="eastAsia" w:hAnsi="Calibri"/>
          <w:color w:val="000000"/>
        </w:rPr>
        <w:t>单位：人民币元</w:t>
      </w:r>
    </w:p>
    <w:tbl>
      <w:tblPr>
        <w:tblStyle w:val="8"/>
        <w:tblW w:w="0" w:type="auto"/>
        <w:tblInd w:w="108" w:type="dxa"/>
        <w:tblLayout w:type="autofit"/>
        <w:tblCellMar>
          <w:top w:w="0" w:type="dxa"/>
          <w:left w:w="108" w:type="dxa"/>
          <w:bottom w:w="0" w:type="dxa"/>
          <w:right w:w="108" w:type="dxa"/>
        </w:tblCellMar>
      </w:tblPr>
      <w:tblGrid>
        <w:gridCol w:w="2169"/>
        <w:gridCol w:w="977"/>
        <w:gridCol w:w="977"/>
        <w:gridCol w:w="976"/>
        <w:gridCol w:w="977"/>
        <w:gridCol w:w="1858"/>
        <w:gridCol w:w="1264"/>
      </w:tblGrid>
      <w:tr>
        <w:tblPrEx>
          <w:tblCellMar>
            <w:top w:w="0" w:type="dxa"/>
            <w:left w:w="108" w:type="dxa"/>
            <w:bottom w:w="0" w:type="dxa"/>
            <w:right w:w="108" w:type="dxa"/>
          </w:tblCellMar>
        </w:tblPrEx>
        <w:trPr>
          <w:wBefore w:w="0" w:type="auto"/>
        </w:trPr>
        <w:tc>
          <w:tcPr>
            <w:tcW w:w="9028" w:type="dxa"/>
            <w:gridSpan w:val="7"/>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银行间市场交易的</w:t>
            </w:r>
          </w:p>
          <w:p>
            <w:pPr>
              <w:pStyle w:val="18"/>
              <w:wordWrap w:val="0"/>
              <w:rPr>
                <w:rFonts w:hint="eastAsia"/>
              </w:rPr>
            </w:pPr>
            <w:r>
              <w:rPr>
                <w:rFonts w:hint="eastAsia"/>
              </w:rPr>
              <w:t>各关联方名称</w:t>
            </w:r>
          </w:p>
        </w:tc>
        <w:tc>
          <w:tcPr>
            <w:tcW w:w="2168"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债券交易金额</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基金逆回购</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基金正回购</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基金买入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基金卖出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利息支出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3,447,672,000.00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321,365.17</w:t>
            </w:r>
          </w:p>
        </w:tc>
      </w:tr>
    </w:tbl>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 </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1265"/>
        <w:gridCol w:w="1945"/>
        <w:gridCol w:w="194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3,046,794.36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57,148.09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3,371,024.13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139,674.46</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本基金本报告期及上年度可比期间均未在承销期内参与关联方承销的证券。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单位：人民币元</w:t>
      </w:r>
    </w:p>
    <w:tbl>
      <w:tblPr>
        <w:tblStyle w:val="8"/>
        <w:tblW w:w="0" w:type="auto"/>
        <w:tblInd w:w="108" w:type="dxa"/>
        <w:tblLayout w:type="autofit"/>
        <w:tblCellMar>
          <w:top w:w="0" w:type="dxa"/>
          <w:left w:w="108" w:type="dxa"/>
          <w:bottom w:w="0" w:type="dxa"/>
          <w:right w:w="108" w:type="dxa"/>
        </w:tblCellMar>
      </w:tblPr>
      <w:tblGrid>
        <w:gridCol w:w="690"/>
        <w:gridCol w:w="1152"/>
        <w:gridCol w:w="1162"/>
        <w:gridCol w:w="1343"/>
        <w:gridCol w:w="1408"/>
        <w:gridCol w:w="1343"/>
        <w:gridCol w:w="1408"/>
        <w:gridCol w:w="692"/>
      </w:tblGrid>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权益</w:t>
            </w:r>
          </w:p>
          <w:p>
            <w:pPr>
              <w:pStyle w:val="18"/>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w:t>
            </w:r>
          </w:p>
          <w:p>
            <w:pPr>
              <w:pStyle w:val="18"/>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w:t>
            </w:r>
          </w:p>
          <w:p>
            <w:pPr>
              <w:pStyle w:val="18"/>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本期利润</w:t>
            </w:r>
          </w:p>
          <w:p>
            <w:pPr>
              <w:pStyle w:val="18"/>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2018-03-23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28,432,970.19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28,432,981.17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0.100</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28,432,970.19</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10.98</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28,432,981.17</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spacing w:before="0"/>
        <w:ind w:left="0" w:firstLine="480"/>
        <w:rPr>
          <w:rFonts w:hint="eastAsia"/>
        </w:rPr>
      </w:pPr>
      <w:r>
        <w:rPr>
          <w:rFonts w:hint="eastAsia"/>
        </w:rPr>
        <w:t>截至本报告期末2018年12月31日止,本基金从事银行间市场债券正回购交易形成的卖出回购证券款余额208,857,863.35元,是以如下债券作为抵押:</w:t>
      </w:r>
    </w:p>
    <w:p>
      <w:pPr>
        <w:pStyle w:val="19"/>
        <w:rPr>
          <w:rFonts w:hint="eastAsia"/>
        </w:rPr>
      </w:pPr>
      <w:r>
        <w:rPr>
          <w:rFonts w:hint="eastAsia" w:hAnsi="Calibri"/>
          <w:color w:val="000000"/>
        </w:rPr>
        <w:t>金额单位：人民币元</w:t>
      </w:r>
    </w:p>
    <w:tbl>
      <w:tblPr>
        <w:tblStyle w:val="8"/>
        <w:tblW w:w="0" w:type="auto"/>
        <w:tblInd w:w="108" w:type="dxa"/>
        <w:tblLayout w:type="autofit"/>
        <w:tblCellMar>
          <w:top w:w="0" w:type="dxa"/>
          <w:left w:w="108" w:type="dxa"/>
          <w:bottom w:w="0" w:type="dxa"/>
          <w:right w:w="108" w:type="dxa"/>
        </w:tblCellMar>
      </w:tblPr>
      <w:tblGrid>
        <w:gridCol w:w="1379"/>
        <w:gridCol w:w="1839"/>
        <w:gridCol w:w="1564"/>
        <w:gridCol w:w="1012"/>
        <w:gridCol w:w="1380"/>
        <w:gridCol w:w="202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16农发17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217,390,600.00</w:t>
            </w:r>
          </w:p>
        </w:tc>
      </w:tr>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rPr>
            </w:pPr>
            <w:r>
              <w:rPr>
                <w:rFonts w:hint="eastAsia"/>
              </w:rPr>
              <w:t>合计</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5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pPr>
            <w:r>
              <w:rPr>
                <w:rFonts w:hint="eastAsia"/>
              </w:rPr>
              <w:t>2,170,000</w:t>
            </w:r>
          </w:p>
        </w:tc>
        <w:tc>
          <w:tcPr>
            <w:tcW w:w="1200" w:type="pct"/>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rPr>
            </w:pPr>
            <w:r>
              <w:rPr>
                <w:rFonts w:hint="eastAsia"/>
              </w:rPr>
              <w:t>217,390,600.00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按短期信用评级列示的同业存单投资</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993,910,000.00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993,910,000.00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7.4.13.2.3 按长期信用评级列示的债券投资</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405,240,000.00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512,109,000.00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140,520,000.00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555,074,000.00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2,562,421,000.00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1,383,708,000.00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3,108,181,000.00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2,450,891,000.00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7.4.13.2.4 按长期信用评级列示的资产支持证券投资</w:t>
      </w:r>
    </w:p>
    <w:p>
      <w:pPr>
        <w:pStyle w:val="19"/>
        <w:rPr>
          <w:rFonts w:hint="eastAsia"/>
        </w:rPr>
      </w:pPr>
      <w:r>
        <w:rPr>
          <w:rFonts w:hint="eastAsia" w:hAnsi="Calibri"/>
          <w:color w:val="000000"/>
        </w:rPr>
        <w:t>单位：人民币元</w:t>
      </w:r>
    </w:p>
    <w:tbl>
      <w:tblPr>
        <w:tblStyle w:val="8"/>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10,299,000.00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136,199,000.00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10,299,000.00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136,199,000.00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除卖出回购金融资产款余额中有208,857,863.35元将在一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pStyle w:val="15"/>
        <w:rPr>
          <w:rFonts w:hint="eastAsia"/>
        </w:rPr>
      </w:pPr>
      <w:r>
        <w:rPr>
          <w:rFonts w:hint="eastAsia"/>
          <w:b/>
          <w:bCs/>
        </w:rPr>
        <w:t>7.4.13.3.1 金融资产和金融负债的到期期限分析</w:t>
      </w:r>
    </w:p>
    <w:p>
      <w:pPr>
        <w:pStyle w:val="20"/>
        <w:rPr>
          <w:rFonts w:hint="eastAsia"/>
        </w:rPr>
      </w:pPr>
      <w:r>
        <w:rPr>
          <w:rFonts w:hint="eastAsia"/>
        </w:rPr>
        <w:t>注：无。</w:t>
      </w:r>
    </w:p>
    <w:p>
      <w:pPr>
        <w:widowControl/>
        <w:jc w:val="left"/>
        <w:rPr>
          <w:rFonts w:hint="eastAsia" w:ascii="宋体" w:hAnsi="宋体" w:cs="宋体"/>
          <w:kern w:val="0"/>
          <w:sz w:val="24"/>
          <w:szCs w:val="24"/>
        </w:rPr>
      </w:pPr>
    </w:p>
    <w:p>
      <w:pPr>
        <w:pStyle w:val="15"/>
        <w:rPr>
          <w:rFonts w:hint="eastAsia"/>
        </w:rPr>
      </w:pPr>
      <w:r>
        <w:rPr>
          <w:rFonts w:hint="eastAsia"/>
          <w:b/>
          <w:bCs/>
        </w:rPr>
        <w:t>7.4.13.3.2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0.33%。</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3,304,107,074.31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8"/>
        <w:tblW w:w="10200" w:type="dxa"/>
        <w:tblInd w:w="108" w:type="dxa"/>
        <w:tblLayout w:type="autofit"/>
        <w:tblCellMar>
          <w:top w:w="0" w:type="dxa"/>
          <w:left w:w="108" w:type="dxa"/>
          <w:bottom w:w="0" w:type="dxa"/>
          <w:right w:w="108" w:type="dxa"/>
        </w:tblCellMar>
      </w:tblPr>
      <w:tblGrid>
        <w:gridCol w:w="1021"/>
        <w:gridCol w:w="1899"/>
        <w:gridCol w:w="1898"/>
        <w:gridCol w:w="1898"/>
        <w:gridCol w:w="1586"/>
        <w:gridCol w:w="1898"/>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3,046,794.36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3,046,794.36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401,904,000.00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2,816,896,000.00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3,218,800,000.00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20,800,151.20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20,800,151.20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71,786,631.58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71,786,631.58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425,750,945.56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2,816,896,000.00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71,786,631.58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3,314,433,577.14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208,857,863.35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208,857,863.35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2,016.07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787,944.48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787,944.48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262,648.14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262,648.14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19,069.13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19,069.13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33,453.76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33,453.76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315,567.01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315,567.01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176,500.00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208,857,863.35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1,597,198.59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210,455,061.94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216,893,082.21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2,816,896,000.00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70,189,432.99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3,103,978,515.20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3,371,024.13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3,371,024.13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1,495,463,000.00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850,459,000.00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1,235,078,000.00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3,581,000,000.00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19,800,149.70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19,800,149.70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65,970,035.20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65,970,035.20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1,518,634,173.83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850,459,000.00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1,235,078,000.00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65,970,035.20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3,670,141,209.03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792,023,012.53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792,023,012.53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731,917.55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731,917.55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243,972.52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243,972.52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38,437.72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38,437.72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300,168.80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300,168.80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183,500.00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792,023,012.53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1,497,996.59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793,521,009.12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726,611,161.30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850,459,000.00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1,235,078,000.00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64,472,038.61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2,876,620,199.91</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tbl>
      <w:tblPr>
        <w:tblStyle w:val="8"/>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-25,018,624.14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-19,400,641.79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25,314,174.27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19,645,418.18</w:t>
            </w:r>
          </w:p>
        </w:tc>
      </w:tr>
    </w:tbl>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0"/>
        <w:rPr>
          <w:rFonts w:hint="eastAsia"/>
        </w:rPr>
      </w:pPr>
      <w:r>
        <w:rPr>
          <w:rFonts w:hint="eastAsia"/>
        </w:rPr>
        <w:t>本基金本报告期末及上年度末均未持有交易性权益类投资，因此除市场利率和外汇汇率以外的市场价格因素的变动对于本基金资产净值无重大影响。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7.4.14.1公允价值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于2018年12月31日，本基金持有的以公允价值计量且其变动计入当期损益的金融资产中属于第二层次的余额为3,218,800,000.00元 ，无属于第一层次和第三层次的余额 (2017年12月31日：第二层次3,581,000,000.00元，无属于第一层次和第三层次的余额)。</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对于证券交易所上市的股票和债券，若出现重大事项停牌、交易不活跃 (包括涨跌停时的交易不活跃) 、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本基金本期持有的以公允价值计量的金融工具的公允价值所属层次未发生重大变动。</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于2018年12月31日，本基金未持有非持续的以公允价值计量的金融资产(2017年12月31日：无)。</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7.4.14.2除公允价值外，截至资产负债表日本基金无需要说明的其他重要事项。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487560"/>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487561"/>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8"/>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3,218,800,000.00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3,208,501,000.00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10,299,000.00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20,800,151.20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3,046,794.36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71,786,631.58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3,314,433,577.14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487562"/>
      <w:r>
        <w:rPr>
          <w:rFonts w:hint="eastAsia"/>
          <w:b/>
          <w:bCs/>
        </w:rPr>
        <w:t>8.2 报告期末按行业分类的股票投资组合</w:t>
      </w:r>
      <w:bookmarkEnd w:id="37"/>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8" w:name="_Toc4487563"/>
      <w:r>
        <w:rPr>
          <w:rFonts w:hint="eastAsia"/>
          <w:b/>
          <w:bCs/>
        </w:rPr>
        <w:t>8.3 期末按公允价值占基金资产净值比例大小排序的所有股票投资明细</w:t>
      </w:r>
      <w:bookmarkEnd w:id="38"/>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9" w:name="_Toc4487564"/>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bookmarkStart w:id="40" w:name="_Toc4487565"/>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8"/>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2,952,256,000.00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2,662,741,000.00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102,810,000.00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153,435,000.00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3,208,501,000.00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103.37</w:t>
            </w:r>
          </w:p>
        </w:tc>
      </w:tr>
    </w:tbl>
    <w:p>
      <w:pPr>
        <w:widowControl/>
        <w:jc w:val="left"/>
        <w:rPr>
          <w:rFonts w:hint="eastAsia" w:ascii="宋体" w:hAnsi="宋体" w:cs="宋体"/>
          <w:kern w:val="0"/>
          <w:sz w:val="24"/>
          <w:szCs w:val="24"/>
        </w:rPr>
      </w:pPr>
    </w:p>
    <w:p>
      <w:pPr>
        <w:pStyle w:val="14"/>
        <w:rPr>
          <w:rFonts w:hint="eastAsia"/>
        </w:rPr>
      </w:pPr>
      <w:bookmarkStart w:id="41" w:name="_Toc4487566"/>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8"/>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16农发17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1,061,908,000.00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150221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15国开21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550,990,000.00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18国开04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387,464,000.00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160207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16国开07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256,464,000.00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18农发08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154,935,000.00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w:t>
            </w:r>
          </w:p>
        </w:tc>
      </w:tr>
    </w:tbl>
    <w:p>
      <w:pPr>
        <w:widowControl/>
        <w:jc w:val="left"/>
        <w:rPr>
          <w:rFonts w:hint="eastAsia" w:ascii="宋体" w:hAnsi="宋体" w:cs="宋体"/>
          <w:kern w:val="0"/>
          <w:sz w:val="24"/>
          <w:szCs w:val="24"/>
        </w:rPr>
      </w:pPr>
    </w:p>
    <w:p>
      <w:pPr>
        <w:pStyle w:val="14"/>
        <w:rPr>
          <w:rFonts w:hint="eastAsia"/>
        </w:rPr>
      </w:pPr>
      <w:bookmarkStart w:id="42" w:name="_Toc4487567"/>
      <w:r>
        <w:rPr>
          <w:rFonts w:hint="eastAsia"/>
          <w:b/>
          <w:bCs/>
        </w:rPr>
        <w:t>8.7 期末按公允价值占基金资产净值比例大小排序的所有资产支持证券投资明细</w:t>
      </w:r>
      <w:bookmarkEnd w:id="42"/>
    </w:p>
    <w:p>
      <w:pPr>
        <w:pStyle w:val="19"/>
        <w:rPr>
          <w:rFonts w:hint="eastAsia"/>
        </w:rPr>
      </w:pPr>
      <w:r>
        <w:rPr>
          <w:rFonts w:hint="eastAsia" w:hAnsi="Calibri"/>
          <w:color w:val="000000"/>
        </w:rPr>
        <w:t>金额单位：人民币元</w:t>
      </w:r>
    </w:p>
    <w:tbl>
      <w:tblPr>
        <w:tblStyle w:val="8"/>
        <w:tblW w:w="0" w:type="auto"/>
        <w:tblInd w:w="108" w:type="dxa"/>
        <w:tblLayout w:type="autofit"/>
        <w:tblCellMar>
          <w:top w:w="0" w:type="dxa"/>
          <w:left w:w="108" w:type="dxa"/>
          <w:bottom w:w="0" w:type="dxa"/>
          <w:right w:w="108" w:type="dxa"/>
        </w:tblCellMar>
      </w:tblPr>
      <w:tblGrid>
        <w:gridCol w:w="787"/>
        <w:gridCol w:w="1525"/>
        <w:gridCol w:w="1525"/>
        <w:gridCol w:w="1720"/>
        <w:gridCol w:w="1969"/>
        <w:gridCol w:w="16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数量（份）</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131848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PR远东3A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131708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16远东2A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1689331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16工元3优先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1689080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16融汇1A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bl>
    <w:p>
      <w:pPr>
        <w:widowControl/>
        <w:jc w:val="left"/>
        <w:rPr>
          <w:rFonts w:hint="eastAsia" w:ascii="宋体" w:hAnsi="宋体" w:cs="宋体"/>
          <w:kern w:val="0"/>
          <w:sz w:val="24"/>
          <w:szCs w:val="24"/>
        </w:rPr>
      </w:pPr>
    </w:p>
    <w:p>
      <w:pPr>
        <w:pStyle w:val="14"/>
        <w:rPr>
          <w:rFonts w:hint="eastAsia"/>
        </w:rPr>
      </w:pPr>
      <w:bookmarkStart w:id="43" w:name="_Toc4487568"/>
      <w:r>
        <w:rPr>
          <w:rFonts w:hint="eastAsia"/>
          <w:b/>
          <w:bCs/>
        </w:rPr>
        <w:t>8.8 报告期末按公允价值占基金资产净值比例大小排序的前五名贵金属投资明细</w:t>
      </w:r>
      <w:bookmarkEnd w:id="43"/>
    </w:p>
    <w:tbl>
      <w:tblPr>
        <w:tblStyle w:val="8"/>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487569"/>
      <w:r>
        <w:rPr>
          <w:rFonts w:hint="eastAsia"/>
          <w:b/>
          <w:bCs/>
        </w:rPr>
        <w:t>8.9 期末按公允价值占基金资产净值比例大小排序的前五名权证投资明细</w:t>
      </w:r>
      <w:bookmarkEnd w:id="44"/>
    </w:p>
    <w:tbl>
      <w:tblPr>
        <w:tblStyle w:val="8"/>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487570"/>
      <w:r>
        <w:rPr>
          <w:rFonts w:hint="eastAsia"/>
          <w:b/>
          <w:bCs/>
        </w:rPr>
        <w:t>8.10 报告期末本基金投资的股指期货交易情况说明</w:t>
      </w:r>
      <w:bookmarkEnd w:id="45"/>
    </w:p>
    <w:tbl>
      <w:tblPr>
        <w:tblStyle w:val="8"/>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487571"/>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487572"/>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8"/>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71,786,631.58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71,786,631.58</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48" w:name="_Toc4487573"/>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487574"/>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8"/>
        <w:tblW w:w="9045" w:type="dxa"/>
        <w:tblInd w:w="108" w:type="dxa"/>
        <w:tblLayout w:type="autofit"/>
        <w:tblCellMar>
          <w:top w:w="0" w:type="dxa"/>
          <w:left w:w="108" w:type="dxa"/>
          <w:bottom w:w="0" w:type="dxa"/>
          <w:right w:w="108" w:type="dxa"/>
        </w:tblCellMar>
      </w:tblPr>
      <w:tblGrid>
        <w:gridCol w:w="904"/>
        <w:gridCol w:w="2261"/>
        <w:gridCol w:w="1809"/>
        <w:gridCol w:w="1131"/>
        <w:gridCol w:w="1809"/>
        <w:gridCol w:w="1131"/>
      </w:tblGrid>
      <w:tr>
        <w:tblPrEx>
          <w:tblCellMar>
            <w:top w:w="0" w:type="dxa"/>
            <w:left w:w="108" w:type="dxa"/>
            <w:bottom w:w="0" w:type="dxa"/>
            <w:right w:w="108" w:type="dxa"/>
          </w:tblCellMar>
        </w:tblPrEx>
        <w:trPr>
          <w:wBefore w:w="0" w:type="auto"/>
        </w:trPr>
        <w:tc>
          <w:tcPr>
            <w:tcW w:w="4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12,694,301.68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2,843,263,299.83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260,276.43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4"/>
        <w:rPr>
          <w:rFonts w:hint="eastAsia"/>
        </w:rPr>
      </w:pPr>
      <w:bookmarkStart w:id="50" w:name="_Toc4487575"/>
      <w:r>
        <w:rPr>
          <w:rFonts w:hint="eastAsia" w:hAnsi="Calibri"/>
          <w:b/>
          <w:color w:val="000000"/>
        </w:rPr>
        <w:t>9.2 期末基金管理人的从业人员持有本基金的情况</w:t>
      </w:r>
      <w:bookmarkEnd w:id="50"/>
    </w:p>
    <w:tbl>
      <w:tblPr>
        <w:tblStyle w:val="8"/>
        <w:tblW w:w="9045" w:type="dxa"/>
        <w:tblInd w:w="108" w:type="dxa"/>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14,303.57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bl>
    <w:p>
      <w:pPr>
        <w:widowControl/>
        <w:jc w:val="left"/>
        <w:rPr>
          <w:rFonts w:hint="eastAsia" w:ascii="宋体" w:hAnsi="宋体" w:cs="宋体"/>
          <w:kern w:val="0"/>
          <w:sz w:val="24"/>
          <w:szCs w:val="24"/>
        </w:rPr>
      </w:pPr>
    </w:p>
    <w:p>
      <w:pPr>
        <w:pStyle w:val="14"/>
        <w:rPr>
          <w:rFonts w:hint="eastAsia"/>
        </w:rPr>
      </w:pPr>
      <w:bookmarkStart w:id="51" w:name="_Toc4487576"/>
      <w:r>
        <w:rPr>
          <w:rFonts w:hint="eastAsia"/>
          <w:b/>
          <w:bCs/>
        </w:rPr>
        <w:t>9.3 期末基金管理人的从业人员持有本开放式基金份额总量区间情况</w:t>
      </w:r>
      <w:bookmarkEnd w:id="51"/>
    </w:p>
    <w:tbl>
      <w:tblPr>
        <w:tblStyle w:val="8"/>
        <w:tblW w:w="9045" w:type="dxa"/>
        <w:tblInd w:w="108" w:type="dxa"/>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3"/>
        <w:rPr>
          <w:rFonts w:hint="eastAsia"/>
        </w:rPr>
      </w:pPr>
      <w:bookmarkStart w:id="52" w:name="_Toc4487577"/>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8"/>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基金合同生效日(2016年03月11日)基金份额总额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200,170,231.68</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2,843,314,307.75</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1,834,377.71</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1,625,109.20</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2,843,523,576.26</w:t>
            </w:r>
          </w:p>
        </w:tc>
      </w:tr>
    </w:tbl>
    <w:p>
      <w:pPr>
        <w:widowControl/>
        <w:jc w:val="left"/>
        <w:rPr>
          <w:rFonts w:hint="eastAsia" w:ascii="宋体" w:hAnsi="宋体" w:cs="宋体"/>
          <w:kern w:val="0"/>
          <w:sz w:val="24"/>
          <w:szCs w:val="24"/>
        </w:rPr>
      </w:pPr>
    </w:p>
    <w:p>
      <w:pPr>
        <w:pStyle w:val="13"/>
        <w:rPr>
          <w:rFonts w:hint="eastAsia"/>
        </w:rPr>
      </w:pPr>
      <w:bookmarkStart w:id="53" w:name="_Toc4487578"/>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487579"/>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487580"/>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487581"/>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487582"/>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487583"/>
      <w:r>
        <w:rPr>
          <w:rFonts w:hint="eastAsia"/>
          <w:b/>
          <w:bCs/>
        </w:rPr>
        <w:t>11.5 为基金进行审计的会计师事务所情况</w:t>
      </w:r>
      <w:bookmarkEnd w:id="58"/>
    </w:p>
    <w:p>
      <w:pPr>
        <w:pStyle w:val="20"/>
        <w:spacing w:before="0"/>
        <w:ind w:left="0" w:firstLine="480"/>
        <w:rPr>
          <w:rFonts w:hint="eastAsia"/>
        </w:rPr>
      </w:pPr>
      <w:r>
        <w:rPr>
          <w:rFonts w:hint="eastAsia"/>
        </w:rPr>
        <w:t>本报告期内本基金未更换会计师事务所,本年度支付给毕马威华振会计师事务所(特殊普通合伙)审计费用67,500.00元,该审计机构连续提供审计服务的年限为3年。</w:t>
      </w:r>
    </w:p>
    <w:p>
      <w:pPr>
        <w:widowControl/>
        <w:jc w:val="left"/>
        <w:rPr>
          <w:rFonts w:hint="eastAsia" w:ascii="宋体" w:hAnsi="宋体" w:cs="宋体"/>
          <w:kern w:val="0"/>
          <w:sz w:val="24"/>
          <w:szCs w:val="24"/>
        </w:rPr>
      </w:pPr>
    </w:p>
    <w:p>
      <w:pPr>
        <w:pStyle w:val="14"/>
        <w:rPr>
          <w:rFonts w:hint="eastAsia"/>
        </w:rPr>
      </w:pPr>
      <w:bookmarkStart w:id="59" w:name="_Toc4487584"/>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487585"/>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8"/>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8"/>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rPr>
                <w:rFonts w:hint="eastAsia"/>
                <w:sz w:val="18"/>
                <w:szCs w:val="18"/>
              </w:rPr>
            </w:pPr>
            <w:r>
              <w:rPr>
                <w:rFonts w:hint="eastAsia"/>
                <w:sz w:val="18"/>
                <w:szCs w:val="18"/>
              </w:rPr>
              <w:t>-</w:t>
            </w:r>
          </w:p>
        </w:tc>
      </w:tr>
    </w:tbl>
    <w:p>
      <w:pPr>
        <w:pStyle w:val="20"/>
        <w:rPr>
          <w:rFonts w:hint="eastAsia"/>
        </w:rPr>
      </w:pPr>
      <w:r>
        <w:rPr>
          <w:rFonts w:hint="eastAsia"/>
        </w:rPr>
        <w:t>本基金报告期内无租用证券公司交易单元进行其他证券投资的情况。</w:t>
      </w:r>
    </w:p>
    <w:p>
      <w:pPr>
        <w:widowControl/>
        <w:jc w:val="left"/>
        <w:rPr>
          <w:rFonts w:hint="eastAsia" w:ascii="宋体" w:hAnsi="宋体" w:cs="宋体"/>
          <w:kern w:val="0"/>
          <w:sz w:val="24"/>
          <w:szCs w:val="24"/>
        </w:rPr>
      </w:pPr>
    </w:p>
    <w:p>
      <w:pPr>
        <w:pStyle w:val="14"/>
        <w:rPr>
          <w:rFonts w:hint="eastAsia"/>
        </w:rPr>
      </w:pPr>
      <w:bookmarkStart w:id="61" w:name="_Toc4487586"/>
      <w:r>
        <w:rPr>
          <w:rFonts w:hint="eastAsia"/>
          <w:b/>
          <w:bCs/>
        </w:rPr>
        <w:t>11.8 其他重大事件</w:t>
      </w:r>
      <w:bookmarkEnd w:id="61"/>
    </w:p>
    <w:tbl>
      <w:tblPr>
        <w:tblStyle w:val="8"/>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创金合信基金管理有限公司关于创金合信尊享纯债债券型证券投资基金修订基金合同、托管协议部分条款及调整赎回费相关规则的公告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创金合信尊享纯债债券型证券投资基金招募说明书（更新）摘要（2018年第2号）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bl>
    <w:p>
      <w:pPr>
        <w:widowControl/>
        <w:jc w:val="left"/>
        <w:rPr>
          <w:rFonts w:hint="eastAsia" w:ascii="宋体" w:hAnsi="宋体" w:cs="宋体"/>
          <w:kern w:val="0"/>
          <w:sz w:val="24"/>
          <w:szCs w:val="24"/>
        </w:rPr>
      </w:pPr>
    </w:p>
    <w:p>
      <w:pPr>
        <w:pStyle w:val="13"/>
        <w:rPr>
          <w:rFonts w:hint="eastAsia"/>
        </w:rPr>
      </w:pPr>
      <w:bookmarkStart w:id="62" w:name="_Toc4487587"/>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487588"/>
      <w:r>
        <w:rPr>
          <w:rFonts w:hint="eastAsia"/>
          <w:b/>
          <w:bCs/>
        </w:rPr>
        <w:t>12.1 报告期内单一投资者持有基金份额比例达到或超过20%的情况</w:t>
      </w:r>
      <w:bookmarkEnd w:id="63"/>
    </w:p>
    <w:tbl>
      <w:tblPr>
        <w:tblStyle w:val="8"/>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661"/>
        <w:gridCol w:w="1297"/>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right"/>
              <w:rPr>
                <w:rFonts w:hint="eastAsia"/>
              </w:rPr>
            </w:pPr>
            <w:r>
              <w:rPr>
                <w:rFonts w:hint="eastAsia"/>
              </w:rPr>
              <w:t>20180101 - 20181231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right"/>
              <w:rPr>
                <w:rFonts w:hint="eastAsia"/>
              </w:rPr>
            </w:pPr>
            <w:r>
              <w:rPr>
                <w:rFonts w:hint="eastAsia"/>
              </w:rPr>
              <w:t>2,843,263,299.83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right"/>
              <w:rPr>
                <w:rFonts w:hint="eastAsia"/>
              </w:rPr>
            </w:pPr>
            <w:r>
              <w:rPr>
                <w:rFonts w:hint="eastAsia"/>
              </w:rPr>
              <w:t>2,843,263,299.83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right"/>
              <w:rPr>
                <w:rFonts w:hint="eastAsia"/>
              </w:rPr>
            </w:pPr>
            <w:r>
              <w:rPr>
                <w:rFonts w:hint="eastAsia"/>
              </w:rPr>
              <w:t>99.99%</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7"/>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7"/>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4" w:name="_Toc4487589"/>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487590"/>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487591"/>
      <w:r>
        <w:rPr>
          <w:rFonts w:hint="eastAsia"/>
          <w:b/>
          <w:bCs/>
        </w:rPr>
        <w:t>13.1 备查文件目录</w:t>
      </w:r>
      <w:bookmarkEnd w:id="66"/>
    </w:p>
    <w:p>
      <w:pPr>
        <w:pStyle w:val="20"/>
        <w:spacing w:before="0"/>
        <w:ind w:left="0" w:firstLine="480"/>
        <w:rPr>
          <w:rFonts w:hint="eastAsia"/>
        </w:rPr>
      </w:pPr>
      <w:r>
        <w:rPr>
          <w:rFonts w:hint="eastAsia"/>
        </w:rPr>
        <w:t>1、《创金合信尊享纯债债券型证券投资基金基金合同》；</w:t>
      </w:r>
    </w:p>
    <w:p>
      <w:pPr>
        <w:pStyle w:val="20"/>
        <w:spacing w:before="0"/>
        <w:ind w:left="0" w:firstLine="480"/>
        <w:rPr>
          <w:rFonts w:hint="eastAsia"/>
        </w:rPr>
      </w:pPr>
      <w:r>
        <w:rPr>
          <w:rFonts w:hint="eastAsia"/>
        </w:rPr>
        <w:t>2、《创金合信尊享纯债债券型证券投资基金托管协议》；</w:t>
      </w:r>
    </w:p>
    <w:p>
      <w:pPr>
        <w:pStyle w:val="20"/>
        <w:spacing w:before="0"/>
        <w:ind w:left="0" w:firstLine="480"/>
        <w:rPr>
          <w:rFonts w:hint="eastAsia"/>
        </w:rPr>
      </w:pPr>
      <w:r>
        <w:rPr>
          <w:rFonts w:hint="eastAsia"/>
        </w:rPr>
        <w:t>3、创金合信尊享纯债债券型证券投资基金2018年年度报告。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487592"/>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487593"/>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58</w:t>
    </w:r>
    <w:r>
      <w:rPr>
        <w:rStyle w:val="10"/>
      </w:rPr>
      <w:fldChar w:fldCharType="end"/>
    </w:r>
  </w:p>
  <w:p>
    <w:pPr>
      <w:pStyle w:val="3"/>
      <w:jc w:val="center"/>
    </w:pPr>
    <w:r>
      <w:rPr>
        <w:rFonts w:hint="eastAsia"/>
      </w:rPr>
      <w:t xml:space="preserve">                   第       页，共59页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jc w:val="right"/>
    </w:pPr>
    <w:r>
      <w:rPr>
        <w:rFonts w:hint="eastAsia"/>
      </w:rPr>
      <w:t>创金合信尊享纯债债券型证券投资基金2018年年度报告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62D6"/>
    <w:rsid w:val="001B5B68"/>
    <w:rsid w:val="003A7FF6"/>
    <w:rsid w:val="007662D6"/>
    <w:rsid w:val="00967B65"/>
    <w:rsid w:val="00993CAC"/>
    <w:rsid w:val="00CE42AF"/>
    <w:rsid w:val="1497699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Style w:val="8"/>
      <w:tblCellMar>
        <w:top w:w="0" w:type="dxa"/>
        <w:left w:w="108" w:type="dxa"/>
        <w:bottom w:w="0" w:type="dxa"/>
        <w:right w:w="108" w:type="dxa"/>
      </w:tblCellMar>
    </w:tblPr>
    <w:trPr>
      <w:wBefore w:w="0" w:type="dxa"/>
    </w:trPr>
  </w:style>
  <w:style w:type="paragraph" w:styleId="2">
    <w:name w:val="Balloon Text"/>
    <w:basedOn w:val="1"/>
    <w:link w:val="27"/>
    <w:semiHidden/>
    <w:unhideWhenUsed/>
    <w:uiPriority w:val="99"/>
    <w:rPr>
      <w:sz w:val="18"/>
      <w:szCs w:val="18"/>
    </w:rPr>
  </w:style>
  <w:style w:type="paragraph" w:styleId="3">
    <w:name w:val="footer"/>
    <w:basedOn w:val="1"/>
    <w:link w:val="26"/>
    <w:unhideWhenUsed/>
    <w:uiPriority w:val="99"/>
    <w:pPr>
      <w:tabs>
        <w:tab w:val="center" w:pos="4153"/>
        <w:tab w:val="right" w:pos="8306"/>
      </w:tabs>
      <w:snapToGrid w:val="0"/>
      <w:jc w:val="left"/>
    </w:pPr>
    <w:rPr>
      <w:sz w:val="18"/>
      <w:szCs w:val="18"/>
    </w:rPr>
  </w:style>
  <w:style w:type="paragraph" w:styleId="4">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uiPriority w:val="39"/>
  </w:style>
  <w:style w:type="paragraph" w:styleId="6">
    <w:name w:val="toc 2"/>
    <w:basedOn w:val="1"/>
    <w:next w:val="1"/>
    <w:unhideWhenUsed/>
    <w:uiPriority w:val="39"/>
    <w:pPr>
      <w:ind w:left="420" w:leftChars="200"/>
    </w:p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4"/>
    <w:locked/>
    <w:uiPriority w:val="99"/>
    <w:rPr>
      <w:rFonts w:hint="default" w:ascii="Times New Roman" w:hAnsi="Times New Roman" w:cs="Times New Roman"/>
      <w:sz w:val="18"/>
      <w:szCs w:val="18"/>
    </w:rPr>
  </w:style>
  <w:style w:type="character" w:customStyle="1" w:styleId="26">
    <w:name w:val="页脚 Char"/>
    <w:link w:val="3"/>
    <w:locked/>
    <w:uiPriority w:val="99"/>
    <w:rPr>
      <w:rFonts w:hint="default" w:ascii="Times New Roman" w:hAnsi="Times New Roman" w:cs="Times New Roman"/>
      <w:sz w:val="18"/>
      <w:szCs w:val="18"/>
    </w:rPr>
  </w:style>
  <w:style w:type="character" w:customStyle="1" w:styleId="27">
    <w:name w:val="批注框文本 Char"/>
    <w:link w:val="2"/>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58</Pages>
  <Words>6781</Words>
  <Characters>38655</Characters>
  <Lines>322</Lines>
  <Paragraphs>90</Paragraphs>
  <TotalTime>0</TotalTime>
  <ScaleCrop>false</ScaleCrop>
  <LinksUpToDate>false</LinksUpToDate>
  <CharactersWithSpaces>45346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2019-03-26T02:10:00Z</dcterms:created>
  <dc:creator>石怡翔</dc:creator>
  <cp:lastModifiedBy>Administrator</cp:lastModifiedBy>
  <dcterms:modified xsi:type="dcterms:W3CDTF">2019-12-26T14:06:03Z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