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eastAsia="Times New Roman"/>
          <w:color w:val="000000"/>
          <w:kern w:val="0"/>
          <w:sz w:val="24"/>
        </w:rPr>
      </w:pPr>
      <w:bookmarkStart w:id="65" w:name="_GoBack"/>
      <w:bookmarkEnd w:id="65"/>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创金合信尊盈纯债债券型证券投资基金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基金托管人：招商银行股份有限公司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eastAsia="Times New Roman"/>
          <w:kern w:val="0"/>
          <w:sz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eastAsia="Times New Roman"/>
          <w:b/>
          <w:color w:val="000000"/>
          <w:kern w:val="0"/>
          <w:sz w:val="24"/>
        </w:rPr>
      </w:pPr>
      <w:bookmarkStart w:id="0" w:name="_Toc477897847"/>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1" w:name="_Toc477897848"/>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基金托管人招商银行股份有限公司根据本基金合同规定，于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07</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2" w:name="_Toc477897849"/>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80"/>
        </w:tabs>
        <w:spacing w:beforeLines="0" w:afterLines="0"/>
        <w:rPr>
          <w:rFonts w:hint="default" w:eastAsia="Times New Roman"/>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"_Toc477897847"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eastAsia="Times New Roman"/>
          <w:sz w:val="21"/>
          <w:lang/>
        </w:rPr>
        <w:tab/>
      </w:r>
      <w:r>
        <w:rPr>
          <w:rFonts w:hint="default"/>
          <w:sz w:val="21"/>
          <w:lang/>
        </w:rPr>
        <w:fldChar w:fldCharType="begin"/>
      </w:r>
      <w:r>
        <w:rPr>
          <w:rFonts w:hint="default"/>
          <w:sz w:val="21"/>
          <w:lang/>
        </w:rPr>
        <w:instrText xml:space="preserve"> PAGEREF _Toc477897847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"_Toc477897848"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eastAsia="Times New Roman"/>
          <w:sz w:val="21"/>
          <w:lang/>
        </w:rPr>
        <w:tab/>
      </w:r>
      <w:r>
        <w:rPr>
          <w:rFonts w:hint="default"/>
          <w:sz w:val="21"/>
          <w:lang/>
        </w:rPr>
        <w:fldChar w:fldCharType="begin"/>
      </w:r>
      <w:r>
        <w:rPr>
          <w:rFonts w:hint="default"/>
          <w:sz w:val="21"/>
          <w:lang/>
        </w:rPr>
        <w:instrText xml:space="preserve"> PAGEREF _Toc477897848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"_Toc477897849"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eastAsia="Times New Roman"/>
          <w:sz w:val="21"/>
          <w:lang/>
        </w:rPr>
        <w:tab/>
      </w:r>
      <w:r>
        <w:rPr>
          <w:rFonts w:hint="default"/>
          <w:sz w:val="21"/>
          <w:lang/>
        </w:rPr>
        <w:fldChar w:fldCharType="begin"/>
      </w:r>
      <w:r>
        <w:rPr>
          <w:rFonts w:hint="default"/>
          <w:sz w:val="21"/>
          <w:lang/>
        </w:rPr>
        <w:instrText xml:space="preserve"> PAGEREF _Toc477897849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eastAsia="Times New Roman"/>
          <w:sz w:val="21"/>
          <w:lang/>
        </w:rPr>
        <w:tab/>
      </w:r>
      <w:r>
        <w:rPr>
          <w:rFonts w:hint="default"/>
          <w:sz w:val="21"/>
          <w:lang/>
        </w:rPr>
        <w:fldChar w:fldCharType="begin"/>
      </w:r>
      <w:r>
        <w:rPr>
          <w:rFonts w:hint="default"/>
          <w:sz w:val="21"/>
          <w:lang/>
        </w:rPr>
        <w:instrText xml:space="preserve"> PAGEREF _Toc477897850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eastAsia="Times New Roman"/>
          <w:sz w:val="21"/>
          <w:lang/>
        </w:rPr>
        <w:tab/>
      </w:r>
      <w:r>
        <w:rPr>
          <w:rFonts w:hint="default"/>
          <w:sz w:val="21"/>
          <w:lang/>
        </w:rPr>
        <w:fldChar w:fldCharType="begin"/>
      </w:r>
      <w:r>
        <w:rPr>
          <w:rFonts w:hint="default"/>
          <w:sz w:val="21"/>
          <w:lang/>
        </w:rPr>
        <w:instrText xml:space="preserve"> PAGEREF _Toc477897851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eastAsia="Times New Roman"/>
          <w:sz w:val="21"/>
          <w:lang/>
        </w:rPr>
        <w:tab/>
      </w:r>
      <w:r>
        <w:rPr>
          <w:rFonts w:hint="default"/>
          <w:sz w:val="21"/>
          <w:lang/>
        </w:rPr>
        <w:fldChar w:fldCharType="begin"/>
      </w:r>
      <w:r>
        <w:rPr>
          <w:rFonts w:hint="default"/>
          <w:sz w:val="21"/>
          <w:lang/>
        </w:rPr>
        <w:instrText xml:space="preserve"> PAGEREF _Toc477897852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eastAsia="Times New Roman"/>
          <w:sz w:val="21"/>
          <w:lang/>
        </w:rPr>
        <w:tab/>
      </w:r>
      <w:r>
        <w:rPr>
          <w:rFonts w:hint="default"/>
          <w:sz w:val="21"/>
          <w:lang/>
        </w:rPr>
        <w:fldChar w:fldCharType="begin"/>
      </w:r>
      <w:r>
        <w:rPr>
          <w:rFonts w:hint="default"/>
          <w:sz w:val="21"/>
          <w:lang/>
        </w:rPr>
        <w:instrText xml:space="preserve"> PAGEREF _Toc477897853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eastAsia="Times New Roman"/>
          <w:sz w:val="21"/>
          <w:lang/>
        </w:rPr>
        <w:tab/>
      </w:r>
      <w:r>
        <w:rPr>
          <w:rFonts w:hint="default"/>
          <w:sz w:val="21"/>
          <w:lang/>
        </w:rPr>
        <w:fldChar w:fldCharType="begin"/>
      </w:r>
      <w:r>
        <w:rPr>
          <w:rFonts w:hint="default"/>
          <w:sz w:val="21"/>
          <w:lang/>
        </w:rPr>
        <w:instrText xml:space="preserve"> PAGEREF _Toc477897854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eastAsia="Times New Roman"/>
          <w:sz w:val="21"/>
          <w:lang/>
        </w:rPr>
        <w:tab/>
      </w:r>
      <w:r>
        <w:rPr>
          <w:rFonts w:hint="default"/>
          <w:sz w:val="21"/>
          <w:lang/>
        </w:rPr>
        <w:fldChar w:fldCharType="begin"/>
      </w:r>
      <w:r>
        <w:rPr>
          <w:rFonts w:hint="default"/>
          <w:sz w:val="21"/>
          <w:lang/>
        </w:rPr>
        <w:instrText xml:space="preserve"> PAGEREF _Toc477897855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_Toc477897856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eastAsia="Times New Roman"/>
          <w:sz w:val="21"/>
          <w:lang/>
        </w:rPr>
        <w:tab/>
      </w:r>
      <w:r>
        <w:rPr>
          <w:rFonts w:hint="default"/>
          <w:sz w:val="21"/>
          <w:lang/>
        </w:rPr>
        <w:fldChar w:fldCharType="begin"/>
      </w:r>
      <w:r>
        <w:rPr>
          <w:rFonts w:hint="default"/>
          <w:sz w:val="21"/>
          <w:lang/>
        </w:rPr>
        <w:instrText xml:space="preserve"> PAGEREF _Toc477897857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eastAsia="Times New Roman"/>
          <w:sz w:val="21"/>
          <w:lang/>
        </w:rPr>
        <w:tab/>
      </w:r>
      <w:r>
        <w:rPr>
          <w:rFonts w:hint="default"/>
          <w:sz w:val="21"/>
          <w:lang/>
        </w:rPr>
        <w:fldChar w:fldCharType="begin"/>
      </w:r>
      <w:r>
        <w:rPr>
          <w:rFonts w:hint="default"/>
          <w:sz w:val="21"/>
          <w:lang/>
        </w:rPr>
        <w:instrText xml:space="preserve"> PAGEREF _Toc477897858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"_Toc477897859"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3.3 </w:t>
      </w:r>
      <w:r>
        <w:rPr>
          <w:rStyle w:val="10"/>
          <w:rFonts w:hint="eastAsia" w:ascii="Times New Roman" w:hAnsi="Times New Roman" w:eastAsia="宋体"/>
          <w:b/>
          <w:kern w:val="0"/>
          <w:sz w:val="21"/>
          <w:lang/>
        </w:rPr>
        <w:t>过去三年基金的利润分配情况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_Toc477897859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eastAsia="Times New Roman"/>
          <w:sz w:val="21"/>
          <w:lang/>
        </w:rPr>
        <w:tab/>
      </w:r>
      <w:r>
        <w:rPr>
          <w:rFonts w:hint="default"/>
          <w:sz w:val="21"/>
          <w:lang/>
        </w:rPr>
        <w:fldChar w:fldCharType="begin"/>
      </w:r>
      <w:r>
        <w:rPr>
          <w:rFonts w:hint="default"/>
          <w:sz w:val="21"/>
          <w:lang/>
        </w:rPr>
        <w:instrText xml:space="preserve"> PAGEREF _Toc477897860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eastAsia="Times New Roman"/>
          <w:sz w:val="21"/>
          <w:lang/>
        </w:rPr>
        <w:tab/>
      </w:r>
      <w:r>
        <w:rPr>
          <w:rFonts w:hint="default"/>
          <w:sz w:val="21"/>
          <w:lang/>
        </w:rPr>
        <w:fldChar w:fldCharType="begin"/>
      </w:r>
      <w:r>
        <w:rPr>
          <w:rFonts w:hint="default"/>
          <w:sz w:val="21"/>
          <w:lang/>
        </w:rPr>
        <w:instrText xml:space="preserve"> PAGEREF _Toc477897861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_Toc477897862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eastAsia="Times New Roman"/>
          <w:sz w:val="21"/>
          <w:lang/>
        </w:rPr>
        <w:tab/>
      </w:r>
      <w:r>
        <w:rPr>
          <w:rFonts w:hint="default"/>
          <w:sz w:val="21"/>
          <w:lang/>
        </w:rPr>
        <w:fldChar w:fldCharType="begin"/>
      </w:r>
      <w:r>
        <w:rPr>
          <w:rFonts w:hint="default"/>
          <w:sz w:val="21"/>
          <w:lang/>
        </w:rPr>
        <w:instrText xml:space="preserve"> PAGEREF _Toc477897863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管理人对报告期内基金的投资策略和业绩表现的说明</w:t>
      </w:r>
      <w:r>
        <w:rPr>
          <w:rFonts w:hint="default" w:eastAsia="Times New Roman"/>
          <w:sz w:val="21"/>
          <w:lang/>
        </w:rPr>
        <w:tab/>
      </w:r>
      <w:r>
        <w:rPr>
          <w:rFonts w:hint="default"/>
          <w:sz w:val="21"/>
          <w:lang/>
        </w:rPr>
        <w:fldChar w:fldCharType="begin"/>
      </w:r>
      <w:r>
        <w:rPr>
          <w:rFonts w:hint="default"/>
          <w:sz w:val="21"/>
          <w:lang/>
        </w:rPr>
        <w:instrText xml:space="preserve"> PAGEREF _Toc477897864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eastAsia="Times New Roman"/>
          <w:sz w:val="21"/>
          <w:lang/>
        </w:rPr>
        <w:tab/>
      </w:r>
      <w:r>
        <w:rPr>
          <w:rFonts w:hint="default"/>
          <w:sz w:val="21"/>
          <w:lang/>
        </w:rPr>
        <w:fldChar w:fldCharType="begin"/>
      </w:r>
      <w:r>
        <w:rPr>
          <w:rFonts w:hint="default"/>
          <w:sz w:val="21"/>
          <w:lang/>
        </w:rPr>
        <w:instrText xml:space="preserve"> PAGEREF _Toc477897865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eastAsia="Times New Roman"/>
          <w:sz w:val="21"/>
          <w:lang/>
        </w:rPr>
        <w:tab/>
      </w:r>
      <w:r>
        <w:rPr>
          <w:rFonts w:hint="default"/>
          <w:sz w:val="21"/>
          <w:lang/>
        </w:rPr>
        <w:fldChar w:fldCharType="begin"/>
      </w:r>
      <w:r>
        <w:rPr>
          <w:rFonts w:hint="default"/>
          <w:sz w:val="21"/>
          <w:lang/>
        </w:rPr>
        <w:instrText xml:space="preserve"> PAGEREF _Toc477897866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eastAsia="Times New Roman"/>
          <w:sz w:val="21"/>
          <w:lang/>
        </w:rPr>
        <w:tab/>
      </w:r>
      <w:r>
        <w:rPr>
          <w:rFonts w:hint="default"/>
          <w:sz w:val="21"/>
          <w:lang/>
        </w:rPr>
        <w:fldChar w:fldCharType="begin"/>
      </w:r>
      <w:r>
        <w:rPr>
          <w:rFonts w:hint="default"/>
          <w:sz w:val="21"/>
          <w:lang/>
        </w:rPr>
        <w:instrText xml:space="preserve"> PAGEREF _Toc477897867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_Toc477897868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"_Toc477897869"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eastAsia="Times New Roman"/>
          <w:sz w:val="21"/>
          <w:lang/>
        </w:rPr>
        <w:tab/>
      </w:r>
      <w:r>
        <w:rPr>
          <w:rFonts w:hint="default"/>
          <w:sz w:val="21"/>
          <w:lang/>
        </w:rPr>
        <w:fldChar w:fldCharType="begin"/>
      </w:r>
      <w:r>
        <w:rPr>
          <w:rFonts w:hint="default"/>
          <w:sz w:val="21"/>
          <w:lang/>
        </w:rPr>
        <w:instrText xml:space="preserve"> PAGEREF _Toc477897869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eastAsia="Times New Roman"/>
          <w:sz w:val="21"/>
          <w:lang/>
        </w:rPr>
        <w:tab/>
      </w:r>
      <w:r>
        <w:rPr>
          <w:rFonts w:hint="default"/>
          <w:sz w:val="21"/>
          <w:lang/>
        </w:rPr>
        <w:fldChar w:fldCharType="begin"/>
      </w:r>
      <w:r>
        <w:rPr>
          <w:rFonts w:hint="default"/>
          <w:sz w:val="21"/>
          <w:lang/>
        </w:rPr>
        <w:instrText xml:space="preserve"> PAGEREF _Toc477897870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_Toc477897871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eastAsia="Times New Roman"/>
          <w:sz w:val="21"/>
          <w:lang/>
        </w:rPr>
        <w:tab/>
      </w:r>
      <w:r>
        <w:rPr>
          <w:rFonts w:hint="default"/>
          <w:sz w:val="21"/>
          <w:lang/>
        </w:rPr>
        <w:fldChar w:fldCharType="begin"/>
      </w:r>
      <w:r>
        <w:rPr>
          <w:rFonts w:hint="default"/>
          <w:sz w:val="21"/>
          <w:lang/>
        </w:rPr>
        <w:instrText xml:space="preserve"> PAGEREF _Toc477897872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eastAsia="Times New Roman"/>
          <w:sz w:val="21"/>
          <w:lang/>
        </w:rPr>
        <w:tab/>
      </w:r>
      <w:r>
        <w:rPr>
          <w:rFonts w:hint="default"/>
          <w:sz w:val="21"/>
          <w:lang/>
        </w:rPr>
        <w:fldChar w:fldCharType="begin"/>
      </w:r>
      <w:r>
        <w:rPr>
          <w:rFonts w:hint="default"/>
          <w:sz w:val="21"/>
          <w:lang/>
        </w:rPr>
        <w:instrText xml:space="preserve"> PAGEREF _Toc477897873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eastAsia="Times New Roman"/>
          <w:sz w:val="21"/>
          <w:lang/>
        </w:rPr>
        <w:tab/>
      </w:r>
      <w:r>
        <w:rPr>
          <w:rFonts w:hint="default"/>
          <w:sz w:val="21"/>
          <w:lang/>
        </w:rPr>
        <w:fldChar w:fldCharType="begin"/>
      </w:r>
      <w:r>
        <w:rPr>
          <w:rFonts w:hint="default"/>
          <w:sz w:val="21"/>
          <w:lang/>
        </w:rPr>
        <w:instrText xml:space="preserve"> PAGEREF _Toc477897874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eastAsia="Times New Roman"/>
          <w:sz w:val="21"/>
          <w:lang/>
        </w:rPr>
        <w:tab/>
      </w:r>
      <w:r>
        <w:rPr>
          <w:rFonts w:hint="default"/>
          <w:sz w:val="21"/>
          <w:lang/>
        </w:rPr>
        <w:fldChar w:fldCharType="begin"/>
      </w:r>
      <w:r>
        <w:rPr>
          <w:rFonts w:hint="default"/>
          <w:sz w:val="21"/>
          <w:lang/>
        </w:rPr>
        <w:instrText xml:space="preserve"> PAGEREF _Toc477897875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eastAsia="Times New Roman"/>
          <w:sz w:val="21"/>
          <w:lang/>
        </w:rPr>
        <w:tab/>
      </w:r>
      <w:r>
        <w:rPr>
          <w:rFonts w:hint="default"/>
          <w:sz w:val="21"/>
          <w:lang/>
        </w:rPr>
        <w:fldChar w:fldCharType="begin"/>
      </w:r>
      <w:r>
        <w:rPr>
          <w:rFonts w:hint="default"/>
          <w:sz w:val="21"/>
          <w:lang/>
        </w:rPr>
        <w:instrText xml:space="preserve"> PAGEREF _Toc477897876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eastAsia="Times New Roman"/>
          <w:sz w:val="21"/>
          <w:lang/>
        </w:rPr>
        <w:tab/>
      </w:r>
      <w:r>
        <w:rPr>
          <w:rFonts w:hint="default"/>
          <w:sz w:val="21"/>
          <w:lang/>
        </w:rPr>
        <w:fldChar w:fldCharType="begin"/>
      </w:r>
      <w:r>
        <w:rPr>
          <w:rFonts w:hint="default"/>
          <w:sz w:val="21"/>
          <w:lang/>
        </w:rPr>
        <w:instrText xml:space="preserve"> PAGEREF _Toc477897877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eastAsia="Times New Roman"/>
          <w:sz w:val="21"/>
          <w:lang/>
        </w:rPr>
        <w:tab/>
      </w:r>
      <w:r>
        <w:rPr>
          <w:rFonts w:hint="default"/>
          <w:sz w:val="21"/>
          <w:lang/>
        </w:rPr>
        <w:fldChar w:fldCharType="begin"/>
      </w:r>
      <w:r>
        <w:rPr>
          <w:rFonts w:hint="default"/>
          <w:sz w:val="21"/>
          <w:lang/>
        </w:rPr>
        <w:instrText xml:space="preserve"> PAGEREF _Toc477897878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"_Toc477897879"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eastAsia="Times New Roman"/>
          <w:sz w:val="21"/>
          <w:lang/>
        </w:rPr>
        <w:tab/>
      </w:r>
      <w:r>
        <w:rPr>
          <w:rFonts w:hint="default"/>
          <w:sz w:val="21"/>
          <w:lang/>
        </w:rPr>
        <w:fldChar w:fldCharType="begin"/>
      </w:r>
      <w:r>
        <w:rPr>
          <w:rFonts w:hint="default"/>
          <w:sz w:val="21"/>
          <w:lang/>
        </w:rPr>
        <w:instrText xml:space="preserve"> PAGEREF _Toc477897879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eastAsia="Times New Roman"/>
          <w:sz w:val="21"/>
          <w:lang/>
        </w:rPr>
        <w:tab/>
      </w:r>
      <w:r>
        <w:rPr>
          <w:rFonts w:hint="default"/>
          <w:sz w:val="21"/>
          <w:lang/>
        </w:rPr>
        <w:fldChar w:fldCharType="begin"/>
      </w:r>
      <w:r>
        <w:rPr>
          <w:rFonts w:hint="default"/>
          <w:sz w:val="21"/>
          <w:lang/>
        </w:rPr>
        <w:instrText xml:space="preserve"> PAGEREF _Toc477897880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eastAsia="Times New Roman"/>
          <w:sz w:val="21"/>
          <w:lang/>
        </w:rPr>
        <w:tab/>
      </w:r>
      <w:r>
        <w:rPr>
          <w:rFonts w:hint="default"/>
          <w:sz w:val="21"/>
          <w:lang/>
        </w:rPr>
        <w:fldChar w:fldCharType="begin"/>
      </w:r>
      <w:r>
        <w:rPr>
          <w:rFonts w:hint="default"/>
          <w:sz w:val="21"/>
          <w:lang/>
        </w:rPr>
        <w:instrText xml:space="preserve"> PAGEREF _Toc477897881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eastAsia="Times New Roman"/>
          <w:sz w:val="21"/>
          <w:lang/>
        </w:rPr>
        <w:tab/>
      </w:r>
      <w:r>
        <w:rPr>
          <w:rFonts w:hint="default"/>
          <w:sz w:val="21"/>
          <w:lang/>
        </w:rPr>
        <w:fldChar w:fldCharType="begin"/>
      </w:r>
      <w:r>
        <w:rPr>
          <w:rFonts w:hint="default"/>
          <w:sz w:val="21"/>
          <w:lang/>
        </w:rPr>
        <w:instrText xml:space="preserve"> PAGEREF _Toc477897882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8.2.1 </w:t>
      </w:r>
      <w:r>
        <w:rPr>
          <w:rStyle w:val="10"/>
          <w:rFonts w:hint="eastAsia" w:ascii="Times New Roman" w:hAnsi="Times New Roman" w:eastAsia="宋体"/>
          <w:b/>
          <w:kern w:val="0"/>
          <w:sz w:val="21"/>
          <w:lang/>
        </w:rPr>
        <w:t>报告期末按行业分类的境内股票投资组合</w:t>
      </w:r>
      <w:r>
        <w:rPr>
          <w:rFonts w:hint="default" w:eastAsia="Times New Roman"/>
          <w:sz w:val="21"/>
          <w:lang/>
        </w:rPr>
        <w:tab/>
      </w:r>
      <w:r>
        <w:rPr>
          <w:rFonts w:hint="default"/>
          <w:sz w:val="21"/>
          <w:lang/>
        </w:rPr>
        <w:fldChar w:fldCharType="begin"/>
      </w:r>
      <w:r>
        <w:rPr>
          <w:rFonts w:hint="default"/>
          <w:sz w:val="21"/>
          <w:lang/>
        </w:rPr>
        <w:instrText xml:space="preserve"> PAGEREF _Toc477897883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eastAsia="Times New Roman"/>
          <w:sz w:val="21"/>
          <w:lang/>
        </w:rPr>
        <w:tab/>
      </w:r>
      <w:r>
        <w:rPr>
          <w:rFonts w:hint="default"/>
          <w:sz w:val="21"/>
          <w:lang/>
        </w:rPr>
        <w:fldChar w:fldCharType="begin"/>
      </w:r>
      <w:r>
        <w:rPr>
          <w:rFonts w:hint="default"/>
          <w:sz w:val="21"/>
          <w:lang/>
        </w:rPr>
        <w:instrText xml:space="preserve"> PAGEREF _Toc477897884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eastAsia="Times New Roman"/>
          <w:sz w:val="21"/>
          <w:lang/>
        </w:rPr>
        <w:tab/>
      </w:r>
      <w:r>
        <w:rPr>
          <w:rFonts w:hint="default"/>
          <w:sz w:val="21"/>
          <w:lang/>
        </w:rPr>
        <w:fldChar w:fldCharType="begin"/>
      </w:r>
      <w:r>
        <w:rPr>
          <w:rFonts w:hint="default"/>
          <w:sz w:val="21"/>
          <w:lang/>
        </w:rPr>
        <w:instrText xml:space="preserve"> PAGEREF _Toc477897885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eastAsia="Times New Roman"/>
          <w:sz w:val="21"/>
          <w:lang/>
        </w:rPr>
        <w:tab/>
      </w:r>
      <w:r>
        <w:rPr>
          <w:rFonts w:hint="default"/>
          <w:sz w:val="21"/>
          <w:lang/>
        </w:rPr>
        <w:fldChar w:fldCharType="begin"/>
      </w:r>
      <w:r>
        <w:rPr>
          <w:rFonts w:hint="default"/>
          <w:sz w:val="21"/>
          <w:lang/>
        </w:rPr>
        <w:instrText xml:space="preserve"> PAGEREF _Toc477897886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_Toc477897887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_Toc477897888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"_Toc477897889"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eastAsia="Times New Roman"/>
          <w:sz w:val="21"/>
          <w:lang/>
        </w:rPr>
        <w:tab/>
      </w:r>
      <w:r>
        <w:rPr>
          <w:rFonts w:hint="default"/>
          <w:sz w:val="21"/>
          <w:lang/>
        </w:rPr>
        <w:fldChar w:fldCharType="begin"/>
      </w:r>
      <w:r>
        <w:rPr>
          <w:rFonts w:hint="default"/>
          <w:sz w:val="21"/>
          <w:lang/>
        </w:rPr>
        <w:instrText xml:space="preserve"> PAGEREF _Toc477897889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eastAsia="Times New Roman"/>
          <w:sz w:val="21"/>
          <w:lang/>
        </w:rPr>
        <w:tab/>
      </w:r>
      <w:r>
        <w:rPr>
          <w:rFonts w:hint="default"/>
          <w:sz w:val="21"/>
          <w:lang/>
        </w:rPr>
        <w:fldChar w:fldCharType="begin"/>
      </w:r>
      <w:r>
        <w:rPr>
          <w:rFonts w:hint="default"/>
          <w:sz w:val="21"/>
          <w:lang/>
        </w:rPr>
        <w:instrText xml:space="preserve"> PAGEREF _Toc477897890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_Toc477897891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_Toc477897892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eastAsia="Times New Roman"/>
          <w:sz w:val="21"/>
          <w:lang/>
        </w:rPr>
        <w:tab/>
      </w:r>
      <w:r>
        <w:rPr>
          <w:rFonts w:hint="default"/>
          <w:sz w:val="21"/>
          <w:lang/>
        </w:rPr>
        <w:fldChar w:fldCharType="begin"/>
      </w:r>
      <w:r>
        <w:rPr>
          <w:rFonts w:hint="default"/>
          <w:sz w:val="21"/>
          <w:lang/>
        </w:rPr>
        <w:instrText xml:space="preserve"> PAGEREF _Toc477897893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eastAsia="Times New Roman"/>
          <w:sz w:val="21"/>
          <w:lang/>
        </w:rPr>
        <w:tab/>
      </w:r>
      <w:r>
        <w:rPr>
          <w:rFonts w:hint="default"/>
          <w:sz w:val="21"/>
          <w:lang/>
        </w:rPr>
        <w:fldChar w:fldCharType="begin"/>
      </w:r>
      <w:r>
        <w:rPr>
          <w:rFonts w:hint="default"/>
          <w:sz w:val="21"/>
          <w:lang/>
        </w:rPr>
        <w:instrText xml:space="preserve"> PAGEREF _Toc477897894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eastAsia="Times New Roman"/>
          <w:sz w:val="21"/>
          <w:lang/>
        </w:rPr>
        <w:tab/>
      </w:r>
      <w:r>
        <w:rPr>
          <w:rFonts w:hint="default"/>
          <w:sz w:val="21"/>
          <w:lang/>
        </w:rPr>
        <w:fldChar w:fldCharType="begin"/>
      </w:r>
      <w:r>
        <w:rPr>
          <w:rFonts w:hint="default"/>
          <w:sz w:val="21"/>
          <w:lang/>
        </w:rPr>
        <w:instrText xml:space="preserve"> PAGEREF _Toc477897895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eastAsia="Times New Roman"/>
          <w:sz w:val="21"/>
          <w:lang/>
        </w:rPr>
        <w:tab/>
      </w:r>
      <w:r>
        <w:rPr>
          <w:rFonts w:hint="default"/>
          <w:sz w:val="21"/>
          <w:lang/>
        </w:rPr>
        <w:fldChar w:fldCharType="begin"/>
      </w:r>
      <w:r>
        <w:rPr>
          <w:rFonts w:hint="default"/>
          <w:sz w:val="21"/>
          <w:lang/>
        </w:rPr>
        <w:instrText xml:space="preserve"> PAGEREF _Toc477897896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eastAsia="Times New Roman"/>
          <w:sz w:val="21"/>
          <w:lang/>
        </w:rPr>
        <w:tab/>
      </w:r>
      <w:r>
        <w:rPr>
          <w:rFonts w:hint="default"/>
          <w:sz w:val="21"/>
          <w:lang/>
        </w:rPr>
        <w:fldChar w:fldCharType="begin"/>
      </w:r>
      <w:r>
        <w:rPr>
          <w:rFonts w:hint="default"/>
          <w:sz w:val="21"/>
          <w:lang/>
        </w:rPr>
        <w:instrText xml:space="preserve"> PAGEREF _Toc477897897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eastAsia="Times New Roman"/>
          <w:sz w:val="21"/>
          <w:lang/>
        </w:rPr>
        <w:tab/>
      </w:r>
      <w:r>
        <w:rPr>
          <w:rFonts w:hint="default"/>
          <w:sz w:val="21"/>
          <w:lang/>
        </w:rPr>
        <w:fldChar w:fldCharType="begin"/>
      </w:r>
      <w:r>
        <w:rPr>
          <w:rFonts w:hint="default"/>
          <w:sz w:val="21"/>
          <w:lang/>
        </w:rPr>
        <w:instrText xml:space="preserve"> PAGEREF _Toc477897898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"_Toc477897899"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eastAsia="Times New Roman"/>
          <w:sz w:val="21"/>
          <w:lang/>
        </w:rPr>
        <w:tab/>
      </w:r>
      <w:r>
        <w:rPr>
          <w:rFonts w:hint="default"/>
          <w:sz w:val="21"/>
          <w:lang/>
        </w:rPr>
        <w:fldChar w:fldCharType="begin"/>
      </w:r>
      <w:r>
        <w:rPr>
          <w:rFonts w:hint="default"/>
          <w:sz w:val="21"/>
          <w:lang/>
        </w:rPr>
        <w:instrText xml:space="preserve"> PAGEREF _Toc477897899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eastAsia="Times New Roman"/>
          <w:sz w:val="21"/>
          <w:lang/>
        </w:rPr>
        <w:tab/>
      </w:r>
      <w:r>
        <w:rPr>
          <w:rFonts w:hint="default"/>
          <w:sz w:val="21"/>
          <w:lang/>
        </w:rPr>
        <w:fldChar w:fldCharType="begin"/>
      </w:r>
      <w:r>
        <w:rPr>
          <w:rFonts w:hint="default"/>
          <w:sz w:val="21"/>
          <w:lang/>
        </w:rPr>
        <w:instrText xml:space="preserve"> PAGEREF _Toc477897900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eastAsia="Times New Roman"/>
          <w:sz w:val="21"/>
          <w:lang/>
        </w:rPr>
        <w:tab/>
      </w:r>
      <w:r>
        <w:rPr>
          <w:rFonts w:hint="default"/>
          <w:sz w:val="21"/>
          <w:lang/>
        </w:rPr>
        <w:fldChar w:fldCharType="begin"/>
      </w:r>
      <w:r>
        <w:rPr>
          <w:rFonts w:hint="default"/>
          <w:sz w:val="21"/>
          <w:lang/>
        </w:rPr>
        <w:instrText xml:space="preserve"> PAGEREF _Toc477897901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eastAsia="Times New Roman"/>
          <w:sz w:val="21"/>
          <w:lang/>
        </w:rPr>
        <w:tab/>
      </w:r>
      <w:r>
        <w:rPr>
          <w:rFonts w:hint="default"/>
          <w:sz w:val="21"/>
          <w:lang/>
        </w:rPr>
        <w:fldChar w:fldCharType="begin"/>
      </w:r>
      <w:r>
        <w:rPr>
          <w:rFonts w:hint="default"/>
          <w:sz w:val="21"/>
          <w:lang/>
        </w:rPr>
        <w:instrText xml:space="preserve"> PAGEREF _Toc477897902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eastAsia="Times New Roman"/>
          <w:sz w:val="21"/>
          <w:lang/>
        </w:rPr>
        <w:tab/>
      </w:r>
      <w:r>
        <w:rPr>
          <w:rFonts w:hint="default"/>
          <w:sz w:val="21"/>
          <w:lang/>
        </w:rPr>
        <w:fldChar w:fldCharType="begin"/>
      </w:r>
      <w:r>
        <w:rPr>
          <w:rFonts w:hint="default"/>
          <w:sz w:val="21"/>
          <w:lang/>
        </w:rPr>
        <w:instrText xml:space="preserve"> PAGEREF _Toc477897903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eastAsia="Times New Roman"/>
          <w:sz w:val="21"/>
          <w:lang/>
        </w:rPr>
        <w:tab/>
      </w:r>
      <w:r>
        <w:rPr>
          <w:rFonts w:hint="default"/>
          <w:sz w:val="21"/>
          <w:lang/>
        </w:rPr>
        <w:fldChar w:fldCharType="begin"/>
      </w:r>
      <w:r>
        <w:rPr>
          <w:rFonts w:hint="default"/>
          <w:sz w:val="21"/>
          <w:lang/>
        </w:rPr>
        <w:instrText xml:space="preserve"> PAGEREF _Toc477897904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eastAsia="Times New Roman"/>
          <w:sz w:val="21"/>
          <w:lang/>
        </w:rPr>
        <w:tab/>
      </w:r>
      <w:r>
        <w:rPr>
          <w:rFonts w:hint="default"/>
          <w:sz w:val="21"/>
          <w:lang/>
        </w:rPr>
        <w:fldChar w:fldCharType="begin"/>
      </w:r>
      <w:r>
        <w:rPr>
          <w:rFonts w:hint="default"/>
          <w:sz w:val="21"/>
          <w:lang/>
        </w:rPr>
        <w:instrText xml:space="preserve"> PAGEREF _Toc477897905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eastAsia="Times New Roman"/>
          <w:sz w:val="21"/>
          <w:lang/>
        </w:rPr>
        <w:tab/>
      </w:r>
      <w:r>
        <w:rPr>
          <w:rFonts w:hint="default"/>
          <w:sz w:val="21"/>
          <w:lang/>
        </w:rPr>
        <w:fldChar w:fldCharType="begin"/>
      </w:r>
      <w:r>
        <w:rPr>
          <w:rFonts w:hint="default"/>
          <w:sz w:val="21"/>
          <w:lang/>
        </w:rPr>
        <w:instrText xml:space="preserve"> PAGEREF _Toc477897906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eastAsia="Times New Roman"/>
          <w:sz w:val="21"/>
          <w:lang/>
        </w:rPr>
        <w:tab/>
      </w:r>
      <w:r>
        <w:rPr>
          <w:rFonts w:hint="default"/>
          <w:sz w:val="21"/>
          <w:lang/>
        </w:rPr>
        <w:fldChar w:fldCharType="begin"/>
      </w:r>
      <w:r>
        <w:rPr>
          <w:rFonts w:hint="default"/>
          <w:sz w:val="21"/>
          <w:lang/>
        </w:rPr>
        <w:instrText xml:space="preserve"> PAGEREF _Toc477897907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eastAsia="Times New Roman"/>
          <w:sz w:val="21"/>
          <w:lang/>
        </w:rPr>
        <w:tab/>
      </w:r>
      <w:r>
        <w:rPr>
          <w:rFonts w:hint="default"/>
          <w:sz w:val="21"/>
          <w:lang/>
        </w:rPr>
        <w:fldChar w:fldCharType="begin"/>
      </w:r>
      <w:r>
        <w:rPr>
          <w:rFonts w:hint="default"/>
          <w:sz w:val="21"/>
          <w:lang/>
        </w:rPr>
        <w:instrText xml:space="preserve"> PAGEREF _Toc477897908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"_Toc477897909"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_Toc477897909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"_Toc477897910"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_Toc477897910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"_Toc477897911"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eastAsia="Times New Roman"/>
          <w:sz w:val="21"/>
          <w:lang/>
        </w:rPr>
        <w:tab/>
      </w:r>
      <w:r>
        <w:rPr>
          <w:rFonts w:hint="default"/>
          <w:sz w:val="21"/>
          <w:lang/>
        </w:rPr>
        <w:fldChar w:fldCharType="begin"/>
      </w:r>
      <w:r>
        <w:rPr>
          <w:rFonts w:hint="default"/>
          <w:sz w:val="21"/>
          <w:lang/>
        </w:rPr>
        <w:instrText xml:space="preserve"> PAGEREF _Toc477897911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"_Toc477897912"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eastAsia="Times New Roman"/>
          <w:sz w:val="21"/>
          <w:lang/>
        </w:rPr>
        <w:tab/>
      </w:r>
      <w:r>
        <w:rPr>
          <w:rFonts w:hint="default"/>
          <w:sz w:val="21"/>
          <w:lang/>
        </w:rPr>
        <w:fldChar w:fldCharType="begin"/>
      </w:r>
      <w:r>
        <w:rPr>
          <w:rFonts w:hint="default"/>
          <w:sz w:val="21"/>
          <w:lang/>
        </w:rPr>
        <w:instrText xml:space="preserve"> PAGEREF _Toc477897912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ascii="Times New Roman" w:eastAsia="Times New Roman"/>
          <w:b/>
          <w:color w:val="000000"/>
          <w:kern w:val="0"/>
          <w:sz w:val="24"/>
        </w:rPr>
      </w:pPr>
      <w:r>
        <w:rPr>
          <w:rFonts w:hint="default" w:eastAsia="Times New Roman"/>
          <w:sz w:val="21"/>
          <w:lang/>
        </w:rPr>
        <w:fldChar w:fldCharType="end"/>
      </w:r>
    </w:p>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 w:name="_Toc477897850"/>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 w:name="_Toc477897851"/>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基金简称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基金主代码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002337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基金运作方式</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招商银行股份有限公司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报告期末基金份额总额</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499,978,681.87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基金合同存续期</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不定期</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 w:name="_Toc477897852"/>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在严格控制风险的前提下，追求当期收入和投资总回报最大化。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本基金通过对宏观经济形势的持续跟踪，基于对利率、信用等市场的分析和预测，综合运用久期配置策略、跨市场套利、杠杆放大等策略，力争实现基金资产的稳健增值。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中债综合（全价）指数收益率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本基金为债券型基金，长期来看，其预期风险和预期收益水平低于股票型基金、混合型基金，高于货币市场基金。</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 w:name="_Toc477897853"/>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444"/>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招商银行股份有限公司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信息披露负责人</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梁绍锋</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张燕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联系电话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0755-83199084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电子邮箱</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yan_zhang@cmbchina.com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客户服务电话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传真</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0755-83195201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深圳市深南大道</w:t>
            </w:r>
            <w:r>
              <w:rPr>
                <w:rFonts w:hint="default" w:ascii="Times New Roman" w:hAnsi="Times New Roman"/>
                <w:color w:val="000000"/>
                <w:kern w:val="0"/>
                <w:sz w:val="24"/>
              </w:rPr>
              <w:t>7088</w:t>
            </w:r>
            <w:r>
              <w:rPr>
                <w:rFonts w:hint="eastAsia" w:ascii="Times New Roman" w:hAnsi="Times New Roman"/>
                <w:color w:val="000000"/>
                <w:kern w:val="0"/>
                <w:sz w:val="24"/>
              </w:rPr>
              <w:t>号招商银行大厦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办公地址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深圳市深南大道</w:t>
            </w:r>
            <w:r>
              <w:rPr>
                <w:rFonts w:hint="default" w:ascii="Times New Roman" w:hAnsi="Times New Roman"/>
                <w:color w:val="000000"/>
                <w:kern w:val="0"/>
                <w:sz w:val="24"/>
              </w:rPr>
              <w:t>7088</w:t>
            </w:r>
            <w:r>
              <w:rPr>
                <w:rFonts w:hint="eastAsia" w:ascii="Times New Roman" w:hAnsi="Times New Roman"/>
                <w:color w:val="000000"/>
                <w:kern w:val="0"/>
                <w:sz w:val="24"/>
              </w:rPr>
              <w:t>号招商银行大厦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邮政编码</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法定代表人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刘学民</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李建红</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7" w:name="_Toc477897854"/>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中国证券报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基金年度报告备置地点</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8" w:name="_Toc477897855"/>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5"/>
        <w:gridCol w:w="3251"/>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毕马威华振会计师事务所（特殊普通合伙）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北京市东城区东长安街</w:t>
            </w:r>
            <w:r>
              <w:rPr>
                <w:rFonts w:hint="default" w:ascii="Times New Roman" w:hAnsi="Times New Roman"/>
                <w:color w:val="000000"/>
                <w:kern w:val="0"/>
                <w:sz w:val="24"/>
              </w:rPr>
              <w:t>1</w:t>
            </w:r>
            <w:r>
              <w:rPr>
                <w:rFonts w:hint="eastAsia" w:ascii="Times New Roman" w:hAnsi="Times New Roman"/>
                <w:color w:val="000000"/>
                <w:kern w:val="0"/>
                <w:sz w:val="24"/>
              </w:rPr>
              <w:t>号东方广场东</w:t>
            </w:r>
            <w:r>
              <w:rPr>
                <w:rFonts w:hint="default" w:ascii="Times New Roman" w:hAnsi="Times New Roman"/>
                <w:color w:val="000000"/>
                <w:kern w:val="0"/>
                <w:sz w:val="24"/>
              </w:rPr>
              <w:t>2</w:t>
            </w:r>
            <w:r>
              <w:rPr>
                <w:rFonts w:hint="eastAsia" w:ascii="Times New Roman" w:hAnsi="Times New Roman"/>
                <w:color w:val="000000"/>
                <w:kern w:val="0"/>
                <w:sz w:val="24"/>
              </w:rPr>
              <w:t>座办公楼</w:t>
            </w:r>
            <w:r>
              <w:rPr>
                <w:rFonts w:hint="default" w:ascii="Times New Roman" w:hAnsi="Times New Roman"/>
                <w:color w:val="000000"/>
                <w:kern w:val="0"/>
                <w:sz w:val="24"/>
              </w:rPr>
              <w:t>8</w:t>
            </w:r>
            <w:r>
              <w:rPr>
                <w:rFonts w:hint="eastAsia" w:ascii="Times New Roman" w:hAnsi="Times New Roman"/>
                <w:color w:val="000000"/>
                <w:kern w:val="0"/>
                <w:sz w:val="24"/>
              </w:rPr>
              <w:t>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注册登记机构</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9" w:name="_Toc477897856"/>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0" w:name="_Toc477897857"/>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23,007,071.87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16,154,149.27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-2,715,320.43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497,263,361.44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上述基金业绩指标不包括持有人认购或交易基金的各项费用</w:t>
      </w:r>
      <w:r>
        <w:rPr>
          <w:rFonts w:hint="default" w:ascii="Times New Roman" w:eastAsia="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eastAsia="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期末可供分配利润是采用期末资产负债表中未分配利润与未分配利润中已实现部分的孰低数。</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4.</w:t>
      </w:r>
      <w:r>
        <w:rPr>
          <w:rFonts w:hint="eastAsia" w:ascii="Times New Roman" w:hAnsi="Times New Roman"/>
          <w:color w:val="000000"/>
          <w:kern w:val="0"/>
          <w:sz w:val="21"/>
        </w:rPr>
        <w:t>本基金合同生效日为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7</w:t>
      </w:r>
      <w:r>
        <w:rPr>
          <w:rFonts w:hint="eastAsia" w:ascii="Times New Roman" w:hAnsi="Times New Roman"/>
          <w:color w:val="000000"/>
          <w:kern w:val="0"/>
          <w:sz w:val="21"/>
        </w:rPr>
        <w:t>日，截至报告期末，本基金成立不满一年。合同生效当期的相关数据和指标按实际存续期计算。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1" w:name="_Toc477897858"/>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07</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6" o:spt="75" type="#_x0000_t75" style="height:211.1pt;width:441.7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7" o:spt="75" type="#_x0000_t75" style="height:211.1pt;width:439.2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2" w:name="_Toc477897859"/>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bookmarkEnd w:id="12"/>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445"/>
        <w:gridCol w:w="1806"/>
        <w:gridCol w:w="1806"/>
        <w:gridCol w:w="1806"/>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年度</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每</w:t>
            </w:r>
            <w:r>
              <w:rPr>
                <w:rFonts w:hint="default" w:ascii="Times New Roman" w:hAnsi="Times New Roman"/>
                <w:color w:val="000000"/>
                <w:kern w:val="0"/>
                <w:sz w:val="24"/>
              </w:rPr>
              <w:t>10</w:t>
            </w:r>
            <w:r>
              <w:rPr>
                <w:rFonts w:hint="eastAsia" w:ascii="Times New Roman" w:hAnsi="Times New Roman"/>
                <w:color w:val="000000"/>
                <w:kern w:val="0"/>
                <w:sz w:val="24"/>
              </w:rPr>
              <w:t>份基金份额分红数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现金形式发放总额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再投资形式发放总额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年度利润分配</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21,005,592.11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3,682.04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21,009,274.15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0.420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21,005,592.11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3,682.04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21,009,274.15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13" w:name="_Toc477897860"/>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4" w:name="_Toc477897861"/>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4"/>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王一兵</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基金经理、固定收益部总监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王一兵先生，中国国籍，四川大学</w:t>
            </w:r>
            <w:r>
              <w:rPr>
                <w:rFonts w:hint="default" w:ascii="Times New Roman" w:hAnsi="Times New Roman"/>
                <w:color w:val="000000"/>
                <w:kern w:val="0"/>
                <w:sz w:val="24"/>
              </w:rPr>
              <w:t>MBA</w:t>
            </w:r>
            <w:r>
              <w:rPr>
                <w:rFonts w:hint="eastAsia" w:ascii="Times New Roman" w:hAnsi="Times New Roman"/>
                <w:color w:val="000000"/>
                <w:kern w:val="0"/>
                <w:sz w:val="24"/>
              </w:rPr>
              <w:t>。</w:t>
            </w:r>
            <w:r>
              <w:rPr>
                <w:rFonts w:hint="default" w:ascii="Times New Roman" w:hAnsi="Times New Roman"/>
                <w:color w:val="000000"/>
                <w:kern w:val="0"/>
                <w:sz w:val="24"/>
              </w:rPr>
              <w:t>1994</w:t>
            </w:r>
            <w:r>
              <w:rPr>
                <w:rFonts w:hint="eastAsia" w:ascii="Times New Roman" w:hAnsi="Times New Roman"/>
                <w:color w:val="000000"/>
                <w:kern w:val="0"/>
                <w:sz w:val="24"/>
              </w:rPr>
              <w:t>年即进入证券期货行业，作为公司出市代表任海南中商期货交易所红马甲。</w:t>
            </w:r>
            <w:r>
              <w:rPr>
                <w:rFonts w:hint="default" w:ascii="Times New Roman" w:hAnsi="Times New Roman"/>
                <w:color w:val="000000"/>
                <w:kern w:val="0"/>
                <w:sz w:val="24"/>
              </w:rPr>
              <w:t>1997</w:t>
            </w:r>
            <w:r>
              <w:rPr>
                <w:rFonts w:hint="eastAsia" w:ascii="Times New Roman" w:hAnsi="Times New Roman"/>
                <w:color w:val="000000"/>
                <w:kern w:val="0"/>
                <w:sz w:val="24"/>
              </w:rPr>
              <w:t>年进入股票市场，经历了各种证券市场的大幅涨跌变化，拥有成熟的投资心态和丰富的投资经验。曾历任第一创业证券固定收益部高级交易经理、资产管理部投资经理、固定收益部投资副总监。现任创金合信基金管理有限公司固定收益部负责人。熟悉债券市场和固定收益产品的各种投资技巧，尤其精通近两年发展迅速的信用债，对企业信用分析、定价有深刻独到的见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郑振源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郑振源先生，中国国籍，中国人民银行研究生部经济学硕士。</w:t>
            </w:r>
            <w:r>
              <w:rPr>
                <w:rFonts w:hint="default" w:ascii="Times New Roman" w:hAnsi="Times New Roman"/>
                <w:color w:val="000000"/>
                <w:kern w:val="0"/>
                <w:sz w:val="24"/>
              </w:rPr>
              <w:t>2009</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月加入第一创业证券研究所，担任宏观债券研究员。</w:t>
            </w:r>
            <w:r>
              <w:rPr>
                <w:rFonts w:hint="default" w:ascii="Times New Roman" w:hAnsi="Times New Roman"/>
                <w:color w:val="000000"/>
                <w:kern w:val="0"/>
                <w:sz w:val="24"/>
              </w:rPr>
              <w:t>2012</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月加入第一创业证券资产管理部，先后担任宏观债券研究员、投资主办等职务。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月加入创金合信基金管理有限公司，现任基金经理。</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5" w:name="_Toc477897862"/>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尊盈纯债债券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6" w:name="_Toc477897863"/>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7" w:name="_Toc477897864"/>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管理人对报告期内基金的投资策略和业绩表现的说明</w:t>
      </w:r>
      <w:bookmarkEnd w:id="1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年成为</w:t>
      </w:r>
      <w:r>
        <w:rPr>
          <w:rFonts w:hint="default" w:ascii="Times New Roman" w:hAnsi="Times New Roman"/>
          <w:color w:val="000000"/>
          <w:kern w:val="0"/>
          <w:sz w:val="24"/>
        </w:rPr>
        <w:t>2014</w:t>
      </w:r>
      <w:r>
        <w:rPr>
          <w:rFonts w:hint="eastAsia" w:ascii="Times New Roman" w:hAnsi="Times New Roman"/>
          <w:color w:val="000000"/>
          <w:kern w:val="0"/>
          <w:sz w:val="24"/>
        </w:rPr>
        <w:t>年以来债牛的末期，并在年底开始扭转走熊。主要变化因素在于：第一，</w:t>
      </w:r>
      <w:r>
        <w:rPr>
          <w:rFonts w:hint="default" w:ascii="Times New Roman" w:hAnsi="Times New Roman"/>
          <w:color w:val="000000"/>
          <w:kern w:val="0"/>
          <w:sz w:val="24"/>
        </w:rPr>
        <w:t>2016</w:t>
      </w:r>
      <w:r>
        <w:rPr>
          <w:rFonts w:hint="eastAsia" w:ascii="Times New Roman" w:hAnsi="Times New Roman"/>
          <w:color w:val="000000"/>
          <w:kern w:val="0"/>
          <w:sz w:val="24"/>
        </w:rPr>
        <w:t>年经济整体走平，步入</w:t>
      </w:r>
      <w:r>
        <w:rPr>
          <w:rFonts w:hint="default" w:ascii="Times New Roman" w:hAnsi="Times New Roman"/>
          <w:color w:val="000000"/>
          <w:kern w:val="0"/>
          <w:sz w:val="24"/>
        </w:rPr>
        <w:t>L</w:t>
      </w:r>
      <w:r>
        <w:rPr>
          <w:rFonts w:hint="eastAsia" w:ascii="Times New Roman" w:hAnsi="Times New Roman"/>
          <w:color w:val="000000"/>
          <w:kern w:val="0"/>
          <w:sz w:val="24"/>
        </w:rPr>
        <w:t>型的底部阶段，而同时大宗商品价格暴涨、以房价为首的资产价格暴涨；第二，</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人民日报》刊登了《开局首季问大势》的权威人士讲话，正式确认了宏观政策从稳增长向防风险、抑泡沫重心转换；第三，在经济走稳、通胀预期抬升的基础上，为防风险、抑泡沫，货币政策最终在下半年开始通过公开市场释放长期限资金，抬升利率水平，并实施将理财纳入</w:t>
      </w:r>
      <w:r>
        <w:rPr>
          <w:rFonts w:hint="default" w:ascii="Times New Roman" w:hAnsi="Times New Roman"/>
          <w:color w:val="000000"/>
          <w:kern w:val="0"/>
          <w:sz w:val="24"/>
        </w:rPr>
        <w:t>MPA</w:t>
      </w:r>
      <w:r>
        <w:rPr>
          <w:rFonts w:hint="eastAsia" w:ascii="Times New Roman" w:hAnsi="Times New Roman"/>
          <w:color w:val="000000"/>
          <w:kern w:val="0"/>
          <w:sz w:val="24"/>
        </w:rPr>
        <w:t>考核等宏观审慎措施。在上述因素变化下，同时叠加了流动性危机，年底债市收益率大幅上行，幅度普遍在</w:t>
      </w:r>
      <w:r>
        <w:rPr>
          <w:rFonts w:hint="default" w:ascii="Times New Roman" w:hAnsi="Times New Roman"/>
          <w:color w:val="000000"/>
          <w:kern w:val="0"/>
          <w:sz w:val="24"/>
        </w:rPr>
        <w:t>100-150bp</w:t>
      </w:r>
      <w:r>
        <w:rPr>
          <w:rFonts w:hint="eastAsia" w:ascii="Times New Roman" w:hAnsi="Times New Roman"/>
          <w:color w:val="000000"/>
          <w:kern w:val="0"/>
          <w:sz w:val="24"/>
        </w:rPr>
        <w:t>。在债券市场极度紧张时期，央行及时释放流动性，守住系统性风险不发生的底线。</w:t>
      </w:r>
      <w:r>
        <w:rPr>
          <w:rFonts w:hint="default" w:ascii="Times New Roman" w:hAnsi="Times New Roman"/>
          <w:color w:val="000000"/>
          <w:kern w:val="0"/>
          <w:sz w:val="24"/>
        </w:rPr>
        <w:t>2016</w:t>
      </w:r>
      <w:r>
        <w:rPr>
          <w:rFonts w:hint="eastAsia" w:ascii="Times New Roman" w:hAnsi="Times New Roman"/>
          <w:color w:val="000000"/>
          <w:kern w:val="0"/>
          <w:sz w:val="24"/>
        </w:rPr>
        <w:t>年本基金采取稳健投资策略，在防范风险的同时为投资者赚取更好的收益。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年本基金净值增长率为</w:t>
      </w:r>
      <w:r>
        <w:rPr>
          <w:rFonts w:hint="default" w:ascii="Times New Roman" w:hAnsi="Times New Roman"/>
          <w:color w:val="000000"/>
          <w:kern w:val="0"/>
          <w:sz w:val="24"/>
        </w:rPr>
        <w:t>3.67%</w:t>
      </w:r>
      <w:r>
        <w:rPr>
          <w:rFonts w:hint="eastAsia" w:ascii="Times New Roman" w:hAnsi="Times New Roman"/>
          <w:color w:val="000000"/>
          <w:kern w:val="0"/>
          <w:sz w:val="24"/>
        </w:rPr>
        <w:t>，同期业绩比较基准增长率为</w:t>
      </w:r>
      <w:r>
        <w:rPr>
          <w:rFonts w:hint="default" w:ascii="Times New Roman" w:hAnsi="Times New Roman"/>
          <w:color w:val="000000"/>
          <w:kern w:val="0"/>
          <w:sz w:val="24"/>
        </w:rPr>
        <w:t>-1.49%</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8" w:name="_Toc477897865"/>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从目前来看，货币政策可能进一步收紧，但大幅收紧的可能性需要密切关注经济。主要原因在于：第一，防风险、抑泡沫仍是当前货币政策的目标重点，也因此存在进一步收紧的可能；第二，从目前来看，房地产价格的泡沫程度得到初步控制，一二线热点城市房价环比涨幅持续回落，而债市、汇市、股市等领域的泡沫程度不显著，同时表外理财扩张也受到宏观审慎评估体系（简称</w:t>
      </w:r>
      <w:r>
        <w:rPr>
          <w:rFonts w:hint="default" w:ascii="Times New Roman" w:hAnsi="Times New Roman"/>
          <w:color w:val="000000"/>
          <w:kern w:val="0"/>
          <w:sz w:val="24"/>
        </w:rPr>
        <w:t>MPA</w:t>
      </w:r>
      <w:r>
        <w:rPr>
          <w:rFonts w:hint="eastAsia" w:ascii="Times New Roman" w:hAnsi="Times New Roman"/>
          <w:color w:val="000000"/>
          <w:kern w:val="0"/>
          <w:sz w:val="24"/>
        </w:rPr>
        <w:t>）约束，因此央行就风险泡沫大幅收紧的必要性还不是很大；第三，年初信贷放量的持续性将是需要密切关注的。如果是实体经济需求强劲所致，那么通胀压力将会较大，货币政策的收紧力度有可能会超出预期。在货币政策收缩的过程中，债券市场难以出现趋势性机会，而在政策步入紧缩后期和经济下行压力重现之前，长债的交易机会也不会明显。经过去年底及今年初的大幅调整，债市总体收益率水平已处于较高的位置，尤其是高评级的配置价值仍是可以的，再度急剧上升的风险不显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9" w:name="_Toc477897866"/>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0" w:name="_Toc477897867"/>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2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1" w:name="_Toc477897868"/>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本报告期内，本基金已实施利润分配</w:t>
      </w:r>
      <w:r>
        <w:rPr>
          <w:rFonts w:hint="default" w:ascii="Times New Roman" w:hAnsi="Times New Roman"/>
          <w:color w:val="000000"/>
          <w:kern w:val="0"/>
          <w:sz w:val="24"/>
        </w:rPr>
        <w:t>21,009,274.15</w:t>
      </w:r>
      <w:r>
        <w:rPr>
          <w:rFonts w:hint="eastAsia" w:ascii="Times New Roman" w:hAnsi="Times New Roman"/>
          <w:color w:val="000000"/>
          <w:kern w:val="0"/>
          <w:sz w:val="24"/>
        </w:rPr>
        <w:t>元，符合合同约定。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2" w:name="_Toc477897869"/>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2"/>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3" w:name="_Toc477897870"/>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托管人声明，在本报告期内，基金托管人</w:t>
      </w:r>
      <w:r>
        <w:rPr>
          <w:rFonts w:hint="default" w:ascii="Times New Roman" w:eastAsia="Times New Roman"/>
          <w:color w:val="000000"/>
          <w:kern w:val="0"/>
          <w:sz w:val="24"/>
        </w:rPr>
        <w:t>-</w:t>
      </w:r>
      <w:r>
        <w:rPr>
          <w:rFonts w:hint="eastAsia" w:ascii="Times New Roman" w:hAnsi="Times New Roman"/>
          <w:color w:val="000000"/>
          <w:kern w:val="0"/>
          <w:sz w:val="24"/>
        </w:rPr>
        <w:t>招商银行股份有限公司不存在任何损害基金份额持有人利益的行为，严格遵守了《中华人民共和国证券投资基金法》及其他有关法律法规、基金合同，完全尽职尽责地履行了应尽的义务。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4" w:name="_Toc477897871"/>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在投资运作、基金资产净值的计算、利润分配、基金份额申购赎回价格的计算、基金费用开支等问题上，不存在任何损害基金份额持有人利益的行为，严格遵守了《中华人民共和国证券投资基金法》等有关法律法规，在各重要方面的运作严格按照基金合同的规定进行。</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5" w:name="_Toc477897872"/>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本年度报告中财务指标、净值表现、财务会计报告、利润分配、投资组合报告等内容真实、准确和完整</w:t>
      </w:r>
      <w:r>
        <w:rPr>
          <w:rFonts w:hint="default" w:ascii="Times New Roman" w:eastAsia="Times New Roman"/>
          <w:color w:val="000000"/>
          <w:kern w:val="0"/>
          <w:sz w:val="24"/>
        </w:rPr>
        <w:t>,</w:t>
      </w:r>
      <w:r>
        <w:rPr>
          <w:rFonts w:hint="eastAsia" w:ascii="Times New Roman" w:hAnsi="Times New Roman"/>
          <w:color w:val="000000"/>
          <w:kern w:val="0"/>
          <w:sz w:val="24"/>
        </w:rPr>
        <w:t>不存在虚假记载、误导性陈述或者重大遗漏。</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6" w:name="_Toc477897873"/>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7" w:name="_Toc477897874"/>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毕马威华振审字第</w:t>
            </w:r>
            <w:r>
              <w:rPr>
                <w:rFonts w:hint="default" w:ascii="Times New Roman" w:hAnsi="Times New Roman"/>
                <w:color w:val="000000"/>
                <w:kern w:val="0"/>
                <w:sz w:val="24"/>
              </w:rPr>
              <w:t>1700418</w:t>
            </w:r>
            <w:r>
              <w:rPr>
                <w:rFonts w:hint="eastAsia" w:ascii="Times New Roman" w:hAnsi="Times New Roman"/>
                <w:color w:val="000000"/>
                <w:kern w:val="0"/>
                <w:sz w:val="24"/>
              </w:rPr>
              <w:t>号</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8" w:name="_Toc477897875"/>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我们审计了创金合信尊盈纯债债券型证券投资基金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创金合信尊盈纯债债券</w:t>
            </w:r>
            <w:r>
              <w:rPr>
                <w:rFonts w:hint="default" w:ascii="Times New Roman" w:hAnsi="Times New Roman"/>
                <w:color w:val="000000"/>
                <w:kern w:val="0"/>
                <w:sz w:val="24"/>
              </w:rPr>
              <w:t>")</w:t>
            </w:r>
            <w:r>
              <w:rPr>
                <w:rFonts w:hint="eastAsia" w:ascii="Times New Roman" w:hAnsi="Times New Roman"/>
                <w:color w:val="000000"/>
                <w:kern w:val="0"/>
                <w:sz w:val="24"/>
              </w:rPr>
              <w:t>财务报表，包括</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eastAsia="Times New Roman"/>
                <w:color w:val="000000"/>
                <w:kern w:val="0"/>
                <w:sz w:val="24"/>
              </w:rPr>
              <w:t>,</w:t>
            </w:r>
            <w:r>
              <w:rPr>
                <w:rFonts w:hint="eastAsia" w:ascii="Times New Roman" w:hAnsi="Times New Roman"/>
                <w:color w:val="000000"/>
                <w:kern w:val="0"/>
                <w:sz w:val="24"/>
              </w:rPr>
              <w:t>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日止期间的利润表、所有者权益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编制和公允列报财务报表是创金合信尊盈纯债债券的管理人创金合信基金管理有限公司管理层的责任，这种责任包括</w:t>
            </w:r>
            <w:r>
              <w:rPr>
                <w:rFonts w:hint="default" w:ascii="Times New Roman" w:hAnsi="Times New Roman"/>
                <w:color w:val="000000"/>
                <w:kern w:val="0"/>
                <w:sz w:val="24"/>
              </w:rPr>
              <w:t>:(1)</w:t>
            </w:r>
            <w:r>
              <w:rPr>
                <w:rFonts w:hint="eastAsia" w:ascii="Times New Roman" w:hAnsi="Times New Roman"/>
                <w:color w:val="000000"/>
                <w:kern w:val="0"/>
                <w:sz w:val="24"/>
              </w:rPr>
              <w:t>按照中华人民共和国财政部颁布的企业会计准则和中国证券监督管理委员会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和中国证券投资基金业协会发布的有关基金行业实务操作的规定编制财务报表，并使其实现公允反映；</w:t>
            </w: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创金合信基金管理有限公司管理层选用会计政策的恰当性和作出会计估计的合理性，以及评价财务报表的总体列报。</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我们认为，创金合信尊盈纯债债券的财务报表在所有重大方面按照中华人民共和国财政部颁布的企业会计准则和在财务报表附注</w:t>
            </w:r>
            <w:r>
              <w:rPr>
                <w:rFonts w:hint="default" w:ascii="Times New Roman" w:hAnsi="Times New Roman"/>
                <w:color w:val="000000"/>
                <w:kern w:val="0"/>
                <w:sz w:val="24"/>
              </w:rPr>
              <w:t>7.4.2</w:t>
            </w:r>
            <w:r>
              <w:rPr>
                <w:rFonts w:hint="eastAsia" w:ascii="Times New Roman" w:hAnsi="Times New Roman"/>
                <w:color w:val="000000"/>
                <w:kern w:val="0"/>
                <w:sz w:val="24"/>
              </w:rPr>
              <w:t>中所列示的中国证监会和中国证券投资基金业协会发布的有关基金行业实务操作的规定编制，公允反映创金合信尊盈纯债债券</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日止期间的经营成果及基金净值变动情况。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注册会计师的姓名</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左艳霞、吴钟鸣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毕马威华振会计师事务所（特殊普通合伙）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北京市东城区东长安街</w:t>
            </w:r>
            <w:r>
              <w:rPr>
                <w:rFonts w:hint="default" w:ascii="Times New Roman" w:hAnsi="Times New Roman"/>
                <w:color w:val="000000"/>
                <w:kern w:val="0"/>
                <w:sz w:val="24"/>
              </w:rPr>
              <w:t>1</w:t>
            </w:r>
            <w:r>
              <w:rPr>
                <w:rFonts w:hint="eastAsia" w:ascii="Times New Roman" w:hAnsi="Times New Roman"/>
                <w:color w:val="000000"/>
                <w:kern w:val="0"/>
                <w:sz w:val="24"/>
              </w:rPr>
              <w:t>号东方广场东</w:t>
            </w:r>
            <w:r>
              <w:rPr>
                <w:rFonts w:hint="default" w:ascii="Times New Roman" w:hAnsi="Times New Roman"/>
                <w:color w:val="000000"/>
                <w:kern w:val="0"/>
                <w:sz w:val="24"/>
              </w:rPr>
              <w:t>2</w:t>
            </w:r>
            <w:r>
              <w:rPr>
                <w:rFonts w:hint="eastAsia" w:ascii="Times New Roman" w:hAnsi="Times New Roman"/>
                <w:color w:val="000000"/>
                <w:kern w:val="0"/>
                <w:sz w:val="24"/>
              </w:rPr>
              <w:t>座办公楼</w:t>
            </w:r>
            <w:r>
              <w:rPr>
                <w:rFonts w:hint="default" w:ascii="Times New Roman" w:hAnsi="Times New Roman"/>
                <w:color w:val="000000"/>
                <w:kern w:val="0"/>
                <w:sz w:val="24"/>
              </w:rPr>
              <w:t>8</w:t>
            </w:r>
            <w:r>
              <w:rPr>
                <w:rFonts w:hint="eastAsia" w:ascii="Times New Roman" w:hAnsi="Times New Roman"/>
                <w:color w:val="000000"/>
                <w:kern w:val="0"/>
                <w:sz w:val="24"/>
              </w:rPr>
              <w:t>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9" w:name="_Toc477897876"/>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9"/>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0" w:name="_Toc477897877"/>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30"/>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会计主体：创金合信尊盈纯债债券型证券投资基金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1083"/>
        <w:gridCol w:w="51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2,579,015.30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9,482,692.32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4,934.02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601,769,591.30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524,702,005.00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77,067,586.30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12,770,750.15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626,606,983.09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129,055,869.42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46,595.38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126,474.39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9,039.25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129,343,621.65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499,978,681.87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-2,715,320.43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497,263,361.44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511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626,606,983.09</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日，基金份额净值</w:t>
      </w:r>
      <w:r>
        <w:rPr>
          <w:rFonts w:hint="default" w:ascii="Times New Roman" w:hAnsi="Times New Roman"/>
          <w:color w:val="000000"/>
          <w:kern w:val="0"/>
          <w:sz w:val="21"/>
        </w:rPr>
        <w:t>0.995</w:t>
      </w:r>
      <w:r>
        <w:rPr>
          <w:rFonts w:hint="eastAsia" w:ascii="Times New Roman" w:hAnsi="Times New Roman"/>
          <w:color w:val="000000"/>
          <w:kern w:val="0"/>
          <w:sz w:val="21"/>
        </w:rPr>
        <w:t>元，基金份额总额</w:t>
      </w:r>
      <w:r>
        <w:rPr>
          <w:rFonts w:hint="default" w:ascii="Times New Roman" w:hAnsi="Times New Roman"/>
          <w:color w:val="000000"/>
          <w:kern w:val="0"/>
          <w:sz w:val="21"/>
        </w:rPr>
        <w:t>499,978,681.87</w:t>
      </w:r>
      <w:r>
        <w:rPr>
          <w:rFonts w:hint="eastAsia" w:ascii="Times New Roman" w:hAnsi="Times New Roman"/>
          <w:color w:val="000000"/>
          <w:kern w:val="0"/>
          <w:sz w:val="21"/>
        </w:rPr>
        <w:t>份。</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本财务报表的实际报告期间为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7</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1" w:name="_Toc477897878"/>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会计主体：创金合信尊盈纯债债券型证券投资基金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083"/>
        <w:gridCol w:w="4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19,959,188.57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25,843,028.69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332,095.73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24,116,387.54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1,156,516.63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238,028.79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eastAsia="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967,650.90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1,035,198.84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r>
              <w:rPr>
                <w:rFonts w:hint="default" w:ascii="Times New Roman" w:hAnsi="Times New Roman"/>
                <w:color w:val="000000"/>
                <w:kern w:val="0"/>
                <w:sz w:val="24"/>
              </w:rPr>
              <w:t>7.4.7.13.3</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-67,547.94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-6,852,922.60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1,431.58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3,805,039.30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1,397,388.72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465,796.26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8,076.59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1,746,518.43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1,746,518.43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187,259.30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16,154,149.27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四、净利润（净亏损以“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475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16,154,149.27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注：本财务报表的实际报告期间为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7</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2" w:name="_Toc477897879"/>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会计主体：创金合信尊盈纯债债券型证券投资基金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806"/>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200,122,552.48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200,122,552.48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16,154,149.27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16,154,149.27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299,856,129.39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2,139,804.45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301,995,933.84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302,882,202.95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2,202,189.79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305,084,392.74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-3,026,073.56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-62,385.34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-3,088,458.90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-21,009,274.15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-21,009,274.15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499,978,681.87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-2,715,320.43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497,263,361.44</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注：本财务报表的实际报告期间为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7</w:t>
      </w:r>
      <w:r>
        <w:rPr>
          <w:rFonts w:hint="eastAsia" w:ascii="Times New Roman" w:hAnsi="Times New Roman"/>
          <w:color w:val="000000"/>
          <w:kern w:val="0"/>
          <w:sz w:val="21"/>
        </w:rPr>
        <w:t>日</w:t>
      </w:r>
      <w:r>
        <w:rPr>
          <w:rFonts w:hint="default" w:ascii="Times New Roman" w:hAnsi="Times New Roman"/>
          <w:color w:val="000000"/>
          <w:kern w:val="0"/>
          <w:sz w:val="21"/>
        </w:rPr>
        <w:t>(</w:t>
      </w:r>
      <w:r>
        <w:rPr>
          <w:rFonts w:hint="eastAsia" w:ascii="Times New Roman" w:hAnsi="Times New Roman"/>
          <w:color w:val="000000"/>
          <w:kern w:val="0"/>
          <w:sz w:val="21"/>
        </w:rPr>
        <w:t>基金合同生效日</w:t>
      </w:r>
      <w:r>
        <w:rPr>
          <w:rFonts w:hint="default" w:ascii="Times New Roman" w:hAnsi="Times New Roman"/>
          <w:color w:val="000000"/>
          <w:kern w:val="0"/>
          <w:sz w:val="21"/>
        </w:rPr>
        <w:t>)</w:t>
      </w:r>
      <w:r>
        <w:rPr>
          <w:rFonts w:hint="eastAsia" w:ascii="Times New Roman" w:hAnsi="Times New Roman"/>
          <w:color w:val="000000"/>
          <w:kern w:val="0"/>
          <w:sz w:val="21"/>
        </w:rPr>
        <w:t>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日。截至报告期末本基金合同生效未满</w:t>
      </w:r>
      <w:r>
        <w:rPr>
          <w:rFonts w:hint="default" w:ascii="Times New Roman" w:hAnsi="Times New Roman"/>
          <w:color w:val="000000"/>
          <w:kern w:val="0"/>
          <w:sz w:val="21"/>
        </w:rPr>
        <w:t>1</w:t>
      </w:r>
      <w:r>
        <w:rPr>
          <w:rFonts w:hint="eastAsia" w:ascii="Times New Roman" w:hAnsi="Times New Roman"/>
          <w:color w:val="000000"/>
          <w:kern w:val="0"/>
          <w:sz w:val="21"/>
        </w:rPr>
        <w:t>年，本报告期的财务报表及报表附注均无同期对比数据。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3" w:name="_Toc477897880"/>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3"/>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 xml:space="preserve"> "</w:t>
      </w:r>
      <w:r>
        <w:rPr>
          <w:rFonts w:hint="eastAsia" w:ascii="Times New Roman" w:hAnsi="Times New Roman"/>
          <w:color w:val="000000"/>
          <w:kern w:val="0"/>
          <w:sz w:val="24"/>
        </w:rPr>
        <w:t>本基金</w:t>
      </w:r>
      <w:r>
        <w:rPr>
          <w:rFonts w:hint="default" w:ascii="Times New Roman" w:hAnsi="Times New Roman"/>
          <w:color w:val="000000"/>
          <w:kern w:val="0"/>
          <w:sz w:val="24"/>
        </w:rPr>
        <w:t xml:space="preserve">") </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 xml:space="preserve"> "</w:t>
      </w:r>
      <w:r>
        <w:rPr>
          <w:rFonts w:hint="eastAsia" w:ascii="Times New Roman" w:hAnsi="Times New Roman"/>
          <w:color w:val="000000"/>
          <w:kern w:val="0"/>
          <w:sz w:val="24"/>
        </w:rPr>
        <w:t>中国证监会</w:t>
      </w:r>
      <w:r>
        <w:rPr>
          <w:rFonts w:hint="default" w:ascii="Times New Roman" w:hAnsi="Times New Roman"/>
          <w:color w:val="000000"/>
          <w:kern w:val="0"/>
          <w:sz w:val="24"/>
        </w:rPr>
        <w:t xml:space="preserve">") </w:t>
      </w:r>
      <w:r>
        <w:rPr>
          <w:rFonts w:hint="eastAsia" w:ascii="Times New Roman" w:hAnsi="Times New Roman"/>
          <w:color w:val="000000"/>
          <w:kern w:val="0"/>
          <w:sz w:val="24"/>
        </w:rPr>
        <w:t>《关于准予创金合信尊盈纯债债券型证券投资基金注册的批复》</w:t>
      </w:r>
      <w:r>
        <w:rPr>
          <w:rFonts w:hint="default" w:ascii="Times New Roman" w:hAnsi="Times New Roman"/>
          <w:color w:val="000000"/>
          <w:kern w:val="0"/>
          <w:sz w:val="24"/>
        </w:rPr>
        <w:t xml:space="preserve"> (</w:t>
      </w:r>
      <w:r>
        <w:rPr>
          <w:rFonts w:hint="eastAsia" w:ascii="Times New Roman" w:hAnsi="Times New Roman"/>
          <w:color w:val="000000"/>
          <w:kern w:val="0"/>
          <w:sz w:val="24"/>
        </w:rPr>
        <w:t>证监许可</w:t>
      </w:r>
      <w:r>
        <w:rPr>
          <w:rFonts w:hint="default" w:ascii="Times New Roman" w:hAnsi="Times New Roman"/>
          <w:color w:val="000000"/>
          <w:kern w:val="0"/>
          <w:sz w:val="24"/>
        </w:rPr>
        <w:t xml:space="preserve"> [2015] 3078</w:t>
      </w:r>
      <w:r>
        <w:rPr>
          <w:rFonts w:hint="eastAsia" w:ascii="Times New Roman" w:hAnsi="Times New Roman"/>
          <w:color w:val="000000"/>
          <w:kern w:val="0"/>
          <w:sz w:val="24"/>
        </w:rPr>
        <w:t>号文</w:t>
      </w:r>
      <w:r>
        <w:rPr>
          <w:rFonts w:hint="default" w:ascii="Times New Roman" w:hAnsi="Times New Roman"/>
          <w:color w:val="000000"/>
          <w:kern w:val="0"/>
          <w:sz w:val="24"/>
        </w:rPr>
        <w:t xml:space="preserve">) </w:t>
      </w:r>
      <w:r>
        <w:rPr>
          <w:rFonts w:hint="eastAsia" w:ascii="Times New Roman" w:hAnsi="Times New Roman"/>
          <w:color w:val="000000"/>
          <w:kern w:val="0"/>
          <w:sz w:val="24"/>
        </w:rPr>
        <w:t>批准，由创金合信基金管理有限公司依照《中华人民共和国证券投资基金法》及其配套规则和《创金合信尊盈纯债债券型证券投资基金基金合同》发售，基金合同于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日生效。本基金为契约型开放式，存续期限不定，首次设立募集规模为</w:t>
      </w:r>
      <w:r>
        <w:rPr>
          <w:rFonts w:hint="default" w:ascii="Times New Roman" w:hAnsi="Times New Roman"/>
          <w:color w:val="000000"/>
          <w:kern w:val="0"/>
          <w:sz w:val="24"/>
        </w:rPr>
        <w:t>200,122,552.48</w:t>
      </w:r>
      <w:r>
        <w:rPr>
          <w:rFonts w:hint="eastAsia" w:ascii="Times New Roman" w:hAnsi="Times New Roman"/>
          <w:color w:val="000000"/>
          <w:kern w:val="0"/>
          <w:sz w:val="24"/>
        </w:rPr>
        <w:t>份基金份额。本基金的基金管理人为创金合信基金管理有限公司，基金托管人为招商银行股份有限公司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招商银行</w:t>
      </w:r>
      <w:r>
        <w:rPr>
          <w:rFonts w:hint="default" w:ascii="Times New Roman" w:hAnsi="Times New Roman"/>
          <w:color w:val="000000"/>
          <w:kern w:val="0"/>
          <w:sz w:val="24"/>
        </w:rPr>
        <w:t xml:space="preserve">") </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4</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5</w:t>
      </w:r>
      <w:r>
        <w:rPr>
          <w:rFonts w:hint="eastAsia" w:ascii="Times New Roman" w:hAnsi="Times New Roman"/>
          <w:color w:val="000000"/>
          <w:kern w:val="0"/>
          <w:sz w:val="24"/>
        </w:rPr>
        <w:t>日募集，募集期间净认购资金人民币</w:t>
      </w:r>
      <w:r>
        <w:rPr>
          <w:rFonts w:hint="default" w:ascii="Times New Roman" w:hAnsi="Times New Roman"/>
          <w:color w:val="000000"/>
          <w:kern w:val="0"/>
          <w:sz w:val="24"/>
        </w:rPr>
        <w:t>200,113,549.63</w:t>
      </w:r>
      <w:r>
        <w:rPr>
          <w:rFonts w:hint="eastAsia" w:ascii="Times New Roman" w:hAnsi="Times New Roman"/>
          <w:color w:val="000000"/>
          <w:kern w:val="0"/>
          <w:sz w:val="24"/>
        </w:rPr>
        <w:t>元，认购资金在募集期间产生的利息人民币</w:t>
      </w:r>
      <w:r>
        <w:rPr>
          <w:rFonts w:hint="default" w:ascii="Times New Roman" w:hAnsi="Times New Roman"/>
          <w:color w:val="000000"/>
          <w:kern w:val="0"/>
          <w:sz w:val="24"/>
        </w:rPr>
        <w:t>9,002.85</w:t>
      </w:r>
      <w:r>
        <w:rPr>
          <w:rFonts w:hint="eastAsia" w:ascii="Times New Roman" w:hAnsi="Times New Roman"/>
          <w:color w:val="000000"/>
          <w:kern w:val="0"/>
          <w:sz w:val="24"/>
        </w:rPr>
        <w:t>元，募集的有效认购份额及利息结转的基金份额合计</w:t>
      </w:r>
      <w:r>
        <w:rPr>
          <w:rFonts w:hint="default" w:ascii="Times New Roman" w:hAnsi="Times New Roman"/>
          <w:color w:val="000000"/>
          <w:kern w:val="0"/>
          <w:sz w:val="24"/>
        </w:rPr>
        <w:t>200,122,552.48</w:t>
      </w:r>
      <w:r>
        <w:rPr>
          <w:rFonts w:hint="eastAsia" w:ascii="Times New Roman" w:hAnsi="Times New Roman"/>
          <w:color w:val="000000"/>
          <w:kern w:val="0"/>
          <w:sz w:val="24"/>
        </w:rPr>
        <w:t>份。上述募集资金已由毕马威华振会计师事务所</w:t>
      </w:r>
      <w:r>
        <w:rPr>
          <w:rFonts w:hint="default" w:ascii="Times New Roman" w:hAnsi="Times New Roman"/>
          <w:color w:val="000000"/>
          <w:kern w:val="0"/>
          <w:sz w:val="24"/>
        </w:rPr>
        <w:t xml:space="preserve"> (</w:t>
      </w:r>
      <w:r>
        <w:rPr>
          <w:rFonts w:hint="eastAsia" w:ascii="Times New Roman" w:hAnsi="Times New Roman"/>
          <w:color w:val="000000"/>
          <w:kern w:val="0"/>
          <w:sz w:val="24"/>
        </w:rPr>
        <w:t>特殊普通合伙</w:t>
      </w:r>
      <w:r>
        <w:rPr>
          <w:rFonts w:hint="default" w:ascii="Times New Roman" w:hAnsi="Times New Roman"/>
          <w:color w:val="000000"/>
          <w:kern w:val="0"/>
          <w:sz w:val="24"/>
        </w:rPr>
        <w:t xml:space="preserve">) </w:t>
      </w:r>
      <w:r>
        <w:rPr>
          <w:rFonts w:hint="eastAsia" w:ascii="Times New Roman" w:hAnsi="Times New Roman"/>
          <w:color w:val="000000"/>
          <w:kern w:val="0"/>
          <w:sz w:val="24"/>
        </w:rPr>
        <w:t>验证，并出具了毕马威华振验字第</w:t>
      </w:r>
      <w:r>
        <w:rPr>
          <w:rFonts w:hint="default" w:ascii="Times New Roman" w:hAnsi="Times New Roman"/>
          <w:color w:val="000000"/>
          <w:kern w:val="0"/>
          <w:sz w:val="24"/>
        </w:rPr>
        <w:t>1600141</w:t>
      </w:r>
      <w:r>
        <w:rPr>
          <w:rFonts w:hint="eastAsia" w:ascii="Times New Roman" w:hAnsi="Times New Roman"/>
          <w:color w:val="000000"/>
          <w:kern w:val="0"/>
          <w:sz w:val="24"/>
        </w:rPr>
        <w:t>号验资报告。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中华人民共和国证券投资基金法》及其配套规则、《创金合信尊盈纯债债券型证券投资基金基金合同》和截至报告期末最新公告的《创金合信尊盈纯债债券型证券投资基金招募说明书》的有关规定，本基金主要投资于固定收益类品种，包括国债、央行票据、地方政府债、金融债、企业债、公司债、中小企业私募债、次级债、中期票据、短期融资券、可转换债券</w:t>
      </w:r>
      <w:r>
        <w:rPr>
          <w:rFonts w:hint="default" w:ascii="Times New Roman" w:hAnsi="Times New Roman"/>
          <w:color w:val="000000"/>
          <w:kern w:val="0"/>
          <w:sz w:val="24"/>
        </w:rPr>
        <w:t xml:space="preserve"> (</w:t>
      </w:r>
      <w:r>
        <w:rPr>
          <w:rFonts w:hint="eastAsia" w:ascii="Times New Roman" w:hAnsi="Times New Roman"/>
          <w:color w:val="000000"/>
          <w:kern w:val="0"/>
          <w:sz w:val="24"/>
        </w:rPr>
        <w:t>含可分离交易可转债</w:t>
      </w:r>
      <w:r>
        <w:rPr>
          <w:rFonts w:hint="default" w:ascii="Times New Roman" w:hAnsi="Times New Roman"/>
          <w:color w:val="000000"/>
          <w:kern w:val="0"/>
          <w:sz w:val="24"/>
        </w:rPr>
        <w:t xml:space="preserve">) </w:t>
      </w:r>
      <w:r>
        <w:rPr>
          <w:rFonts w:hint="eastAsia" w:ascii="Times New Roman" w:hAnsi="Times New Roman"/>
          <w:color w:val="000000"/>
          <w:kern w:val="0"/>
          <w:sz w:val="24"/>
        </w:rPr>
        <w:t>、可交换债券、资产支持证券、债券回购、银行存款等。本基金不从二级市场买入股票、权证等权益类资产，也不参与一级市场的新股申购和新股增发。因所持可转换债券与可交换债券转股形成的股票、因投资于分离交易可转债而产生的权证，在其可上市交易后不超过</w:t>
      </w:r>
      <w:r>
        <w:rPr>
          <w:rFonts w:hint="default" w:ascii="Times New Roman" w:hAnsi="Times New Roman"/>
          <w:color w:val="000000"/>
          <w:kern w:val="0"/>
          <w:sz w:val="24"/>
        </w:rPr>
        <w:t>10</w:t>
      </w:r>
      <w:r>
        <w:rPr>
          <w:rFonts w:hint="eastAsia" w:ascii="Times New Roman" w:hAnsi="Times New Roman"/>
          <w:color w:val="000000"/>
          <w:kern w:val="0"/>
          <w:sz w:val="24"/>
        </w:rPr>
        <w:t>个交易日的时间内卖出。本基金的业绩比较基准为：中债综合</w:t>
      </w:r>
      <w:r>
        <w:rPr>
          <w:rFonts w:hint="default" w:ascii="Times New Roman" w:hAnsi="Times New Roman"/>
          <w:color w:val="000000"/>
          <w:kern w:val="0"/>
          <w:sz w:val="24"/>
        </w:rPr>
        <w:t xml:space="preserve"> (</w:t>
      </w:r>
      <w:r>
        <w:rPr>
          <w:rFonts w:hint="eastAsia" w:ascii="Times New Roman" w:hAnsi="Times New Roman"/>
          <w:color w:val="000000"/>
          <w:kern w:val="0"/>
          <w:sz w:val="24"/>
        </w:rPr>
        <w:t>全价</w:t>
      </w:r>
      <w:r>
        <w:rPr>
          <w:rFonts w:hint="default" w:ascii="Times New Roman" w:hAnsi="Times New Roman"/>
          <w:color w:val="000000"/>
          <w:kern w:val="0"/>
          <w:sz w:val="24"/>
        </w:rPr>
        <w:t xml:space="preserve">) </w:t>
      </w:r>
      <w:r>
        <w:rPr>
          <w:rFonts w:hint="eastAsia" w:ascii="Times New Roman" w:hAnsi="Times New Roman"/>
          <w:color w:val="000000"/>
          <w:kern w:val="0"/>
          <w:sz w:val="24"/>
        </w:rPr>
        <w:t>指数收益率。</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本基金以持续经营为基础。本财务报表符合中华人民共和国财政部</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财政部</w:t>
      </w:r>
      <w:r>
        <w:rPr>
          <w:rFonts w:hint="default" w:ascii="Times New Roman" w:hAnsi="Times New Roman"/>
          <w:color w:val="000000"/>
          <w:kern w:val="0"/>
          <w:sz w:val="24"/>
        </w:rPr>
        <w:t xml:space="preserve">") </w:t>
      </w:r>
      <w:r>
        <w:rPr>
          <w:rFonts w:hint="eastAsia" w:ascii="Times New Roman" w:hAnsi="Times New Roman"/>
          <w:color w:val="000000"/>
          <w:kern w:val="0"/>
          <w:sz w:val="24"/>
        </w:rPr>
        <w:t>颁布的企业会计准则的要求，同时亦按照中国证监会颁布的《证券投资基金信息披露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》以及中国证券投资基金业协会于</w:t>
      </w:r>
      <w:r>
        <w:rPr>
          <w:rFonts w:hint="default" w:ascii="Times New Roman" w:hAnsi="Times New Roman"/>
          <w:color w:val="000000"/>
          <w:kern w:val="0"/>
          <w:sz w:val="24"/>
        </w:rPr>
        <w:t>2012</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16</w:t>
      </w:r>
      <w:r>
        <w:rPr>
          <w:rFonts w:hint="eastAsia" w:ascii="Times New Roman" w:hAnsi="Times New Roman"/>
          <w:color w:val="000000"/>
          <w:kern w:val="0"/>
          <w:sz w:val="24"/>
        </w:rPr>
        <w:t>日颁布的《证券投资基金会计核算业务指引》编制财务报表。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本财务报表符合财政部颁布的企业会计准则的要求，真实、完整地反映了本基金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基金合同生效日</w:t>
      </w:r>
      <w:r>
        <w:rPr>
          <w:rFonts w:hint="default" w:ascii="Times New Roman" w:hAnsi="Times New Roman"/>
          <w:color w:val="000000"/>
          <w:kern w:val="0"/>
          <w:sz w:val="24"/>
        </w:rPr>
        <w:t xml:space="preserve">) </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日止期间的经营成果和基金净值变动情况。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本基金的会计年度自公历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日止。本期财务报表的实际编制期间为自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基金合同生效日</w:t>
      </w:r>
      <w:r>
        <w:rPr>
          <w:rFonts w:hint="default" w:ascii="Times New Roman" w:hAnsi="Times New Roman"/>
          <w:color w:val="000000"/>
          <w:kern w:val="0"/>
          <w:sz w:val="24"/>
        </w:rPr>
        <w:t xml:space="preserve">) </w:t>
      </w:r>
      <w:r>
        <w:rPr>
          <w:rFonts w:hint="eastAsia" w:ascii="Times New Roman" w:hAnsi="Times New Roman"/>
          <w:color w:val="000000"/>
          <w:kern w:val="0"/>
          <w:sz w:val="24"/>
        </w:rPr>
        <w:t>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本基金的记账本位币为人民币，编制财务报表采用的货币为人民币。本基金选定记账本位币的依据是主要业务收支的计价和结算币种。</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初始确认时按取得资产或承担负债的目的，把金融资产和金融负债分为不同类别：以公允价值计量且其变动计入当期损益的金融资产和金融负债、应收款项、持有至到期投资、可供出售金融资产和其他金融负债。本基金现无金融资产分类为持有至到期投资和可供出售金融资产。本基金现无金融负债分类为以公允价值计量且其变动计入当期损益的金融负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本基金目前持有的债券投资分类为以公允价值计量且其变动计入当期损益的金融资产。以公允价值计量且其变动计入当期损益的金融资产在资产负债表中以交易性金融资产列示。</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金融资产和金融负债在本基金成为相关金融工具合同条款的一方时，于资产负债表内确认。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在初始确认时，金融资产及金融负债均以公允价值计量。对于以公允价值计量且其变动计入当期损益的金融资产或金融负债，相关交易费用直接计入当期损益；对于其他类别的金融资产或金融负债，相关交易费用计入初始确认金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初始确认后，金融资产和金融负债的后续计量如下：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eastAsia="Times New Roman"/>
          <w:color w:val="000000"/>
          <w:kern w:val="0"/>
          <w:sz w:val="24"/>
        </w:rPr>
        <w:t>-</w:t>
      </w:r>
      <w:r>
        <w:rPr>
          <w:rFonts w:hint="eastAsia" w:ascii="Times New Roman" w:hAnsi="Times New Roman"/>
          <w:color w:val="000000"/>
          <w:kern w:val="0"/>
          <w:sz w:val="24"/>
        </w:rPr>
        <w:t>以公允价值计量且其变动计入当期损益的金融资产和金融负债以公允价值计量，公允价值</w:t>
      </w:r>
      <w:r>
        <w:rPr>
          <w:rFonts w:hint="default" w:ascii="Times New Roman" w:hAnsi="Times New Roman"/>
          <w:color w:val="000000"/>
          <w:kern w:val="0"/>
          <w:sz w:val="24"/>
        </w:rPr>
        <w:t xml:space="preserve"> </w:t>
      </w:r>
      <w:r>
        <w:rPr>
          <w:rFonts w:hint="eastAsia" w:ascii="Times New Roman" w:hAnsi="Times New Roman"/>
          <w:color w:val="000000"/>
          <w:kern w:val="0"/>
          <w:sz w:val="24"/>
        </w:rPr>
        <w:t>变动形成的利得或损失计入当期损益。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eastAsia="Times New Roman"/>
          <w:color w:val="000000"/>
          <w:kern w:val="0"/>
          <w:sz w:val="24"/>
        </w:rPr>
        <w:t>-</w:t>
      </w:r>
      <w:r>
        <w:rPr>
          <w:rFonts w:hint="eastAsia" w:ascii="Times New Roman" w:hAnsi="Times New Roman"/>
          <w:color w:val="000000"/>
          <w:kern w:val="0"/>
          <w:sz w:val="24"/>
        </w:rPr>
        <w:t>应收款项以实际利率法按摊余成本计量。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eastAsia="Times New Roman"/>
          <w:color w:val="000000"/>
          <w:kern w:val="0"/>
          <w:sz w:val="24"/>
        </w:rPr>
        <w:t>-</w:t>
      </w:r>
      <w:r>
        <w:rPr>
          <w:rFonts w:hint="eastAsia" w:ascii="Times New Roman" w:hAnsi="Times New Roman"/>
          <w:color w:val="000000"/>
          <w:kern w:val="0"/>
          <w:sz w:val="24"/>
        </w:rPr>
        <w:t>除以公允价值计量且其变动计入当期损益的金融负债以外的金融负债采用实际利率法按摊余成本进行后续计量。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当收取某项金融资产的现金流量的合同权利终止或将所有权上几乎所有的风险和报酬转移时，本基金终止确认该金融资产。终止确认的金融资产的成本按移动加权平均法于交易日结转。</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金融负债的现时义务全部或部分已经解除的，本基金终止确认该金融负债或其一部分。</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除特别声明外，本基金按下述原则计量公允价值：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公允价值是指市场参与者在计量日发生的有序交易中，出售一项资产所能收到或者转移一项负债所需支付的价格。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本基金估计公允价值时，考虑市场参与者在计量日对相关资产或负债进行定价时考虑的特征</w:t>
      </w:r>
      <w:r>
        <w:rPr>
          <w:rFonts w:hint="default" w:ascii="Times New Roman" w:hAnsi="Times New Roman"/>
          <w:color w:val="000000"/>
          <w:kern w:val="0"/>
          <w:sz w:val="24"/>
        </w:rPr>
        <w:t xml:space="preserve"> (</w:t>
      </w:r>
      <w:r>
        <w:rPr>
          <w:rFonts w:hint="eastAsia" w:ascii="Times New Roman" w:hAnsi="Times New Roman"/>
          <w:color w:val="000000"/>
          <w:kern w:val="0"/>
          <w:sz w:val="24"/>
        </w:rPr>
        <w:t>包括资产状况及所在位置、对资产出售或者使用的限制等</w:t>
      </w:r>
      <w:r>
        <w:rPr>
          <w:rFonts w:hint="default" w:ascii="Times New Roman" w:hAnsi="Times New Roman"/>
          <w:color w:val="000000"/>
          <w:kern w:val="0"/>
          <w:sz w:val="24"/>
        </w:rPr>
        <w:t xml:space="preserve">) </w:t>
      </w:r>
      <w:r>
        <w:rPr>
          <w:rFonts w:hint="eastAsia" w:ascii="Times New Roman" w:hAnsi="Times New Roman"/>
          <w:color w:val="000000"/>
          <w:kern w:val="0"/>
          <w:sz w:val="24"/>
        </w:rPr>
        <w:t>，并采用在当前情况下适用并且有足够可利用数据和其他信息支持的估值技术。</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存在活跃市场的金融工具，如估值日无交易且最近交易日后经济环境发生了重大变化或证券发行机构发生了影响证券价格的重大事件，参考类似投资品种的现行市价及重大变化等因素，调整最近交易市价以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金融资产和金融负债在资产负债表内分别列示，没有相互抵销。但是，同时满足下列条件的，以相互抵销后的净额在资产负债表内列示：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eastAsia="Times New Roman"/>
          <w:color w:val="000000"/>
          <w:kern w:val="0"/>
          <w:sz w:val="24"/>
        </w:rPr>
        <w:t>-</w:t>
      </w:r>
      <w:r>
        <w:rPr>
          <w:rFonts w:hint="eastAsia" w:ascii="Times New Roman" w:hAnsi="Times New Roman"/>
          <w:color w:val="000000"/>
          <w:kern w:val="0"/>
          <w:sz w:val="24"/>
        </w:rPr>
        <w:t>本基金具有抵销已确认金额的法定权利，且该种法定权利现在是可执行的；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eastAsia="Times New Roman"/>
          <w:color w:val="000000"/>
          <w:kern w:val="0"/>
          <w:sz w:val="24"/>
        </w:rPr>
        <w:t>-</w:t>
      </w:r>
      <w:r>
        <w:rPr>
          <w:rFonts w:hint="eastAsia" w:ascii="Times New Roman" w:hAnsi="Times New Roman"/>
          <w:color w:val="000000"/>
          <w:kern w:val="0"/>
          <w:sz w:val="24"/>
        </w:rPr>
        <w:t>本基金计划以净额结算，或同时变现该金融资产和清偿该金融负债。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实收基金为对外发行基金份额所募集的总金额在扣除损益平准金分摊部分后的余额。由于基金份额拆分引起的实收基金份额变动于基金份额拆分日根据拆分前的基金份额数及确定的拆分比例计算认列。由于申购和赎回引起的实收基金份额变动分别于基金申购确认日及基金赎回确认日认列。上述申购和赎回分别包括基金转换所引起的转入基金的实收基金增加和转出基金的实收基金减少。</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损益平准金核算在基金份额发生变动时，申购、赎回、转入、转出及红利再投资等款项中包含的未分配利润和公允价值变动损益，包括已实现损益平准金和未实现损益平准金。已实现损益平准金指根据交易申请日申购或赎回款项中包含的按累计未分配的已实现损益占基金净值比例计算的金额。未实现损益平准金指根据交易申请日申购或赎回款项中包含的按累计未分配的未实现损益占基金净值比例计算的金额。损益平准金于基金申购确认日或基金赎回确认日进行确认和计量，并于会计期末全额转入</w:t>
      </w:r>
      <w:r>
        <w:rPr>
          <w:rFonts w:hint="default" w:ascii="Times New Roman" w:hAnsi="Times New Roman"/>
          <w:color w:val="000000"/>
          <w:kern w:val="0"/>
          <w:sz w:val="24"/>
        </w:rPr>
        <w:t>"</w:t>
      </w:r>
      <w:r>
        <w:rPr>
          <w:rFonts w:hint="eastAsia" w:ascii="Times New Roman" w:hAnsi="Times New Roman"/>
          <w:color w:val="000000"/>
          <w:kern w:val="0"/>
          <w:sz w:val="24"/>
        </w:rPr>
        <w:t>未分配利润</w:t>
      </w:r>
      <w:r>
        <w:rPr>
          <w:rFonts w:hint="default" w:ascii="Times New Roman" w:hAnsi="Times New Roman"/>
          <w:color w:val="000000"/>
          <w:kern w:val="0"/>
          <w:sz w:val="24"/>
        </w:rPr>
        <w:t xml:space="preserve"> / (</w:t>
      </w:r>
      <w:r>
        <w:rPr>
          <w:rFonts w:hint="eastAsia" w:ascii="Times New Roman" w:hAnsi="Times New Roman"/>
          <w:color w:val="000000"/>
          <w:kern w:val="0"/>
          <w:sz w:val="24"/>
        </w:rPr>
        <w:t>累计亏损</w:t>
      </w:r>
      <w:r>
        <w:rPr>
          <w:rFonts w:hint="default" w:ascii="Times New Roman" w:hAnsi="Times New Roman"/>
          <w:color w:val="000000"/>
          <w:kern w:val="0"/>
          <w:sz w:val="24"/>
        </w:rPr>
        <w:t>) "</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债券投资收益按相关金融资产于处置日成交金额与其成本的差额确认。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债券利息收入按债券投资的票面价值与票面利率计算的金额扣除应由发行债券的企业代扣代缴的个人所得税</w:t>
      </w:r>
      <w:r>
        <w:rPr>
          <w:rFonts w:hint="default" w:ascii="Times New Roman" w:hAnsi="Times New Roman"/>
          <w:color w:val="000000"/>
          <w:kern w:val="0"/>
          <w:sz w:val="24"/>
        </w:rPr>
        <w:t xml:space="preserve"> (</w:t>
      </w:r>
      <w:r>
        <w:rPr>
          <w:rFonts w:hint="eastAsia" w:ascii="Times New Roman" w:hAnsi="Times New Roman"/>
          <w:color w:val="000000"/>
          <w:kern w:val="0"/>
          <w:sz w:val="24"/>
        </w:rPr>
        <w:t>如适用</w:t>
      </w:r>
      <w:r>
        <w:rPr>
          <w:rFonts w:hint="default" w:ascii="Times New Roman" w:hAnsi="Times New Roman"/>
          <w:color w:val="000000"/>
          <w:kern w:val="0"/>
          <w:sz w:val="24"/>
        </w:rPr>
        <w:t xml:space="preserve">) </w:t>
      </w:r>
      <w:r>
        <w:rPr>
          <w:rFonts w:hint="eastAsia" w:ascii="Times New Roman" w:hAnsi="Times New Roman"/>
          <w:color w:val="000000"/>
          <w:kern w:val="0"/>
          <w:sz w:val="24"/>
        </w:rPr>
        <w:t>后的净额确认，在债券实际持有期内逐日计提。贴息债视同到期一次性还本付息的附息债，根据其发行价、到期价和发行期限按直线法推算内含票面利率后，逐日计提利息收入。如票面利率与实际利率出现重大差异，按实际利率计算利息收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利息收入是按借出货币资金的时间和实际利率计算确定。</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买入返售金融资产收入按到期应收或实际收到的金额与初始确认金额的差额，在回购期内按实际利率法逐日确认，直线法与实际利率法确定的收入差异较小的可采用直线法。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公允价值变动收益</w:t>
      </w:r>
      <w:r>
        <w:rPr>
          <w:rFonts w:hint="default" w:ascii="Times New Roman" w:hAnsi="Times New Roman"/>
          <w:color w:val="000000"/>
          <w:kern w:val="0"/>
          <w:sz w:val="24"/>
        </w:rPr>
        <w:t xml:space="preserve"> / (</w:t>
      </w:r>
      <w:r>
        <w:rPr>
          <w:rFonts w:hint="eastAsia" w:ascii="Times New Roman" w:hAnsi="Times New Roman"/>
          <w:color w:val="000000"/>
          <w:kern w:val="0"/>
          <w:sz w:val="24"/>
        </w:rPr>
        <w:t>损失</w:t>
      </w:r>
      <w:r>
        <w:rPr>
          <w:rFonts w:hint="default" w:ascii="Times New Roman" w:hAnsi="Times New Roman"/>
          <w:color w:val="000000"/>
          <w:kern w:val="0"/>
          <w:sz w:val="24"/>
        </w:rPr>
        <w:t xml:space="preserve">) </w:t>
      </w:r>
      <w:r>
        <w:rPr>
          <w:rFonts w:hint="eastAsia" w:ascii="Times New Roman" w:hAnsi="Times New Roman"/>
          <w:color w:val="000000"/>
          <w:kern w:val="0"/>
          <w:sz w:val="24"/>
        </w:rPr>
        <w:t>核算基金持有的采用公允价值模式计量的以公允价值计量且变动计入当期损益的金融资产、衍生金融资产、以公允价值计量且变动计入当期损益的金融负债等公允价值变动形成的应计入当期损益的利得或损失。</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本基金的管理人报酬和托管费在费用涵盖期间按基金合同约定的费率和计算方法逐日确认。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本基金的交易费用于进行债券等交易发生时按照确定的金额确认。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本基金的利息支出按资金的本金和适用利率逐日计提。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卖出回购金融资产利息支出按到期应付或实际支付的金额与初始确认金额的差额，在回购期内以实际利率法逐日确认，直线法与实际利率法确定的支出差异较小的可采用直线法。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本基金的其他费用如不影响估值日基金份额净值小数点后第四位，发生时直接计入基金损益；如果影响基金份额净值小数点后第四位的，应采用待摊或预提的方法，待摊或预提计入基金损益。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本基金收益分配方式分两种：现金分红与红利再投资，投资者可选择现金红利或将现金红利自动转为基金份额进行再投资；若投资者不选择，本基金默认的收益分配方式是现金分红；</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每一基金份额享有同等分配权；</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在对基金份额持有人利益无实质不利影响的前提下，基金管理人可调整基金收益的分配原则和支付方式，不需召开基金份额持有人大会审议；</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(e)</w:t>
      </w:r>
      <w:r>
        <w:rPr>
          <w:rFonts w:hint="eastAsia" w:ascii="Times New Roman" w:hAnsi="Times New Roman"/>
          <w:color w:val="000000"/>
          <w:kern w:val="0"/>
          <w:sz w:val="24"/>
        </w:rPr>
        <w:t>法律法规或监管机关另有规定的，从其规定。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本基金以内部组织结构、管理要求、内部报告制度为依据确定经营分部，以经营分部为基础确定报告分部。</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本基金目前以一个经营分部运作，不需要进行分部报告的披露。</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对于证券交易所上市的股票，若出现重大事项停牌或交易不活跃</w:t>
      </w:r>
      <w:r>
        <w:rPr>
          <w:rFonts w:hint="default" w:ascii="Times New Roman" w:hAnsi="Times New Roman"/>
          <w:color w:val="000000"/>
          <w:kern w:val="0"/>
          <w:sz w:val="24"/>
        </w:rPr>
        <w:t xml:space="preserve"> (</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 xml:space="preserve">) </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 xml:space="preserve">[2008]38 </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 xml:space="preserve"> (AMAC) </w:t>
      </w:r>
      <w:r>
        <w:rPr>
          <w:rFonts w:hint="eastAsia" w:ascii="Times New Roman" w:hAnsi="Times New Roman"/>
          <w:color w:val="000000"/>
          <w:kern w:val="0"/>
          <w:sz w:val="24"/>
        </w:rPr>
        <w:t>基金行业股票估值指数的通知》提供的指数收益法、市盈率法、现金流量折现法等估值技术进行估值。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对于在锁定期内的非公开发行股票，根据中国证监会证监会计字</w:t>
      </w:r>
      <w:r>
        <w:rPr>
          <w:rFonts w:hint="default" w:ascii="Times New Roman" w:hAnsi="Times New Roman"/>
          <w:color w:val="000000"/>
          <w:kern w:val="0"/>
          <w:sz w:val="24"/>
        </w:rPr>
        <w:t>[2007]21</w:t>
      </w:r>
      <w:r>
        <w:rPr>
          <w:rFonts w:hint="eastAsia" w:ascii="Times New Roman" w:hAnsi="Times New Roman"/>
          <w:color w:val="000000"/>
          <w:kern w:val="0"/>
          <w:sz w:val="24"/>
        </w:rPr>
        <w:t>号《关于证券投资基金执行</w:t>
      </w:r>
      <w:r>
        <w:rPr>
          <w:rFonts w:hint="default" w:ascii="Times New Roman" w:hAnsi="Times New Roman"/>
          <w:color w:val="000000"/>
          <w:kern w:val="0"/>
          <w:sz w:val="24"/>
        </w:rPr>
        <w:t>&lt;</w:t>
      </w:r>
      <w:r>
        <w:rPr>
          <w:rFonts w:hint="eastAsia" w:ascii="Times New Roman" w:hAnsi="Times New Roman"/>
          <w:color w:val="000000"/>
          <w:kern w:val="0"/>
          <w:sz w:val="24"/>
        </w:rPr>
        <w:t>企业会计准则</w:t>
      </w:r>
      <w:r>
        <w:rPr>
          <w:rFonts w:hint="default" w:ascii="Times New Roman" w:hAnsi="Times New Roman"/>
          <w:color w:val="000000"/>
          <w:kern w:val="0"/>
          <w:sz w:val="24"/>
        </w:rPr>
        <w:t>&gt;</w:t>
      </w:r>
      <w:r>
        <w:rPr>
          <w:rFonts w:hint="eastAsia" w:ascii="Times New Roman" w:hAnsi="Times New Roman"/>
          <w:color w:val="000000"/>
          <w:kern w:val="0"/>
          <w:sz w:val="24"/>
        </w:rPr>
        <w:t>估值业务及份额净值计价有关事项的通知》，若在证券交易所挂牌的同一股票的市场交易收盘价低于非公开发行股票的初始投资成本，按估值日证券交易所挂牌的同一股票的市场交易收盘价估值；若在证券交易所挂牌的同一股票的市场交易收盘价高于非公开发行股票的初始投资成本，按锁定期内已经过交易所交易天数占锁定期内总交易所交易天数的比例将两者之间差价的一部分确认为估值增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根据《中国证券投资基金业协会估值核算工作小组关于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季度固定收益品种的估值处理标准》，在上海证券交易所、深圳证券交易所及银行间同业市场上市交易或挂牌转让的固定收益品种</w:t>
      </w:r>
      <w:r>
        <w:rPr>
          <w:rFonts w:hint="default" w:ascii="Times New Roman" w:hAnsi="Times New Roman"/>
          <w:color w:val="000000"/>
          <w:kern w:val="0"/>
          <w:sz w:val="24"/>
        </w:rPr>
        <w:t xml:space="preserve"> (</w:t>
      </w:r>
      <w:r>
        <w:rPr>
          <w:rFonts w:hint="eastAsia" w:ascii="Times New Roman" w:hAnsi="Times New Roman"/>
          <w:color w:val="000000"/>
          <w:kern w:val="0"/>
          <w:sz w:val="24"/>
        </w:rPr>
        <w:t>估值处理标准另有规定的除外</w:t>
      </w:r>
      <w:r>
        <w:rPr>
          <w:rFonts w:hint="default" w:ascii="Times New Roman" w:hAnsi="Times New Roman"/>
          <w:color w:val="000000"/>
          <w:kern w:val="0"/>
          <w:sz w:val="24"/>
        </w:rPr>
        <w:t xml:space="preserve">) </w:t>
      </w:r>
      <w:r>
        <w:rPr>
          <w:rFonts w:hint="eastAsia" w:ascii="Times New Roman" w:hAnsi="Times New Roman"/>
          <w:color w:val="000000"/>
          <w:kern w:val="0"/>
          <w:sz w:val="24"/>
        </w:rPr>
        <w:t>，采用第三方估值机构提供的价格数据进行估值。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本基金在本报告期内未发生重大会计政策变更。</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276" w:hRule="atLeast"/>
        </w:trPr>
        <w:tc>
          <w:tcPr>
            <w:tcW w:w="9028" w:type="dxa"/>
            <w:tcBorders>
              <w:top w:val="nil"/>
              <w:left w:val="nil"/>
              <w:bottom w:val="nil"/>
              <w:right w:val="nil"/>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本基金在本报告期内未发生重大会计估计变更。</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Height w:val="276" w:hRule="atLeast"/>
        </w:trPr>
        <w:tc>
          <w:tcPr>
            <w:tcW w:w="9028" w:type="dxa"/>
            <w:tcBorders>
              <w:top w:val="nil"/>
              <w:left w:val="nil"/>
              <w:bottom w:val="nil"/>
              <w:right w:val="nil"/>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本基金在本报告期内未发生重大会计差错更正。</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根据财税字</w:t>
      </w:r>
      <w:r>
        <w:rPr>
          <w:rFonts w:hint="default" w:ascii="Times New Roman" w:hAnsi="Times New Roman"/>
          <w:color w:val="000000"/>
          <w:kern w:val="0"/>
          <w:sz w:val="24"/>
        </w:rPr>
        <w:t>[1998]55</w:t>
      </w:r>
      <w:r>
        <w:rPr>
          <w:rFonts w:hint="eastAsia" w:ascii="Times New Roman" w:hAnsi="Times New Roman"/>
          <w:color w:val="000000"/>
          <w:kern w:val="0"/>
          <w:sz w:val="24"/>
        </w:rPr>
        <w:t>号文《财政部、国家税务总局关于证券投资基金税收问题的通知》、财税</w:t>
      </w:r>
      <w:r>
        <w:rPr>
          <w:rFonts w:hint="default" w:ascii="Times New Roman" w:hAnsi="Times New Roman"/>
          <w:color w:val="000000"/>
          <w:kern w:val="0"/>
          <w:sz w:val="24"/>
        </w:rPr>
        <w:t>[2002]128</w:t>
      </w:r>
      <w:r>
        <w:rPr>
          <w:rFonts w:hint="eastAsia" w:ascii="Times New Roman" w:hAnsi="Times New Roman"/>
          <w:color w:val="000000"/>
          <w:kern w:val="0"/>
          <w:sz w:val="24"/>
        </w:rPr>
        <w:t>号文《关于开放式证券投资基金有关税收问题的通知》、财税</w:t>
      </w:r>
      <w:r>
        <w:rPr>
          <w:rFonts w:hint="default" w:ascii="Times New Roman" w:hAnsi="Times New Roman"/>
          <w:color w:val="000000"/>
          <w:kern w:val="0"/>
          <w:sz w:val="24"/>
        </w:rPr>
        <w:t>[2004]78</w:t>
      </w:r>
      <w:r>
        <w:rPr>
          <w:rFonts w:hint="eastAsia" w:ascii="Times New Roman" w:hAnsi="Times New Roman"/>
          <w:color w:val="000000"/>
          <w:kern w:val="0"/>
          <w:sz w:val="24"/>
        </w:rPr>
        <w:t>号文《关于证券投资基金税收政策的通知》、财税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号文《财政部、国家税务总局、证监会关于实施上市公司股息红利差别化个人所得税政策有关问题的通知》、财税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号《财政部</w:t>
      </w:r>
      <w:r>
        <w:rPr>
          <w:rFonts w:hint="default" w:ascii="Times New Roman" w:hAnsi="Times New Roman"/>
          <w:color w:val="000000"/>
          <w:kern w:val="0"/>
          <w:sz w:val="24"/>
        </w:rPr>
        <w:t xml:space="preserve"> </w:t>
      </w:r>
      <w:r>
        <w:rPr>
          <w:rFonts w:hint="eastAsia" w:ascii="Times New Roman" w:hAnsi="Times New Roman"/>
          <w:color w:val="000000"/>
          <w:kern w:val="0"/>
          <w:sz w:val="24"/>
        </w:rPr>
        <w:t>国家税务总局</w:t>
      </w:r>
      <w:r>
        <w:rPr>
          <w:rFonts w:hint="default" w:ascii="Times New Roman" w:hAnsi="Times New Roman"/>
          <w:color w:val="000000"/>
          <w:kern w:val="0"/>
          <w:sz w:val="24"/>
        </w:rPr>
        <w:t xml:space="preserve"> </w:t>
      </w:r>
      <w:r>
        <w:rPr>
          <w:rFonts w:hint="eastAsia" w:ascii="Times New Roman" w:hAnsi="Times New Roman"/>
          <w:color w:val="000000"/>
          <w:kern w:val="0"/>
          <w:sz w:val="24"/>
        </w:rPr>
        <w:t>证监会关于上市公司股息红利差别化个人所得税政策有关问题的通知》、财税</w:t>
      </w:r>
      <w:r>
        <w:rPr>
          <w:rFonts w:hint="default" w:ascii="Times New Roman" w:hAnsi="Times New Roman"/>
          <w:color w:val="000000"/>
          <w:kern w:val="0"/>
          <w:sz w:val="24"/>
        </w:rPr>
        <w:t>[2005]103</w:t>
      </w:r>
      <w:r>
        <w:rPr>
          <w:rFonts w:hint="eastAsia" w:ascii="Times New Roman" w:hAnsi="Times New Roman"/>
          <w:color w:val="000000"/>
          <w:kern w:val="0"/>
          <w:sz w:val="24"/>
        </w:rPr>
        <w:t>号文《关于股权分置试点改革有关税收政策问题的通知》、上证交字</w:t>
      </w:r>
      <w:r>
        <w:rPr>
          <w:rFonts w:hint="default" w:ascii="Times New Roman" w:hAnsi="Times New Roman"/>
          <w:color w:val="000000"/>
          <w:kern w:val="0"/>
          <w:sz w:val="24"/>
        </w:rPr>
        <w:t>[2008]16</w:t>
      </w:r>
      <w:r>
        <w:rPr>
          <w:rFonts w:hint="eastAsia" w:ascii="Times New Roman" w:hAnsi="Times New Roman"/>
          <w:color w:val="000000"/>
          <w:kern w:val="0"/>
          <w:sz w:val="24"/>
        </w:rPr>
        <w:t>号《关于做好调整证券交易印花税税率相关工作的通知》及深圳证券交易所于</w:t>
      </w:r>
      <w:r>
        <w:rPr>
          <w:rFonts w:hint="default" w:ascii="Times New Roman" w:hAnsi="Times New Roman"/>
          <w:color w:val="000000"/>
          <w:kern w:val="0"/>
          <w:sz w:val="24"/>
        </w:rPr>
        <w:t>2008</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w:t>
      </w:r>
      <w:r>
        <w:rPr>
          <w:rFonts w:hint="default" w:ascii="Times New Roman" w:hAnsi="Times New Roman"/>
          <w:color w:val="000000"/>
          <w:kern w:val="0"/>
          <w:sz w:val="24"/>
        </w:rPr>
        <w:t>18</w:t>
      </w:r>
      <w:r>
        <w:rPr>
          <w:rFonts w:hint="eastAsia" w:ascii="Times New Roman" w:hAnsi="Times New Roman"/>
          <w:color w:val="000000"/>
          <w:kern w:val="0"/>
          <w:sz w:val="24"/>
        </w:rPr>
        <w:t>日发布的《深圳证券交易所关于做好证券交易印花税征收方式调整工作的通知》、财税</w:t>
      </w:r>
      <w:r>
        <w:rPr>
          <w:rFonts w:hint="default" w:ascii="Times New Roman" w:hAnsi="Times New Roman"/>
          <w:color w:val="000000"/>
          <w:kern w:val="0"/>
          <w:sz w:val="24"/>
        </w:rPr>
        <w:t xml:space="preserve"> [2008]1</w:t>
      </w:r>
      <w:r>
        <w:rPr>
          <w:rFonts w:hint="eastAsia" w:ascii="Times New Roman" w:hAnsi="Times New Roman"/>
          <w:color w:val="000000"/>
          <w:kern w:val="0"/>
          <w:sz w:val="24"/>
        </w:rPr>
        <w:t>号文《财政部、国家税务总局关于企业所得税若干优惠政策的通知》、财税</w:t>
      </w:r>
      <w:r>
        <w:rPr>
          <w:rFonts w:hint="default" w:ascii="Times New Roman" w:hAnsi="Times New Roman"/>
          <w:color w:val="000000"/>
          <w:kern w:val="0"/>
          <w:sz w:val="24"/>
        </w:rPr>
        <w:t>[2016]36</w:t>
      </w:r>
      <w:r>
        <w:rPr>
          <w:rFonts w:hint="eastAsia" w:ascii="Times New Roman" w:hAnsi="Times New Roman"/>
          <w:color w:val="000000"/>
          <w:kern w:val="0"/>
          <w:sz w:val="24"/>
        </w:rPr>
        <w:t>号文《财政部、国家税务总局关于全面推开营业税改征增值税试点的通知》、财税</w:t>
      </w:r>
      <w:r>
        <w:rPr>
          <w:rFonts w:hint="default" w:ascii="Times New Roman" w:hAnsi="Times New Roman"/>
          <w:color w:val="000000"/>
          <w:kern w:val="0"/>
          <w:sz w:val="24"/>
        </w:rPr>
        <w:t>[2016]140</w:t>
      </w:r>
      <w:r>
        <w:rPr>
          <w:rFonts w:hint="eastAsia" w:ascii="Times New Roman" w:hAnsi="Times New Roman"/>
          <w:color w:val="000000"/>
          <w:kern w:val="0"/>
          <w:sz w:val="24"/>
        </w:rPr>
        <w:t>号文《关于明确金融、房地产开发、教育辅助服务等增值税政策的通知》、财税</w:t>
      </w:r>
      <w:r>
        <w:rPr>
          <w:rFonts w:hint="default" w:ascii="Times New Roman" w:hAnsi="Times New Roman"/>
          <w:color w:val="000000"/>
          <w:kern w:val="0"/>
          <w:sz w:val="24"/>
        </w:rPr>
        <w:t>[2017]2</w:t>
      </w:r>
      <w:r>
        <w:rPr>
          <w:rFonts w:hint="eastAsia" w:ascii="Times New Roman" w:hAnsi="Times New Roman"/>
          <w:color w:val="000000"/>
          <w:kern w:val="0"/>
          <w:sz w:val="24"/>
        </w:rPr>
        <w:t>号文《关于资管产品增值税政策有关问题的补充通知》、财税</w:t>
      </w:r>
      <w:r>
        <w:rPr>
          <w:rFonts w:hint="default" w:ascii="Times New Roman" w:hAnsi="Times New Roman"/>
          <w:color w:val="000000"/>
          <w:kern w:val="0"/>
          <w:sz w:val="24"/>
        </w:rPr>
        <w:t>[2015] 125</w:t>
      </w:r>
      <w:r>
        <w:rPr>
          <w:rFonts w:hint="eastAsia" w:ascii="Times New Roman" w:hAnsi="Times New Roman"/>
          <w:color w:val="000000"/>
          <w:kern w:val="0"/>
          <w:sz w:val="24"/>
        </w:rPr>
        <w:t>号文《关于内地与香港基金互认有关税收政策的通知》及其他相关税务法规和实务操作，本基金适用的主要税项列示如下：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以发行基金方式募集资金，不属于营业税征收范围，不征收营业税。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证券投资基金管理人运用基金买卖股票、债券的差价收入暂免征收营业税和企业所得税。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日起，在全国范围内全面推开营业税改征增值税</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以下称营改增</w:t>
      </w:r>
      <w:r>
        <w:rPr>
          <w:rFonts w:hint="default" w:ascii="Times New Roman" w:hAnsi="Times New Roman"/>
          <w:color w:val="000000"/>
          <w:kern w:val="0"/>
          <w:sz w:val="24"/>
        </w:rPr>
        <w:t xml:space="preserve">) </w:t>
      </w:r>
      <w:r>
        <w:rPr>
          <w:rFonts w:hint="eastAsia" w:ascii="Times New Roman" w:hAnsi="Times New Roman"/>
          <w:color w:val="000000"/>
          <w:kern w:val="0"/>
          <w:sz w:val="24"/>
        </w:rPr>
        <w:t>试点</w:t>
      </w:r>
      <w:r>
        <w:rPr>
          <w:rFonts w:hint="default" w:ascii="Times New Roman" w:hAnsi="Times New Roman"/>
          <w:color w:val="000000"/>
          <w:kern w:val="0"/>
          <w:sz w:val="24"/>
        </w:rPr>
        <w:t xml:space="preserve">, </w:t>
      </w:r>
      <w:r>
        <w:rPr>
          <w:rFonts w:hint="eastAsia" w:ascii="Times New Roman" w:hAnsi="Times New Roman"/>
          <w:color w:val="000000"/>
          <w:kern w:val="0"/>
          <w:sz w:val="24"/>
        </w:rPr>
        <w:t>建筑业、房地产业、金融业、生活服务业等全部营业税纳税人</w:t>
      </w:r>
      <w:r>
        <w:rPr>
          <w:rFonts w:hint="default" w:ascii="Times New Roman" w:hAnsi="Times New Roman"/>
          <w:color w:val="000000"/>
          <w:kern w:val="0"/>
          <w:sz w:val="24"/>
        </w:rPr>
        <w:t xml:space="preserve">, </w:t>
      </w:r>
      <w:r>
        <w:rPr>
          <w:rFonts w:hint="eastAsia" w:ascii="Times New Roman" w:hAnsi="Times New Roman"/>
          <w:color w:val="000000"/>
          <w:kern w:val="0"/>
          <w:sz w:val="24"/>
        </w:rPr>
        <w:t>纳入试点范围，由缴纳营业税改为缴纳增值税。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封闭式证券投资基金，开放式证券投资基金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管理人运用基金买卖股票、债券收入免征增值税。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对香港市场投资者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包括单位和个人</w:t>
      </w:r>
      <w:r>
        <w:rPr>
          <w:rFonts w:hint="default" w:ascii="Times New Roman" w:hAnsi="Times New Roman"/>
          <w:color w:val="000000"/>
          <w:kern w:val="0"/>
          <w:sz w:val="24"/>
        </w:rPr>
        <w:t xml:space="preserve">) </w:t>
      </w:r>
      <w:r>
        <w:rPr>
          <w:rFonts w:hint="eastAsia" w:ascii="Times New Roman" w:hAnsi="Times New Roman"/>
          <w:color w:val="000000"/>
          <w:kern w:val="0"/>
          <w:sz w:val="24"/>
        </w:rPr>
        <w:t>通过基金互认买卖内地基金份额免征增值税。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 xml:space="preserve"> (</w:t>
      </w:r>
      <w:r>
        <w:rPr>
          <w:rFonts w:hint="eastAsia" w:ascii="Times New Roman" w:hAnsi="Times New Roman"/>
          <w:color w:val="000000"/>
          <w:kern w:val="0"/>
          <w:sz w:val="24"/>
        </w:rPr>
        <w:t>含</w:t>
      </w:r>
      <w:r>
        <w:rPr>
          <w:rFonts w:hint="default" w:ascii="Times New Roman" w:hAnsi="Times New Roman"/>
          <w:color w:val="000000"/>
          <w:kern w:val="0"/>
          <w:sz w:val="24"/>
        </w:rPr>
        <w:t xml:space="preserve">) </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日前运营过程中发生的增值税应税行为，未缴纳增值税的，不再缴纳；已缴纳增值税的，已纳税额从资管产品管理人以后月份的增值税应纳税额中抵减。因此，截至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日，本基金没有计提有关增值税费用。</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基金作为流通股股东在股权分置改革过程中收到由非流通股股东支付的股份、现金对价，暂免征收印花税、企业所得税和个人所得税。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(e)</w:t>
      </w:r>
      <w:r>
        <w:rPr>
          <w:rFonts w:hint="eastAsia" w:ascii="Times New Roman" w:hAnsi="Times New Roman"/>
          <w:color w:val="000000"/>
          <w:kern w:val="0"/>
          <w:sz w:val="24"/>
        </w:rPr>
        <w:t>对基金取得的股票的股息、红利收入，债券的利息收入，由上市公司、发行债券的企业在向基金支付上述收入时代扣代缴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的个人所得税。自</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日起，对所取得的股息红利收入根据持股期限差别化计算个人所得税的应纳税所得额：持股期限在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 xml:space="preserve"> (</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 xml:space="preserve">) </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 xml:space="preserve"> (</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 xml:space="preserve">) </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年的，股权登记日为自</w:t>
      </w:r>
      <w:r>
        <w:rPr>
          <w:rFonts w:hint="default" w:ascii="Times New Roman" w:hAnsi="Times New Roman"/>
          <w:color w:val="000000"/>
          <w:kern w:val="0"/>
          <w:sz w:val="24"/>
        </w:rPr>
        <w:t>2013</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日期间的，暂减按</w:t>
      </w:r>
      <w:r>
        <w:rPr>
          <w:rFonts w:hint="default" w:ascii="Times New Roman" w:hAnsi="Times New Roman"/>
          <w:color w:val="000000"/>
          <w:kern w:val="0"/>
          <w:sz w:val="24"/>
        </w:rPr>
        <w:t>25%</w:t>
      </w:r>
      <w:r>
        <w:rPr>
          <w:rFonts w:hint="eastAsia" w:ascii="Times New Roman" w:hAnsi="Times New Roman"/>
          <w:color w:val="000000"/>
          <w:kern w:val="0"/>
          <w:sz w:val="24"/>
        </w:rPr>
        <w:t>计入应纳税所得额，股权登记日在</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9</w:t>
      </w:r>
      <w:r>
        <w:rPr>
          <w:rFonts w:hint="eastAsia" w:ascii="Times New Roman" w:hAnsi="Times New Roman"/>
          <w:color w:val="000000"/>
          <w:kern w:val="0"/>
          <w:sz w:val="24"/>
        </w:rPr>
        <w:t>月</w:t>
      </w:r>
      <w:r>
        <w:rPr>
          <w:rFonts w:hint="default" w:ascii="Times New Roman" w:hAnsi="Times New Roman"/>
          <w:color w:val="000000"/>
          <w:kern w:val="0"/>
          <w:sz w:val="24"/>
        </w:rPr>
        <w:t>8</w:t>
      </w:r>
      <w:r>
        <w:rPr>
          <w:rFonts w:hint="eastAsia" w:ascii="Times New Roman" w:hAnsi="Times New Roman"/>
          <w:color w:val="000000"/>
          <w:kern w:val="0"/>
          <w:sz w:val="24"/>
        </w:rPr>
        <w:t>日及以后的，暂免征收个人所得税。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(f)</w:t>
      </w:r>
      <w:r>
        <w:rPr>
          <w:rFonts w:hint="eastAsia" w:ascii="Times New Roman" w:hAnsi="Times New Roman"/>
          <w:color w:val="000000"/>
          <w:kern w:val="0"/>
          <w:sz w:val="24"/>
        </w:rPr>
        <w:t>关于香港市场投资者通过基金互认买卖内地基金份额的所得税问题：</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对香港市场投资者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包括企业和个人</w:t>
      </w:r>
      <w:r>
        <w:rPr>
          <w:rFonts w:hint="default" w:ascii="Times New Roman" w:hAnsi="Times New Roman"/>
          <w:color w:val="000000"/>
          <w:kern w:val="0"/>
          <w:sz w:val="24"/>
        </w:rPr>
        <w:t xml:space="preserve">) </w:t>
      </w:r>
      <w:r>
        <w:rPr>
          <w:rFonts w:hint="eastAsia" w:ascii="Times New Roman" w:hAnsi="Times New Roman"/>
          <w:color w:val="000000"/>
          <w:kern w:val="0"/>
          <w:sz w:val="24"/>
        </w:rPr>
        <w:t>通过基金互认买卖内地基金份额取得的转让差价所得，暂免征收所得税。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对香港市场投资者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包括企业和个人</w:t>
      </w:r>
      <w:r>
        <w:rPr>
          <w:rFonts w:hint="default" w:ascii="Times New Roman" w:hAnsi="Times New Roman"/>
          <w:color w:val="000000"/>
          <w:kern w:val="0"/>
          <w:sz w:val="24"/>
        </w:rPr>
        <w:t xml:space="preserve">) </w:t>
      </w:r>
      <w:r>
        <w:rPr>
          <w:rFonts w:hint="eastAsia" w:ascii="Times New Roman" w:hAnsi="Times New Roman"/>
          <w:color w:val="000000"/>
          <w:kern w:val="0"/>
          <w:sz w:val="24"/>
        </w:rPr>
        <w:t>通过基金互认从内地基金分配取得的收益，由内地上市公司向该内地基金分配股息红利时</w:t>
      </w:r>
      <w:r>
        <w:rPr>
          <w:rFonts w:hint="default" w:ascii="Times New Roman" w:eastAsia="Times New Roman"/>
          <w:color w:val="000000"/>
          <w:kern w:val="0"/>
          <w:sz w:val="24"/>
        </w:rPr>
        <w:t>,</w:t>
      </w:r>
      <w:r>
        <w:rPr>
          <w:rFonts w:hint="eastAsia" w:ascii="Times New Roman" w:hAnsi="Times New Roman"/>
          <w:color w:val="000000"/>
          <w:kern w:val="0"/>
          <w:sz w:val="24"/>
        </w:rPr>
        <w:t>对香港市场投资者按照</w:t>
      </w:r>
      <w:r>
        <w:rPr>
          <w:rFonts w:hint="default" w:ascii="Times New Roman" w:hAnsi="Times New Roman"/>
          <w:color w:val="000000"/>
          <w:kern w:val="0"/>
          <w:sz w:val="24"/>
        </w:rPr>
        <w:t>10%</w:t>
      </w:r>
      <w:r>
        <w:rPr>
          <w:rFonts w:hint="eastAsia" w:ascii="Times New Roman" w:hAnsi="Times New Roman"/>
          <w:color w:val="000000"/>
          <w:kern w:val="0"/>
          <w:sz w:val="24"/>
        </w:rPr>
        <w:t>的税率代扣所得税；或发行债券的企业向该内地基金分配利息时</w:t>
      </w:r>
      <w:r>
        <w:rPr>
          <w:rFonts w:hint="default" w:ascii="Times New Roman" w:hAnsi="Times New Roman"/>
          <w:color w:val="000000"/>
          <w:kern w:val="0"/>
          <w:sz w:val="24"/>
        </w:rPr>
        <w:t xml:space="preserve">, </w:t>
      </w:r>
      <w:r>
        <w:rPr>
          <w:rFonts w:hint="eastAsia" w:ascii="Times New Roman" w:hAnsi="Times New Roman"/>
          <w:color w:val="000000"/>
          <w:kern w:val="0"/>
          <w:sz w:val="24"/>
        </w:rPr>
        <w:t>对香港市场投资者按照</w:t>
      </w:r>
      <w:r>
        <w:rPr>
          <w:rFonts w:hint="default" w:ascii="Times New Roman" w:hAnsi="Times New Roman"/>
          <w:color w:val="000000"/>
          <w:kern w:val="0"/>
          <w:sz w:val="24"/>
        </w:rPr>
        <w:t>7%</w:t>
      </w:r>
      <w:r>
        <w:rPr>
          <w:rFonts w:hint="eastAsia" w:ascii="Times New Roman" w:hAnsi="Times New Roman"/>
          <w:color w:val="000000"/>
          <w:kern w:val="0"/>
          <w:sz w:val="24"/>
        </w:rPr>
        <w:t>的税率代扣所得税，并由内地上市公司或发行债券的企业向其主管税务机关办理扣缴申报。该内地基金向投资者分配收益时</w:t>
      </w:r>
      <w:r>
        <w:rPr>
          <w:rFonts w:hint="default" w:ascii="Times New Roman" w:eastAsia="Times New Roman"/>
          <w:color w:val="000000"/>
          <w:kern w:val="0"/>
          <w:sz w:val="24"/>
        </w:rPr>
        <w:t>,</w:t>
      </w:r>
      <w:r>
        <w:rPr>
          <w:rFonts w:hint="eastAsia" w:ascii="Times New Roman" w:hAnsi="Times New Roman"/>
          <w:color w:val="000000"/>
          <w:kern w:val="0"/>
          <w:sz w:val="24"/>
        </w:rPr>
        <w:t>不再扣缴所得税。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内地基金管理人应当向相关证券登记结算机构提供内地基金的香港市场投资者的相关信息。</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(g)</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(h)</w:t>
      </w:r>
      <w:r>
        <w:rPr>
          <w:rFonts w:hint="eastAsia" w:ascii="Times New Roman" w:hAnsi="Times New Roman"/>
          <w:color w:val="000000"/>
          <w:kern w:val="0"/>
          <w:sz w:val="24"/>
        </w:rPr>
        <w:t>对投资者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包括个人和机构投资者</w:t>
      </w:r>
      <w:r>
        <w:rPr>
          <w:rFonts w:hint="default" w:ascii="Times New Roman" w:hAnsi="Times New Roman"/>
          <w:color w:val="000000"/>
          <w:kern w:val="0"/>
          <w:sz w:val="24"/>
        </w:rPr>
        <w:t xml:space="preserve">) </w:t>
      </w:r>
      <w:r>
        <w:rPr>
          <w:rFonts w:hint="eastAsia" w:ascii="Times New Roman" w:hAnsi="Times New Roman"/>
          <w:color w:val="000000"/>
          <w:kern w:val="0"/>
          <w:sz w:val="24"/>
        </w:rPr>
        <w:t>从基金分配中取得的收入，暂不征收个人所得税和企业所得税。</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2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2,579,015.30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620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2,579,015.30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80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150,348,365.75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147,482,505.00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-2,865,860.75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381,168,561.85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377,219,500.00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-3,949,061.85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531,516,927.60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524,702,005.00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-6,814,922.60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77,105,586.30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77,067,586.30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608,622,513.90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601,769,591.30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-6,852,922.60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各项买入返售金融资产期末余额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本基金本报告期末无买入返售金融资产。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7.4.7.4.2 </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本基金本报告期末无买断式逆回购交易中取得的债券。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应收活期存款利息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1,147.20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应收定期存款利息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应收其他存款利息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应收结算备付金利息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4,693.92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应收债券利息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12,399,569.63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应收买入返售证券利息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应收申购款利息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应收黄金合约拆借孳息</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365,339.40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12,770,750.15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本基金本报告期末无其他资产。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银行间市场应付交易费用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1,386.36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应付券商交易单元保证金</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预提费用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日（基金合同生效日）至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200,122,552.48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200,122,552.48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302,882,202.95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302,882,202.95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-3,026,073.56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-3,026,073.56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499,978,681.87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499,978,681.87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申购含红利再投、转换入份（金）额，赎回含转换出份（金）额。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本基金自</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4</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5</w:t>
      </w:r>
      <w:r>
        <w:rPr>
          <w:rFonts w:hint="eastAsia" w:ascii="Times New Roman" w:hAnsi="Times New Roman"/>
          <w:color w:val="000000"/>
          <w:kern w:val="0"/>
          <w:sz w:val="21"/>
        </w:rPr>
        <w:t>日止期间公开发售，共募集有效净认购资金</w:t>
      </w:r>
      <w:r>
        <w:rPr>
          <w:rFonts w:hint="default" w:ascii="Times New Roman" w:hAnsi="Times New Roman"/>
          <w:color w:val="000000"/>
          <w:kern w:val="0"/>
          <w:sz w:val="21"/>
        </w:rPr>
        <w:t>200,122,552.48</w:t>
      </w:r>
      <w:r>
        <w:rPr>
          <w:rFonts w:hint="eastAsia" w:ascii="Times New Roman" w:hAnsi="Times New Roman"/>
          <w:color w:val="000000"/>
          <w:kern w:val="0"/>
          <w:sz w:val="21"/>
        </w:rPr>
        <w:t>元。根据《创金合信尊盈纯债债券型证券投资基金招募说明书》的规定，本基金设立募集期内认购资金产生的利息收入</w:t>
      </w:r>
      <w:r>
        <w:rPr>
          <w:rFonts w:hint="default" w:ascii="Times New Roman" w:hAnsi="Times New Roman"/>
          <w:color w:val="000000"/>
          <w:kern w:val="0"/>
          <w:sz w:val="21"/>
        </w:rPr>
        <w:t>9,002.85</w:t>
      </w:r>
      <w:r>
        <w:rPr>
          <w:rFonts w:hint="eastAsia" w:ascii="Times New Roman" w:hAnsi="Times New Roman"/>
          <w:color w:val="000000"/>
          <w:kern w:val="0"/>
          <w:sz w:val="21"/>
        </w:rPr>
        <w:t>元，在本基金成立后折算为</w:t>
      </w:r>
      <w:r>
        <w:rPr>
          <w:rFonts w:hint="default" w:ascii="Times New Roman" w:hAnsi="Times New Roman"/>
          <w:color w:val="000000"/>
          <w:kern w:val="0"/>
          <w:sz w:val="21"/>
        </w:rPr>
        <w:t>9,002.85</w:t>
      </w:r>
      <w:r>
        <w:rPr>
          <w:rFonts w:hint="eastAsia" w:ascii="Times New Roman" w:hAnsi="Times New Roman"/>
          <w:color w:val="000000"/>
          <w:kern w:val="0"/>
          <w:sz w:val="21"/>
        </w:rPr>
        <w:t>份基金份额，划入基金份额持有人账户。</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23,007,071.87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-6,852,922.60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16,154,149.27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639,362.70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1,500,441.75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2,139,804.45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686,223.31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1,515,966.48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2,202,189.79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-46,860.61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-15,524.73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-62,385.34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-21,009,274.15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-21,009,274.15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2,637,160.42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-5,352,480.85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-2,715,320.43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116,001.57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结算备付金利息收入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50,565.55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332,095.73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本基金本报告期内无股票投资收益。</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7.4.7.13.1 </w:t>
      </w:r>
      <w:r>
        <w:rPr>
          <w:rFonts w:hint="eastAsia" w:ascii="Times New Roman" w:hAnsi="Times New Roman"/>
          <w:b/>
          <w:color w:val="000000"/>
          <w:kern w:val="0"/>
          <w:sz w:val="24"/>
        </w:rPr>
        <w:t>债券投资收益项目构成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买卖债券（、债转股及债券到期兑付）差价收入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1,035,198.84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赎回差价收入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债券投资收益</w:t>
            </w:r>
            <w:r>
              <w:rPr>
                <w:rFonts w:hint="default" w:ascii="Times New Roman" w:hAnsi="Times New Roman"/>
                <w:color w:val="000000"/>
                <w:kern w:val="0"/>
                <w:sz w:val="24"/>
              </w:rPr>
              <w:t>——</w:t>
            </w:r>
            <w:r>
              <w:rPr>
                <w:rFonts w:hint="eastAsia" w:ascii="Times New Roman" w:hAnsi="Times New Roman"/>
                <w:color w:val="000000"/>
                <w:kern w:val="0"/>
                <w:sz w:val="24"/>
              </w:rPr>
              <w:t>申购差价收入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1,035,198.84</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7.4.7.13.2 </w:t>
      </w:r>
      <w:r>
        <w:rPr>
          <w:rFonts w:hint="eastAsia" w:ascii="Times New Roman" w:hAnsi="Times New Roman"/>
          <w:b/>
          <w:color w:val="000000"/>
          <w:kern w:val="0"/>
          <w:sz w:val="24"/>
        </w:rPr>
        <w:t>债券投资收益</w:t>
      </w:r>
      <w:r>
        <w:rPr>
          <w:rFonts w:hint="default" w:ascii="Times New Roman" w:hAnsi="Times New Roman"/>
          <w:b/>
          <w:color w:val="000000"/>
          <w:kern w:val="0"/>
          <w:sz w:val="24"/>
        </w:rPr>
        <w:t>——</w:t>
      </w:r>
      <w:r>
        <w:rPr>
          <w:rFonts w:hint="eastAsia" w:ascii="Times New Roman" w:hAnsi="Times New Roman"/>
          <w:b/>
          <w:color w:val="000000"/>
          <w:kern w:val="0"/>
          <w:sz w:val="24"/>
        </w:rPr>
        <w:t>买卖债券差价收入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卖出债券（、债转股及债券到期兑付）成交总额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308,321,593.07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减：卖出债券（、债转股及债券到期兑付）成本总额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301,304,386.15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减：应收利息总额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5,982,008.08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买卖债券差价收入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1,035,198.84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7.4.7.13.3 </w:t>
      </w:r>
      <w:r>
        <w:rPr>
          <w:rFonts w:hint="eastAsia" w:ascii="Times New Roman" w:hAnsi="Times New Roman"/>
          <w:b/>
          <w:color w:val="000000"/>
          <w:kern w:val="0"/>
          <w:sz w:val="24"/>
        </w:rPr>
        <w:t>资产支持证券投资收益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卖出资产支持证券成交总额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20,027,630.14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减：卖出资产支持证券成本总额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20,054,805.48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减：应收利息总额</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40,372.60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资产支持证券投资收益</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-67,547.94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本基金本报告期内无衍生工具收益。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本基金本报告期内无股利收益。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-6,852,922.60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-6,814,922.60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-6,852,922.60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基金赎回费收入</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1,431.58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1,431.58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银行间市场交易费用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7,428.90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8,076.59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审计费用</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帐户维护费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汇划手续费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11,659.30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查询服务费</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187,259.30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截至资产负债表日，本基金无须作披露的或有事项。</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截至本财务报表批准报出日，本基金无需作披露的资产负债表日后事项。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招商银行股份有限公司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“招商银行”</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深圳市金合信投资合伙企业（有限合伙）</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第一创业证券股份有限公司</w:t>
            </w:r>
            <w:r>
              <w:rPr>
                <w:rFonts w:hint="default" w:ascii="Times New Roman" w:hAnsi="Times New Roman"/>
                <w:color w:val="000000"/>
                <w:kern w:val="0"/>
                <w:sz w:val="24"/>
              </w:rPr>
              <w:t>(</w:t>
            </w:r>
            <w:r>
              <w:rPr>
                <w:rFonts w:hint="eastAsia" w:ascii="Times New Roman" w:hAnsi="Times New Roman"/>
                <w:color w:val="000000"/>
                <w:kern w:val="0"/>
                <w:sz w:val="24"/>
              </w:rPr>
              <w:t>“第一创业证券”</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本基金本报告期内无通过关联方交易单元进行的股票交易。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债券交易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87,998,365.75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债券回购交易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占当期债券回购成交总额的比例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10,321,000,000.00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7.4.10.1.4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本基金本报告期内无通过关联方交易单元进行的权证交易。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7.4.10.1.5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本基金本报告期内无应支付关联方的佣金。</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当期发生的基金应支付的管理费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1,397,388.72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其中：支付销售机构的客户维护费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810.63</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注：支付基金管理人创金合信基金管理有限公司的基金管理人报酬按前一日基金资产净值×</w:t>
      </w:r>
      <w:r>
        <w:rPr>
          <w:rFonts w:hint="default" w:ascii="Times New Roman" w:hAnsi="Times New Roman"/>
          <w:color w:val="000000"/>
          <w:kern w:val="0"/>
          <w:sz w:val="21"/>
        </w:rPr>
        <w:t>0.30%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日基金管理费＝前一日基金资产净值×</w:t>
      </w:r>
      <w:r>
        <w:rPr>
          <w:rFonts w:hint="default" w:ascii="Times New Roman" w:hAnsi="Times New Roman"/>
          <w:color w:val="000000"/>
          <w:kern w:val="0"/>
          <w:sz w:val="21"/>
        </w:rPr>
        <w:t>0.30%</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当期发生的基金应支付的托管费</w:t>
            </w:r>
          </w:p>
        </w:tc>
        <w:tc>
          <w:tcPr>
            <w:tcW w:w="656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465,796.26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注：支付基金托管人招商银行的基金托管费按前一日基金资产净值×</w:t>
      </w:r>
      <w:r>
        <w:rPr>
          <w:rFonts w:hint="default" w:ascii="Times New Roman" w:hAnsi="Times New Roman"/>
          <w:color w:val="000000"/>
          <w:kern w:val="0"/>
          <w:sz w:val="21"/>
        </w:rPr>
        <w:t>0.10%</w:t>
      </w:r>
      <w:r>
        <w:rPr>
          <w:rFonts w:hint="eastAsia" w:ascii="Times New Roman" w:hAnsi="Times New Roman"/>
          <w:color w:val="000000"/>
          <w:kern w:val="0"/>
          <w:sz w:val="21"/>
        </w:rPr>
        <w:t>的年费率计提，逐日累计至每月月底，按月支付。其计算公式为：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日基金托管费＝前一日基金资产净值×</w:t>
      </w:r>
      <w:r>
        <w:rPr>
          <w:rFonts w:hint="default" w:ascii="Times New Roman" w:hAnsi="Times New Roman"/>
          <w:color w:val="000000"/>
          <w:kern w:val="0"/>
          <w:sz w:val="21"/>
        </w:rPr>
        <w:t>0.10%</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本基金本报告期内与关联方无银行间同业市场的债券（含回购）交易。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本报告期内无基金管理人运用固有资金投资本基金的情况。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本报告期末无除管理人之外的其他关联方投资本基金的情况。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3612"/>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招商银行活期存款</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2,579,015.30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116,001.57</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注：本基金的银行存款由基金托管人招商银行保管，按金融机构同业存款利率计息。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本基金本报告期内无在承销期内参与关联方承销证券的情况。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084"/>
        <w:gridCol w:w="1445"/>
        <w:gridCol w:w="1445"/>
        <w:gridCol w:w="1083"/>
        <w:gridCol w:w="1445"/>
        <w:gridCol w:w="1084"/>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权益</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登记日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除息日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每</w:t>
            </w:r>
            <w:r>
              <w:rPr>
                <w:rFonts w:hint="default" w:ascii="Times New Roman" w:hAnsi="Times New Roman"/>
                <w:color w:val="000000"/>
                <w:kern w:val="0"/>
                <w:sz w:val="24"/>
              </w:rPr>
              <w:t>10</w:t>
            </w:r>
            <w:r>
              <w:rPr>
                <w:rFonts w:hint="eastAsia" w:ascii="Times New Roman" w:hAnsi="Times New Roman"/>
                <w:color w:val="000000"/>
                <w:kern w:val="0"/>
                <w:sz w:val="24"/>
              </w:rPr>
              <w:t>份基金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份额分红数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现金形式</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发放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再投资形式</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发放</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利润分配</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2016-07-29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2016-07-29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0.250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12,505,548.75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2,012.12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12,507,560.87</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2016-11-14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0.170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8,500,043.36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1,669.92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8,501,713.28</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21,005,592.11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3,682.04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21,009,274.15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本基金无因认购新发</w:t>
      </w:r>
      <w:r>
        <w:rPr>
          <w:rFonts w:hint="default" w:ascii="Times New Roman" w:hAnsi="Times New Roman"/>
          <w:color w:val="000000"/>
          <w:kern w:val="0"/>
          <w:sz w:val="24"/>
        </w:rPr>
        <w:t>/</w:t>
      </w:r>
      <w:r>
        <w:rPr>
          <w:rFonts w:hint="eastAsia" w:ascii="Times New Roman" w:hAnsi="Times New Roman"/>
          <w:color w:val="000000"/>
          <w:kern w:val="0"/>
          <w:sz w:val="24"/>
        </w:rPr>
        <w:t>增发证券而于期末持有的流通受限的证券。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本基金未持有暂时停牌等流通受限股票。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日止，本基金从事银行间市场债券正回购交易形成的卖出回购证券款余额为</w:t>
      </w:r>
      <w:r>
        <w:rPr>
          <w:rFonts w:hint="default" w:ascii="Times New Roman" w:hAnsi="Times New Roman"/>
          <w:color w:val="000000"/>
          <w:kern w:val="0"/>
          <w:sz w:val="24"/>
        </w:rPr>
        <w:t>7,055,869.42</w:t>
      </w:r>
      <w:r>
        <w:rPr>
          <w:rFonts w:hint="eastAsia" w:ascii="Times New Roman" w:hAnsi="Times New Roman"/>
          <w:color w:val="000000"/>
          <w:kern w:val="0"/>
          <w:sz w:val="24"/>
        </w:rPr>
        <w:t>元，是以如下债券作为质押：</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806"/>
        <w:gridCol w:w="1445"/>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回购到期日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期末估值单价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101654002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平安租赁</w:t>
            </w:r>
            <w:r>
              <w:rPr>
                <w:rFonts w:hint="default" w:ascii="Times New Roman" w:hAnsi="Times New Roman"/>
                <w:color w:val="000000"/>
                <w:kern w:val="0"/>
                <w:sz w:val="24"/>
              </w:rPr>
              <w:t>MTN001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2017-01-04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7,164,000.00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7,164,000.00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日止，基金从事证券交易所债券正回购交易形成的卖出回购证券款余额</w:t>
      </w:r>
      <w:r>
        <w:rPr>
          <w:rFonts w:hint="default" w:ascii="Times New Roman" w:hAnsi="Times New Roman"/>
          <w:color w:val="000000"/>
          <w:kern w:val="0"/>
          <w:sz w:val="24"/>
        </w:rPr>
        <w:t>122,000,000.00</w:t>
      </w:r>
      <w:r>
        <w:rPr>
          <w:rFonts w:hint="eastAsia" w:ascii="Times New Roman" w:hAnsi="Times New Roman"/>
          <w:color w:val="000000"/>
          <w:kern w:val="0"/>
          <w:sz w:val="24"/>
        </w:rPr>
        <w:t>元，于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日到期。该类交易要求本基金在回购期内持有的证券交易所交易的债券和</w:t>
      </w:r>
      <w:r>
        <w:rPr>
          <w:rFonts w:hint="default" w:ascii="Times New Roman" w:hAnsi="Times New Roman"/>
          <w:color w:val="000000"/>
          <w:kern w:val="0"/>
          <w:sz w:val="24"/>
        </w:rPr>
        <w:t>/</w:t>
      </w:r>
      <w:r>
        <w:rPr>
          <w:rFonts w:hint="eastAsia" w:ascii="Times New Roman" w:hAnsi="Times New Roman"/>
          <w:color w:val="000000"/>
          <w:kern w:val="0"/>
          <w:sz w:val="24"/>
        </w:rPr>
        <w:t>或在新质押式回购下转入质押库的债券，按证券交易所规定的比例折算为标准券后，不低于债券回购交易的余额。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7.4.13.2</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招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7.4.13.2.1 </w:t>
      </w:r>
      <w:r>
        <w:rPr>
          <w:rFonts w:hint="eastAsia" w:ascii="Times New Roman" w:hAnsi="Times New Roman"/>
          <w:b/>
          <w:color w:val="000000"/>
          <w:kern w:val="0"/>
          <w:sz w:val="24"/>
        </w:rPr>
        <w:t>按短期信用评级列示的债券投资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短期信用评级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A-1</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A-1</w:t>
            </w:r>
            <w:r>
              <w:rPr>
                <w:rFonts w:hint="eastAsia" w:ascii="Times New Roman" w:hAnsi="Times New Roman"/>
                <w:color w:val="000000"/>
                <w:kern w:val="0"/>
                <w:sz w:val="24"/>
              </w:rPr>
              <w:t>以下</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39,968,000.00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39,968,000.00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注：未评级债券为国债、央行票据及政策性金融债等利率债券。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7.4.13.2.2 </w:t>
      </w:r>
      <w:r>
        <w:rPr>
          <w:rFonts w:hint="eastAsia" w:ascii="Times New Roman" w:hAnsi="Times New Roman"/>
          <w:b/>
          <w:color w:val="000000"/>
          <w:kern w:val="0"/>
          <w:sz w:val="24"/>
        </w:rPr>
        <w:t>按长期信用评级列示的债券投资</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长期信用评级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AAA</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178,856,500.00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AAA</w:t>
            </w:r>
            <w:r>
              <w:rPr>
                <w:rFonts w:hint="eastAsia" w:ascii="Times New Roman" w:hAnsi="Times New Roman"/>
                <w:color w:val="000000"/>
                <w:kern w:val="0"/>
                <w:sz w:val="24"/>
              </w:rPr>
              <w:t>以下</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313,588,091.30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left"/>
              <w:rPr>
                <w:rFonts w:hint="default" w:ascii="Times New Roman" w:eastAsia="Times New Roman"/>
                <w:color w:val="000000"/>
                <w:kern w:val="0"/>
                <w:sz w:val="23"/>
              </w:rPr>
            </w:pP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未评级</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69,357,000.00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583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561,801,591.30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注：未评级债券为国债、央行票据及政策性金融债等利率债券。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。本基金所持大部分证券在证券交易所上市，其余亦可在银行间同业市场交易，因此除附注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145"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2,579,015.30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2,579,015.30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9,482,692.32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9,482,692.32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4,934.02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4,934.02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121,103,000.00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480,469,086.30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197,505.00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601,769,591.30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12,770,750.15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12,770,750.15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133,169,641.64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480,469,086.30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197,505.00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12,770,750.15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626,606,983.09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129,055,869.42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129,055,869.42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46,595.38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46,595.38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98.70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126,474.39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126,474.39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42,158.15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42,158.15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1,386.36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1,386.36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9,039.25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9,039.25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129,055,869.42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287,752.23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129,343,621.65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4,113,772.22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480,469,086.30</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197,505.00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12,482,997.92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497,263,361.44</w:t>
            </w:r>
          </w:p>
        </w:tc>
      </w:tr>
    </w:tbl>
    <w:p>
      <w:pPr>
        <w:autoSpaceDE w:val="0"/>
        <w:autoSpaceDN w:val="0"/>
        <w:adjustRightInd w:val="0"/>
        <w:spacing w:before="145"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2889"/>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假设</w:t>
            </w:r>
          </w:p>
        </w:tc>
        <w:tc>
          <w:tcPr>
            <w:tcW w:w="794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除市场利率以外的其他市场变量保持不变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nil"/>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nil"/>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市场利率上升</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-2,098,558.62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市场利率下降</w:t>
            </w:r>
            <w:r>
              <w:rPr>
                <w:rFonts w:hint="default" w:ascii="Times New Roman" w:hAnsi="Times New Roman"/>
                <w:color w:val="000000"/>
                <w:kern w:val="0"/>
                <w:sz w:val="24"/>
              </w:rPr>
              <w:t>25</w:t>
            </w:r>
            <w:r>
              <w:rPr>
                <w:rFonts w:hint="eastAsia" w:ascii="Times New Roman" w:hAnsi="Times New Roman"/>
                <w:color w:val="000000"/>
                <w:kern w:val="0"/>
                <w:sz w:val="24"/>
              </w:rPr>
              <w:t>个基点</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2,113,828.52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外汇风险是指金融工具的公允价值或未来现金流量因外汇汇率变动而发生波动的风险。本基金的所有资产及负债以人民币计价，因此无重大外汇风险。</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承受的其他价格风险，主要是基金所持金融工具的公允价值或未来现金流量因除市场利率和外汇汇率以外的市场价格因素变动而发生波动的风险。本基金的其他价格风险，主要受到证券交易所上市的股票整体涨跌趋势的影响，由所持有的金融工具的公允价值决定。本基金通过投资组合的分散化降低其他价格风险，并且本基金管理人每日对本基金所持有的证券价格实施监控，通过组合估值、行业配置分析等进行市场价格风险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本基金本报告期末未持有交易性权益类投资，因此除市场利率和外汇汇率以外的市场价格因素的变动对于本基金资产净值无重大影响。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p>
      <w:pPr>
        <w:autoSpaceDE w:val="0"/>
        <w:autoSpaceDN w:val="0"/>
        <w:adjustRightInd w:val="0"/>
        <w:spacing w:before="29" w:beforeLines="0" w:afterLines="0" w:line="288" w:lineRule="auto"/>
        <w:ind w:left="15"/>
        <w:jc w:val="left"/>
        <w:rPr>
          <w:rFonts w:hint="default" w:ascii="宋体"/>
          <w:color w:val="000000"/>
          <w:kern w:val="0"/>
          <w:sz w:val="24"/>
        </w:rPr>
      </w:pPr>
      <w:r>
        <w:rPr>
          <w:rFonts w:hint="eastAsia" w:ascii="宋体" w:hAnsi="宋体"/>
          <w:color w:val="000000"/>
          <w:kern w:val="0"/>
          <w:sz w:val="24"/>
        </w:rPr>
        <w:t xml:space="preserve">    于本报告期末，本基金未持有股票投资、权证投资等权益性投资，若除市场利率和外汇汇率外的其他市场因素变化导致本基金所持有的权益性投资的市场价格上升或下降5%且其他市场变量保持不变，对于本基金的基金资产净值无重大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7.4.14.1</w:t>
      </w:r>
      <w:r>
        <w:rPr>
          <w:rFonts w:hint="eastAsia" w:ascii="Times New Roman" w:hAnsi="Times New Roman"/>
          <w:color w:val="000000"/>
          <w:kern w:val="0"/>
          <w:sz w:val="24"/>
        </w:rPr>
        <w:t>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金融工具公允价值计量的方法</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w:t>
      </w:r>
      <w:r>
        <w:rPr>
          <w:rFonts w:hint="eastAsia" w:ascii="Times New Roman" w:hAnsi="Times New Roman"/>
          <w:color w:val="000000"/>
          <w:kern w:val="0"/>
          <w:sz w:val="24"/>
        </w:rPr>
        <w:t>各层次金融工具公允价值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日，本基金持有的以公允价值计量且其变动计入当期损益的金融资产中属于第一层次的余额为</w:t>
      </w:r>
      <w:r>
        <w:rPr>
          <w:rFonts w:hint="default" w:ascii="Times New Roman" w:hAnsi="Times New Roman"/>
          <w:color w:val="000000"/>
          <w:kern w:val="0"/>
          <w:sz w:val="24"/>
        </w:rPr>
        <w:t>197,505.00</w:t>
      </w:r>
      <w:r>
        <w:rPr>
          <w:rFonts w:hint="eastAsia" w:ascii="Times New Roman" w:hAnsi="Times New Roman"/>
          <w:color w:val="000000"/>
          <w:kern w:val="0"/>
          <w:sz w:val="24"/>
        </w:rPr>
        <w:t>元，属于第二层次的余额为</w:t>
      </w:r>
      <w:r>
        <w:rPr>
          <w:rFonts w:hint="default" w:ascii="Times New Roman" w:hAnsi="Times New Roman"/>
          <w:color w:val="000000"/>
          <w:kern w:val="0"/>
          <w:sz w:val="24"/>
        </w:rPr>
        <w:t xml:space="preserve"> 601,572,086.30</w:t>
      </w:r>
      <w:r>
        <w:rPr>
          <w:rFonts w:hint="eastAsia" w:ascii="Times New Roman" w:hAnsi="Times New Roman"/>
          <w:color w:val="000000"/>
          <w:kern w:val="0"/>
          <w:sz w:val="24"/>
        </w:rPr>
        <w:t>元，无属于第三层次的余额。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w:t>
      </w:r>
      <w:r>
        <w:rPr>
          <w:rFonts w:hint="eastAsia" w:ascii="Times New Roman" w:hAnsi="Times New Roman"/>
          <w:color w:val="000000"/>
          <w:kern w:val="0"/>
          <w:sz w:val="24"/>
        </w:rPr>
        <w:t>公允价值所属层次间的重大变动</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本基金本期持有的以公允价值计量的金融工具的公允价值所属层次未发生重大变动。</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(iii)</w:t>
      </w:r>
      <w:r>
        <w:rPr>
          <w:rFonts w:hint="eastAsia" w:ascii="Times New Roman" w:hAnsi="Times New Roman"/>
          <w:color w:val="000000"/>
          <w:kern w:val="0"/>
          <w:sz w:val="24"/>
        </w:rPr>
        <w:t>第三层次公允价值余额和本期变动金额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日，本基金未持有非持续的以公允价值计量的金融资产。</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不以公允价值计量的金融工具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7.4.14.2</w:t>
      </w:r>
      <w:r>
        <w:rPr>
          <w:rFonts w:hint="eastAsia" w:ascii="Times New Roman" w:hAnsi="Times New Roman"/>
          <w:color w:val="000000"/>
          <w:kern w:val="0"/>
          <w:sz w:val="24"/>
        </w:rPr>
        <w:t>除公允价值外，截至资产负债表日本基金无需要说明的其他重要事项。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4" w:name="_Toc477897881"/>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4"/>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5" w:name="_Toc477897882"/>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5"/>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权益投资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固定收益投资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601,769,591.30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其中：债券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524,702,005.00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77,067,586.30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金融衍生品投资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12,061,707.62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其他各项资产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12,775,684.17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626,606,983.09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本基金本报告期末未持有股票。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6" w:name="_Toc477897884"/>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6"/>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本基金本报告期末未持有股票。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7" w:name="_Toc477897885"/>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本基金本报告期内未投资股票。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累计卖出金额超出期末基金资产净值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本基金本报告期内未投资股票。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本基金本报告期内未投资股票。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8" w:name="_Toc477897886"/>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8"/>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2529"/>
        <w:gridCol w:w="2528"/>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债券品种</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国家债券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央行票据</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110,825,000.00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其中：政策性金融债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69,357,000.00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企业债券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253,746,500.00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企业短期融资券</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中期票据</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159,933,000.00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可转债</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197,505.00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同业存单</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524,702,005.00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105.52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9" w:name="_Toc477897887"/>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39"/>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806"/>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债券代码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债券名称</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136446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电投</w:t>
            </w:r>
            <w:r>
              <w:rPr>
                <w:rFonts w:hint="default" w:ascii="Times New Roman" w:hAnsi="Times New Roman"/>
                <w:color w:val="000000"/>
                <w:kern w:val="0"/>
                <w:sz w:val="24"/>
              </w:rPr>
              <w:t>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49,460,000.00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130224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r>
              <w:rPr>
                <w:rFonts w:hint="eastAsia" w:ascii="Times New Roman" w:hAnsi="Times New Roman"/>
                <w:color w:val="000000"/>
                <w:kern w:val="0"/>
                <w:sz w:val="24"/>
              </w:rPr>
              <w:t>国开</w:t>
            </w:r>
            <w:r>
              <w:rPr>
                <w:rFonts w:hint="default" w:ascii="Times New Roman" w:hAnsi="Times New Roman"/>
                <w:color w:val="000000"/>
                <w:kern w:val="0"/>
                <w:sz w:val="24"/>
              </w:rPr>
              <w:t>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49,335,000.00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101660017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浙商集</w:t>
            </w:r>
            <w:r>
              <w:rPr>
                <w:rFonts w:hint="default" w:ascii="Times New Roman" w:hAnsi="Times New Roman"/>
                <w:color w:val="000000"/>
                <w:kern w:val="0"/>
                <w:sz w:val="24"/>
              </w:rPr>
              <w:t>MTN001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49,300,000.00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136631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南瑞</w:t>
            </w:r>
            <w:r>
              <w:rPr>
                <w:rFonts w:hint="default" w:ascii="Times New Roman" w:hAnsi="Times New Roman"/>
                <w:color w:val="000000"/>
                <w:kern w:val="0"/>
                <w:sz w:val="24"/>
              </w:rPr>
              <w:t>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48,995,000.00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136258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财通债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48,830,000.00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0" w:name="_Toc477897888"/>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4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权证名称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数量（张）</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1689257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粤鑫</w:t>
            </w:r>
            <w:r>
              <w:rPr>
                <w:rFonts w:hint="default" w:ascii="Times New Roman" w:hAnsi="Times New Roman"/>
                <w:color w:val="000000"/>
                <w:kern w:val="0"/>
                <w:sz w:val="24"/>
              </w:rPr>
              <w:t>1A</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39,968,000.00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1689337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r>
              <w:rPr>
                <w:rFonts w:hint="eastAsia" w:ascii="Times New Roman" w:hAnsi="Times New Roman"/>
                <w:color w:val="000000"/>
                <w:kern w:val="0"/>
                <w:sz w:val="24"/>
              </w:rPr>
              <w:t>爽元</w:t>
            </w:r>
            <w:r>
              <w:rPr>
                <w:rFonts w:hint="default" w:ascii="Times New Roman" w:hAnsi="Times New Roman"/>
                <w:color w:val="000000"/>
                <w:kern w:val="0"/>
                <w:sz w:val="24"/>
              </w:rPr>
              <w:t>1A</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19,994,000.00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116102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三电优</w:t>
            </w:r>
            <w:r>
              <w:rPr>
                <w:rFonts w:hint="default" w:ascii="Times New Roman" w:hAnsi="Times New Roman"/>
                <w:color w:val="000000"/>
                <w:kern w:val="0"/>
                <w:sz w:val="24"/>
              </w:rPr>
              <w:t>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17,105,586.30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1" w:name="_Toc477897889"/>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2" w:name="_Toc477897890"/>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3" w:name="_Toc477897891"/>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3"/>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本基金本报告期未投资股指期货。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4" w:name="_Toc477897892"/>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本基金本报告期未投资国债期货。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5" w:name="_Toc477897893"/>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5"/>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本报告期内基金投资的前十名证券发行主体未受到监管部门的立案调查，在编制日前一年内也未收到公开谴责和处罚。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本基金未投资于股票。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4,934.02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12,770,750.15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其他应收款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待摊费用</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12,775,684.17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本基金本报告期末未持有处于转股期的可转换债券。</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本基金本报告期末前十名股票不存在流通受限的情况。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6" w:name="_Toc477897894"/>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7" w:name="_Toc477897895"/>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7"/>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806"/>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机构投资者</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2,550,911.64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499,864,064.73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114,617.14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8" w:name="_Toc477897896"/>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持有份额总数（份）</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21,728.06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9" w:name="_Toc477897897"/>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4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持有基金份额总量的数量区间（万份）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0" w:name="_Toc477897898"/>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5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3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7</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200,122,552.48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基金合同生效日起至报告期期末基金总申购份额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302,882,202.95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减：基金合同生效日起至报告期期末基金总赎回份额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3,026,073.56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基金合同生效日起至报告期期末基金拆分变动份额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499,978,681.87</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1" w:name="_Toc477897899"/>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2" w:name="_Toc477897900"/>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3" w:name="_Toc477897901"/>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本报告期内基金管理人、基金托管人的专门基金托管部门无重大人事变动。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4" w:name="_Toc477897902"/>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5" w:name="_Toc477897903"/>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本报告期内基金投资策略无重大改变。</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6" w:name="_Toc477897904"/>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6"/>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本报告期内本基金未更换会计师事务所，本年度支付给毕马威华振会计师事务所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53,000.00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1</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7" w:name="_Toc477897905"/>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7"/>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本报告期内，基金管理人、基金托管人及其高级管理人员没有受到监管部门稽查或处罚等情况。</w:t>
      </w: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8" w:name="_Toc477897906"/>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8"/>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交易单元</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股票交易</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占股票</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占当期佣金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光大证券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注：交易单元的选择标准和程序：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本基金在报告期内成立，交易单元均于本期内新增。</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占债券回购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占权证</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87,998,365.75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10,321,000,000.00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光大证券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9" w:name="_Toc477897907"/>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5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创金合信基金管理有限公司关于创金合信尊盈纯债债券型证券投资基金提前结束募集的公告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创金合信尊盈纯债债券型证券投资基金基金合同生效公告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创金合信尊盈纯债债券型证券投资基金开放日常申购、赎回和定期定额投资业务公告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创金合信尊盈纯债债券型证券投资基金暂停大额申购公告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创金合信尊盈纯债债券型证券投资基金暂停</w:t>
            </w:r>
            <w:r>
              <w:rPr>
                <w:rFonts w:hint="default" w:ascii="Times New Roman" w:hAnsi="Times New Roman"/>
                <w:color w:val="000000"/>
                <w:kern w:val="0"/>
                <w:sz w:val="24"/>
              </w:rPr>
              <w:t>(</w:t>
            </w:r>
            <w:r>
              <w:rPr>
                <w:rFonts w:hint="eastAsia" w:ascii="Times New Roman" w:hAnsi="Times New Roman"/>
                <w:color w:val="000000"/>
                <w:kern w:val="0"/>
                <w:sz w:val="24"/>
              </w:rPr>
              <w:t>大额</w:t>
            </w:r>
            <w:r>
              <w:rPr>
                <w:rFonts w:hint="default" w:ascii="Times New Roman" w:hAnsi="Times New Roman"/>
                <w:color w:val="000000"/>
                <w:kern w:val="0"/>
                <w:sz w:val="24"/>
              </w:rPr>
              <w:t>)</w:t>
            </w:r>
            <w:r>
              <w:rPr>
                <w:rFonts w:hint="eastAsia" w:ascii="Times New Roman" w:hAnsi="Times New Roman"/>
                <w:color w:val="000000"/>
                <w:kern w:val="0"/>
                <w:sz w:val="24"/>
              </w:rPr>
              <w:t>申购（转换转入、赎回、转换转出、定期定额投资）公告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创金合信尊盈纯债债券型证券投资基金分红公告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创金合信尊盈纯债债券型证券投资基金分红公告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2016-11-11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0" w:name="_Toc477897908"/>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60"/>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145"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1" w:name="_Toc477897909"/>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2" w:name="_Toc477897910"/>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、《创金合信尊盈纯债债券型证券投资基金基金合同》；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、《创金合信尊盈纯债债券型证券投资基金托管协议》；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、创金合信尊盈纯债债券型证券投资基金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3" w:name="_Toc477897911"/>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4" w:name="_Toc477897912"/>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4"/>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beforeLines="0" w:afterLines="0"/>
      <w:jc w:val="left"/>
      <w:rPr>
        <w:rFonts w:hint="default" w:ascii="宋体"/>
        <w:kern w:val="0"/>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eastAsia="Times New Roman"/>
              <w:kern w:val="0"/>
              <w:sz w:val="24"/>
            </w:rPr>
            <w:pict>
              <v:shape id="_x0000_i1025" o:spt="75" type="#_x0000_t75" style="height:16.2pt;width:14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创金合信尊盈纯债债券型证券投资基金2016年年度报告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2"/>
          <w:tcBorders>
            <w:top w:val="single" w:color="000000" w:sz="8" w:space="0"/>
            <w:left w:val="nil"/>
            <w:bottom w:val="nil"/>
            <w:right w:val="nil"/>
            <w:tl2br w:val="nil"/>
            <w:tr2bl w:val="nil"/>
          </w:tcBorders>
          <w:noWrap w:val="0"/>
          <w:vAlign w:val="top"/>
        </w:tcPr>
        <w:p>
          <w:pPr>
            <w:autoSpaceDE w:val="0"/>
            <w:autoSpaceDN w:val="0"/>
            <w:adjustRightInd w:val="0"/>
            <w:spacing w:beforeLines="0" w:afterLines="0"/>
            <w:jc w:val="left"/>
            <w:rPr>
              <w:rFonts w:hint="default" w:ascii="Arial"/>
              <w:color w:val="000000"/>
              <w:kern w:val="0"/>
              <w:sz w:val="11"/>
            </w:rPr>
          </w:pPr>
        </w:p>
      </w:tc>
    </w:tr>
  </w:tbl>
  <w:p>
    <w:pPr>
      <w:spacing w:beforeLines="0" w:afterLines="0"/>
      <w:rPr>
        <w:rFonts w:hint="default"/>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157A560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Document Map"/>
    <w:basedOn w:val="1"/>
    <w:link w:val="13"/>
    <w:unhideWhenUsed/>
    <w:uiPriority w:val="99"/>
    <w:pPr>
      <w:spacing w:beforeLines="0" w:afterLines="0"/>
    </w:pPr>
    <w:rPr>
      <w:rFonts w:hint="eastAsia" w:ascii="宋体"/>
      <w:sz w:val="18"/>
    </w:rPr>
  </w:style>
  <w:style w:type="paragraph" w:styleId="3">
    <w:name w:val="Balloon Text"/>
    <w:basedOn w:val="1"/>
    <w:link w:val="12"/>
    <w:unhideWhenUsed/>
    <w:uiPriority w:val="99"/>
    <w:pPr>
      <w:spacing w:beforeLines="0" w:afterLines="0"/>
    </w:pPr>
    <w:rPr>
      <w:rFonts w:hint="eastAsia"/>
      <w:sz w:val="18"/>
    </w:rPr>
  </w:style>
  <w:style w:type="paragraph" w:styleId="4">
    <w:name w:val="footer"/>
    <w:basedOn w:val="1"/>
    <w:link w:val="14"/>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1"/>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页眉 Char"/>
    <w:basedOn w:val="9"/>
    <w:link w:val="5"/>
    <w:unhideWhenUsed/>
    <w:locked/>
    <w:uiPriority w:val="99"/>
    <w:rPr>
      <w:rFonts w:hint="default" w:ascii="Calibri"/>
      <w:sz w:val="18"/>
    </w:rPr>
  </w:style>
  <w:style w:type="character" w:customStyle="1" w:styleId="12">
    <w:name w:val="批注框文本 Char"/>
    <w:basedOn w:val="9"/>
    <w:link w:val="3"/>
    <w:unhideWhenUsed/>
    <w:locked/>
    <w:uiPriority w:val="99"/>
    <w:rPr>
      <w:rFonts w:hint="default" w:ascii="Calibri"/>
      <w:sz w:val="18"/>
    </w:rPr>
  </w:style>
  <w:style w:type="character" w:customStyle="1" w:styleId="13">
    <w:name w:val="文档结构图 Char"/>
    <w:basedOn w:val="9"/>
    <w:link w:val="2"/>
    <w:unhideWhenUsed/>
    <w:locked/>
    <w:uiPriority w:val="99"/>
    <w:rPr>
      <w:rFonts w:hint="eastAsia" w:ascii="宋体" w:hAnsi="Calibri" w:eastAsia="宋体"/>
      <w:sz w:val="18"/>
    </w:rPr>
  </w:style>
  <w:style w:type="character" w:customStyle="1" w:styleId="14">
    <w:name w:val="页脚 Char"/>
    <w:basedOn w:val="9"/>
    <w:link w:val="4"/>
    <w:unhideWhenUsed/>
    <w:locked/>
    <w:uiPriority w:val="99"/>
    <w:rPr>
      <w:rFonts w:hint="default" w:ascii="Calibri"/>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2019-12-26T14:06:04Z</dcterms:created>
  <cp:lastModifiedBy>Administrator</cp:lastModifiedBy>
  <dcterms:modified xsi:type="dcterms:W3CDTF">2019-12-26T14:06:04Z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