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创金合信尊盈纯债债券型证券投资基金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2"/>
        <w:spacing w:before="240" w:after="120"/>
      </w:pPr>
      <w:bookmarkStart w:id="0" w:name="_Toc510107953"/>
      <w:r>
        <w:rPr>
          <w:rFonts w:hint="eastAsia" w:hAnsi="Calibri"/>
          <w:b/>
          <w:color w:val="000000"/>
        </w:rPr>
        <w:t>§1  重要提示及目录</w:t>
      </w:r>
      <w:bookmarkEnd w:id="0"/>
      <w:r>
        <w:rPr>
          <w:rFonts w:hint="eastAsia"/>
        </w:rPr>
        <w:t xml:space="preserve"> </w:t>
      </w:r>
    </w:p>
    <w:p>
      <w:pPr>
        <w:pStyle w:val="13"/>
        <w:rPr>
          <w:rFonts w:hint="eastAsia"/>
        </w:rPr>
      </w:pPr>
      <w:bookmarkStart w:id="1" w:name="_Toc510107954"/>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8"/>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8"/>
                <w:rFonts w:hint="eastAsia" w:ascii="宋体" w:hAnsi="宋体" w:cs="宋体"/>
                <w:kern w:val="0"/>
                <w:sz w:val="24"/>
                <w:szCs w:val="24"/>
              </w:rPr>
              <w:t>  基金托管人招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8"/>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8"/>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8"/>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3"/>
        <w:rPr>
          <w:rFonts w:hint="eastAsia"/>
        </w:rPr>
      </w:pPr>
      <w:r>
        <w:rPr>
          <w:rFonts w:ascii="Times New Roman" w:hAnsi="Times New Roman"/>
        </w:rPr>
        <w:br w:type="page"/>
      </w:r>
      <w:bookmarkStart w:id="2" w:name="_Toc510107955"/>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0"/>
          <w:lang/>
        </w:rPr>
        <w:fldChar w:fldCharType="begin"/>
      </w:r>
      <w:r>
        <w:rPr>
          <w:rStyle w:val="10"/>
          <w:lang/>
        </w:rPr>
        <w:instrText xml:space="preserve"> </w:instrText>
      </w:r>
      <w:r>
        <w:rPr>
          <w:lang/>
        </w:rPr>
        <w:instrText xml:space="preserve">HYPERLINK \l "_Toc510107953"</w:instrText>
      </w:r>
      <w:r>
        <w:rPr>
          <w:rStyle w:val="10"/>
          <w:lang/>
        </w:rPr>
        <w:instrText xml:space="preserve"> </w:instrText>
      </w:r>
      <w:r>
        <w:rPr>
          <w:rStyle w:val="10"/>
          <w:lang/>
        </w:rPr>
        <w:fldChar w:fldCharType="separate"/>
      </w:r>
      <w:r>
        <w:rPr>
          <w:rStyle w:val="10"/>
          <w:b/>
          <w:lang/>
        </w:rPr>
        <w:t xml:space="preserve">§1  </w:t>
      </w:r>
      <w:r>
        <w:rPr>
          <w:rStyle w:val="10"/>
          <w:rFonts w:hint="eastAsia"/>
          <w:b/>
          <w:lang/>
        </w:rPr>
        <w:t>重要提示及目录</w:t>
      </w:r>
      <w:r>
        <w:rPr>
          <w:lang/>
        </w:rPr>
        <w:tab/>
      </w:r>
      <w:r>
        <w:rPr>
          <w:lang/>
        </w:rPr>
        <w:fldChar w:fldCharType="begin"/>
      </w:r>
      <w:r>
        <w:rPr>
          <w:lang/>
        </w:rPr>
        <w:instrText xml:space="preserve"> PAGEREF _Toc510107953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"_Toc510107954"</w:instrText>
      </w:r>
      <w:r>
        <w:rPr>
          <w:rStyle w:val="10"/>
          <w:lang/>
        </w:rPr>
        <w:instrText xml:space="preserve"> </w:instrText>
      </w:r>
      <w:r>
        <w:rPr>
          <w:rStyle w:val="10"/>
          <w:lang/>
        </w:rPr>
        <w:fldChar w:fldCharType="separate"/>
      </w:r>
      <w:r>
        <w:rPr>
          <w:rStyle w:val="10"/>
          <w:b/>
          <w:bCs/>
          <w:lang/>
        </w:rPr>
        <w:t xml:space="preserve">1.1 </w:t>
      </w:r>
      <w:r>
        <w:rPr>
          <w:rStyle w:val="10"/>
          <w:rFonts w:hint="eastAsia"/>
          <w:b/>
          <w:bCs/>
          <w:lang/>
        </w:rPr>
        <w:t>重要提示</w:t>
      </w:r>
      <w:r>
        <w:rPr>
          <w:lang/>
        </w:rPr>
        <w:tab/>
      </w:r>
      <w:r>
        <w:rPr>
          <w:lang/>
        </w:rPr>
        <w:fldChar w:fldCharType="begin"/>
      </w:r>
      <w:r>
        <w:rPr>
          <w:lang/>
        </w:rPr>
        <w:instrText xml:space="preserve"> PAGEREF _Toc510107954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"_Toc510107955"</w:instrText>
      </w:r>
      <w:r>
        <w:rPr>
          <w:rStyle w:val="10"/>
          <w:lang/>
        </w:rPr>
        <w:instrText xml:space="preserve"> </w:instrText>
      </w:r>
      <w:r>
        <w:rPr>
          <w:rStyle w:val="10"/>
          <w:lang/>
        </w:rPr>
        <w:fldChar w:fldCharType="separate"/>
      </w:r>
      <w:r>
        <w:rPr>
          <w:rStyle w:val="10"/>
          <w:b/>
          <w:bCs/>
          <w:lang/>
        </w:rPr>
        <w:t xml:space="preserve">1.2 </w:t>
      </w:r>
      <w:r>
        <w:rPr>
          <w:rStyle w:val="10"/>
          <w:rFonts w:hint="eastAsia"/>
          <w:b/>
          <w:bCs/>
          <w:lang/>
        </w:rPr>
        <w:t>目录</w:t>
      </w:r>
      <w:r>
        <w:rPr>
          <w:lang/>
        </w:rPr>
        <w:tab/>
      </w:r>
      <w:r>
        <w:rPr>
          <w:lang/>
        </w:rPr>
        <w:fldChar w:fldCharType="begin"/>
      </w:r>
      <w:r>
        <w:rPr>
          <w:lang/>
        </w:rPr>
        <w:instrText xml:space="preserve"> PAGEREF _Toc510107955 \h </w:instrText>
      </w:r>
      <w:r>
        <w:rPr>
          <w:lang/>
        </w:rPr>
        <w:fldChar w:fldCharType="separate"/>
      </w:r>
      <w:r>
        <w:rPr>
          <w:lang/>
        </w:rPr>
        <w:t>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"_Toc510107956"</w:instrText>
      </w:r>
      <w:r>
        <w:rPr>
          <w:rStyle w:val="10"/>
          <w:lang/>
        </w:rPr>
        <w:instrText xml:space="preserve"> </w:instrText>
      </w:r>
      <w:r>
        <w:rPr>
          <w:rStyle w:val="10"/>
          <w:lang/>
        </w:rPr>
        <w:fldChar w:fldCharType="separate"/>
      </w:r>
      <w:r>
        <w:rPr>
          <w:rStyle w:val="10"/>
          <w:b/>
          <w:lang/>
        </w:rPr>
        <w:t xml:space="preserve">§2  </w:t>
      </w:r>
      <w:r>
        <w:rPr>
          <w:rStyle w:val="10"/>
          <w:rFonts w:hint="eastAsia"/>
          <w:b/>
          <w:lang/>
        </w:rPr>
        <w:t>基金简介</w:t>
      </w:r>
      <w:r>
        <w:rPr>
          <w:lang/>
        </w:rPr>
        <w:tab/>
      </w:r>
      <w:r>
        <w:rPr>
          <w:lang/>
        </w:rPr>
        <w:fldChar w:fldCharType="begin"/>
      </w:r>
      <w:r>
        <w:rPr>
          <w:lang/>
        </w:rPr>
        <w:instrText xml:space="preserve"> PAGEREF _Toc510107956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"_Toc510107957"</w:instrText>
      </w:r>
      <w:r>
        <w:rPr>
          <w:rStyle w:val="10"/>
          <w:lang/>
        </w:rPr>
        <w:instrText xml:space="preserve"> </w:instrText>
      </w:r>
      <w:r>
        <w:rPr>
          <w:rStyle w:val="10"/>
          <w:lang/>
        </w:rPr>
        <w:fldChar w:fldCharType="separate"/>
      </w:r>
      <w:r>
        <w:rPr>
          <w:rStyle w:val="10"/>
          <w:b/>
          <w:bCs/>
          <w:lang/>
        </w:rPr>
        <w:t xml:space="preserve">2.1 </w:t>
      </w:r>
      <w:r>
        <w:rPr>
          <w:rStyle w:val="10"/>
          <w:rFonts w:hint="eastAsia"/>
          <w:b/>
          <w:bCs/>
          <w:lang/>
        </w:rPr>
        <w:t>基金基本情况</w:t>
      </w:r>
      <w:r>
        <w:rPr>
          <w:lang/>
        </w:rPr>
        <w:tab/>
      </w:r>
      <w:r>
        <w:rPr>
          <w:lang/>
        </w:rPr>
        <w:fldChar w:fldCharType="begin"/>
      </w:r>
      <w:r>
        <w:rPr>
          <w:lang/>
        </w:rPr>
        <w:instrText xml:space="preserve"> PAGEREF _Toc510107957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"_Toc510107958"</w:instrText>
      </w:r>
      <w:r>
        <w:rPr>
          <w:rStyle w:val="10"/>
          <w:lang/>
        </w:rPr>
        <w:instrText xml:space="preserve"> </w:instrText>
      </w:r>
      <w:r>
        <w:rPr>
          <w:rStyle w:val="10"/>
          <w:lang/>
        </w:rPr>
        <w:fldChar w:fldCharType="separate"/>
      </w:r>
      <w:r>
        <w:rPr>
          <w:rStyle w:val="10"/>
          <w:b/>
          <w:bCs/>
          <w:lang/>
        </w:rPr>
        <w:t xml:space="preserve">2.2 </w:t>
      </w:r>
      <w:r>
        <w:rPr>
          <w:rStyle w:val="10"/>
          <w:rFonts w:hint="eastAsia"/>
          <w:b/>
          <w:bCs/>
          <w:lang/>
        </w:rPr>
        <w:t>基金产品说明</w:t>
      </w:r>
      <w:r>
        <w:rPr>
          <w:lang/>
        </w:rPr>
        <w:tab/>
      </w:r>
      <w:r>
        <w:rPr>
          <w:lang/>
        </w:rPr>
        <w:fldChar w:fldCharType="begin"/>
      </w:r>
      <w:r>
        <w:rPr>
          <w:lang/>
        </w:rPr>
        <w:instrText xml:space="preserve"> PAGEREF _Toc510107958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"_Toc510107959"</w:instrText>
      </w:r>
      <w:r>
        <w:rPr>
          <w:rStyle w:val="10"/>
          <w:lang/>
        </w:rPr>
        <w:instrText xml:space="preserve"> </w:instrText>
      </w:r>
      <w:r>
        <w:rPr>
          <w:rStyle w:val="10"/>
          <w:lang/>
        </w:rPr>
        <w:fldChar w:fldCharType="separate"/>
      </w:r>
      <w:r>
        <w:rPr>
          <w:rStyle w:val="10"/>
          <w:b/>
          <w:bCs/>
          <w:lang/>
        </w:rPr>
        <w:t xml:space="preserve">2.3 </w:t>
      </w:r>
      <w:r>
        <w:rPr>
          <w:rStyle w:val="10"/>
          <w:rFonts w:hint="eastAsia"/>
          <w:b/>
          <w:bCs/>
          <w:lang/>
        </w:rPr>
        <w:t>基金管理人和基金托管人</w:t>
      </w:r>
      <w:r>
        <w:rPr>
          <w:lang/>
        </w:rPr>
        <w:tab/>
      </w:r>
      <w:r>
        <w:rPr>
          <w:lang/>
        </w:rPr>
        <w:fldChar w:fldCharType="begin"/>
      </w:r>
      <w:r>
        <w:rPr>
          <w:lang/>
        </w:rPr>
        <w:instrText xml:space="preserve"> PAGEREF _Toc510107959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"_Toc510107960"</w:instrText>
      </w:r>
      <w:r>
        <w:rPr>
          <w:rStyle w:val="10"/>
          <w:lang/>
        </w:rPr>
        <w:instrText xml:space="preserve"> </w:instrText>
      </w:r>
      <w:r>
        <w:rPr>
          <w:rStyle w:val="10"/>
          <w:lang/>
        </w:rPr>
        <w:fldChar w:fldCharType="separate"/>
      </w:r>
      <w:r>
        <w:rPr>
          <w:rStyle w:val="10"/>
          <w:b/>
          <w:bCs/>
          <w:lang/>
        </w:rPr>
        <w:t xml:space="preserve">2.4 </w:t>
      </w:r>
      <w:r>
        <w:rPr>
          <w:rStyle w:val="10"/>
          <w:rFonts w:hint="eastAsia"/>
          <w:b/>
          <w:bCs/>
          <w:lang/>
        </w:rPr>
        <w:t>信息披露方式</w:t>
      </w:r>
      <w:r>
        <w:rPr>
          <w:lang/>
        </w:rPr>
        <w:tab/>
      </w:r>
      <w:r>
        <w:rPr>
          <w:lang/>
        </w:rPr>
        <w:fldChar w:fldCharType="begin"/>
      </w:r>
      <w:r>
        <w:rPr>
          <w:lang/>
        </w:rPr>
        <w:instrText xml:space="preserve"> PAGEREF _Toc510107960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"_Toc510107961"</w:instrText>
      </w:r>
      <w:r>
        <w:rPr>
          <w:rStyle w:val="10"/>
          <w:lang/>
        </w:rPr>
        <w:instrText xml:space="preserve"> </w:instrText>
      </w:r>
      <w:r>
        <w:rPr>
          <w:rStyle w:val="10"/>
          <w:lang/>
        </w:rPr>
        <w:fldChar w:fldCharType="separate"/>
      </w:r>
      <w:r>
        <w:rPr>
          <w:rStyle w:val="10"/>
          <w:b/>
          <w:bCs/>
          <w:lang/>
        </w:rPr>
        <w:t xml:space="preserve">2.5 </w:t>
      </w:r>
      <w:r>
        <w:rPr>
          <w:rStyle w:val="10"/>
          <w:rFonts w:hint="eastAsia"/>
          <w:b/>
          <w:bCs/>
          <w:lang/>
        </w:rPr>
        <w:t>其他相关资料</w:t>
      </w:r>
      <w:r>
        <w:rPr>
          <w:lang/>
        </w:rPr>
        <w:tab/>
      </w:r>
      <w:r>
        <w:rPr>
          <w:lang/>
        </w:rPr>
        <w:fldChar w:fldCharType="begin"/>
      </w:r>
      <w:r>
        <w:rPr>
          <w:lang/>
        </w:rPr>
        <w:instrText xml:space="preserve"> PAGEREF _Toc510107961 \h </w:instrText>
      </w:r>
      <w:r>
        <w:rPr>
          <w:lang/>
        </w:rPr>
        <w:fldChar w:fldCharType="separate"/>
      </w:r>
      <w:r>
        <w:rPr>
          <w:lang/>
        </w:rPr>
        <w:t>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"_Toc510107962"</w:instrText>
      </w:r>
      <w:r>
        <w:rPr>
          <w:rStyle w:val="10"/>
          <w:lang/>
        </w:rPr>
        <w:instrText xml:space="preserve"> </w:instrText>
      </w:r>
      <w:r>
        <w:rPr>
          <w:rStyle w:val="10"/>
          <w:lang/>
        </w:rPr>
        <w:fldChar w:fldCharType="separate"/>
      </w:r>
      <w:r>
        <w:rPr>
          <w:rStyle w:val="10"/>
          <w:b/>
          <w:lang/>
        </w:rPr>
        <w:t xml:space="preserve">§3  </w:t>
      </w:r>
      <w:r>
        <w:rPr>
          <w:rStyle w:val="10"/>
          <w:rFonts w:hint="eastAsia"/>
          <w:b/>
          <w:lang/>
        </w:rPr>
        <w:t>主要财务指标、基金净值表现及利润分配情况</w:t>
      </w:r>
      <w:r>
        <w:rPr>
          <w:lang/>
        </w:rPr>
        <w:tab/>
      </w:r>
      <w:r>
        <w:rPr>
          <w:lang/>
        </w:rPr>
        <w:fldChar w:fldCharType="begin"/>
      </w:r>
      <w:r>
        <w:rPr>
          <w:lang/>
        </w:rPr>
        <w:instrText xml:space="preserve"> PAGEREF _Toc510107962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"_Toc510107963"</w:instrText>
      </w:r>
      <w:r>
        <w:rPr>
          <w:rStyle w:val="10"/>
          <w:lang/>
        </w:rPr>
        <w:instrText xml:space="preserve"> </w:instrText>
      </w:r>
      <w:r>
        <w:rPr>
          <w:rStyle w:val="10"/>
          <w:lang/>
        </w:rPr>
        <w:fldChar w:fldCharType="separate"/>
      </w:r>
      <w:r>
        <w:rPr>
          <w:rStyle w:val="10"/>
          <w:b/>
          <w:bCs/>
          <w:lang/>
        </w:rPr>
        <w:t xml:space="preserve">3.1 </w:t>
      </w:r>
      <w:r>
        <w:rPr>
          <w:rStyle w:val="10"/>
          <w:rFonts w:hint="eastAsia"/>
          <w:b/>
          <w:bCs/>
          <w:lang/>
        </w:rPr>
        <w:t>主要会计数据和财务指标</w:t>
      </w:r>
      <w:r>
        <w:rPr>
          <w:lang/>
        </w:rPr>
        <w:tab/>
      </w:r>
      <w:r>
        <w:rPr>
          <w:lang/>
        </w:rPr>
        <w:fldChar w:fldCharType="begin"/>
      </w:r>
      <w:r>
        <w:rPr>
          <w:lang/>
        </w:rPr>
        <w:instrText xml:space="preserve"> PAGEREF _Toc510107963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"_Toc510107964"</w:instrText>
      </w:r>
      <w:r>
        <w:rPr>
          <w:rStyle w:val="10"/>
          <w:lang/>
        </w:rPr>
        <w:instrText xml:space="preserve"> </w:instrText>
      </w:r>
      <w:r>
        <w:rPr>
          <w:rStyle w:val="10"/>
          <w:lang/>
        </w:rPr>
        <w:fldChar w:fldCharType="separate"/>
      </w:r>
      <w:r>
        <w:rPr>
          <w:rStyle w:val="10"/>
          <w:b/>
          <w:bCs/>
          <w:lang/>
        </w:rPr>
        <w:t xml:space="preserve">3.2 </w:t>
      </w:r>
      <w:r>
        <w:rPr>
          <w:rStyle w:val="10"/>
          <w:rFonts w:hint="eastAsia"/>
          <w:b/>
          <w:bCs/>
          <w:lang/>
        </w:rPr>
        <w:t>基金净值表现</w:t>
      </w:r>
      <w:r>
        <w:rPr>
          <w:lang/>
        </w:rPr>
        <w:tab/>
      </w:r>
      <w:r>
        <w:rPr>
          <w:lang/>
        </w:rPr>
        <w:fldChar w:fldCharType="begin"/>
      </w:r>
      <w:r>
        <w:rPr>
          <w:lang/>
        </w:rPr>
        <w:instrText xml:space="preserve"> PAGEREF _Toc510107964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"_Toc510107965"</w:instrText>
      </w:r>
      <w:r>
        <w:rPr>
          <w:rStyle w:val="10"/>
          <w:lang/>
        </w:rPr>
        <w:instrText xml:space="preserve"> </w:instrText>
      </w:r>
      <w:r>
        <w:rPr>
          <w:rStyle w:val="10"/>
          <w:lang/>
        </w:rPr>
        <w:fldChar w:fldCharType="separate"/>
      </w:r>
      <w:r>
        <w:rPr>
          <w:rStyle w:val="10"/>
          <w:b/>
          <w:lang/>
        </w:rPr>
        <w:t xml:space="preserve">3.3 </w:t>
      </w:r>
      <w:r>
        <w:rPr>
          <w:rStyle w:val="10"/>
          <w:rFonts w:hint="eastAsia"/>
          <w:b/>
          <w:lang/>
        </w:rPr>
        <w:t>过去三年基金的利润分配情况</w:t>
      </w:r>
      <w:r>
        <w:rPr>
          <w:lang/>
        </w:rPr>
        <w:tab/>
      </w:r>
      <w:r>
        <w:rPr>
          <w:lang/>
        </w:rPr>
        <w:fldChar w:fldCharType="begin"/>
      </w:r>
      <w:r>
        <w:rPr>
          <w:lang/>
        </w:rPr>
        <w:instrText xml:space="preserve"> PAGEREF _Toc510107965 \h </w:instrText>
      </w:r>
      <w:r>
        <w:rPr>
          <w:lang/>
        </w:rPr>
        <w:fldChar w:fldCharType="separate"/>
      </w:r>
      <w:r>
        <w:rPr>
          <w:lang/>
        </w:rPr>
        <w:t>8</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"_Toc510107966"</w:instrText>
      </w:r>
      <w:r>
        <w:rPr>
          <w:rStyle w:val="10"/>
          <w:lang/>
        </w:rPr>
        <w:instrText xml:space="preserve"> </w:instrText>
      </w:r>
      <w:r>
        <w:rPr>
          <w:rStyle w:val="10"/>
          <w:lang/>
        </w:rPr>
        <w:fldChar w:fldCharType="separate"/>
      </w:r>
      <w:r>
        <w:rPr>
          <w:rStyle w:val="10"/>
          <w:b/>
          <w:lang/>
        </w:rPr>
        <w:t xml:space="preserve">§4  </w:t>
      </w:r>
      <w:r>
        <w:rPr>
          <w:rStyle w:val="10"/>
          <w:rFonts w:hint="eastAsia"/>
          <w:b/>
          <w:lang/>
        </w:rPr>
        <w:t>管理人报告</w:t>
      </w:r>
      <w:r>
        <w:rPr>
          <w:lang/>
        </w:rPr>
        <w:tab/>
      </w:r>
      <w:r>
        <w:rPr>
          <w:lang/>
        </w:rPr>
        <w:fldChar w:fldCharType="begin"/>
      </w:r>
      <w:r>
        <w:rPr>
          <w:lang/>
        </w:rPr>
        <w:instrText xml:space="preserve"> PAGEREF _Toc510107966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"_Toc510107967"</w:instrText>
      </w:r>
      <w:r>
        <w:rPr>
          <w:rStyle w:val="10"/>
          <w:lang/>
        </w:rPr>
        <w:instrText xml:space="preserve"> </w:instrText>
      </w:r>
      <w:r>
        <w:rPr>
          <w:rStyle w:val="10"/>
          <w:lang/>
        </w:rPr>
        <w:fldChar w:fldCharType="separate"/>
      </w:r>
      <w:r>
        <w:rPr>
          <w:rStyle w:val="10"/>
          <w:b/>
          <w:bCs/>
          <w:lang/>
        </w:rPr>
        <w:t xml:space="preserve">4.1 </w:t>
      </w:r>
      <w:r>
        <w:rPr>
          <w:rStyle w:val="10"/>
          <w:rFonts w:hint="eastAsia"/>
          <w:b/>
          <w:bCs/>
          <w:lang/>
        </w:rPr>
        <w:t>基金管理人及基金经理情况</w:t>
      </w:r>
      <w:r>
        <w:rPr>
          <w:lang/>
        </w:rPr>
        <w:tab/>
      </w:r>
      <w:r>
        <w:rPr>
          <w:lang/>
        </w:rPr>
        <w:fldChar w:fldCharType="begin"/>
      </w:r>
      <w:r>
        <w:rPr>
          <w:lang/>
        </w:rPr>
        <w:instrText xml:space="preserve"> PAGEREF _Toc510107967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"_Toc510107968"</w:instrText>
      </w:r>
      <w:r>
        <w:rPr>
          <w:rStyle w:val="10"/>
          <w:lang/>
        </w:rPr>
        <w:instrText xml:space="preserve"> </w:instrText>
      </w:r>
      <w:r>
        <w:rPr>
          <w:rStyle w:val="10"/>
          <w:lang/>
        </w:rPr>
        <w:fldChar w:fldCharType="separate"/>
      </w:r>
      <w:r>
        <w:rPr>
          <w:rStyle w:val="10"/>
          <w:b/>
          <w:bCs/>
          <w:lang/>
        </w:rPr>
        <w:t xml:space="preserve">4.2 </w:t>
      </w:r>
      <w:r>
        <w:rPr>
          <w:rStyle w:val="10"/>
          <w:rFonts w:hint="eastAsia"/>
          <w:b/>
          <w:bCs/>
          <w:lang/>
        </w:rPr>
        <w:t>管理人对报告期内本基金运作遵规守信情况的说明</w:t>
      </w:r>
      <w:r>
        <w:rPr>
          <w:lang/>
        </w:rPr>
        <w:tab/>
      </w:r>
      <w:r>
        <w:rPr>
          <w:lang/>
        </w:rPr>
        <w:fldChar w:fldCharType="begin"/>
      </w:r>
      <w:r>
        <w:rPr>
          <w:lang/>
        </w:rPr>
        <w:instrText xml:space="preserve"> PAGEREF _Toc510107968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"_Toc510107969"</w:instrText>
      </w:r>
      <w:r>
        <w:rPr>
          <w:rStyle w:val="10"/>
          <w:lang/>
        </w:rPr>
        <w:instrText xml:space="preserve"> </w:instrText>
      </w:r>
      <w:r>
        <w:rPr>
          <w:rStyle w:val="10"/>
          <w:lang/>
        </w:rPr>
        <w:fldChar w:fldCharType="separate"/>
      </w:r>
      <w:r>
        <w:rPr>
          <w:rStyle w:val="10"/>
          <w:b/>
          <w:bCs/>
          <w:lang/>
        </w:rPr>
        <w:t xml:space="preserve">4.3 </w:t>
      </w:r>
      <w:r>
        <w:rPr>
          <w:rStyle w:val="10"/>
          <w:rFonts w:hint="eastAsia"/>
          <w:b/>
          <w:bCs/>
          <w:lang/>
        </w:rPr>
        <w:t>管理人对报告期内公平交易情况的专项说明</w:t>
      </w:r>
      <w:r>
        <w:rPr>
          <w:lang/>
        </w:rPr>
        <w:tab/>
      </w:r>
      <w:r>
        <w:rPr>
          <w:lang/>
        </w:rPr>
        <w:fldChar w:fldCharType="begin"/>
      </w:r>
      <w:r>
        <w:rPr>
          <w:lang/>
        </w:rPr>
        <w:instrText xml:space="preserve"> PAGEREF _Toc510107969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"_Toc510107970"</w:instrText>
      </w:r>
      <w:r>
        <w:rPr>
          <w:rStyle w:val="10"/>
          <w:lang/>
        </w:rPr>
        <w:instrText xml:space="preserve"> </w:instrText>
      </w:r>
      <w:r>
        <w:rPr>
          <w:rStyle w:val="10"/>
          <w:lang/>
        </w:rPr>
        <w:fldChar w:fldCharType="separate"/>
      </w:r>
      <w:r>
        <w:rPr>
          <w:rStyle w:val="10"/>
          <w:b/>
          <w:bCs/>
          <w:lang/>
        </w:rPr>
        <w:t xml:space="preserve">4.4 </w:t>
      </w:r>
      <w:r>
        <w:rPr>
          <w:rStyle w:val="10"/>
          <w:rFonts w:hint="eastAsia"/>
          <w:b/>
          <w:bCs/>
          <w:lang/>
        </w:rPr>
        <w:t>管理人对报告期内基金的投资策略和业绩表现的说明</w:t>
      </w:r>
      <w:r>
        <w:rPr>
          <w:lang/>
        </w:rPr>
        <w:tab/>
      </w:r>
      <w:r>
        <w:rPr>
          <w:lang/>
        </w:rPr>
        <w:fldChar w:fldCharType="begin"/>
      </w:r>
      <w:r>
        <w:rPr>
          <w:lang/>
        </w:rPr>
        <w:instrText xml:space="preserve"> PAGEREF _Toc510107970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"_Toc510107971"</w:instrText>
      </w:r>
      <w:r>
        <w:rPr>
          <w:rStyle w:val="10"/>
          <w:lang/>
        </w:rPr>
        <w:instrText xml:space="preserve"> </w:instrText>
      </w:r>
      <w:r>
        <w:rPr>
          <w:rStyle w:val="10"/>
          <w:lang/>
        </w:rPr>
        <w:fldChar w:fldCharType="separate"/>
      </w:r>
      <w:r>
        <w:rPr>
          <w:rStyle w:val="10"/>
          <w:b/>
          <w:bCs/>
          <w:lang/>
        </w:rPr>
        <w:t xml:space="preserve">4.5 </w:t>
      </w:r>
      <w:r>
        <w:rPr>
          <w:rStyle w:val="10"/>
          <w:rFonts w:hint="eastAsia"/>
          <w:b/>
          <w:bCs/>
          <w:lang/>
        </w:rPr>
        <w:t>管理人对宏观经济、证券市场及行业走势的简要展望</w:t>
      </w:r>
      <w:r>
        <w:rPr>
          <w:lang/>
        </w:rPr>
        <w:tab/>
      </w:r>
      <w:r>
        <w:rPr>
          <w:lang/>
        </w:rPr>
        <w:fldChar w:fldCharType="begin"/>
      </w:r>
      <w:r>
        <w:rPr>
          <w:lang/>
        </w:rPr>
        <w:instrText xml:space="preserve"> PAGEREF _Toc510107971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"_Toc510107972"</w:instrText>
      </w:r>
      <w:r>
        <w:rPr>
          <w:rStyle w:val="10"/>
          <w:lang/>
        </w:rPr>
        <w:instrText xml:space="preserve"> </w:instrText>
      </w:r>
      <w:r>
        <w:rPr>
          <w:rStyle w:val="10"/>
          <w:lang/>
        </w:rPr>
        <w:fldChar w:fldCharType="separate"/>
      </w:r>
      <w:r>
        <w:rPr>
          <w:rStyle w:val="10"/>
          <w:b/>
          <w:bCs/>
          <w:lang/>
        </w:rPr>
        <w:t xml:space="preserve">4.6 </w:t>
      </w:r>
      <w:r>
        <w:rPr>
          <w:rStyle w:val="10"/>
          <w:rFonts w:hint="eastAsia"/>
          <w:b/>
          <w:bCs/>
          <w:lang/>
        </w:rPr>
        <w:t>管理人内部有关本基金的监察稽核工作情况</w:t>
      </w:r>
      <w:r>
        <w:rPr>
          <w:lang/>
        </w:rPr>
        <w:tab/>
      </w:r>
      <w:r>
        <w:rPr>
          <w:lang/>
        </w:rPr>
        <w:fldChar w:fldCharType="begin"/>
      </w:r>
      <w:r>
        <w:rPr>
          <w:lang/>
        </w:rPr>
        <w:instrText xml:space="preserve"> PAGEREF _Toc510107972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"_Toc510107973"</w:instrText>
      </w:r>
      <w:r>
        <w:rPr>
          <w:rStyle w:val="10"/>
          <w:lang/>
        </w:rPr>
        <w:instrText xml:space="preserve"> </w:instrText>
      </w:r>
      <w:r>
        <w:rPr>
          <w:rStyle w:val="10"/>
          <w:lang/>
        </w:rPr>
        <w:fldChar w:fldCharType="separate"/>
      </w:r>
      <w:r>
        <w:rPr>
          <w:rStyle w:val="10"/>
          <w:b/>
          <w:bCs/>
          <w:lang/>
        </w:rPr>
        <w:t xml:space="preserve">4.7 </w:t>
      </w:r>
      <w:r>
        <w:rPr>
          <w:rStyle w:val="10"/>
          <w:rFonts w:hint="eastAsia"/>
          <w:b/>
          <w:bCs/>
          <w:lang/>
        </w:rPr>
        <w:t>管理人对报告期内基金估值程序等事项的说明</w:t>
      </w:r>
      <w:r>
        <w:rPr>
          <w:lang/>
        </w:rPr>
        <w:tab/>
      </w:r>
      <w:r>
        <w:rPr>
          <w:lang/>
        </w:rPr>
        <w:fldChar w:fldCharType="begin"/>
      </w:r>
      <w:r>
        <w:rPr>
          <w:lang/>
        </w:rPr>
        <w:instrText xml:space="preserve"> PAGEREF _Toc510107973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"_Toc510107974"</w:instrText>
      </w:r>
      <w:r>
        <w:rPr>
          <w:rStyle w:val="10"/>
          <w:lang/>
        </w:rPr>
        <w:instrText xml:space="preserve"> </w:instrText>
      </w:r>
      <w:r>
        <w:rPr>
          <w:rStyle w:val="10"/>
          <w:lang/>
        </w:rPr>
        <w:fldChar w:fldCharType="separate"/>
      </w:r>
      <w:r>
        <w:rPr>
          <w:rStyle w:val="10"/>
          <w:b/>
          <w:bCs/>
          <w:lang/>
        </w:rPr>
        <w:t xml:space="preserve">4.8 </w:t>
      </w:r>
      <w:r>
        <w:rPr>
          <w:rStyle w:val="10"/>
          <w:rFonts w:hint="eastAsia"/>
          <w:b/>
          <w:bCs/>
          <w:lang/>
        </w:rPr>
        <w:t>管理人对报告期内基金利润分配情况的说明</w:t>
      </w:r>
      <w:r>
        <w:rPr>
          <w:lang/>
        </w:rPr>
        <w:tab/>
      </w:r>
      <w:r>
        <w:rPr>
          <w:lang/>
        </w:rPr>
        <w:fldChar w:fldCharType="begin"/>
      </w:r>
      <w:r>
        <w:rPr>
          <w:lang/>
        </w:rPr>
        <w:instrText xml:space="preserve"> PAGEREF _Toc510107974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"_Toc510107975"</w:instrText>
      </w:r>
      <w:r>
        <w:rPr>
          <w:rStyle w:val="10"/>
          <w:lang/>
        </w:rPr>
        <w:instrText xml:space="preserve"> </w:instrText>
      </w:r>
      <w:r>
        <w:rPr>
          <w:rStyle w:val="10"/>
          <w:lang/>
        </w:rPr>
        <w:fldChar w:fldCharType="separate"/>
      </w:r>
      <w:r>
        <w:rPr>
          <w:rStyle w:val="10"/>
          <w:b/>
          <w:bCs/>
          <w:lang/>
        </w:rPr>
        <w:t xml:space="preserve">4.9 </w:t>
      </w:r>
      <w:r>
        <w:rPr>
          <w:rStyle w:val="10"/>
          <w:rFonts w:hint="eastAsia"/>
          <w:b/>
          <w:bCs/>
          <w:lang/>
        </w:rPr>
        <w:t>报告期内管理人对本基金持有人数或基金资产净值预警情形的说明</w:t>
      </w:r>
      <w:r>
        <w:rPr>
          <w:lang/>
        </w:rPr>
        <w:tab/>
      </w:r>
      <w:r>
        <w:rPr>
          <w:lang/>
        </w:rPr>
        <w:fldChar w:fldCharType="begin"/>
      </w:r>
      <w:r>
        <w:rPr>
          <w:lang/>
        </w:rPr>
        <w:instrText xml:space="preserve"> PAGEREF _Toc510107975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"_Toc510107976"</w:instrText>
      </w:r>
      <w:r>
        <w:rPr>
          <w:rStyle w:val="10"/>
          <w:lang/>
        </w:rPr>
        <w:instrText xml:space="preserve"> </w:instrText>
      </w:r>
      <w:r>
        <w:rPr>
          <w:rStyle w:val="10"/>
          <w:lang/>
        </w:rPr>
        <w:fldChar w:fldCharType="separate"/>
      </w:r>
      <w:r>
        <w:rPr>
          <w:rStyle w:val="10"/>
          <w:b/>
          <w:lang/>
        </w:rPr>
        <w:t xml:space="preserve">§5  </w:t>
      </w:r>
      <w:r>
        <w:rPr>
          <w:rStyle w:val="10"/>
          <w:rFonts w:hint="eastAsia"/>
          <w:b/>
          <w:lang/>
        </w:rPr>
        <w:t>托管人报告</w:t>
      </w:r>
      <w:r>
        <w:rPr>
          <w:lang/>
        </w:rPr>
        <w:tab/>
      </w:r>
      <w:r>
        <w:rPr>
          <w:lang/>
        </w:rPr>
        <w:fldChar w:fldCharType="begin"/>
      </w:r>
      <w:r>
        <w:rPr>
          <w:lang/>
        </w:rPr>
        <w:instrText xml:space="preserve"> PAGEREF _Toc510107976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"_Toc510107977"</w:instrText>
      </w:r>
      <w:r>
        <w:rPr>
          <w:rStyle w:val="10"/>
          <w:lang/>
        </w:rPr>
        <w:instrText xml:space="preserve"> </w:instrText>
      </w:r>
      <w:r>
        <w:rPr>
          <w:rStyle w:val="10"/>
          <w:lang/>
        </w:rPr>
        <w:fldChar w:fldCharType="separate"/>
      </w:r>
      <w:r>
        <w:rPr>
          <w:rStyle w:val="10"/>
          <w:b/>
          <w:bCs/>
          <w:lang/>
        </w:rPr>
        <w:t xml:space="preserve">5.1 </w:t>
      </w:r>
      <w:r>
        <w:rPr>
          <w:rStyle w:val="10"/>
          <w:rFonts w:hint="eastAsia"/>
          <w:b/>
          <w:bCs/>
          <w:lang/>
        </w:rPr>
        <w:t>报告期内本基金托管人遵规守信情况声明</w:t>
      </w:r>
      <w:r>
        <w:rPr>
          <w:lang/>
        </w:rPr>
        <w:tab/>
      </w:r>
      <w:r>
        <w:rPr>
          <w:lang/>
        </w:rPr>
        <w:fldChar w:fldCharType="begin"/>
      </w:r>
      <w:r>
        <w:rPr>
          <w:lang/>
        </w:rPr>
        <w:instrText xml:space="preserve"> PAGEREF _Toc510107977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"_Toc510107978"</w:instrText>
      </w:r>
      <w:r>
        <w:rPr>
          <w:rStyle w:val="10"/>
          <w:lang/>
        </w:rPr>
        <w:instrText xml:space="preserve"> </w:instrText>
      </w:r>
      <w:r>
        <w:rPr>
          <w:rStyle w:val="10"/>
          <w:lang/>
        </w:rPr>
        <w:fldChar w:fldCharType="separate"/>
      </w:r>
      <w:r>
        <w:rPr>
          <w:rStyle w:val="10"/>
          <w:b/>
          <w:bCs/>
          <w:lang/>
        </w:rPr>
        <w:t xml:space="preserve">5.2 </w:t>
      </w:r>
      <w:r>
        <w:rPr>
          <w:rStyle w:val="10"/>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_Toc510107978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"_Toc510107979"</w:instrText>
      </w:r>
      <w:r>
        <w:rPr>
          <w:rStyle w:val="10"/>
          <w:lang/>
        </w:rPr>
        <w:instrText xml:space="preserve"> </w:instrText>
      </w:r>
      <w:r>
        <w:rPr>
          <w:rStyle w:val="10"/>
          <w:lang/>
        </w:rPr>
        <w:fldChar w:fldCharType="separate"/>
      </w:r>
      <w:r>
        <w:rPr>
          <w:rStyle w:val="10"/>
          <w:b/>
          <w:bCs/>
          <w:lang/>
        </w:rPr>
        <w:t xml:space="preserve">5.3 </w:t>
      </w:r>
      <w:r>
        <w:rPr>
          <w:rStyle w:val="10"/>
          <w:rFonts w:hint="eastAsia"/>
          <w:b/>
          <w:bCs/>
          <w:lang/>
        </w:rPr>
        <w:t>托管人对本年度报告中财务信息等内容的真实、准确和完整发表意见</w:t>
      </w:r>
      <w:r>
        <w:rPr>
          <w:lang/>
        </w:rPr>
        <w:tab/>
      </w:r>
      <w:r>
        <w:rPr>
          <w:lang/>
        </w:rPr>
        <w:fldChar w:fldCharType="begin"/>
      </w:r>
      <w:r>
        <w:rPr>
          <w:lang/>
        </w:rPr>
        <w:instrText xml:space="preserve"> PAGEREF _Toc510107979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"_Toc510107980"</w:instrText>
      </w:r>
      <w:r>
        <w:rPr>
          <w:rStyle w:val="10"/>
          <w:lang/>
        </w:rPr>
        <w:instrText xml:space="preserve"> </w:instrText>
      </w:r>
      <w:r>
        <w:rPr>
          <w:rStyle w:val="10"/>
          <w:lang/>
        </w:rPr>
        <w:fldChar w:fldCharType="separate"/>
      </w:r>
      <w:r>
        <w:rPr>
          <w:rStyle w:val="10"/>
          <w:b/>
          <w:lang/>
        </w:rPr>
        <w:t xml:space="preserve">§6  </w:t>
      </w:r>
      <w:r>
        <w:rPr>
          <w:rStyle w:val="10"/>
          <w:rFonts w:hint="eastAsia"/>
          <w:b/>
          <w:lang/>
        </w:rPr>
        <w:t>审计报告</w:t>
      </w:r>
      <w:r>
        <w:rPr>
          <w:lang/>
        </w:rPr>
        <w:tab/>
      </w:r>
      <w:r>
        <w:rPr>
          <w:lang/>
        </w:rPr>
        <w:fldChar w:fldCharType="begin"/>
      </w:r>
      <w:r>
        <w:rPr>
          <w:lang/>
        </w:rPr>
        <w:instrText xml:space="preserve"> PAGEREF _Toc510107980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"_Toc510107981"</w:instrText>
      </w:r>
      <w:r>
        <w:rPr>
          <w:rStyle w:val="10"/>
          <w:lang/>
        </w:rPr>
        <w:instrText xml:space="preserve"> </w:instrText>
      </w:r>
      <w:r>
        <w:rPr>
          <w:rStyle w:val="10"/>
          <w:lang/>
        </w:rPr>
        <w:fldChar w:fldCharType="separate"/>
      </w:r>
      <w:r>
        <w:rPr>
          <w:rStyle w:val="10"/>
          <w:b/>
          <w:bCs/>
          <w:lang/>
        </w:rPr>
        <w:t xml:space="preserve">6.1 </w:t>
      </w:r>
      <w:r>
        <w:rPr>
          <w:rStyle w:val="10"/>
          <w:rFonts w:hint="eastAsia"/>
          <w:b/>
          <w:bCs/>
          <w:lang/>
        </w:rPr>
        <w:t>审计报告基本信息</w:t>
      </w:r>
      <w:r>
        <w:rPr>
          <w:lang/>
        </w:rPr>
        <w:tab/>
      </w:r>
      <w:r>
        <w:rPr>
          <w:lang/>
        </w:rPr>
        <w:fldChar w:fldCharType="begin"/>
      </w:r>
      <w:r>
        <w:rPr>
          <w:lang/>
        </w:rPr>
        <w:instrText xml:space="preserve"> PAGEREF _Toc510107981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"_Toc510107982"</w:instrText>
      </w:r>
      <w:r>
        <w:rPr>
          <w:rStyle w:val="10"/>
          <w:lang/>
        </w:rPr>
        <w:instrText xml:space="preserve"> </w:instrText>
      </w:r>
      <w:r>
        <w:rPr>
          <w:rStyle w:val="10"/>
          <w:lang/>
        </w:rPr>
        <w:fldChar w:fldCharType="separate"/>
      </w:r>
      <w:r>
        <w:rPr>
          <w:rStyle w:val="10"/>
          <w:b/>
          <w:bCs/>
          <w:lang/>
        </w:rPr>
        <w:t xml:space="preserve">6.2 </w:t>
      </w:r>
      <w:r>
        <w:rPr>
          <w:rStyle w:val="10"/>
          <w:rFonts w:hint="eastAsia"/>
          <w:b/>
          <w:bCs/>
          <w:lang/>
        </w:rPr>
        <w:t>审计报告的基本内容</w:t>
      </w:r>
      <w:r>
        <w:rPr>
          <w:lang/>
        </w:rPr>
        <w:tab/>
      </w:r>
      <w:r>
        <w:rPr>
          <w:lang/>
        </w:rPr>
        <w:fldChar w:fldCharType="begin"/>
      </w:r>
      <w:r>
        <w:rPr>
          <w:lang/>
        </w:rPr>
        <w:instrText xml:space="preserve"> PAGEREF _Toc510107982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"_Toc510107983"</w:instrText>
      </w:r>
      <w:r>
        <w:rPr>
          <w:rStyle w:val="10"/>
          <w:lang/>
        </w:rPr>
        <w:instrText xml:space="preserve"> </w:instrText>
      </w:r>
      <w:r>
        <w:rPr>
          <w:rStyle w:val="10"/>
          <w:lang/>
        </w:rPr>
        <w:fldChar w:fldCharType="separate"/>
      </w:r>
      <w:r>
        <w:rPr>
          <w:rStyle w:val="10"/>
          <w:b/>
          <w:lang/>
        </w:rPr>
        <w:t xml:space="preserve">§7  </w:t>
      </w:r>
      <w:r>
        <w:rPr>
          <w:rStyle w:val="10"/>
          <w:rFonts w:hint="eastAsia"/>
          <w:b/>
          <w:lang/>
        </w:rPr>
        <w:t>年度财务报表</w:t>
      </w:r>
      <w:r>
        <w:rPr>
          <w:lang/>
        </w:rPr>
        <w:tab/>
      </w:r>
      <w:r>
        <w:rPr>
          <w:lang/>
        </w:rPr>
        <w:fldChar w:fldCharType="begin"/>
      </w:r>
      <w:r>
        <w:rPr>
          <w:lang/>
        </w:rPr>
        <w:instrText xml:space="preserve"> PAGEREF _Toc510107983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"_Toc510107984"</w:instrText>
      </w:r>
      <w:r>
        <w:rPr>
          <w:rStyle w:val="10"/>
          <w:lang/>
        </w:rPr>
        <w:instrText xml:space="preserve"> </w:instrText>
      </w:r>
      <w:r>
        <w:rPr>
          <w:rStyle w:val="10"/>
          <w:lang/>
        </w:rPr>
        <w:fldChar w:fldCharType="separate"/>
      </w:r>
      <w:r>
        <w:rPr>
          <w:rStyle w:val="10"/>
          <w:b/>
          <w:bCs/>
          <w:lang/>
        </w:rPr>
        <w:t xml:space="preserve">7.1 </w:t>
      </w:r>
      <w:r>
        <w:rPr>
          <w:rStyle w:val="10"/>
          <w:rFonts w:hint="eastAsia"/>
          <w:b/>
          <w:bCs/>
          <w:lang/>
        </w:rPr>
        <w:t>资产负债表</w:t>
      </w:r>
      <w:r>
        <w:rPr>
          <w:lang/>
        </w:rPr>
        <w:tab/>
      </w:r>
      <w:r>
        <w:rPr>
          <w:lang/>
        </w:rPr>
        <w:fldChar w:fldCharType="begin"/>
      </w:r>
      <w:r>
        <w:rPr>
          <w:lang/>
        </w:rPr>
        <w:instrText xml:space="preserve"> PAGEREF _Toc510107984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"_Toc510107985"</w:instrText>
      </w:r>
      <w:r>
        <w:rPr>
          <w:rStyle w:val="10"/>
          <w:lang/>
        </w:rPr>
        <w:instrText xml:space="preserve"> </w:instrText>
      </w:r>
      <w:r>
        <w:rPr>
          <w:rStyle w:val="10"/>
          <w:lang/>
        </w:rPr>
        <w:fldChar w:fldCharType="separate"/>
      </w:r>
      <w:r>
        <w:rPr>
          <w:rStyle w:val="10"/>
          <w:b/>
          <w:bCs/>
          <w:lang/>
        </w:rPr>
        <w:t xml:space="preserve">7.2 </w:t>
      </w:r>
      <w:r>
        <w:rPr>
          <w:rStyle w:val="10"/>
          <w:rFonts w:hint="eastAsia"/>
          <w:b/>
          <w:bCs/>
          <w:lang/>
        </w:rPr>
        <w:t>利润表</w:t>
      </w:r>
      <w:r>
        <w:rPr>
          <w:lang/>
        </w:rPr>
        <w:tab/>
      </w:r>
      <w:r>
        <w:rPr>
          <w:lang/>
        </w:rPr>
        <w:fldChar w:fldCharType="begin"/>
      </w:r>
      <w:r>
        <w:rPr>
          <w:lang/>
        </w:rPr>
        <w:instrText xml:space="preserve"> PAGEREF _Toc510107985 \h </w:instrText>
      </w:r>
      <w:r>
        <w:rPr>
          <w:lang/>
        </w:rPr>
        <w:fldChar w:fldCharType="separate"/>
      </w:r>
      <w:r>
        <w:rPr>
          <w:lang/>
        </w:rPr>
        <w:t>19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"_Toc510107986"</w:instrText>
      </w:r>
      <w:r>
        <w:rPr>
          <w:rStyle w:val="10"/>
          <w:lang/>
        </w:rPr>
        <w:instrText xml:space="preserve"> </w:instrText>
      </w:r>
      <w:r>
        <w:rPr>
          <w:rStyle w:val="10"/>
          <w:lang/>
        </w:rPr>
        <w:fldChar w:fldCharType="separate"/>
      </w:r>
      <w:r>
        <w:rPr>
          <w:rStyle w:val="10"/>
          <w:b/>
          <w:bCs/>
          <w:lang/>
        </w:rPr>
        <w:t xml:space="preserve">7.3 </w:t>
      </w:r>
      <w:r>
        <w:rPr>
          <w:rStyle w:val="10"/>
          <w:rFonts w:hint="eastAsia"/>
          <w:b/>
          <w:bCs/>
          <w:lang/>
        </w:rPr>
        <w:t>所有者权益（基金净值）变动表</w:t>
      </w:r>
      <w:r>
        <w:rPr>
          <w:lang/>
        </w:rPr>
        <w:tab/>
      </w:r>
      <w:r>
        <w:rPr>
          <w:lang/>
        </w:rPr>
        <w:fldChar w:fldCharType="begin"/>
      </w:r>
      <w:r>
        <w:rPr>
          <w:lang/>
        </w:rPr>
        <w:instrText xml:space="preserve"> PAGEREF _Toc510107986 \h </w:instrText>
      </w:r>
      <w:r>
        <w:rPr>
          <w:lang/>
        </w:rPr>
        <w:fldChar w:fldCharType="separate"/>
      </w:r>
      <w:r>
        <w:rPr>
          <w:lang/>
        </w:rPr>
        <w:t>21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"_Toc510107987"</w:instrText>
      </w:r>
      <w:r>
        <w:rPr>
          <w:rStyle w:val="10"/>
          <w:lang/>
        </w:rPr>
        <w:instrText xml:space="preserve"> </w:instrText>
      </w:r>
      <w:r>
        <w:rPr>
          <w:rStyle w:val="10"/>
          <w:lang/>
        </w:rPr>
        <w:fldChar w:fldCharType="separate"/>
      </w:r>
      <w:r>
        <w:rPr>
          <w:rStyle w:val="10"/>
          <w:b/>
          <w:bCs/>
          <w:lang/>
        </w:rPr>
        <w:t xml:space="preserve">7.4 </w:t>
      </w:r>
      <w:r>
        <w:rPr>
          <w:rStyle w:val="10"/>
          <w:rFonts w:hint="eastAsia"/>
          <w:b/>
          <w:bCs/>
          <w:lang/>
        </w:rPr>
        <w:t>报表附注</w:t>
      </w:r>
      <w:r>
        <w:rPr>
          <w:lang/>
        </w:rPr>
        <w:tab/>
      </w:r>
      <w:r>
        <w:rPr>
          <w:lang/>
        </w:rPr>
        <w:fldChar w:fldCharType="begin"/>
      </w:r>
      <w:r>
        <w:rPr>
          <w:lang/>
        </w:rPr>
        <w:instrText xml:space="preserve"> PAGEREF _Toc510107987 \h </w:instrText>
      </w:r>
      <w:r>
        <w:rPr>
          <w:lang/>
        </w:rPr>
        <w:fldChar w:fldCharType="separate"/>
      </w:r>
      <w:r>
        <w:rPr>
          <w:lang/>
        </w:rPr>
        <w:t>23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"_Toc510107988"</w:instrText>
      </w:r>
      <w:r>
        <w:rPr>
          <w:rStyle w:val="10"/>
          <w:lang/>
        </w:rPr>
        <w:instrText xml:space="preserve"> </w:instrText>
      </w:r>
      <w:r>
        <w:rPr>
          <w:rStyle w:val="10"/>
          <w:lang/>
        </w:rPr>
        <w:fldChar w:fldCharType="separate"/>
      </w:r>
      <w:r>
        <w:rPr>
          <w:rStyle w:val="10"/>
          <w:b/>
          <w:lang/>
        </w:rPr>
        <w:t xml:space="preserve">§8 </w:t>
      </w:r>
      <w:r>
        <w:rPr>
          <w:rStyle w:val="10"/>
          <w:rFonts w:hint="eastAsia"/>
          <w:b/>
          <w:lang/>
        </w:rPr>
        <w:t>投资组合报告</w:t>
      </w:r>
      <w:r>
        <w:rPr>
          <w:lang/>
        </w:rPr>
        <w:tab/>
      </w:r>
      <w:r>
        <w:rPr>
          <w:lang/>
        </w:rPr>
        <w:fldChar w:fldCharType="begin"/>
      </w:r>
      <w:r>
        <w:rPr>
          <w:lang/>
        </w:rPr>
        <w:instrText xml:space="preserve"> PAGEREF _Toc510107988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"_Toc510107989"</w:instrText>
      </w:r>
      <w:r>
        <w:rPr>
          <w:rStyle w:val="10"/>
          <w:lang/>
        </w:rPr>
        <w:instrText xml:space="preserve"> </w:instrText>
      </w:r>
      <w:r>
        <w:rPr>
          <w:rStyle w:val="10"/>
          <w:lang/>
        </w:rPr>
        <w:fldChar w:fldCharType="separate"/>
      </w:r>
      <w:r>
        <w:rPr>
          <w:rStyle w:val="10"/>
          <w:b/>
          <w:bCs/>
          <w:lang/>
        </w:rPr>
        <w:t xml:space="preserve">8.1 </w:t>
      </w:r>
      <w:r>
        <w:rPr>
          <w:rStyle w:val="10"/>
          <w:rFonts w:hint="eastAsia"/>
          <w:b/>
          <w:bCs/>
          <w:lang/>
        </w:rPr>
        <w:t>期末基金资产组合情况</w:t>
      </w:r>
      <w:r>
        <w:rPr>
          <w:lang/>
        </w:rPr>
        <w:tab/>
      </w:r>
      <w:r>
        <w:rPr>
          <w:lang/>
        </w:rPr>
        <w:fldChar w:fldCharType="begin"/>
      </w:r>
      <w:r>
        <w:rPr>
          <w:lang/>
        </w:rPr>
        <w:instrText xml:space="preserve"> PAGEREF _Toc510107989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"_Toc510107990"</w:instrText>
      </w:r>
      <w:r>
        <w:rPr>
          <w:rStyle w:val="10"/>
          <w:lang/>
        </w:rPr>
        <w:instrText xml:space="preserve"> </w:instrText>
      </w:r>
      <w:r>
        <w:rPr>
          <w:rStyle w:val="10"/>
          <w:lang/>
        </w:rPr>
        <w:fldChar w:fldCharType="separate"/>
      </w:r>
      <w:r>
        <w:rPr>
          <w:rStyle w:val="10"/>
          <w:b/>
          <w:bCs/>
          <w:lang/>
        </w:rPr>
        <w:t xml:space="preserve">8.2 </w:t>
      </w:r>
      <w:r>
        <w:rPr>
          <w:rStyle w:val="10"/>
          <w:rFonts w:hint="eastAsia"/>
          <w:b/>
          <w:bCs/>
          <w:lang/>
        </w:rPr>
        <w:t>报告期末按行业分类的股票投资组合</w:t>
      </w:r>
      <w:r>
        <w:rPr>
          <w:lang/>
        </w:rPr>
        <w:tab/>
      </w:r>
      <w:r>
        <w:rPr>
          <w:lang/>
        </w:rPr>
        <w:fldChar w:fldCharType="begin"/>
      </w:r>
      <w:r>
        <w:rPr>
          <w:lang/>
        </w:rPr>
        <w:instrText xml:space="preserve"> PAGEREF _Toc510107990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"_Toc510107991"</w:instrText>
      </w:r>
      <w:r>
        <w:rPr>
          <w:rStyle w:val="10"/>
          <w:lang/>
        </w:rPr>
        <w:instrText xml:space="preserve"> </w:instrText>
      </w:r>
      <w:r>
        <w:rPr>
          <w:rStyle w:val="10"/>
          <w:lang/>
        </w:rPr>
        <w:fldChar w:fldCharType="separate"/>
      </w:r>
      <w:r>
        <w:rPr>
          <w:rStyle w:val="10"/>
          <w:b/>
          <w:bCs/>
          <w:lang/>
        </w:rPr>
        <w:t xml:space="preserve">8.3 </w:t>
      </w:r>
      <w:r>
        <w:rPr>
          <w:rStyle w:val="10"/>
          <w:rFonts w:hint="eastAsia"/>
          <w:b/>
          <w:bCs/>
          <w:lang/>
        </w:rPr>
        <w:t>期末按公允价值占基金资产净值比例大小排序的所有股票投资明细</w:t>
      </w:r>
      <w:r>
        <w:rPr>
          <w:lang/>
        </w:rPr>
        <w:tab/>
      </w:r>
      <w:r>
        <w:rPr>
          <w:lang/>
        </w:rPr>
        <w:fldChar w:fldCharType="begin"/>
      </w:r>
      <w:r>
        <w:rPr>
          <w:lang/>
        </w:rPr>
        <w:instrText xml:space="preserve"> PAGEREF _Toc510107991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"_Toc510107992"</w:instrText>
      </w:r>
      <w:r>
        <w:rPr>
          <w:rStyle w:val="10"/>
          <w:lang/>
        </w:rPr>
        <w:instrText xml:space="preserve"> </w:instrText>
      </w:r>
      <w:r>
        <w:rPr>
          <w:rStyle w:val="10"/>
          <w:lang/>
        </w:rPr>
        <w:fldChar w:fldCharType="separate"/>
      </w:r>
      <w:r>
        <w:rPr>
          <w:rStyle w:val="10"/>
          <w:b/>
          <w:bCs/>
          <w:lang/>
        </w:rPr>
        <w:t xml:space="preserve">8.4 </w:t>
      </w:r>
      <w:r>
        <w:rPr>
          <w:rStyle w:val="10"/>
          <w:rFonts w:hint="eastAsia"/>
          <w:b/>
          <w:bCs/>
          <w:lang/>
        </w:rPr>
        <w:t>报告期内股票投资组合的重大变动</w:t>
      </w:r>
      <w:r>
        <w:rPr>
          <w:lang/>
        </w:rPr>
        <w:tab/>
      </w:r>
      <w:r>
        <w:rPr>
          <w:lang/>
        </w:rPr>
        <w:fldChar w:fldCharType="begin"/>
      </w:r>
      <w:r>
        <w:rPr>
          <w:lang/>
        </w:rPr>
        <w:instrText xml:space="preserve"> PAGEREF _Toc510107992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"_Toc510107993"</w:instrText>
      </w:r>
      <w:r>
        <w:rPr>
          <w:rStyle w:val="10"/>
          <w:lang/>
        </w:rPr>
        <w:instrText xml:space="preserve"> </w:instrText>
      </w:r>
      <w:r>
        <w:rPr>
          <w:rStyle w:val="10"/>
          <w:lang/>
        </w:rPr>
        <w:fldChar w:fldCharType="separate"/>
      </w:r>
      <w:r>
        <w:rPr>
          <w:rStyle w:val="10"/>
          <w:b/>
          <w:bCs/>
          <w:lang/>
        </w:rPr>
        <w:t xml:space="preserve">8.5 </w:t>
      </w:r>
      <w:r>
        <w:rPr>
          <w:rStyle w:val="10"/>
          <w:rFonts w:hint="eastAsia"/>
          <w:b/>
          <w:bCs/>
          <w:lang/>
        </w:rPr>
        <w:t>期末按债券品种分类的债券投资组合</w:t>
      </w:r>
      <w:r>
        <w:rPr>
          <w:lang/>
        </w:rPr>
        <w:tab/>
      </w:r>
      <w:r>
        <w:rPr>
          <w:lang/>
        </w:rPr>
        <w:fldChar w:fldCharType="begin"/>
      </w:r>
      <w:r>
        <w:rPr>
          <w:lang/>
        </w:rPr>
        <w:instrText xml:space="preserve"> PAGEREF _Toc510107993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"_Toc510107994"</w:instrText>
      </w:r>
      <w:r>
        <w:rPr>
          <w:rStyle w:val="10"/>
          <w:lang/>
        </w:rPr>
        <w:instrText xml:space="preserve"> </w:instrText>
      </w:r>
      <w:r>
        <w:rPr>
          <w:rStyle w:val="10"/>
          <w:lang/>
        </w:rPr>
        <w:fldChar w:fldCharType="separate"/>
      </w:r>
      <w:r>
        <w:rPr>
          <w:rStyle w:val="10"/>
          <w:b/>
          <w:bCs/>
          <w:lang/>
        </w:rPr>
        <w:t xml:space="preserve">8.6 </w:t>
      </w:r>
      <w:r>
        <w:rPr>
          <w:rStyle w:val="10"/>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_Toc510107994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"_Toc510107995"</w:instrText>
      </w:r>
      <w:r>
        <w:rPr>
          <w:rStyle w:val="10"/>
          <w:lang/>
        </w:rPr>
        <w:instrText xml:space="preserve"> </w:instrText>
      </w:r>
      <w:r>
        <w:rPr>
          <w:rStyle w:val="10"/>
          <w:lang/>
        </w:rPr>
        <w:fldChar w:fldCharType="separate"/>
      </w:r>
      <w:r>
        <w:rPr>
          <w:rStyle w:val="10"/>
          <w:b/>
          <w:bCs/>
          <w:lang/>
        </w:rPr>
        <w:t xml:space="preserve">8.7 </w:t>
      </w:r>
      <w:r>
        <w:rPr>
          <w:rStyle w:val="10"/>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_Toc510107995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"_Toc510107996"</w:instrText>
      </w:r>
      <w:r>
        <w:rPr>
          <w:rStyle w:val="10"/>
          <w:lang/>
        </w:rPr>
        <w:instrText xml:space="preserve"> </w:instrText>
      </w:r>
      <w:r>
        <w:rPr>
          <w:rStyle w:val="10"/>
          <w:lang/>
        </w:rPr>
        <w:fldChar w:fldCharType="separate"/>
      </w:r>
      <w:r>
        <w:rPr>
          <w:rStyle w:val="10"/>
          <w:b/>
          <w:bCs/>
          <w:lang/>
        </w:rPr>
        <w:t xml:space="preserve">8.8 </w:t>
      </w:r>
      <w:r>
        <w:rPr>
          <w:rStyle w:val="10"/>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_Toc510107996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"_Toc510107997"</w:instrText>
      </w:r>
      <w:r>
        <w:rPr>
          <w:rStyle w:val="10"/>
          <w:lang/>
        </w:rPr>
        <w:instrText xml:space="preserve"> </w:instrText>
      </w:r>
      <w:r>
        <w:rPr>
          <w:rStyle w:val="10"/>
          <w:lang/>
        </w:rPr>
        <w:fldChar w:fldCharType="separate"/>
      </w:r>
      <w:r>
        <w:rPr>
          <w:rStyle w:val="10"/>
          <w:b/>
          <w:bCs/>
          <w:lang/>
        </w:rPr>
        <w:t xml:space="preserve">8.9 </w:t>
      </w:r>
      <w:r>
        <w:rPr>
          <w:rStyle w:val="10"/>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_Toc510107997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"_Toc510107998"</w:instrText>
      </w:r>
      <w:r>
        <w:rPr>
          <w:rStyle w:val="10"/>
          <w:lang/>
        </w:rPr>
        <w:instrText xml:space="preserve"> </w:instrText>
      </w:r>
      <w:r>
        <w:rPr>
          <w:rStyle w:val="10"/>
          <w:lang/>
        </w:rPr>
        <w:fldChar w:fldCharType="separate"/>
      </w:r>
      <w:r>
        <w:rPr>
          <w:rStyle w:val="10"/>
          <w:b/>
          <w:bCs/>
          <w:lang/>
        </w:rPr>
        <w:t xml:space="preserve">8.10 </w:t>
      </w:r>
      <w:r>
        <w:rPr>
          <w:rStyle w:val="10"/>
          <w:rFonts w:hint="eastAsia"/>
          <w:b/>
          <w:bCs/>
          <w:lang/>
        </w:rPr>
        <w:t>报告期末本基金投资的股指期货交易情况说明</w:t>
      </w:r>
      <w:r>
        <w:rPr>
          <w:lang/>
        </w:rPr>
        <w:tab/>
      </w:r>
      <w:r>
        <w:rPr>
          <w:lang/>
        </w:rPr>
        <w:fldChar w:fldCharType="begin"/>
      </w:r>
      <w:r>
        <w:rPr>
          <w:lang/>
        </w:rPr>
        <w:instrText xml:space="preserve"> PAGEREF _Toc510107998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"_Toc510107999"</w:instrText>
      </w:r>
      <w:r>
        <w:rPr>
          <w:rStyle w:val="10"/>
          <w:lang/>
        </w:rPr>
        <w:instrText xml:space="preserve"> </w:instrText>
      </w:r>
      <w:r>
        <w:rPr>
          <w:rStyle w:val="10"/>
          <w:lang/>
        </w:rPr>
        <w:fldChar w:fldCharType="separate"/>
      </w:r>
      <w:r>
        <w:rPr>
          <w:rStyle w:val="10"/>
          <w:b/>
          <w:bCs/>
          <w:lang/>
        </w:rPr>
        <w:t xml:space="preserve">8.11 </w:t>
      </w:r>
      <w:r>
        <w:rPr>
          <w:rStyle w:val="10"/>
          <w:rFonts w:hint="eastAsia"/>
          <w:b/>
          <w:bCs/>
          <w:lang/>
        </w:rPr>
        <w:t>报告期末本基金投资的国债期货交易情况说明</w:t>
      </w:r>
      <w:r>
        <w:rPr>
          <w:lang/>
        </w:rPr>
        <w:tab/>
      </w:r>
      <w:r>
        <w:rPr>
          <w:lang/>
        </w:rPr>
        <w:fldChar w:fldCharType="begin"/>
      </w:r>
      <w:r>
        <w:rPr>
          <w:lang/>
        </w:rPr>
        <w:instrText xml:space="preserve"> PAGEREF _Toc510107999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"_Toc510108000"</w:instrText>
      </w:r>
      <w:r>
        <w:rPr>
          <w:rStyle w:val="10"/>
          <w:lang/>
        </w:rPr>
        <w:instrText xml:space="preserve"> </w:instrText>
      </w:r>
      <w:r>
        <w:rPr>
          <w:rStyle w:val="10"/>
          <w:lang/>
        </w:rPr>
        <w:fldChar w:fldCharType="separate"/>
      </w:r>
      <w:r>
        <w:rPr>
          <w:rStyle w:val="10"/>
          <w:b/>
          <w:bCs/>
          <w:lang/>
        </w:rPr>
        <w:t xml:space="preserve">8.12 </w:t>
      </w:r>
      <w:r>
        <w:rPr>
          <w:rStyle w:val="10"/>
          <w:rFonts w:hint="eastAsia"/>
          <w:b/>
          <w:bCs/>
          <w:lang/>
        </w:rPr>
        <w:t>投资组合报告附注</w:t>
      </w:r>
      <w:r>
        <w:rPr>
          <w:lang/>
        </w:rPr>
        <w:tab/>
      </w:r>
      <w:r>
        <w:rPr>
          <w:lang/>
        </w:rPr>
        <w:fldChar w:fldCharType="begin"/>
      </w:r>
      <w:r>
        <w:rPr>
          <w:lang/>
        </w:rPr>
        <w:instrText xml:space="preserve"> PAGEREF _Toc510108000 \h </w:instrText>
      </w:r>
      <w:r>
        <w:rPr>
          <w:lang/>
        </w:rPr>
        <w:fldChar w:fldCharType="separate"/>
      </w:r>
      <w:r>
        <w:rPr>
          <w:lang/>
        </w:rPr>
        <w:t>50</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"_Toc510108001"</w:instrText>
      </w:r>
      <w:r>
        <w:rPr>
          <w:rStyle w:val="10"/>
          <w:lang/>
        </w:rPr>
        <w:instrText xml:space="preserve"> </w:instrText>
      </w:r>
      <w:r>
        <w:rPr>
          <w:rStyle w:val="10"/>
          <w:lang/>
        </w:rPr>
        <w:fldChar w:fldCharType="separate"/>
      </w:r>
      <w:r>
        <w:rPr>
          <w:rStyle w:val="10"/>
          <w:b/>
          <w:lang/>
        </w:rPr>
        <w:t xml:space="preserve">§9  </w:t>
      </w:r>
      <w:r>
        <w:rPr>
          <w:rStyle w:val="10"/>
          <w:rFonts w:hint="eastAsia"/>
          <w:b/>
          <w:lang/>
        </w:rPr>
        <w:t>基金份额持有人信息</w:t>
      </w:r>
      <w:r>
        <w:rPr>
          <w:lang/>
        </w:rPr>
        <w:tab/>
      </w:r>
      <w:r>
        <w:rPr>
          <w:lang/>
        </w:rPr>
        <w:fldChar w:fldCharType="begin"/>
      </w:r>
      <w:r>
        <w:rPr>
          <w:lang/>
        </w:rPr>
        <w:instrText xml:space="preserve"> PAGEREF _Toc510108001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"_Toc510108002"</w:instrText>
      </w:r>
      <w:r>
        <w:rPr>
          <w:rStyle w:val="10"/>
          <w:lang/>
        </w:rPr>
        <w:instrText xml:space="preserve"> </w:instrText>
      </w:r>
      <w:r>
        <w:rPr>
          <w:rStyle w:val="10"/>
          <w:lang/>
        </w:rPr>
        <w:fldChar w:fldCharType="separate"/>
      </w:r>
      <w:r>
        <w:rPr>
          <w:rStyle w:val="10"/>
          <w:b/>
          <w:bCs/>
          <w:lang/>
        </w:rPr>
        <w:t xml:space="preserve">9.1 </w:t>
      </w:r>
      <w:r>
        <w:rPr>
          <w:rStyle w:val="10"/>
          <w:rFonts w:hint="eastAsia"/>
          <w:b/>
          <w:bCs/>
          <w:lang/>
        </w:rPr>
        <w:t>期末基金份额持有人户数及持有人结构</w:t>
      </w:r>
      <w:r>
        <w:rPr>
          <w:lang/>
        </w:rPr>
        <w:tab/>
      </w:r>
      <w:r>
        <w:rPr>
          <w:lang/>
        </w:rPr>
        <w:fldChar w:fldCharType="begin"/>
      </w:r>
      <w:r>
        <w:rPr>
          <w:lang/>
        </w:rPr>
        <w:instrText xml:space="preserve"> PAGEREF _Toc510108002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"_Toc510108003"</w:instrText>
      </w:r>
      <w:r>
        <w:rPr>
          <w:rStyle w:val="10"/>
          <w:lang/>
        </w:rPr>
        <w:instrText xml:space="preserve"> </w:instrText>
      </w:r>
      <w:r>
        <w:rPr>
          <w:rStyle w:val="10"/>
          <w:lang/>
        </w:rPr>
        <w:fldChar w:fldCharType="separate"/>
      </w:r>
      <w:r>
        <w:rPr>
          <w:rStyle w:val="10"/>
          <w:b/>
          <w:lang/>
        </w:rPr>
        <w:t>9.2</w:t>
      </w:r>
      <w:r>
        <w:rPr>
          <w:rStyle w:val="10"/>
          <w:rFonts w:hint="eastAsia"/>
          <w:b/>
          <w:lang/>
        </w:rPr>
        <w:t>期末基金管理人的从业人员持有本基金的情况</w:t>
      </w:r>
      <w:r>
        <w:rPr>
          <w:lang/>
        </w:rPr>
        <w:tab/>
      </w:r>
      <w:r>
        <w:rPr>
          <w:lang/>
        </w:rPr>
        <w:fldChar w:fldCharType="begin"/>
      </w:r>
      <w:r>
        <w:rPr>
          <w:lang/>
        </w:rPr>
        <w:instrText xml:space="preserve"> PAGEREF _Toc510108003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"_Toc510108004"</w:instrText>
      </w:r>
      <w:r>
        <w:rPr>
          <w:rStyle w:val="10"/>
          <w:lang/>
        </w:rPr>
        <w:instrText xml:space="preserve"> </w:instrText>
      </w:r>
      <w:r>
        <w:rPr>
          <w:rStyle w:val="10"/>
          <w:lang/>
        </w:rPr>
        <w:fldChar w:fldCharType="separate"/>
      </w:r>
      <w:r>
        <w:rPr>
          <w:rStyle w:val="10"/>
          <w:b/>
          <w:bCs/>
          <w:lang/>
        </w:rPr>
        <w:t>9.3</w:t>
      </w:r>
      <w:r>
        <w:rPr>
          <w:rStyle w:val="10"/>
          <w:rFonts w:hint="eastAsia"/>
          <w:b/>
          <w:bCs/>
          <w:lang/>
        </w:rPr>
        <w:t>期末基金管理人的从业人员持有本开放式基金份额总量区间情况</w:t>
      </w:r>
      <w:r>
        <w:rPr>
          <w:lang/>
        </w:rPr>
        <w:tab/>
      </w:r>
      <w:r>
        <w:rPr>
          <w:lang/>
        </w:rPr>
        <w:fldChar w:fldCharType="begin"/>
      </w:r>
      <w:r>
        <w:rPr>
          <w:lang/>
        </w:rPr>
        <w:instrText xml:space="preserve"> PAGEREF _Toc510108004 \h </w:instrText>
      </w:r>
      <w:r>
        <w:rPr>
          <w:lang/>
        </w:rPr>
        <w:fldChar w:fldCharType="separate"/>
      </w:r>
      <w:r>
        <w:rPr>
          <w:lang/>
        </w:rPr>
        <w:t>51</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"_Toc510108005"</w:instrText>
      </w:r>
      <w:r>
        <w:rPr>
          <w:rStyle w:val="10"/>
          <w:lang/>
        </w:rPr>
        <w:instrText xml:space="preserve"> </w:instrText>
      </w:r>
      <w:r>
        <w:rPr>
          <w:rStyle w:val="10"/>
          <w:lang/>
        </w:rPr>
        <w:fldChar w:fldCharType="separate"/>
      </w:r>
      <w:r>
        <w:rPr>
          <w:rStyle w:val="10"/>
          <w:b/>
          <w:lang/>
        </w:rPr>
        <w:t xml:space="preserve">§10  </w:t>
      </w:r>
      <w:r>
        <w:rPr>
          <w:rStyle w:val="10"/>
          <w:rFonts w:hint="eastAsia"/>
          <w:b/>
          <w:lang/>
        </w:rPr>
        <w:t>开放式基金份额变动</w:t>
      </w:r>
      <w:r>
        <w:rPr>
          <w:lang/>
        </w:rPr>
        <w:tab/>
      </w:r>
      <w:r>
        <w:rPr>
          <w:lang/>
        </w:rPr>
        <w:fldChar w:fldCharType="begin"/>
      </w:r>
      <w:r>
        <w:rPr>
          <w:lang/>
        </w:rPr>
        <w:instrText xml:space="preserve"> PAGEREF _Toc510108005 \h </w:instrText>
      </w:r>
      <w:r>
        <w:rPr>
          <w:lang/>
        </w:rPr>
        <w:fldChar w:fldCharType="separate"/>
      </w:r>
      <w:r>
        <w:rPr>
          <w:lang/>
        </w:rPr>
        <w:t>51</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"_Toc510108006"</w:instrText>
      </w:r>
      <w:r>
        <w:rPr>
          <w:rStyle w:val="10"/>
          <w:lang/>
        </w:rPr>
        <w:instrText xml:space="preserve"> </w:instrText>
      </w:r>
      <w:r>
        <w:rPr>
          <w:rStyle w:val="10"/>
          <w:lang/>
        </w:rPr>
        <w:fldChar w:fldCharType="separate"/>
      </w:r>
      <w:r>
        <w:rPr>
          <w:rStyle w:val="10"/>
          <w:b/>
          <w:lang/>
        </w:rPr>
        <w:t xml:space="preserve">§11  </w:t>
      </w:r>
      <w:r>
        <w:rPr>
          <w:rStyle w:val="10"/>
          <w:rFonts w:hint="eastAsia"/>
          <w:b/>
          <w:lang/>
        </w:rPr>
        <w:t>重大事件揭示</w:t>
      </w:r>
      <w:r>
        <w:rPr>
          <w:lang/>
        </w:rPr>
        <w:tab/>
      </w:r>
      <w:r>
        <w:rPr>
          <w:lang/>
        </w:rPr>
        <w:fldChar w:fldCharType="begin"/>
      </w:r>
      <w:r>
        <w:rPr>
          <w:lang/>
        </w:rPr>
        <w:instrText xml:space="preserve"> PAGEREF _Toc510108006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"_Toc510108007"</w:instrText>
      </w:r>
      <w:r>
        <w:rPr>
          <w:rStyle w:val="10"/>
          <w:lang/>
        </w:rPr>
        <w:instrText xml:space="preserve"> </w:instrText>
      </w:r>
      <w:r>
        <w:rPr>
          <w:rStyle w:val="10"/>
          <w:lang/>
        </w:rPr>
        <w:fldChar w:fldCharType="separate"/>
      </w:r>
      <w:r>
        <w:rPr>
          <w:rStyle w:val="10"/>
          <w:b/>
          <w:bCs/>
          <w:lang/>
        </w:rPr>
        <w:t xml:space="preserve">11.1 </w:t>
      </w:r>
      <w:r>
        <w:rPr>
          <w:rStyle w:val="10"/>
          <w:rFonts w:hint="eastAsia"/>
          <w:b/>
          <w:bCs/>
          <w:lang/>
        </w:rPr>
        <w:t>基金份额持有人大会决议</w:t>
      </w:r>
      <w:r>
        <w:rPr>
          <w:lang/>
        </w:rPr>
        <w:tab/>
      </w:r>
      <w:r>
        <w:rPr>
          <w:lang/>
        </w:rPr>
        <w:fldChar w:fldCharType="begin"/>
      </w:r>
      <w:r>
        <w:rPr>
          <w:lang/>
        </w:rPr>
        <w:instrText xml:space="preserve"> PAGEREF _Toc510108007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"_Toc510108008"</w:instrText>
      </w:r>
      <w:r>
        <w:rPr>
          <w:rStyle w:val="10"/>
          <w:lang/>
        </w:rPr>
        <w:instrText xml:space="preserve"> </w:instrText>
      </w:r>
      <w:r>
        <w:rPr>
          <w:rStyle w:val="10"/>
          <w:lang/>
        </w:rPr>
        <w:fldChar w:fldCharType="separate"/>
      </w:r>
      <w:r>
        <w:rPr>
          <w:rStyle w:val="10"/>
          <w:b/>
          <w:bCs/>
          <w:lang/>
        </w:rPr>
        <w:t xml:space="preserve">11.2 </w:t>
      </w:r>
      <w:r>
        <w:rPr>
          <w:rStyle w:val="10"/>
          <w:rFonts w:hint="eastAsia"/>
          <w:b/>
          <w:bCs/>
          <w:lang/>
        </w:rPr>
        <w:t>基金管理人、基金托管人的专门基金托管部门的重大人事变动</w:t>
      </w:r>
      <w:r>
        <w:rPr>
          <w:lang/>
        </w:rPr>
        <w:tab/>
      </w:r>
      <w:r>
        <w:rPr>
          <w:lang/>
        </w:rPr>
        <w:fldChar w:fldCharType="begin"/>
      </w:r>
      <w:r>
        <w:rPr>
          <w:lang/>
        </w:rPr>
        <w:instrText xml:space="preserve"> PAGEREF _Toc510108008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"_Toc510108009"</w:instrText>
      </w:r>
      <w:r>
        <w:rPr>
          <w:rStyle w:val="10"/>
          <w:lang/>
        </w:rPr>
        <w:instrText xml:space="preserve"> </w:instrText>
      </w:r>
      <w:r>
        <w:rPr>
          <w:rStyle w:val="10"/>
          <w:lang/>
        </w:rPr>
        <w:fldChar w:fldCharType="separate"/>
      </w:r>
      <w:r>
        <w:rPr>
          <w:rStyle w:val="10"/>
          <w:b/>
          <w:bCs/>
          <w:lang/>
        </w:rPr>
        <w:t xml:space="preserve">11.3 </w:t>
      </w:r>
      <w:r>
        <w:rPr>
          <w:rStyle w:val="10"/>
          <w:rFonts w:hint="eastAsia"/>
          <w:b/>
          <w:bCs/>
          <w:lang/>
        </w:rPr>
        <w:t>涉及基金管理人、基金财产、基金托管业务的诉讼</w:t>
      </w:r>
      <w:r>
        <w:rPr>
          <w:lang/>
        </w:rPr>
        <w:tab/>
      </w:r>
      <w:r>
        <w:rPr>
          <w:lang/>
        </w:rPr>
        <w:fldChar w:fldCharType="begin"/>
      </w:r>
      <w:r>
        <w:rPr>
          <w:lang/>
        </w:rPr>
        <w:instrText xml:space="preserve"> PAGEREF _Toc510108009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"_Toc510108010"</w:instrText>
      </w:r>
      <w:r>
        <w:rPr>
          <w:rStyle w:val="10"/>
          <w:lang/>
        </w:rPr>
        <w:instrText xml:space="preserve"> </w:instrText>
      </w:r>
      <w:r>
        <w:rPr>
          <w:rStyle w:val="10"/>
          <w:lang/>
        </w:rPr>
        <w:fldChar w:fldCharType="separate"/>
      </w:r>
      <w:r>
        <w:rPr>
          <w:rStyle w:val="10"/>
          <w:b/>
          <w:bCs/>
          <w:lang/>
        </w:rPr>
        <w:t xml:space="preserve">11.4 </w:t>
      </w:r>
      <w:r>
        <w:rPr>
          <w:rStyle w:val="10"/>
          <w:rFonts w:hint="eastAsia"/>
          <w:b/>
          <w:bCs/>
          <w:lang/>
        </w:rPr>
        <w:t>基金投资策略的改变</w:t>
      </w:r>
      <w:r>
        <w:rPr>
          <w:lang/>
        </w:rPr>
        <w:tab/>
      </w:r>
      <w:r>
        <w:rPr>
          <w:lang/>
        </w:rPr>
        <w:fldChar w:fldCharType="begin"/>
      </w:r>
      <w:r>
        <w:rPr>
          <w:lang/>
        </w:rPr>
        <w:instrText xml:space="preserve"> PAGEREF _Toc510108010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"_Toc510108011"</w:instrText>
      </w:r>
      <w:r>
        <w:rPr>
          <w:rStyle w:val="10"/>
          <w:lang/>
        </w:rPr>
        <w:instrText xml:space="preserve"> </w:instrText>
      </w:r>
      <w:r>
        <w:rPr>
          <w:rStyle w:val="10"/>
          <w:lang/>
        </w:rPr>
        <w:fldChar w:fldCharType="separate"/>
      </w:r>
      <w:r>
        <w:rPr>
          <w:rStyle w:val="10"/>
          <w:b/>
          <w:bCs/>
          <w:lang/>
        </w:rPr>
        <w:t xml:space="preserve">11.5 </w:t>
      </w:r>
      <w:r>
        <w:rPr>
          <w:rStyle w:val="10"/>
          <w:rFonts w:hint="eastAsia"/>
          <w:b/>
          <w:bCs/>
          <w:lang/>
        </w:rPr>
        <w:t>为基金进行审计的会计师事务所情况</w:t>
      </w:r>
      <w:r>
        <w:rPr>
          <w:lang/>
        </w:rPr>
        <w:tab/>
      </w:r>
      <w:r>
        <w:rPr>
          <w:lang/>
        </w:rPr>
        <w:fldChar w:fldCharType="begin"/>
      </w:r>
      <w:r>
        <w:rPr>
          <w:lang/>
        </w:rPr>
        <w:instrText xml:space="preserve"> PAGEREF _Toc510108011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"_Toc510108012"</w:instrText>
      </w:r>
      <w:r>
        <w:rPr>
          <w:rStyle w:val="10"/>
          <w:lang/>
        </w:rPr>
        <w:instrText xml:space="preserve"> </w:instrText>
      </w:r>
      <w:r>
        <w:rPr>
          <w:rStyle w:val="10"/>
          <w:lang/>
        </w:rPr>
        <w:fldChar w:fldCharType="separate"/>
      </w:r>
      <w:r>
        <w:rPr>
          <w:rStyle w:val="10"/>
          <w:b/>
          <w:bCs/>
          <w:lang/>
        </w:rPr>
        <w:t xml:space="preserve">11.6 </w:t>
      </w:r>
      <w:r>
        <w:rPr>
          <w:rStyle w:val="10"/>
          <w:rFonts w:hint="eastAsia"/>
          <w:b/>
          <w:bCs/>
          <w:lang/>
        </w:rPr>
        <w:t>管理人、托管人及其高级管理人员受稽查或处罚等情况</w:t>
      </w:r>
      <w:r>
        <w:rPr>
          <w:lang/>
        </w:rPr>
        <w:tab/>
      </w:r>
      <w:r>
        <w:rPr>
          <w:lang/>
        </w:rPr>
        <w:fldChar w:fldCharType="begin"/>
      </w:r>
      <w:r>
        <w:rPr>
          <w:lang/>
        </w:rPr>
        <w:instrText xml:space="preserve"> PAGEREF _Toc510108012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"_Toc510108013"</w:instrText>
      </w:r>
      <w:r>
        <w:rPr>
          <w:rStyle w:val="10"/>
          <w:lang/>
        </w:rPr>
        <w:instrText xml:space="preserve"> </w:instrText>
      </w:r>
      <w:r>
        <w:rPr>
          <w:rStyle w:val="10"/>
          <w:lang/>
        </w:rPr>
        <w:fldChar w:fldCharType="separate"/>
      </w:r>
      <w:r>
        <w:rPr>
          <w:rStyle w:val="10"/>
          <w:b/>
          <w:bCs/>
          <w:lang/>
        </w:rPr>
        <w:t xml:space="preserve">11.7 </w:t>
      </w:r>
      <w:r>
        <w:rPr>
          <w:rStyle w:val="10"/>
          <w:rFonts w:hint="eastAsia"/>
          <w:b/>
          <w:bCs/>
          <w:lang/>
        </w:rPr>
        <w:t>基金租用证券公司交易单元的有关情况</w:t>
      </w:r>
      <w:r>
        <w:rPr>
          <w:lang/>
        </w:rPr>
        <w:tab/>
      </w:r>
      <w:r>
        <w:rPr>
          <w:lang/>
        </w:rPr>
        <w:fldChar w:fldCharType="begin"/>
      </w:r>
      <w:r>
        <w:rPr>
          <w:lang/>
        </w:rPr>
        <w:instrText xml:space="preserve"> PAGEREF _Toc510108013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"_Toc510108014"</w:instrText>
      </w:r>
      <w:r>
        <w:rPr>
          <w:rStyle w:val="10"/>
          <w:lang/>
        </w:rPr>
        <w:instrText xml:space="preserve"> </w:instrText>
      </w:r>
      <w:r>
        <w:rPr>
          <w:rStyle w:val="10"/>
          <w:lang/>
        </w:rPr>
        <w:fldChar w:fldCharType="separate"/>
      </w:r>
      <w:r>
        <w:rPr>
          <w:rStyle w:val="10"/>
          <w:b/>
          <w:bCs/>
          <w:lang/>
        </w:rPr>
        <w:t xml:space="preserve">11.8 </w:t>
      </w:r>
      <w:r>
        <w:rPr>
          <w:rStyle w:val="10"/>
          <w:rFonts w:hint="eastAsia"/>
          <w:b/>
          <w:bCs/>
          <w:lang/>
        </w:rPr>
        <w:t>其他重大事件</w:t>
      </w:r>
      <w:r>
        <w:rPr>
          <w:lang/>
        </w:rPr>
        <w:tab/>
      </w:r>
      <w:r>
        <w:rPr>
          <w:lang/>
        </w:rPr>
        <w:fldChar w:fldCharType="begin"/>
      </w:r>
      <w:r>
        <w:rPr>
          <w:lang/>
        </w:rPr>
        <w:instrText xml:space="preserve"> PAGEREF _Toc510108014 \h </w:instrText>
      </w:r>
      <w:r>
        <w:rPr>
          <w:lang/>
        </w:rPr>
        <w:fldChar w:fldCharType="separate"/>
      </w:r>
      <w:r>
        <w:rPr>
          <w:lang/>
        </w:rPr>
        <w:t>53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"_Toc510108015"</w:instrText>
      </w:r>
      <w:r>
        <w:rPr>
          <w:rStyle w:val="10"/>
          <w:lang/>
        </w:rPr>
        <w:instrText xml:space="preserve"> </w:instrText>
      </w:r>
      <w:r>
        <w:rPr>
          <w:rStyle w:val="10"/>
          <w:lang/>
        </w:rPr>
        <w:fldChar w:fldCharType="separate"/>
      </w:r>
      <w:r>
        <w:rPr>
          <w:rStyle w:val="10"/>
          <w:b/>
          <w:lang/>
        </w:rPr>
        <w:t xml:space="preserve">§12  </w:t>
      </w:r>
      <w:r>
        <w:rPr>
          <w:rStyle w:val="10"/>
          <w:rFonts w:hint="eastAsia"/>
          <w:b/>
          <w:lang/>
        </w:rPr>
        <w:t>影响投资者决策的其他重要信息</w:t>
      </w:r>
      <w:r>
        <w:rPr>
          <w:lang/>
        </w:rPr>
        <w:tab/>
      </w:r>
      <w:r>
        <w:rPr>
          <w:lang/>
        </w:rPr>
        <w:fldChar w:fldCharType="begin"/>
      </w:r>
      <w:r>
        <w:rPr>
          <w:lang/>
        </w:rPr>
        <w:instrText xml:space="preserve"> PAGEREF _Toc510108015 \h </w:instrText>
      </w:r>
      <w:r>
        <w:rPr>
          <w:lang/>
        </w:rPr>
        <w:fldChar w:fldCharType="separate"/>
      </w:r>
      <w:r>
        <w:rPr>
          <w:lang/>
        </w:rPr>
        <w:t>54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"_Toc510108016"</w:instrText>
      </w:r>
      <w:r>
        <w:rPr>
          <w:rStyle w:val="10"/>
          <w:lang/>
        </w:rPr>
        <w:instrText xml:space="preserve"> </w:instrText>
      </w:r>
      <w:r>
        <w:rPr>
          <w:rStyle w:val="10"/>
          <w:lang/>
        </w:rPr>
        <w:fldChar w:fldCharType="separate"/>
      </w:r>
      <w:r>
        <w:rPr>
          <w:rStyle w:val="10"/>
          <w:b/>
          <w:bCs/>
          <w:lang/>
        </w:rPr>
        <w:t xml:space="preserve">12.1 </w:t>
      </w:r>
      <w:r>
        <w:rPr>
          <w:rStyle w:val="10"/>
          <w:rFonts w:hint="eastAsia"/>
          <w:b/>
          <w:bCs/>
          <w:lang/>
        </w:rPr>
        <w:t>报告期内单一投资者持有基金份额比例达到或超过</w:t>
      </w:r>
      <w:r>
        <w:rPr>
          <w:rStyle w:val="10"/>
          <w:b/>
          <w:bCs/>
          <w:lang/>
        </w:rPr>
        <w:t>20%</w:t>
      </w:r>
      <w:r>
        <w:rPr>
          <w:rStyle w:val="10"/>
          <w:rFonts w:hint="eastAsia"/>
          <w:b/>
          <w:bCs/>
          <w:lang/>
        </w:rPr>
        <w:t>的情况</w:t>
      </w:r>
      <w:r>
        <w:rPr>
          <w:lang/>
        </w:rPr>
        <w:tab/>
      </w:r>
      <w:r>
        <w:rPr>
          <w:lang/>
        </w:rPr>
        <w:fldChar w:fldCharType="begin"/>
      </w:r>
      <w:r>
        <w:rPr>
          <w:lang/>
        </w:rPr>
        <w:instrText xml:space="preserve"> PAGEREF _Toc510108016 \h </w:instrText>
      </w:r>
      <w:r>
        <w:rPr>
          <w:lang/>
        </w:rPr>
        <w:fldChar w:fldCharType="separate"/>
      </w:r>
      <w:r>
        <w:rPr>
          <w:lang/>
        </w:rPr>
        <w:t>54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"_Toc510108017"</w:instrText>
      </w:r>
      <w:r>
        <w:rPr>
          <w:rStyle w:val="10"/>
          <w:lang/>
        </w:rPr>
        <w:instrText xml:space="preserve"> </w:instrText>
      </w:r>
      <w:r>
        <w:rPr>
          <w:rStyle w:val="10"/>
          <w:lang/>
        </w:rPr>
        <w:fldChar w:fldCharType="separate"/>
      </w:r>
      <w:r>
        <w:rPr>
          <w:rStyle w:val="10"/>
          <w:b/>
          <w:bCs/>
          <w:lang/>
        </w:rPr>
        <w:t xml:space="preserve">12.2 </w:t>
      </w:r>
      <w:r>
        <w:rPr>
          <w:rStyle w:val="10"/>
          <w:rFonts w:hint="eastAsia"/>
          <w:b/>
          <w:bCs/>
          <w:lang/>
        </w:rPr>
        <w:t>影响投资者决策的其他重要信息</w:t>
      </w:r>
      <w:r>
        <w:rPr>
          <w:lang/>
        </w:rPr>
        <w:tab/>
      </w:r>
      <w:r>
        <w:rPr>
          <w:lang/>
        </w:rPr>
        <w:fldChar w:fldCharType="begin"/>
      </w:r>
      <w:r>
        <w:rPr>
          <w:lang/>
        </w:rPr>
        <w:instrText xml:space="preserve"> PAGEREF _Toc510108017 \h </w:instrText>
      </w:r>
      <w:r>
        <w:rPr>
          <w:lang/>
        </w:rPr>
        <w:fldChar w:fldCharType="separate"/>
      </w:r>
      <w:r>
        <w:rPr>
          <w:lang/>
        </w:rPr>
        <w:t>55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"_Toc510108018"</w:instrText>
      </w:r>
      <w:r>
        <w:rPr>
          <w:rStyle w:val="10"/>
          <w:lang/>
        </w:rPr>
        <w:instrText xml:space="preserve"> </w:instrText>
      </w:r>
      <w:r>
        <w:rPr>
          <w:rStyle w:val="10"/>
          <w:lang/>
        </w:rPr>
        <w:fldChar w:fldCharType="separate"/>
      </w:r>
      <w:r>
        <w:rPr>
          <w:rStyle w:val="10"/>
          <w:b/>
          <w:lang/>
        </w:rPr>
        <w:t xml:space="preserve">§13  </w:t>
      </w:r>
      <w:r>
        <w:rPr>
          <w:rStyle w:val="10"/>
          <w:rFonts w:hint="eastAsia"/>
          <w:b/>
          <w:lang/>
        </w:rPr>
        <w:t>备查文件目录</w:t>
      </w:r>
      <w:r>
        <w:rPr>
          <w:lang/>
        </w:rPr>
        <w:tab/>
      </w:r>
      <w:r>
        <w:rPr>
          <w:lang/>
        </w:rPr>
        <w:fldChar w:fldCharType="begin"/>
      </w:r>
      <w:r>
        <w:rPr>
          <w:lang/>
        </w:rPr>
        <w:instrText xml:space="preserve"> PAGEREF _Toc510108018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"_Toc510108019"</w:instrText>
      </w:r>
      <w:r>
        <w:rPr>
          <w:rStyle w:val="10"/>
          <w:lang/>
        </w:rPr>
        <w:instrText xml:space="preserve"> </w:instrText>
      </w:r>
      <w:r>
        <w:rPr>
          <w:rStyle w:val="10"/>
          <w:lang/>
        </w:rPr>
        <w:fldChar w:fldCharType="separate"/>
      </w:r>
      <w:r>
        <w:rPr>
          <w:rStyle w:val="10"/>
          <w:b/>
          <w:bCs/>
          <w:lang/>
        </w:rPr>
        <w:t xml:space="preserve">13.1 </w:t>
      </w:r>
      <w:r>
        <w:rPr>
          <w:rStyle w:val="10"/>
          <w:rFonts w:hint="eastAsia"/>
          <w:b/>
          <w:bCs/>
          <w:lang/>
        </w:rPr>
        <w:t>备查文件目录</w:t>
      </w:r>
      <w:r>
        <w:rPr>
          <w:rStyle w:val="10"/>
          <w:lang/>
        </w:rPr>
        <w:t>.</w:t>
      </w:r>
      <w:r>
        <w:rPr>
          <w:lang/>
        </w:rPr>
        <w:tab/>
      </w:r>
      <w:r>
        <w:rPr>
          <w:lang/>
        </w:rPr>
        <w:fldChar w:fldCharType="begin"/>
      </w:r>
      <w:r>
        <w:rPr>
          <w:lang/>
        </w:rPr>
        <w:instrText xml:space="preserve"> PAGEREF _Toc510108019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"_Toc510108020"</w:instrText>
      </w:r>
      <w:r>
        <w:rPr>
          <w:rStyle w:val="10"/>
          <w:lang/>
        </w:rPr>
        <w:instrText xml:space="preserve"> </w:instrText>
      </w:r>
      <w:r>
        <w:rPr>
          <w:rStyle w:val="10"/>
          <w:lang/>
        </w:rPr>
        <w:fldChar w:fldCharType="separate"/>
      </w:r>
      <w:r>
        <w:rPr>
          <w:rStyle w:val="10"/>
          <w:b/>
          <w:bCs/>
          <w:lang/>
        </w:rPr>
        <w:t xml:space="preserve">13.2 </w:t>
      </w:r>
      <w:r>
        <w:rPr>
          <w:rStyle w:val="10"/>
          <w:rFonts w:hint="eastAsia"/>
          <w:b/>
          <w:bCs/>
          <w:lang/>
        </w:rPr>
        <w:t>存放地点</w:t>
      </w:r>
      <w:r>
        <w:rPr>
          <w:lang/>
        </w:rPr>
        <w:tab/>
      </w:r>
      <w:r>
        <w:rPr>
          <w:lang/>
        </w:rPr>
        <w:fldChar w:fldCharType="begin"/>
      </w:r>
      <w:r>
        <w:rPr>
          <w:lang/>
        </w:rPr>
        <w:instrText xml:space="preserve"> PAGEREF _Toc510108020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"_Toc510108021"</w:instrText>
      </w:r>
      <w:r>
        <w:rPr>
          <w:rStyle w:val="10"/>
          <w:lang/>
        </w:rPr>
        <w:instrText xml:space="preserve"> </w:instrText>
      </w:r>
      <w:r>
        <w:rPr>
          <w:rStyle w:val="10"/>
          <w:lang/>
        </w:rPr>
        <w:fldChar w:fldCharType="separate"/>
      </w:r>
      <w:r>
        <w:rPr>
          <w:rStyle w:val="10"/>
          <w:b/>
          <w:bCs/>
          <w:lang/>
        </w:rPr>
        <w:t xml:space="preserve">13.3 </w:t>
      </w:r>
      <w:r>
        <w:rPr>
          <w:rStyle w:val="10"/>
          <w:rFonts w:hint="eastAsia"/>
          <w:b/>
          <w:bCs/>
          <w:lang/>
        </w:rPr>
        <w:t>查阅方式</w:t>
      </w:r>
      <w:r>
        <w:rPr>
          <w:lang/>
        </w:rPr>
        <w:tab/>
      </w:r>
      <w:r>
        <w:rPr>
          <w:lang/>
        </w:rPr>
        <w:fldChar w:fldCharType="begin"/>
      </w:r>
      <w:r>
        <w:rPr>
          <w:lang/>
        </w:rPr>
        <w:instrText xml:space="preserve"> PAGEREF _Toc510108021 \h </w:instrText>
      </w:r>
      <w:r>
        <w:rPr>
          <w:lang/>
        </w:rPr>
        <w:fldChar w:fldCharType="separate"/>
      </w:r>
      <w:r>
        <w:rPr>
          <w:lang/>
        </w:rPr>
        <w:t>56</w:t>
      </w:r>
      <w:r>
        <w:rPr>
          <w:lang/>
        </w:rPr>
        <w:fldChar w:fldCharType="end"/>
      </w:r>
      <w:r>
        <w:rPr>
          <w:rStyle w:val="10"/>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2"/>
        <w:rPr>
          <w:rFonts w:hint="eastAsia"/>
        </w:rPr>
      </w:pPr>
      <w:bookmarkStart w:id="3" w:name="_Toc510107956"/>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3"/>
        <w:rPr>
          <w:rFonts w:hint="eastAsia"/>
        </w:rPr>
      </w:pPr>
      <w:bookmarkStart w:id="4" w:name="_Toc510107957"/>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3249"/>
        <w:gridCol w:w="5871"/>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创金合信尊盈纯债债券型证券投资基金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创金合信尊盈纯债债券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002337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2016年01月07日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497,968,513.97份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r>
    </w:tbl>
    <w:p>
      <w:pPr>
        <w:pStyle w:val="13"/>
      </w:pPr>
      <w:bookmarkStart w:id="5" w:name="_Toc510107958"/>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在严格控制风险的前提下，追求当期收入和投资总回报最大化。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本基金通过对宏观经济形势的持续跟踪，基于对利率、信用等市场的分析和预测，综合运用久期配置策略、跨市场套利、杠杆放大等策略，力争实现基金资产的稳健增值。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中债综合（全价）指数收益率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本基金为债券型基金，长期来看，其预期风险和预期收益水平低于股票型基金、混合型基金，高于货币市场基金。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3"/>
      </w:pPr>
      <w:bookmarkStart w:id="6" w:name="_Toc510107959"/>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3"/>
        <w:rPr>
          <w:rFonts w:hint="eastAsia"/>
        </w:rPr>
      </w:pPr>
      <w:bookmarkStart w:id="7" w:name="_Toc510107960"/>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pStyle w:val="13"/>
        <w:rPr>
          <w:rFonts w:hint="eastAsia"/>
        </w:rPr>
      </w:pPr>
      <w:bookmarkStart w:id="8" w:name="_Toc510107961"/>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毕马威华振会计师事务所（特殊普通合伙）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北京市东城区东长安街1号东方广场东2座办公楼8层</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2"/>
      </w:pPr>
      <w:bookmarkStart w:id="9" w:name="_Toc510107962"/>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3"/>
        <w:rPr>
          <w:rFonts w:hint="eastAsia"/>
        </w:rPr>
      </w:pPr>
      <w:bookmarkStart w:id="10" w:name="_Toc510107963"/>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547"/>
        <w:gridCol w:w="4387"/>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2016年1月7日（基金合同生效日）-2016年12月31日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18,782,426.88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23,007,071.87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14,362,462.47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16,154,149.27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11,648,747.71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-2,715,320.43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509,617,261.68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497,263,361.44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3.67%</w:t>
            </w:r>
          </w:p>
        </w:tc>
      </w:tr>
    </w:tbl>
    <w:p>
      <w:pPr>
        <w:pStyle w:val="19"/>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4.本基金合同生效日为2016年1月7日，上年度可比期间的相关数据和指标按实际存续期计算。</w:t>
      </w:r>
    </w:p>
    <w:p>
      <w:pPr>
        <w:pStyle w:val="13"/>
        <w:rPr>
          <w:rFonts w:hint="eastAsia"/>
        </w:rPr>
      </w:pPr>
      <w:bookmarkStart w:id="11" w:name="_Toc510107964"/>
      <w:r>
        <w:rPr>
          <w:rFonts w:hint="eastAsia"/>
          <w:b/>
          <w:bCs/>
        </w:rPr>
        <w:t>3.2 基金净值表现</w:t>
      </w:r>
      <w:bookmarkEnd w:id="11"/>
    </w:p>
    <w:p>
      <w:pPr>
        <w:pStyle w:val="14"/>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1464"/>
        <w:gridCol w:w="1289"/>
        <w:gridCol w:w="1289"/>
        <w:gridCol w:w="1289"/>
        <w:gridCol w:w="1289"/>
        <w:gridCol w:w="1289"/>
        <w:gridCol w:w="1289"/>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阶段</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业绩比较基准收益率标准差④</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①-③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bl>
    <w:p>
      <w:pPr>
        <w:pStyle w:val="14"/>
        <w:rPr>
          <w:rFonts w:hint="eastAsia"/>
        </w:rPr>
      </w:pPr>
      <w:r>
        <w:rPr>
          <w:rFonts w:hint="eastAsia"/>
          <w:b/>
          <w:bCs/>
        </w:rPr>
        <w:t>3.2.2 自基金合同生效以来基金份额累计净值增长率变动及其与同期业绩比较基准收益率变动的比较</w:t>
      </w:r>
    </w:p>
    <w:p>
      <w:pPr>
        <w:pStyle w:val="16"/>
        <w:rPr>
          <w:rFonts w:hint="eastAsia"/>
        </w:rPr>
      </w:pPr>
      <w:r>
        <w:rPr>
          <w:rFonts w:hAnsi="Calibri"/>
          <w:color w:val="000000"/>
          <w:lang/>
        </w:rPr>
        <w:pict>
          <v:shape id="_x0000_i1025" o:spt="75" alt="D:\恒生系统安装\B13\Bin\MOD\TMP\CN_50990000_002337_FB010010_20180002_1.jpg" type="#_x0000_t75" style="height:286.2pt;width:441pt;" filled="f" stroked="f" coordsize="21600,21600">
            <v:path/>
            <v:fill on="f" focussize="0,0"/>
            <v:stroke on="f"/>
            <v:imagedata r:id="rId7" grayscale="f" bilevel="f" o:title="CN_50990000_002337_FB010010_20180002_1"/>
            <o:lock v:ext="edit" grouping="f" rotation="f" aspectratio="t"/>
            <w10:wrap type="none"/>
            <w10:anchorlock/>
          </v:shape>
        </w:pict>
      </w:r>
    </w:p>
    <w:p>
      <w:pPr>
        <w:pStyle w:val="14"/>
        <w:rPr>
          <w:rFonts w:hint="eastAsia"/>
        </w:rPr>
      </w:pPr>
      <w:r>
        <w:rPr>
          <w:rFonts w:hint="eastAsia"/>
          <w:b/>
          <w:bCs/>
        </w:rPr>
        <w:t>3.2.3 自基金合同生效以来基金每年净值增长率及其与同期业绩比较基准收益率的比较</w:t>
      </w:r>
    </w:p>
    <w:p>
      <w:pPr>
        <w:pStyle w:val="16"/>
        <w:rPr>
          <w:rFonts w:hint="eastAsia"/>
        </w:rPr>
      </w:pPr>
      <w:r>
        <w:rPr>
          <w:rFonts w:hAnsi="Calibri"/>
          <w:color w:val="000000"/>
          <w:lang/>
        </w:rPr>
        <w:pict>
          <v:shape id="_x0000_i1026" o:spt="75" alt="D:\恒生系统安装\B13\Bin\MOD\TMP\CN_50990000_002337_FB010010_20180002_2.jpg" type="#_x0000_t75" style="height:285.95pt;width:440.6pt;" filled="f" stroked="f" coordsize="21600,21600">
            <v:path/>
            <v:fill on="f" focussize="0,0"/>
            <v:stroke on="f"/>
            <v:imagedata r:id="rId8" grayscale="f" bilevel="f" o:title="CN_50990000_002337_FB010010_20180002_2"/>
            <o:lock v:ext="edit" grouping="f" rotation="f" aspectratio="t"/>
            <w10:wrap type="none"/>
            <w10:anchorlock/>
          </v:shape>
        </w:pict>
      </w:r>
    </w:p>
    <w:p>
      <w:pPr>
        <w:pStyle w:val="13"/>
        <w:rPr>
          <w:rFonts w:hint="eastAsia"/>
        </w:rPr>
      </w:pPr>
      <w:bookmarkStart w:id="12" w:name="_Toc510107965"/>
      <w:r>
        <w:rPr>
          <w:rFonts w:hint="eastAsia" w:hAnsi="Calibri"/>
          <w:b/>
          <w:color w:val="000000"/>
        </w:rPr>
        <w:t>3.3 过去三年基金的利润分配情况</w:t>
      </w:r>
      <w:bookmarkEnd w:id="12"/>
    </w:p>
    <w:p>
      <w:pPr>
        <w:pStyle w:val="21"/>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1508"/>
        <w:gridCol w:w="1508"/>
        <w:gridCol w:w="1508"/>
        <w:gridCol w:w="1507"/>
        <w:gridCol w:w="1507"/>
        <w:gridCol w:w="150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每10份基金份额分红数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现金形式发放总额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再投资形式发放总额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年度利润分配合计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2016年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21,005,592.11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21,009,274.15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21,005,592.11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21,009,274.15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2"/>
        <w:rPr>
          <w:rFonts w:hint="eastAsia"/>
        </w:rPr>
      </w:pPr>
      <w:bookmarkStart w:id="13" w:name="_Toc510107966"/>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3"/>
        <w:rPr>
          <w:rFonts w:hint="eastAsia"/>
        </w:rPr>
      </w:pPr>
      <w:bookmarkStart w:id="14" w:name="_Toc510107967"/>
      <w:r>
        <w:rPr>
          <w:rFonts w:hint="eastAsia"/>
          <w:b/>
          <w:bCs/>
        </w:rPr>
        <w:t>4.1 基金管理人及基金经理情况</w:t>
      </w:r>
      <w:bookmarkEnd w:id="14"/>
    </w:p>
    <w:p>
      <w:pPr>
        <w:pStyle w:val="14"/>
        <w:rPr>
          <w:rFonts w:hint="eastAsia"/>
        </w:rPr>
      </w:pPr>
      <w:r>
        <w:rPr>
          <w:rFonts w:hint="eastAsia"/>
          <w:b/>
          <w:bCs/>
        </w:rPr>
        <w:t>4.1.1 基金管理人及其管理基金的经验</w:t>
      </w:r>
    </w:p>
    <w:p>
      <w:pPr>
        <w:pStyle w:val="19"/>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4"/>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王一兵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本基金经理、固定收益部总监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2016-01-07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王一兵先生，中国国籍，四川大学MBA。1994年即进入证券期货行业，作为公司出市代表任海南中商期货交易所红马甲。1997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2016-01-07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bl>
    <w:p>
      <w:pPr>
        <w:pStyle w:val="19"/>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3"/>
        <w:rPr>
          <w:rFonts w:hint="eastAsia"/>
        </w:rPr>
      </w:pPr>
      <w:bookmarkStart w:id="15" w:name="_Toc510107968"/>
      <w:r>
        <w:rPr>
          <w:rFonts w:hint="eastAsia"/>
          <w:b/>
          <w:bCs/>
        </w:rPr>
        <w:t>4.2 管理人对报告期内本基金运作遵规守信情况的说明</w:t>
      </w:r>
      <w:bookmarkEnd w:id="15"/>
    </w:p>
    <w:p>
      <w:pPr>
        <w:pStyle w:val="19"/>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3"/>
        <w:rPr>
          <w:rFonts w:hint="eastAsia"/>
        </w:rPr>
      </w:pPr>
      <w:bookmarkStart w:id="16" w:name="_Toc510107969"/>
      <w:r>
        <w:rPr>
          <w:rFonts w:hint="eastAsia"/>
          <w:b/>
          <w:bCs/>
        </w:rPr>
        <w:t>4.3 管理人对报告期内公平交易情况的专项说明</w:t>
      </w:r>
      <w:bookmarkEnd w:id="16"/>
    </w:p>
    <w:p>
      <w:pPr>
        <w:pStyle w:val="14"/>
        <w:rPr>
          <w:rFonts w:hint="eastAsia"/>
        </w:rPr>
      </w:pPr>
      <w:r>
        <w:rPr>
          <w:rFonts w:hint="eastAsia"/>
          <w:b/>
          <w:bCs/>
        </w:rPr>
        <w:t>4.3.1 公平交易制度和控制方法</w:t>
      </w:r>
    </w:p>
    <w:p>
      <w:pPr>
        <w:pStyle w:val="19"/>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4"/>
        <w:rPr>
          <w:rFonts w:hint="eastAsia"/>
        </w:rPr>
      </w:pPr>
      <w:r>
        <w:rPr>
          <w:rFonts w:hint="eastAsia"/>
          <w:b/>
          <w:bCs/>
        </w:rPr>
        <w:t>4.3.2 公平交易制度的执行情况</w:t>
      </w:r>
    </w:p>
    <w:p>
      <w:pPr>
        <w:pStyle w:val="19"/>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4"/>
        <w:rPr>
          <w:rFonts w:hint="eastAsia"/>
        </w:rPr>
      </w:pPr>
      <w:r>
        <w:rPr>
          <w:rFonts w:hint="eastAsia"/>
          <w:b/>
          <w:bCs/>
        </w:rPr>
        <w:t>4.3.3 异常交易行为的专项说明</w:t>
      </w:r>
    </w:p>
    <w:p>
      <w:pPr>
        <w:pStyle w:val="19"/>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3"/>
        <w:rPr>
          <w:rFonts w:hint="eastAsia"/>
        </w:rPr>
      </w:pPr>
      <w:bookmarkStart w:id="17" w:name="_Toc510107970"/>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4"/>
        <w:rPr>
          <w:rFonts w:hint="eastAsia"/>
        </w:rPr>
      </w:pPr>
      <w:r>
        <w:rPr>
          <w:rFonts w:hint="eastAsia"/>
          <w:b/>
          <w:bCs/>
        </w:rPr>
        <w:t>4.4.1 报告期内基金投资策略和运作分析</w:t>
      </w:r>
    </w:p>
    <w:p>
      <w:pPr>
        <w:pStyle w:val="19"/>
        <w:rPr>
          <w:rFonts w:hint="eastAsia"/>
        </w:rPr>
      </w:pPr>
      <w:r>
        <w:rPr>
          <w:rFonts w:hint="eastAsia"/>
        </w:rPr>
        <w:t>  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至年末的3.95%左右。去年市场有两次快速的调整，一次是3月底由于委外监管政策出台，引发机构赎回，触发了市场抛压；另一次是10月份开始机构对于四季度经济向下悲观预期的修正，引发市场收益剧烈的调整；叠加美国税改和加息周期，债券收益率快速上行。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4"/>
        <w:rPr>
          <w:rFonts w:hint="eastAsia"/>
        </w:rPr>
      </w:pPr>
      <w:r>
        <w:rPr>
          <w:rFonts w:hint="eastAsia"/>
          <w:b/>
          <w:bCs/>
        </w:rPr>
        <w:t>4.4.2 报告期内基金的业绩表现</w:t>
      </w:r>
    </w:p>
    <w:p>
      <w:pPr>
        <w:pStyle w:val="19"/>
        <w:rPr>
          <w:rFonts w:hint="eastAsia"/>
        </w:rPr>
      </w:pPr>
      <w:r>
        <w:rPr>
          <w:rFonts w:hint="eastAsia"/>
        </w:rPr>
        <w:t>  截至报告期末创金合信尊盈纯债债券基金份额净值为1.023元;本报告期内，基金份额净值增长率为2.81%，同期业绩比较基准收益率为-3.38%。</w:t>
      </w:r>
    </w:p>
    <w:p>
      <w:pPr>
        <w:widowControl/>
        <w:jc w:val="left"/>
        <w:rPr>
          <w:rFonts w:hint="eastAsia" w:ascii="宋体" w:hAnsi="宋体" w:cs="宋体"/>
          <w:kern w:val="0"/>
          <w:sz w:val="24"/>
          <w:szCs w:val="24"/>
        </w:rPr>
      </w:pPr>
    </w:p>
    <w:p>
      <w:pPr>
        <w:pStyle w:val="13"/>
        <w:rPr>
          <w:rFonts w:hint="eastAsia"/>
        </w:rPr>
      </w:pPr>
      <w:bookmarkStart w:id="18" w:name="_Toc510107971"/>
      <w:r>
        <w:rPr>
          <w:rFonts w:hint="eastAsia"/>
          <w:b/>
          <w:bCs/>
        </w:rPr>
        <w:t>4.5 管理人对宏观经济、证券市场及行业走势的简要展望</w:t>
      </w:r>
      <w:bookmarkEnd w:id="18"/>
    </w:p>
    <w:p>
      <w:pPr>
        <w:pStyle w:val="19"/>
        <w:rPr>
          <w:rFonts w:hint="eastAsia"/>
        </w:rPr>
      </w:pP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p>
    <w:p>
      <w:pPr>
        <w:widowControl/>
        <w:jc w:val="left"/>
        <w:rPr>
          <w:rFonts w:hint="eastAsia" w:ascii="宋体" w:hAnsi="宋体" w:cs="宋体"/>
          <w:kern w:val="0"/>
          <w:sz w:val="24"/>
          <w:szCs w:val="24"/>
        </w:rPr>
      </w:pPr>
    </w:p>
    <w:p>
      <w:pPr>
        <w:pStyle w:val="13"/>
        <w:rPr>
          <w:rFonts w:hint="eastAsia"/>
        </w:rPr>
      </w:pPr>
      <w:bookmarkStart w:id="19" w:name="_Toc510107972"/>
      <w:r>
        <w:rPr>
          <w:rFonts w:hint="eastAsia"/>
          <w:b/>
          <w:bCs/>
        </w:rPr>
        <w:t>4.6 管理人内部有关本基金的监察稽核工作情况</w:t>
      </w:r>
      <w:bookmarkEnd w:id="19"/>
    </w:p>
    <w:p>
      <w:pPr>
        <w:pStyle w:val="19"/>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3"/>
        <w:rPr>
          <w:rFonts w:hint="eastAsia"/>
        </w:rPr>
      </w:pPr>
      <w:bookmarkStart w:id="20" w:name="_Toc510107973"/>
      <w:r>
        <w:rPr>
          <w:rFonts w:hint="eastAsia"/>
          <w:b/>
          <w:bCs/>
        </w:rPr>
        <w:t>4.7 管理人对报告期内基金估值程序等事项的说明</w:t>
      </w:r>
      <w:bookmarkEnd w:id="20"/>
    </w:p>
    <w:p>
      <w:pPr>
        <w:pStyle w:val="19"/>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3"/>
        <w:rPr>
          <w:rFonts w:hint="eastAsia"/>
        </w:rPr>
      </w:pPr>
      <w:bookmarkStart w:id="21" w:name="_Toc510107974"/>
      <w:r>
        <w:rPr>
          <w:rFonts w:hint="eastAsia"/>
          <w:b/>
          <w:bCs/>
        </w:rPr>
        <w:t>4.8 管理人对报告期内基金利润分配情况的说明</w:t>
      </w:r>
      <w:bookmarkEnd w:id="21"/>
    </w:p>
    <w:p>
      <w:pPr>
        <w:pStyle w:val="19"/>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3"/>
        <w:rPr>
          <w:rFonts w:hint="eastAsia"/>
        </w:rPr>
      </w:pPr>
      <w:bookmarkStart w:id="22" w:name="_Toc510107975"/>
      <w:r>
        <w:rPr>
          <w:rFonts w:hint="eastAsia"/>
          <w:b/>
          <w:bCs/>
        </w:rPr>
        <w:t>4.9 报告期内管理人对本基金持有人数或基金资产净值预警情形的说明</w:t>
      </w:r>
      <w:bookmarkEnd w:id="22"/>
    </w:p>
    <w:p>
      <w:pPr>
        <w:pStyle w:val="19"/>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2"/>
        <w:rPr>
          <w:rFonts w:hint="eastAsia"/>
        </w:rPr>
      </w:pPr>
      <w:bookmarkStart w:id="23" w:name="_Toc510107976"/>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3"/>
        <w:rPr>
          <w:rFonts w:hint="eastAsia"/>
        </w:rPr>
      </w:pPr>
      <w:bookmarkStart w:id="24" w:name="_Toc510107977"/>
      <w:r>
        <w:rPr>
          <w:rFonts w:hint="eastAsia"/>
          <w:b/>
          <w:bCs/>
        </w:rPr>
        <w:t>5.1 报告期内本基金托管人遵规守信情况声明</w:t>
      </w:r>
      <w:bookmarkEnd w:id="24"/>
    </w:p>
    <w:p>
      <w:pPr>
        <w:pStyle w:val="19"/>
        <w:rPr>
          <w:rFonts w:hint="eastAsia"/>
        </w:rPr>
      </w:pPr>
      <w:r>
        <w:rPr>
          <w:rFonts w:hint="eastAsia"/>
        </w:rPr>
        <w:t>  托管人声明，在本报告期内，基金托管人--招商银行股份有限公司不存在任何损害基金份额持有人利益的行为，严格遵守了《中华人民共和国证券投资基金法》及其他有关法律法规、基金合同，完全尽职尽责地履行了应尽的义务。</w:t>
      </w:r>
    </w:p>
    <w:p>
      <w:pPr>
        <w:widowControl/>
        <w:jc w:val="left"/>
        <w:rPr>
          <w:rFonts w:hint="eastAsia" w:ascii="宋体" w:hAnsi="宋体" w:cs="宋体"/>
          <w:kern w:val="0"/>
          <w:sz w:val="24"/>
          <w:szCs w:val="24"/>
        </w:rPr>
      </w:pPr>
    </w:p>
    <w:p>
      <w:pPr>
        <w:pStyle w:val="13"/>
        <w:rPr>
          <w:rFonts w:hint="eastAsia"/>
        </w:rPr>
      </w:pPr>
      <w:bookmarkStart w:id="25" w:name="_Toc510107978"/>
      <w:r>
        <w:rPr>
          <w:rFonts w:hint="eastAsia"/>
          <w:b/>
          <w:bCs/>
        </w:rPr>
        <w:t>5.2 托管人对报告期内本基金投资运作遵规守信、净值计算、利润分配等情况的说明</w:t>
      </w:r>
      <w:bookmarkEnd w:id="25"/>
    </w:p>
    <w:p>
      <w:pPr>
        <w:pStyle w:val="19"/>
        <w:rPr>
          <w:rFonts w:hint="eastAsia"/>
        </w:rPr>
      </w:pPr>
      <w:r>
        <w:rPr>
          <w:rFonts w:hint="eastAsia"/>
        </w:rPr>
        <w:t>  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3"/>
        <w:rPr>
          <w:rFonts w:hint="eastAsia"/>
        </w:rPr>
      </w:pPr>
      <w:bookmarkStart w:id="26" w:name="_Toc510107979"/>
      <w:r>
        <w:rPr>
          <w:rFonts w:hint="eastAsia"/>
          <w:b/>
          <w:bCs/>
        </w:rPr>
        <w:t>5.3 托管人对本年度报告中财务信息等内容的真实、准确和完整发表意见</w:t>
      </w:r>
      <w:bookmarkEnd w:id="26"/>
    </w:p>
    <w:p>
      <w:pPr>
        <w:pStyle w:val="19"/>
        <w:rPr>
          <w:rFonts w:hint="eastAsia"/>
        </w:rPr>
      </w:pPr>
      <w:r>
        <w:rPr>
          <w:rFonts w:hint="eastAsia"/>
        </w:rPr>
        <w:t>  本年度报告中财务指标、净值表现、财务会计报告、利润分配、投资组合报告等内容真实、准确和完整，不存在虚假记载、误导性陈述或者重大遗漏。</w:t>
      </w:r>
    </w:p>
    <w:p>
      <w:pPr>
        <w:pStyle w:val="12"/>
        <w:rPr>
          <w:rFonts w:hint="eastAsia"/>
        </w:rPr>
      </w:pPr>
      <w:bookmarkStart w:id="27" w:name="_Toc510107980"/>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3"/>
        <w:rPr>
          <w:rFonts w:hint="eastAsia"/>
        </w:rPr>
      </w:pPr>
      <w:bookmarkStart w:id="28" w:name="_Toc510107981"/>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毕马威华振审字第1801670号</w:t>
            </w:r>
          </w:p>
        </w:tc>
      </w:tr>
    </w:tbl>
    <w:p>
      <w:pPr>
        <w:widowControl/>
        <w:jc w:val="left"/>
        <w:rPr>
          <w:rFonts w:hint="eastAsia" w:ascii="宋体" w:hAnsi="宋体" w:cs="宋体"/>
          <w:kern w:val="0"/>
          <w:sz w:val="24"/>
          <w:szCs w:val="24"/>
        </w:rPr>
      </w:pPr>
    </w:p>
    <w:p>
      <w:pPr>
        <w:pStyle w:val="13"/>
        <w:rPr>
          <w:rFonts w:hint="eastAsia"/>
        </w:rPr>
      </w:pPr>
      <w:bookmarkStart w:id="29" w:name="_Toc510107982"/>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创金合信尊盈纯债债券型证券投资基金全体基金份额持有人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我们审计了后附的第1页至第35页的创金合信尊盈纯债债券型证券投资基金 (以下简称"创金合信尊盈纯债债券") 财务报表，包括2017年12月31日的资产负债表、2017年度的利润表、所有者权益 (基金净值) 变动表以及财务报表附注。 我们认为，后附的财务报表在所有重大方面按照中华人民共和国财政部颁布的企业会计准则、在财务报表7.4.2中所列示的中国证券监督管理委员会 (以下简称"中国证监会") 和中国证券投资基金业协会发布的有关基金行业实务操作的规定编制，公允反映了创金合信尊盈纯债债券型证券投资基金2017年12月31日的财务状况以及2017年度的经营成果及基金净值变动情况。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我们按照中国注册会计师审计准则 (以下简称"审计准则") 的规定执行了审计工作。审计报告的"注册会计师对财务报表审计的责任"部分进一步阐述了我们在这些准则下的责任。按照中国注册会计师职业道德守则，我们独立于创金合信尊盈纯债债券型证券投资基金，并履行了职业道德方面的其他责任。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盈纯债债券型证券投资基金管理人创金合信基金管理有限公司管理层对其他信息负责。其他信息包括创金合信尊盈纯债债券型证券投资基金2017年年度报告中涵盖的信息，但不包括财务报表和我们的审计报告。 我们对财务报表发表的审计意见不涵盖其他信息，我们也不对其他信息发表任何形式的鉴证结论。 结合我们对财务报表的审计，我们的责任是阅读其他信息，在此过程中，考虑其他信息是否与财务报表或我们在审计过程中了解到的情况存在重大不一致或者似乎存在重大错报。 基于我们已执行的工作，如果我们确定其他信息存在重大错报，我们应当报告该事实。在这方面，我们无任何事项需要报告。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盈纯债债券型证券投资基金管理人创金合信基金管理有限公司管理层负责按照中华人民共和国财政部颁布的企业会计准则、中国证监会和中国证券投资基金业协会发布的有关基金行业实务操作的规定编制财务报表，使其实现公允反映，并设计、执行和维护必要的内部控制，以使财务报表不存在由于舞弊或错误导致的重大错报。 在编制财务报表时，创金合信尊盈纯债债券型证券投资基金管理人创金合信基金管理有限公司管理层负责评估创金合信尊盈纯债债券型证券投资基金的持续经营能力，披露与持续经营相关的事项 (如适用)，并运用持续经营假设，除非创金合信尊盈纯债债券型证券投资基金计划进行清算、终止运营或别无其他现实的选择。 创金合信尊盈纯债债券型证券投资基金管理人创金合信基金管理有限公司治理层负责监督创金合信尊盈纯债债券型证券投资基金的财务报告过程。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(1)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(2) 了解与审计相关的内部控制，以设计恰当的审计程序，但目的并非对内部控制的有效性发表意见。 (3) 评价创金合信尊盈纯债债券型证券投资基金管理人创金合信基金管理有限公司管理层选用会计政策的恰当性和作出会计估计及相关披露的合理性。 (4) 对创金合信尊盈纯债债券型证券投资基金管理人创金合信基金管理有限公司管理层使用持续经营假设的恰当性得出结论。同时，根据获取的审计证据，就可能导致对创金合信尊盈纯债债券型证券投资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金合信尊盈纯债债券型证券投资基金不能持续经营。 (5) 评价财务报表的总体列报、结构和内容 (包括披露)，并评价财务报表是否公允反映相关交易和事项。我们与创金合信尊盈纯债债券型证券投资基金管理人创金合信基金管理有限公司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毕马威华振会计师事务所（特殊普通合伙）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窦友明、王磊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北京市东城区东长安街1号东方广场东2座办公楼8层</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2018-03-27</w:t>
            </w:r>
          </w:p>
        </w:tc>
      </w:tr>
    </w:tbl>
    <w:p>
      <w:pPr>
        <w:pStyle w:val="12"/>
        <w:rPr>
          <w:rFonts w:hint="eastAsia"/>
        </w:rPr>
      </w:pPr>
      <w:bookmarkStart w:id="30" w:name="_Toc510107983"/>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3"/>
        <w:rPr>
          <w:rFonts w:hint="eastAsia"/>
        </w:rPr>
      </w:pPr>
      <w:bookmarkStart w:id="31" w:name="_Toc510107984"/>
      <w:r>
        <w:rPr>
          <w:rFonts w:hint="eastAsia"/>
          <w:b/>
          <w:bCs/>
        </w:rPr>
        <w:t>7.1 资产负债表</w:t>
      </w:r>
      <w:bookmarkEnd w:id="31"/>
    </w:p>
    <w:p>
      <w:pPr>
        <w:pStyle w:val="16"/>
        <w:rPr>
          <w:rFonts w:hint="eastAsia"/>
        </w:rPr>
      </w:pPr>
      <w:r>
        <w:rPr>
          <w:rFonts w:hint="eastAsia"/>
        </w:rPr>
        <w:t>会计主体：创金合信尊盈纯债债券型证券投资基金</w:t>
      </w:r>
    </w:p>
    <w:p>
      <w:pPr>
        <w:pStyle w:val="16"/>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 </w:t>
            </w:r>
          </w:p>
          <w:p>
            <w:pPr>
              <w:pStyle w:val="17"/>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 </w:t>
            </w:r>
          </w:p>
          <w:p>
            <w:pPr>
              <w:pStyle w:val="17"/>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1,007,931.68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2,579,015.30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2,614,463.99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9,482,692.32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4,934.02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520,153,698.80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601,769,591.30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498,684,112.50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524,702,005.00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21,469,586.30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77,067,586.30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58,562.37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9,807,257.82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12,770,750.15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533,641,914.66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626,606,983.09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 </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 </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23,700,000.00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129,055,869.42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46,595.38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98.70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129,759.30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126,474.39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43,253.08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42,158.15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1,386.36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-10,359.40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9,039.25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24,024,652.98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129,343,621.65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497,968,513.97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499,978,681.87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11,648,747.71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-2,715,320.43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509,617,261.68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497,263,361.44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533,641,914.66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626,606,983.09</w:t>
            </w:r>
          </w:p>
        </w:tc>
      </w:tr>
    </w:tbl>
    <w:p>
      <w:pPr>
        <w:pStyle w:val="19"/>
        <w:rPr>
          <w:rFonts w:hint="eastAsia"/>
        </w:rPr>
      </w:pPr>
      <w:r>
        <w:rPr>
          <w:rFonts w:hint="eastAsia"/>
        </w:rPr>
        <w:t>注：1.报告截止日2017年12月31日，基金份额总额497,968,513.97份，基金份额净值1.023。</w:t>
      </w:r>
      <w:r>
        <w:rPr>
          <w:rFonts w:hint="eastAsia"/>
        </w:rPr>
        <w:br w:type="textWrapping"/>
      </w:r>
      <w:r>
        <w:rPr>
          <w:rFonts w:hint="eastAsia"/>
        </w:rPr>
        <w:t>2.本基金合同生效日为2016年1月7日，上年度可比期间为2016年1月7日至2016年12月31日。</w:t>
      </w:r>
    </w:p>
    <w:p>
      <w:pPr>
        <w:pStyle w:val="13"/>
        <w:rPr>
          <w:rFonts w:hint="eastAsia"/>
        </w:rPr>
      </w:pPr>
      <w:bookmarkStart w:id="32" w:name="_Toc510107985"/>
      <w:r>
        <w:rPr>
          <w:rFonts w:hint="eastAsia"/>
          <w:b/>
          <w:bCs/>
        </w:rPr>
        <w:t>7.2 利润表</w:t>
      </w:r>
      <w:bookmarkEnd w:id="32"/>
    </w:p>
    <w:p>
      <w:pPr>
        <w:widowControl/>
        <w:jc w:val="left"/>
        <w:rPr>
          <w:rFonts w:hint="eastAsia" w:ascii="宋体" w:hAnsi="宋体" w:cs="宋体"/>
          <w:kern w:val="0"/>
          <w:sz w:val="24"/>
          <w:szCs w:val="24"/>
        </w:rPr>
      </w:pPr>
    </w:p>
    <w:p>
      <w:pPr>
        <w:pStyle w:val="16"/>
        <w:rPr>
          <w:rFonts w:hint="eastAsia"/>
        </w:rPr>
      </w:pPr>
      <w:r>
        <w:rPr>
          <w:rFonts w:hint="eastAsia"/>
        </w:rPr>
        <w:t>会计主体：创金合信尊盈纯债债券型证券投资基金</w:t>
      </w:r>
    </w:p>
    <w:p>
      <w:pPr>
        <w:pStyle w:val="16"/>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2016年01月07日（基金合同生效日）至2016年12月31日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19,529,234.23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19,959,188.57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27,083,086.49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25,843,028.69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159,636.29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332,095.73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25,052,199.46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24,116,387.54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1,747,080.66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1,156,516.63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124,170.08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238,028.79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-3,133,896.75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967,650.90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-3,134,385.01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1,035,198.84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7.4.7.13.3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-67,547.94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-4,419,964.41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-6,852,922.60</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1,431.58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5,166,771.76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3,805,039.30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1,509,171.41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1,397,388.72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503,057.18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465,796.26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8,076.59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2,954,897.22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1,746,518.43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2,954,897.22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1,746,518.43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198,570.95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187,259.30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14,362,462.47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16,154,149.27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14,362,462.47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16,154,149.27</w:t>
            </w:r>
          </w:p>
        </w:tc>
      </w:tr>
    </w:tbl>
    <w:p>
      <w:pPr>
        <w:pStyle w:val="19"/>
        <w:rPr>
          <w:rFonts w:hint="eastAsia"/>
        </w:rPr>
      </w:pPr>
      <w:r>
        <w:rPr>
          <w:rFonts w:hint="eastAsia"/>
        </w:rPr>
        <w:t>注：本基金合同生效日为2016年1月7日，上年度可比期间为2016年1月7日至2016年12月31日。</w:t>
      </w:r>
    </w:p>
    <w:p>
      <w:pPr>
        <w:pStyle w:val="13"/>
        <w:rPr>
          <w:rFonts w:hint="eastAsia"/>
        </w:rPr>
      </w:pPr>
      <w:bookmarkStart w:id="33" w:name="_Toc510107986"/>
      <w:r>
        <w:rPr>
          <w:rFonts w:hint="eastAsia"/>
          <w:b/>
          <w:bCs/>
        </w:rPr>
        <w:t>7.3 所有者权益（基金净值）变动表</w:t>
      </w:r>
      <w:bookmarkEnd w:id="33"/>
    </w:p>
    <w:p>
      <w:pPr>
        <w:pStyle w:val="16"/>
        <w:rPr>
          <w:rFonts w:hint="eastAsia"/>
        </w:rPr>
      </w:pPr>
      <w:r>
        <w:rPr>
          <w:rFonts w:hint="eastAsia"/>
        </w:rPr>
        <w:t>会计主体：创金合信尊盈纯债债券型证券投资基金</w:t>
      </w:r>
    </w:p>
    <w:p>
      <w:pPr>
        <w:pStyle w:val="16"/>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 </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499,978,681.87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-2,715,320.43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497,263,361.44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14,362,462.47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14,362,462.47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-2,010,167.90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1,605.67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-2,008,562.23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17,470.21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17,585.92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-2,027,638.11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1,489.96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-2,026,148.15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497,968,513.97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11,648,747.71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509,617,261.68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2016年01月07日（基金合同生效日）至2016年12月31日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200,122,552.48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200,122,552.48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16,154,149.27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16,154,149.27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299,856,129.39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2,139,804.45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301,995,933.84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302,882,202.95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2,202,189.79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305,084,392.74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-3,026,073.56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-62,385.34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-3,088,458.90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-21,009,274.15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-21,009,274.15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499,978,681.87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-2,715,320.43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497,263,361.44</w:t>
            </w:r>
          </w:p>
        </w:tc>
      </w:tr>
    </w:tbl>
    <w:p>
      <w:pPr>
        <w:pStyle w:val="19"/>
        <w:rPr>
          <w:rFonts w:hint="eastAsia"/>
        </w:rPr>
      </w:pPr>
      <w:r>
        <w:rPr>
          <w:rFonts w:hint="eastAsia"/>
        </w:rPr>
        <w:t>注：本基金合同生效日为2016年1月7日，上年度可比期间为2016年1月7日至2016年12月31日。</w:t>
      </w:r>
    </w:p>
    <w:p>
      <w:pPr>
        <w:pStyle w:val="16"/>
        <w:rPr>
          <w:rFonts w:hint="eastAsia"/>
        </w:rPr>
      </w:pPr>
      <w:r>
        <w:rPr>
          <w:rFonts w:hint="eastAsia"/>
        </w:rPr>
        <w:t>报表附注为财务报表的组成部分。</w:t>
      </w:r>
    </w:p>
    <w:p>
      <w:pPr>
        <w:pStyle w:val="16"/>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6"/>
              <w:wordWrap w:val="0"/>
              <w:rPr>
                <w:rFonts w:hint="eastAsia"/>
              </w:rPr>
            </w:pPr>
            <w:r>
              <w:rPr>
                <w:rFonts w:hint="eastAsia" w:hAnsi="Calibri"/>
                <w:color w:val="000000"/>
              </w:rPr>
              <w:t>苏彦祝</w:t>
            </w:r>
          </w:p>
          <w:p>
            <w:pPr>
              <w:pStyle w:val="16"/>
              <w:wordWrap w:val="0"/>
              <w:rPr>
                <w:rFonts w:hint="eastAsia"/>
              </w:rPr>
            </w:pPr>
            <w:r>
              <w:rPr>
                <w:rFonts w:hint="eastAsia"/>
              </w:rPr>
              <w:t>—————————</w:t>
            </w:r>
          </w:p>
          <w:p>
            <w:pPr>
              <w:pStyle w:val="16"/>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6"/>
              <w:wordWrap w:val="0"/>
              <w:rPr>
                <w:rFonts w:hint="eastAsia"/>
              </w:rPr>
            </w:pPr>
            <w:r>
              <w:rPr>
                <w:rFonts w:hint="eastAsia"/>
              </w:rPr>
              <w:t>黄越岷</w:t>
            </w:r>
          </w:p>
          <w:p>
            <w:pPr>
              <w:pStyle w:val="16"/>
              <w:wordWrap w:val="0"/>
              <w:rPr>
                <w:rFonts w:hint="eastAsia"/>
              </w:rPr>
            </w:pPr>
            <w:r>
              <w:rPr>
                <w:rFonts w:hint="eastAsia"/>
              </w:rPr>
              <w:t>—————————</w:t>
            </w:r>
          </w:p>
          <w:p>
            <w:pPr>
              <w:pStyle w:val="16"/>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6"/>
              <w:wordWrap w:val="0"/>
              <w:rPr>
                <w:rFonts w:hint="eastAsia"/>
              </w:rPr>
            </w:pPr>
            <w:r>
              <w:rPr>
                <w:rFonts w:hint="eastAsia"/>
              </w:rPr>
              <w:t>安兆国</w:t>
            </w:r>
          </w:p>
          <w:p>
            <w:pPr>
              <w:pStyle w:val="16"/>
              <w:wordWrap w:val="0"/>
              <w:rPr>
                <w:rFonts w:hint="eastAsia"/>
              </w:rPr>
            </w:pPr>
            <w:r>
              <w:rPr>
                <w:rFonts w:hint="eastAsia"/>
              </w:rPr>
              <w:t>—————————</w:t>
            </w:r>
          </w:p>
          <w:p>
            <w:pPr>
              <w:pStyle w:val="16"/>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3"/>
        <w:rPr>
          <w:rFonts w:hint="eastAsia"/>
        </w:rPr>
      </w:pPr>
      <w:bookmarkStart w:id="34" w:name="_Toc510107987"/>
      <w:r>
        <w:rPr>
          <w:rFonts w:hint="eastAsia"/>
          <w:b/>
          <w:bCs/>
        </w:rPr>
        <w:t>7.4 报表附注</w:t>
      </w:r>
      <w:bookmarkEnd w:id="34"/>
    </w:p>
    <w:p>
      <w:pPr>
        <w:pStyle w:val="14"/>
        <w:rPr>
          <w:rFonts w:hint="eastAsia"/>
        </w:rPr>
      </w:pPr>
      <w:r>
        <w:rPr>
          <w:rFonts w:hint="eastAsia"/>
          <w:b/>
          <w:bCs/>
        </w:rPr>
        <w:t>7.4.1 基金基本情况</w:t>
      </w:r>
    </w:p>
    <w:p>
      <w:pPr>
        <w:pStyle w:val="19"/>
        <w:rPr>
          <w:rFonts w:hint="eastAsia"/>
        </w:rPr>
      </w:pPr>
      <w:r>
        <w:rPr>
          <w:rFonts w:hint="eastAsia"/>
        </w:rPr>
        <w:t>  创金合信尊盈纯债债券型证券投资基金 (以下简称 "本基金") 经中国证券监督管理委员会 (以下简称 "中国证监会") 《关于准予创金合信尊盈纯债债券型证券投资基金注册的批复》 (证监许可 [2015] 3078号文) 批准，由创金合信基金管理有限公司依照《中华人民共和国证券投资基金法》及其配套规则和《创金合信尊盈纯债债券型证券投资基金基金合同》发售，基金合同于2016年1月7日生效。本基金为契约型开放式，存续期限不定，首次设立募集规模为200,122,552.48份基金份额。本基金的基金管理人为创金合信基金管理有限公司，基金托管人为招商银行股份有限公司 (以下简称"招商银行") 。</w:t>
      </w:r>
      <w:r>
        <w:rPr>
          <w:rFonts w:hint="eastAsia"/>
        </w:rPr>
        <w:br w:type="textWrapping"/>
      </w:r>
      <w:r>
        <w:rPr>
          <w:rFonts w:hint="eastAsia"/>
        </w:rPr>
        <w:t>  本基金于2016年1月4日至2016年1月5日募集，募集期间净认购资金人民币200,113,549.63元，认购资金在募集期间产生的利息人民币9,002.85元，募集的有效认购份额及利息结转的基金份额合计200,122,552.48份。上述募集资金已由毕马威华振会计师事务所 (特殊普通合伙) 验证，并出具了毕马威华振验字第1600141号验资报告。</w:t>
      </w:r>
      <w:r>
        <w:rPr>
          <w:rFonts w:hint="eastAsia"/>
        </w:rPr>
        <w:br w:type="textWrapping"/>
      </w:r>
      <w:r>
        <w:rPr>
          <w:rFonts w:hint="eastAsia"/>
        </w:rPr>
        <w:t>  根据《中华人民共和国证券投资基金法》及其配套规则、《创金合信尊盈纯债债券型证券投资基金基金合同》和截至报告期末最新公告的《创金合信尊盈纯债债券型证券投资基金招募说明书》的有关规定，本基金主要投资于固定收益类品种，包括国债、央行票据、地方政府债、金融债、企业债、公司债、中小企业私募债、次级债、中期票据、短期融资券、可转换债券 (含可分离交易可转债) 、可交换债券、资产支持证券、债券回购、银行存款等。本基金不从二级市场买入股票、权证等权益类资产，也不参与一级市场的新股申购和新股增发。因所持可转换债券与可交换债券转股形成的股票、因投资于分离交易可转债而产生的权证，在其可上市交易后不超过10个交易日的时间内卖出。本基金的业绩比较基准为：中债综合 (全价) 指数收益率。</w:t>
      </w:r>
    </w:p>
    <w:p>
      <w:pPr>
        <w:widowControl/>
        <w:jc w:val="left"/>
        <w:rPr>
          <w:rFonts w:hint="eastAsia" w:ascii="宋体" w:hAnsi="宋体" w:cs="宋体"/>
          <w:kern w:val="0"/>
          <w:sz w:val="24"/>
          <w:szCs w:val="24"/>
        </w:rPr>
      </w:pPr>
    </w:p>
    <w:p>
      <w:pPr>
        <w:pStyle w:val="14"/>
        <w:rPr>
          <w:rFonts w:hint="eastAsia"/>
        </w:rPr>
      </w:pPr>
      <w:r>
        <w:rPr>
          <w:rFonts w:hint="eastAsia"/>
          <w:b/>
          <w:bCs/>
        </w:rPr>
        <w:t>7.4.2 会计报表的编制基础</w:t>
      </w:r>
    </w:p>
    <w:p>
      <w:pPr>
        <w:pStyle w:val="19"/>
        <w:rPr>
          <w:rFonts w:hint="eastAsia"/>
        </w:rPr>
      </w:pPr>
      <w:r>
        <w:rPr>
          <w:rFonts w:hint="eastAsia"/>
        </w:rPr>
        <w:t>  本基金以持续经营为基础。本财务报表符合中华人民共和国财政部 (以下简称"财政部") 颁布的企业会计准则的要求，同时亦按照中国证监会颁布的《证券投资基金信息披露XBRL模板第3号&lt;年度报告和半年度报告&gt;》以及中国证券投资基金业协会于2012年11月16日颁布的《证券投资基金会计核算业务指引》编制财务报表。</w:t>
      </w:r>
    </w:p>
    <w:p>
      <w:pPr>
        <w:widowControl/>
        <w:jc w:val="left"/>
        <w:rPr>
          <w:rFonts w:hint="eastAsia" w:ascii="宋体" w:hAnsi="宋体" w:cs="宋体"/>
          <w:kern w:val="0"/>
          <w:sz w:val="24"/>
          <w:szCs w:val="24"/>
        </w:rPr>
      </w:pPr>
    </w:p>
    <w:p>
      <w:pPr>
        <w:pStyle w:val="14"/>
        <w:rPr>
          <w:rFonts w:hint="eastAsia"/>
        </w:rPr>
      </w:pPr>
      <w:r>
        <w:rPr>
          <w:rFonts w:hint="eastAsia"/>
          <w:b/>
          <w:bCs/>
        </w:rPr>
        <w:t>7.4.3 遵循企业会计准则及其他有关规定的声明</w:t>
      </w:r>
    </w:p>
    <w:p>
      <w:pPr>
        <w:pStyle w:val="19"/>
        <w:rPr>
          <w:rFonts w:hint="eastAsia"/>
        </w:rPr>
      </w:pPr>
      <w:r>
        <w:rPr>
          <w:rFonts w:hint="eastAsia"/>
        </w:rPr>
        <w:t>  本财务报表符合财政部颁布的企业会计准则的要求，真实、完整地反映了本基金2017年12月31日的财务状况、2017年度的经营成果和基金净值变动情况。</w:t>
      </w:r>
    </w:p>
    <w:p>
      <w:pPr>
        <w:widowControl/>
        <w:jc w:val="left"/>
        <w:rPr>
          <w:rFonts w:hint="eastAsia" w:ascii="宋体" w:hAnsi="宋体" w:cs="宋体"/>
          <w:kern w:val="0"/>
          <w:sz w:val="24"/>
          <w:szCs w:val="24"/>
        </w:rPr>
      </w:pPr>
    </w:p>
    <w:p>
      <w:pPr>
        <w:pStyle w:val="14"/>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4"/>
        <w:rPr>
          <w:rFonts w:hint="eastAsia"/>
        </w:rPr>
      </w:pPr>
      <w:r>
        <w:rPr>
          <w:rFonts w:hint="eastAsia"/>
          <w:b/>
          <w:bCs/>
        </w:rPr>
        <w:t>7.4.4.1 会计年度</w:t>
      </w:r>
    </w:p>
    <w:p>
      <w:pPr>
        <w:pStyle w:val="19"/>
        <w:rPr>
          <w:rFonts w:hint="eastAsia"/>
        </w:rPr>
      </w:pPr>
      <w:r>
        <w:rPr>
          <w:rFonts w:hint="eastAsia"/>
        </w:rPr>
        <w:t>  本基金的会计年度自公历1月1日起至12月31日止。</w:t>
      </w:r>
    </w:p>
    <w:p>
      <w:pPr>
        <w:widowControl/>
        <w:jc w:val="left"/>
        <w:rPr>
          <w:rFonts w:hint="eastAsia" w:ascii="宋体" w:hAnsi="宋体" w:cs="宋体"/>
          <w:kern w:val="0"/>
          <w:sz w:val="24"/>
          <w:szCs w:val="24"/>
        </w:rPr>
      </w:pPr>
    </w:p>
    <w:p>
      <w:pPr>
        <w:pStyle w:val="14"/>
        <w:rPr>
          <w:rFonts w:hint="eastAsia"/>
        </w:rPr>
      </w:pPr>
      <w:r>
        <w:rPr>
          <w:rFonts w:hint="eastAsia"/>
          <w:b/>
          <w:bCs/>
        </w:rPr>
        <w:t>7.4.4.2 记账本位币</w:t>
      </w:r>
    </w:p>
    <w:p>
      <w:pPr>
        <w:pStyle w:val="19"/>
        <w:rPr>
          <w:rFonts w:hint="eastAsia"/>
        </w:rPr>
      </w:pPr>
      <w:r>
        <w:rPr>
          <w:rFonts w:hint="eastAsia"/>
        </w:rPr>
        <w:t>  本基金的记账本位币为人民币，编制财务报表采用的货币为人民币。本基金选定记账本位币的依据是主要业务收支的计价和结算币种。</w:t>
      </w:r>
    </w:p>
    <w:p>
      <w:pPr>
        <w:widowControl/>
        <w:jc w:val="left"/>
        <w:rPr>
          <w:rFonts w:hint="eastAsia" w:ascii="宋体" w:hAnsi="宋体" w:cs="宋体"/>
          <w:kern w:val="0"/>
          <w:sz w:val="24"/>
          <w:szCs w:val="24"/>
        </w:rPr>
      </w:pPr>
    </w:p>
    <w:p>
      <w:pPr>
        <w:pStyle w:val="14"/>
        <w:rPr>
          <w:rFonts w:hint="eastAsia"/>
        </w:rPr>
      </w:pPr>
      <w:r>
        <w:rPr>
          <w:rFonts w:hint="eastAsia"/>
          <w:b/>
          <w:bCs/>
        </w:rPr>
        <w:t>7.4.4.3 金融资产和金融负债的分类</w:t>
      </w:r>
    </w:p>
    <w:p>
      <w:pPr>
        <w:pStyle w:val="19"/>
        <w:rPr>
          <w:rFonts w:hint="eastAsia"/>
        </w:rPr>
      </w:pPr>
      <w:r>
        <w:rPr>
          <w:rFonts w:hint="eastAsia"/>
        </w:rPr>
        <w:t>  本基金在初始确认时按取得资产或承担负债的目的，把金融资产和金融负债分为不同类别：以公允价值计量且其变动计入当期损益的金融资产和金融负债、应收款项、持有至到期投资、可供出售金融资产和其他金融负债。本基金现无金融资产分类为持有至到期投资和可供出售金融资产。本基金现无金融负债分类为以公允价值计量且其变动计入当期损益的金融负债。</w:t>
      </w:r>
      <w:r>
        <w:rPr>
          <w:rFonts w:hint="eastAsia"/>
        </w:rPr>
        <w:br w:type="textWrapping"/>
      </w:r>
      <w:r>
        <w:rPr>
          <w:rFonts w:hint="eastAsia"/>
        </w:rPr>
        <w:t>  本基金目前持有的债券投资分类为以公允价值计量且其变动计入当期损益的金融资产。以公允价值计量且其变动计入当期损益的金融资产在资产负债表中以交易性金融资产列示。</w:t>
      </w:r>
    </w:p>
    <w:p>
      <w:pPr>
        <w:widowControl/>
        <w:jc w:val="left"/>
        <w:rPr>
          <w:rFonts w:hint="eastAsia" w:ascii="宋体" w:hAnsi="宋体" w:cs="宋体"/>
          <w:kern w:val="0"/>
          <w:sz w:val="24"/>
          <w:szCs w:val="24"/>
        </w:rPr>
      </w:pPr>
    </w:p>
    <w:p>
      <w:pPr>
        <w:pStyle w:val="14"/>
        <w:rPr>
          <w:rFonts w:hint="eastAsia"/>
        </w:rPr>
      </w:pPr>
      <w:r>
        <w:rPr>
          <w:rFonts w:hint="eastAsia"/>
          <w:b/>
          <w:bCs/>
        </w:rPr>
        <w:t>7.4.4.4 金融资产和金融负债的初始确认、后续计量和终止确认</w:t>
      </w:r>
    </w:p>
    <w:p>
      <w:pPr>
        <w:pStyle w:val="19"/>
        <w:rPr>
          <w:rFonts w:hint="eastAsia"/>
        </w:rPr>
      </w:pPr>
      <w:r>
        <w:rPr>
          <w:rFonts w:hint="eastAsia"/>
        </w:rPr>
        <w:t>  金融资产和金融负债在本基金成为相关金融工具合同条款的一方时，于资产负债表内确认。</w:t>
      </w:r>
      <w:r>
        <w:rPr>
          <w:rFonts w:hint="eastAsia"/>
        </w:rPr>
        <w:br w:type="textWrapping"/>
      </w:r>
      <w:r>
        <w:rPr>
          <w:rFonts w:hint="eastAsia"/>
        </w:rPr>
        <w:t>  在初始确认时，金融资产及金融负债均以公允价值计量。对于以公允价值计量且其变动计入当期损益的金融资产或金融负债，相关交易费用直接计入当期损益；对于其他类别的金融资产或金融负债，相关交易费用计入初始确认金额。</w:t>
      </w:r>
      <w:r>
        <w:rPr>
          <w:rFonts w:hint="eastAsia"/>
        </w:rPr>
        <w:br w:type="textWrapping"/>
      </w:r>
      <w:r>
        <w:rPr>
          <w:rFonts w:hint="eastAsia"/>
        </w:rPr>
        <w:t>  初始确认后，金融资产和金融负债的后续计量如下：</w:t>
      </w:r>
      <w:r>
        <w:rPr>
          <w:rFonts w:hint="eastAsia"/>
        </w:rPr>
        <w:br w:type="textWrapping"/>
      </w:r>
      <w:r>
        <w:rPr>
          <w:rFonts w:hint="eastAsia"/>
        </w:rPr>
        <w:t>  -以公允价值计量且其变动计入当期损益的金融资产和金融负债以公允价值计量，公允价值 变动形成的利得或损失计入当期损益。</w:t>
      </w:r>
      <w:r>
        <w:rPr>
          <w:rFonts w:hint="eastAsia"/>
        </w:rPr>
        <w:br w:type="textWrapping"/>
      </w:r>
      <w:r>
        <w:rPr>
          <w:rFonts w:hint="eastAsia"/>
        </w:rPr>
        <w:t>  -应收款项以实际利率法按摊余成本计量。</w:t>
      </w:r>
      <w:r>
        <w:rPr>
          <w:rFonts w:hint="eastAsia"/>
        </w:rPr>
        <w:br w:type="textWrapping"/>
      </w:r>
      <w:r>
        <w:rPr>
          <w:rFonts w:hint="eastAsia"/>
        </w:rPr>
        <w:t>  -除以公允价值计量且其变动计入当期损益的金融负债以外的金融负债采用实际利率法按摊余成本进行后续计量。</w:t>
      </w:r>
      <w:r>
        <w:rPr>
          <w:rFonts w:hint="eastAsia"/>
        </w:rPr>
        <w:br w:type="textWrapping"/>
      </w:r>
      <w:r>
        <w:rPr>
          <w:rFonts w:hint="eastAsia"/>
        </w:rPr>
        <w:t>  满足下列条件之一时，本基金终止确认该金融资产：</w:t>
      </w:r>
      <w:r>
        <w:rPr>
          <w:rFonts w:hint="eastAsia"/>
        </w:rPr>
        <w:br w:type="textWrapping"/>
      </w:r>
      <w:r>
        <w:rPr>
          <w:rFonts w:hint="eastAsia"/>
        </w:rPr>
        <w:t>  -收取该金融资产现金流量的合同权利终止；</w:t>
      </w:r>
      <w:r>
        <w:rPr>
          <w:rFonts w:hint="eastAsia"/>
        </w:rPr>
        <w:br w:type="textWrapping"/>
      </w:r>
      <w:r>
        <w:rPr>
          <w:rFonts w:hint="eastAsia"/>
        </w:rPr>
        <w:t>  -该金融资产已转移，且本基金将金融资产所有权上几乎所有的风险和报酬转移给转入方；</w:t>
      </w:r>
      <w:r>
        <w:rPr>
          <w:rFonts w:hint="eastAsia"/>
        </w:rPr>
        <w:br w:type="textWrapping"/>
      </w:r>
      <w:r>
        <w:rPr>
          <w:rFonts w:hint="eastAsia"/>
        </w:rPr>
        <w:t>  -该金融资产已转移，虽然本基金既没有转移也没有保留金融资产所有权上几乎所有的风险和报酬，但是放弃了对该金融资产控制。</w:t>
      </w:r>
      <w:r>
        <w:rPr>
          <w:rFonts w:hint="eastAsia"/>
        </w:rPr>
        <w:br w:type="textWrapping"/>
      </w:r>
      <w:r>
        <w:rPr>
          <w:rFonts w:hint="eastAsia"/>
        </w:rPr>
        <w:t>  金融资产整体转移满足终止确认条件的，本基金将下列两项金额的差额计入当期损益：</w:t>
      </w:r>
      <w:r>
        <w:rPr>
          <w:rFonts w:hint="eastAsia"/>
        </w:rPr>
        <w:br w:type="textWrapping"/>
      </w:r>
      <w:r>
        <w:rPr>
          <w:rFonts w:hint="eastAsia"/>
        </w:rPr>
        <w:t>  -所转移金融资产的账面价值</w:t>
      </w:r>
      <w:r>
        <w:rPr>
          <w:rFonts w:hint="eastAsia"/>
        </w:rPr>
        <w:br w:type="textWrapping"/>
      </w:r>
      <w:r>
        <w:rPr>
          <w:rFonts w:hint="eastAsia"/>
        </w:rPr>
        <w:t>  -因转移而收到的对价</w:t>
      </w:r>
      <w:r>
        <w:rPr>
          <w:rFonts w:hint="eastAsia"/>
        </w:rPr>
        <w:br w:type="textWrapping"/>
      </w:r>
      <w:r>
        <w:rPr>
          <w:rFonts w:hint="eastAsia"/>
        </w:rPr>
        <w:t>  金融负债的现时义务全部或部分已经解除的，本基金终止确认该金融负债或其一部分。</w:t>
      </w:r>
    </w:p>
    <w:p>
      <w:pPr>
        <w:widowControl/>
        <w:jc w:val="left"/>
        <w:rPr>
          <w:rFonts w:hint="eastAsia" w:ascii="宋体" w:hAnsi="宋体" w:cs="宋体"/>
          <w:kern w:val="0"/>
          <w:sz w:val="24"/>
          <w:szCs w:val="24"/>
        </w:rPr>
      </w:pPr>
    </w:p>
    <w:p>
      <w:pPr>
        <w:pStyle w:val="14"/>
        <w:rPr>
          <w:rFonts w:hint="eastAsia"/>
        </w:rPr>
      </w:pPr>
      <w:r>
        <w:rPr>
          <w:rFonts w:hint="eastAsia"/>
          <w:b/>
          <w:bCs/>
        </w:rPr>
        <w:t>7.4.4.5 金融资产和金融负债的估值原则</w:t>
      </w:r>
    </w:p>
    <w:p>
      <w:pPr>
        <w:pStyle w:val="19"/>
        <w:rPr>
          <w:rFonts w:hint="eastAsia"/>
        </w:rPr>
      </w:pPr>
      <w:r>
        <w:rPr>
          <w:rFonts w:hint="eastAsia"/>
        </w:rPr>
        <w:t>  除特别声明外，本基金按下述原则计量公允价值：</w:t>
      </w:r>
      <w:r>
        <w:rPr>
          <w:rFonts w:hint="eastAsia"/>
        </w:rPr>
        <w:br w:type="textWrapping"/>
      </w:r>
      <w:r>
        <w:rPr>
          <w:rFonts w:hint="eastAsia"/>
        </w:rPr>
        <w:t>    公允价值是指市场参与者在计量日发生的有序交易中，出售一项资产所能收到或者转移一项负债所需支付的价格。</w:t>
      </w:r>
      <w:r>
        <w:rPr>
          <w:rFonts w:hint="eastAsia"/>
        </w:rPr>
        <w:br w:type="textWrapping"/>
      </w:r>
      <w:r>
        <w:rPr>
          <w:rFonts w:hint="eastAsia"/>
        </w:rPr>
        <w:t>    本基金在确定相关金融资产和金融负债的公允价值时，根据《企业会计准则》的规定采用在当前情况下适用并且有足够可利用数据和其他信息支持的估值技术。</w:t>
      </w:r>
      <w:r>
        <w:rPr>
          <w:rFonts w:hint="eastAsia"/>
        </w:rPr>
        <w:br w:type="textWrapping"/>
      </w:r>
      <w:r>
        <w:rPr>
          <w:rFonts w:hint="eastAsia"/>
        </w:rPr>
        <w:t>    存在活跃市场且能够获取相同资产或负债报价的金融工具，在估值日有报价的，除会计准则规定的情况外，将该报价不加调整地应用于该资产或负债的公允价值计量；估值日无报价且最近交易日后未发生影响公允价值计量的重大事件的，采用最近交易日的报价确定公允价值。有充足证据表明估值日或最近交易日的报价不能真实反映公允价值的，对报价进行调整，确定公允价值。与上述金融工具相同，但具有不同特征的，以相同资产或负债的公允价值为基础，并在估值技术中考虑不同特征因素的影响。特征是指对资产出售或使用的限制等，如果该限制是针对资产持有者的，那么在估值技术中不应将该限制作为特征考虑。此外，本基金不考虑因其大量持有相关资产或负债所产生的溢价或折价。</w:t>
      </w:r>
      <w:r>
        <w:rPr>
          <w:rFonts w:hint="eastAsia"/>
        </w:rPr>
        <w:br w:type="textWrapping"/>
      </w:r>
      <w:r>
        <w:rPr>
          <w:rFonts w:hint="eastAsia"/>
        </w:rPr>
        <w:t>    对不存在活跃市场的金融工具，采用在当前情况下适用并且有足够可利用数据和其他信息支持的估值技术确定公允价值。采用估值技术确定公允价值时，优先使用可观察输入值，只有在无法取得相关资产或负债可观察输入值或取得不切实可行的情况下，才可以使用不可观察输入值。</w:t>
      </w:r>
      <w:r>
        <w:rPr>
          <w:rFonts w:hint="eastAsia"/>
        </w:rPr>
        <w:br w:type="textWrapping"/>
      </w:r>
      <w:r>
        <w:rPr>
          <w:rFonts w:hint="eastAsia"/>
        </w:rPr>
        <w:t>    如经济环境发生重大变化或证券发行人发生影响证券价格的重大事件，参考类似投资品种的现行市价及重大变化等因素，对估值进行调整并确定公允价值。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7.4.4.6 金融资产和金融负债的抵销</w:t>
      </w:r>
    </w:p>
    <w:p>
      <w:pPr>
        <w:pStyle w:val="19"/>
        <w:rPr>
          <w:rFonts w:hint="eastAsia"/>
        </w:rPr>
      </w:pPr>
      <w:r>
        <w:rPr>
          <w:rFonts w:hint="eastAsia"/>
        </w:rPr>
        <w:t>  金融资产和金融负债在资产负债表内分别列示，没有相互抵销。但是，同时满足下列条件的，以相互抵销后的净额在资产负债表内列示：</w:t>
      </w:r>
      <w:r>
        <w:rPr>
          <w:rFonts w:hint="eastAsia"/>
        </w:rPr>
        <w:br w:type="textWrapping"/>
      </w:r>
      <w:r>
        <w:rPr>
          <w:rFonts w:hint="eastAsia"/>
        </w:rPr>
        <w:t>  -本基金具有抵销已确认金额的法定权利，且该种法定权利是当前可执行的；</w:t>
      </w:r>
      <w:r>
        <w:rPr>
          <w:rFonts w:hint="eastAsia"/>
        </w:rPr>
        <w:br w:type="textWrapping"/>
      </w:r>
      <w:r>
        <w:rPr>
          <w:rFonts w:hint="eastAsia"/>
        </w:rPr>
        <w:t>  -本基金计划以净额结算，或同时变现该金融资产和清偿该金融负债。</w:t>
      </w:r>
    </w:p>
    <w:p>
      <w:pPr>
        <w:widowControl/>
        <w:jc w:val="left"/>
        <w:rPr>
          <w:rFonts w:hint="eastAsia" w:ascii="宋体" w:hAnsi="宋体" w:cs="宋体"/>
          <w:kern w:val="0"/>
          <w:sz w:val="24"/>
          <w:szCs w:val="24"/>
        </w:rPr>
      </w:pPr>
    </w:p>
    <w:p>
      <w:pPr>
        <w:pStyle w:val="14"/>
        <w:rPr>
          <w:rFonts w:hint="eastAsia"/>
        </w:rPr>
      </w:pPr>
      <w:r>
        <w:rPr>
          <w:rFonts w:hint="eastAsia"/>
          <w:b/>
          <w:bCs/>
        </w:rPr>
        <w:t>7.4.4.7 实收基金</w:t>
      </w:r>
    </w:p>
    <w:p>
      <w:pPr>
        <w:pStyle w:val="19"/>
        <w:rPr>
          <w:rFonts w:hint="eastAsia"/>
        </w:rPr>
      </w:pPr>
      <w:r>
        <w:rPr>
          <w:rFonts w:hint="eastAsia"/>
        </w:rPr>
        <w:t>  实收基金为对外发行基金份额所募集的总金额在扣除损益平准金分摊部分后的余额。由于基金份额拆分引起的实收基金份额变动于基金份额拆分日根据拆分前的基金份额数及确定的拆分比例计算认列。由于申购和赎回引起的实收基金份额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4"/>
        <w:rPr>
          <w:rFonts w:hint="eastAsia"/>
        </w:rPr>
      </w:pPr>
      <w:r>
        <w:rPr>
          <w:rFonts w:hint="eastAsia"/>
          <w:b/>
          <w:bCs/>
        </w:rPr>
        <w:t>7.4.4.8 损益平准金</w:t>
      </w:r>
    </w:p>
    <w:p>
      <w:pPr>
        <w:pStyle w:val="19"/>
        <w:rPr>
          <w:rFonts w:hint="eastAsia"/>
        </w:rPr>
      </w:pPr>
      <w:r>
        <w:rPr>
          <w:rFonts w:hint="eastAsia"/>
        </w:rPr>
        <w:t>  损益平准金核算在基金份额发生变动时，申购、赎回、转入、转出及红利再投资等款项中包含的未分配利润和公允价值变动损益，包括已实现损益平准金和未实现损益平准金。已实现损益平准金指根据交易申请日申购或赎回款项中包含的按累计未分配的已实现损益占基金净值比例计算的金额。未实现损益平准金指根据交易申请日申购或赎回款项中包含的按累计未分配的未实现损益占基金净值比例计算的金额。损益平准金于基金申购确认日或基金赎回确认日进行确认和计量，并于会计期末全额转入"未分配利润/(累计亏损)"。</w:t>
      </w:r>
    </w:p>
    <w:p>
      <w:pPr>
        <w:widowControl/>
        <w:jc w:val="left"/>
        <w:rPr>
          <w:rFonts w:hint="eastAsia" w:ascii="宋体" w:hAnsi="宋体" w:cs="宋体"/>
          <w:kern w:val="0"/>
          <w:sz w:val="24"/>
          <w:szCs w:val="24"/>
        </w:rPr>
      </w:pPr>
    </w:p>
    <w:p>
      <w:pPr>
        <w:pStyle w:val="14"/>
        <w:rPr>
          <w:rFonts w:hint="eastAsia"/>
        </w:rPr>
      </w:pPr>
      <w:r>
        <w:rPr>
          <w:rFonts w:hint="eastAsia"/>
          <w:b/>
          <w:bCs/>
        </w:rPr>
        <w:t>7.4.4.9 收入/（损失）的确认和计量</w:t>
      </w:r>
    </w:p>
    <w:p>
      <w:pPr>
        <w:pStyle w:val="19"/>
        <w:rPr>
          <w:rFonts w:hint="eastAsia"/>
        </w:rPr>
      </w:pPr>
      <w:r>
        <w:rPr>
          <w:rFonts w:hint="eastAsia"/>
        </w:rPr>
        <w:t>  债券投资收益按相关金融资产于处置日成交金额与其成本的差额确认。</w:t>
      </w:r>
      <w:r>
        <w:rPr>
          <w:rFonts w:hint="eastAsia"/>
        </w:rPr>
        <w:br w:type="textWrapping"/>
      </w:r>
      <w:r>
        <w:rPr>
          <w:rFonts w:hint="eastAsia"/>
        </w:rPr>
        <w:t>  债券利息收入按债券投资的票面价值与票面利率计算的金额扣除应由发行债券的企业代扣代缴的个人所得税 (如适用) 后的净额确认，在债券实际持有期内逐日计提。贴息债视同到期一次性还本付息的附息债，根据其发行价、到期价和发行期限按直线法推算内含票面利率后，逐日计提利息收入。如票面利率与实际利率出现重大差异，按实际利率计算利息收入。</w:t>
      </w:r>
      <w:r>
        <w:rPr>
          <w:rFonts w:hint="eastAsia"/>
        </w:rPr>
        <w:br w:type="textWrapping"/>
      </w:r>
      <w:r>
        <w:rPr>
          <w:rFonts w:hint="eastAsia"/>
        </w:rPr>
        <w:t>  利息收入是按借出货币资金的时间和实际利率计算确定。</w:t>
      </w:r>
      <w:r>
        <w:rPr>
          <w:rFonts w:hint="eastAsia"/>
        </w:rPr>
        <w:br w:type="textWrapping"/>
      </w:r>
      <w:r>
        <w:rPr>
          <w:rFonts w:hint="eastAsia"/>
        </w:rPr>
        <w:t>  买入返售金融资产收入按到期应收或实际收到的金额与初始确认金额的差额，在回购期内按实际利率法逐日确认，直线法与实际利率法确定的收入差异较小的可采用直线法。</w:t>
      </w:r>
      <w:r>
        <w:rPr>
          <w:rFonts w:hint="eastAsia"/>
        </w:rPr>
        <w:br w:type="textWrapping"/>
      </w:r>
      <w:r>
        <w:rPr>
          <w:rFonts w:hint="eastAsia"/>
        </w:rPr>
        <w:t>  公允价值变动收益 / (损失) 核算基金持有的采用公允价值模式计量的以公允价值计量且变动计入当期损益的金融资产、衍生金融资产、以公允价值计量且变动计入当期损益的金融负债等公允价值变动形成的应计入当期损益的利得或损失。</w:t>
      </w:r>
    </w:p>
    <w:p>
      <w:pPr>
        <w:widowControl/>
        <w:jc w:val="left"/>
        <w:rPr>
          <w:rFonts w:hint="eastAsia" w:ascii="宋体" w:hAnsi="宋体" w:cs="宋体"/>
          <w:kern w:val="0"/>
          <w:sz w:val="24"/>
          <w:szCs w:val="24"/>
        </w:rPr>
      </w:pPr>
    </w:p>
    <w:p>
      <w:pPr>
        <w:pStyle w:val="14"/>
        <w:rPr>
          <w:rFonts w:hint="eastAsia"/>
        </w:rPr>
      </w:pPr>
      <w:r>
        <w:rPr>
          <w:rFonts w:hint="eastAsia"/>
          <w:b/>
          <w:bCs/>
        </w:rPr>
        <w:t>7.4.4.10 费用的确认和计量</w:t>
      </w:r>
    </w:p>
    <w:p>
      <w:pPr>
        <w:pStyle w:val="19"/>
        <w:rPr>
          <w:rFonts w:hint="eastAsia"/>
        </w:rPr>
      </w:pPr>
      <w:r>
        <w:rPr>
          <w:rFonts w:hint="eastAsia"/>
        </w:rPr>
        <w:t>  本基金的管理人报酬和托管费在费用涵盖期间按基金合同约定的费率和计算方法逐日确认。</w:t>
      </w:r>
      <w:r>
        <w:rPr>
          <w:rFonts w:hint="eastAsia"/>
        </w:rPr>
        <w:br w:type="textWrapping"/>
      </w:r>
      <w:r>
        <w:rPr>
          <w:rFonts w:hint="eastAsia"/>
        </w:rPr>
        <w:t>  本基金的交易费用于进行债券等交易发生时按照确定的金额确认。</w:t>
      </w:r>
      <w:r>
        <w:rPr>
          <w:rFonts w:hint="eastAsia"/>
        </w:rPr>
        <w:br w:type="textWrapping"/>
      </w:r>
      <w:r>
        <w:rPr>
          <w:rFonts w:hint="eastAsia"/>
        </w:rPr>
        <w:t>  本基金的利息支出按资金的本金和适用利率逐日计提。</w:t>
      </w:r>
      <w:r>
        <w:rPr>
          <w:rFonts w:hint="eastAsia"/>
        </w:rPr>
        <w:br w:type="textWrapping"/>
      </w:r>
      <w:r>
        <w:rPr>
          <w:rFonts w:hint="eastAsia"/>
        </w:rPr>
        <w:t>  卖出回购金融资产利息支出按到期应付或实际支付的金额与初始确认金额的差额，在回购期内以实际利率法逐日确认，直线法与实际利率法确定的支出差异较小的可采用直线法。</w:t>
      </w:r>
      <w:r>
        <w:rPr>
          <w:rFonts w:hint="eastAsia"/>
        </w:rPr>
        <w:br w:type="textWrapping"/>
      </w:r>
      <w:r>
        <w:rPr>
          <w:rFonts w:hint="eastAsia"/>
        </w:rPr>
        <w:t>  本基金的其他费用如不影响估值日基金份额净值小数点后第四位，发生时直接计入基金损益；如果影响基金份额净值小数点后第四位的，应采用待摊或预提的方法，待摊或预提计入基金损益。</w:t>
      </w:r>
    </w:p>
    <w:p>
      <w:pPr>
        <w:widowControl/>
        <w:jc w:val="left"/>
        <w:rPr>
          <w:rFonts w:hint="eastAsia" w:ascii="宋体" w:hAnsi="宋体" w:cs="宋体"/>
          <w:kern w:val="0"/>
          <w:sz w:val="24"/>
          <w:szCs w:val="24"/>
        </w:rPr>
      </w:pPr>
    </w:p>
    <w:p>
      <w:pPr>
        <w:pStyle w:val="14"/>
        <w:rPr>
          <w:rFonts w:hint="eastAsia"/>
        </w:rPr>
      </w:pPr>
      <w:r>
        <w:rPr>
          <w:rFonts w:hint="eastAsia"/>
          <w:b/>
          <w:bCs/>
        </w:rPr>
        <w:t>7.4.4.11 基金的收益分配政策</w:t>
      </w:r>
    </w:p>
    <w:p>
      <w:pPr>
        <w:pStyle w:val="19"/>
        <w:rPr>
          <w:rFonts w:hint="eastAsia"/>
        </w:rPr>
      </w:pPr>
      <w:r>
        <w:rPr>
          <w:rFonts w:hint="eastAsia"/>
        </w:rPr>
        <w:t>  本基金的收益分配政策为：（1）本基金收益分配方式分两种：现金分红与红利再投资，投资者可选择现金红利或将现金红利自动转为基金份额进行再投资；若投资者不选择，本基金默认的收益分配方式是现金分红；（2）基金收益分配后基金份额净值不能低于面值；即基金收益分配基准日的基金份额净值减去每单位基金份额收益分配金额后不能低于面值；（3）每一基金份额享有同等分配权；（4）在对基金份额持有人利益无实质不利影响的前提下，基金管理人可调整基金收益的分配原则和支付方式，不需召开基金份额持有人大会审议；（5）法律法规或监管机关另有规定的，从其规定。</w:t>
      </w:r>
    </w:p>
    <w:p>
      <w:pPr>
        <w:widowControl/>
        <w:jc w:val="left"/>
        <w:rPr>
          <w:rFonts w:hint="eastAsia" w:ascii="宋体" w:hAnsi="宋体" w:cs="宋体"/>
          <w:kern w:val="0"/>
          <w:sz w:val="24"/>
          <w:szCs w:val="24"/>
        </w:rPr>
      </w:pPr>
    </w:p>
    <w:p>
      <w:pPr>
        <w:pStyle w:val="14"/>
        <w:rPr>
          <w:rFonts w:hint="eastAsia"/>
        </w:rPr>
      </w:pPr>
      <w:r>
        <w:rPr>
          <w:rFonts w:hint="eastAsia"/>
          <w:b/>
          <w:bCs/>
        </w:rPr>
        <w:t>7.4.4.12 分部报告</w:t>
      </w:r>
    </w:p>
    <w:p>
      <w:pPr>
        <w:pStyle w:val="19"/>
        <w:rPr>
          <w:rFonts w:hint="eastAsia"/>
        </w:rPr>
      </w:pPr>
      <w:r>
        <w:rPr>
          <w:rFonts w:hint="eastAsia"/>
        </w:rPr>
        <w:t>  本基金以内部组织结构、管理要求、内部报告制度为依据确定经营分部，以经营分部为基础确定报告分部。</w:t>
      </w:r>
      <w:r>
        <w:rPr>
          <w:rFonts w:hint="eastAsia"/>
        </w:rPr>
        <w:br w:type="textWrapping"/>
      </w:r>
      <w:r>
        <w:rPr>
          <w:rFonts w:hint="eastAsia"/>
        </w:rPr>
        <w:t>  本基金目前以一个经营分部运作，不需要进行分部报告的披露。</w:t>
      </w:r>
    </w:p>
    <w:p>
      <w:pPr>
        <w:widowControl/>
        <w:jc w:val="left"/>
        <w:rPr>
          <w:rFonts w:hint="eastAsia" w:ascii="宋体" w:hAnsi="宋体" w:cs="宋体"/>
          <w:kern w:val="0"/>
          <w:sz w:val="24"/>
          <w:szCs w:val="24"/>
        </w:rPr>
      </w:pPr>
    </w:p>
    <w:p>
      <w:pPr>
        <w:pStyle w:val="14"/>
        <w:rPr>
          <w:rFonts w:hint="eastAsia"/>
        </w:rPr>
      </w:pPr>
      <w:r>
        <w:rPr>
          <w:rFonts w:hint="eastAsia"/>
          <w:b/>
          <w:bCs/>
        </w:rPr>
        <w:t>7.4.4.13 其他重要的会计政策和会计估计</w:t>
      </w:r>
    </w:p>
    <w:p>
      <w:pPr>
        <w:pStyle w:val="19"/>
        <w:rPr>
          <w:rFonts w:hint="eastAsia"/>
        </w:rPr>
      </w:pPr>
      <w:r>
        <w:rPr>
          <w:rFonts w:hint="eastAsia"/>
        </w:rPr>
        <w:t>  对于证券交易所上市的股票，若出现重大事项停牌或交易不活跃 (包括涨跌停时的交易不活跃) 等情况，本基金根据中国证监会公告 [2017] 13 号《中国证券监督管理委员会关于证券投资基金估值业务的指导意见》，根据具体情况采用《关于发布中基协 (AMAC) 基金行业股票估值指数的通知》提供的指数收益法、市盈率法、现金流量折现法等估值技术进行估值。</w:t>
      </w:r>
      <w:r>
        <w:rPr>
          <w:rFonts w:hint="eastAsia"/>
        </w:rPr>
        <w:br w:type="textWrapping"/>
      </w:r>
      <w:r>
        <w:rPr>
          <w:rFonts w:hint="eastAsia"/>
        </w:rPr>
        <w:t>  对于在发行时明确一定期限限售期的股票，包括但不限于非公开发行股票、首次公开发行股票时公司股东公开发售股份、通过大宗交易取得的带限售期的股票等，不包括停牌、新发行未上市、回购交易中的质押券等流通受限股票，根据中基协发[2017] 6号《关于发布&lt;证券投资基金投资流通受限股票估值指引 (试行) &gt;的通知》，在估值日按照流通受限股票计算公式确定估值日流通受限股票的价值。</w:t>
      </w:r>
      <w:r>
        <w:rPr>
          <w:rFonts w:hint="eastAsia"/>
        </w:rPr>
        <w:br w:type="textWrapping"/>
      </w:r>
      <w:r>
        <w:rPr>
          <w:rFonts w:hint="eastAsia"/>
        </w:rPr>
        <w:t>  根据《中国证券投资基金业协会估值核算工作小组关于2015年1季度固定收益品种的估值处理标准》，在上海证券交易所、深圳证券交易所及银行间同业市场上市交易或挂牌转让的固定收益品种 (估值处理标准另有规定的除外)，采用第三方估值机构提供的价格数据进行估值。</w:t>
      </w:r>
    </w:p>
    <w:p>
      <w:pPr>
        <w:widowControl/>
        <w:jc w:val="left"/>
        <w:rPr>
          <w:rFonts w:hint="eastAsia" w:ascii="宋体" w:hAnsi="宋体" w:cs="宋体"/>
          <w:kern w:val="0"/>
          <w:sz w:val="24"/>
          <w:szCs w:val="24"/>
        </w:rPr>
      </w:pPr>
    </w:p>
    <w:p>
      <w:pPr>
        <w:pStyle w:val="14"/>
        <w:rPr>
          <w:rFonts w:hint="eastAsia"/>
        </w:rPr>
      </w:pPr>
      <w:r>
        <w:rPr>
          <w:rFonts w:hint="eastAsia"/>
          <w:b/>
          <w:bCs/>
        </w:rPr>
        <w:t>7.4.5 会计政策和会计估计变更以及差错更正的说明</w:t>
      </w:r>
    </w:p>
    <w:p>
      <w:pPr>
        <w:pStyle w:val="14"/>
        <w:rPr>
          <w:rFonts w:hint="eastAsia"/>
        </w:rPr>
      </w:pPr>
      <w:r>
        <w:rPr>
          <w:rFonts w:hint="eastAsia"/>
          <w:b/>
          <w:bCs/>
        </w:rPr>
        <w:t>7.4.5.1 会计政策变更的说明</w:t>
      </w:r>
    </w:p>
    <w:p>
      <w:pPr>
        <w:pStyle w:val="19"/>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4"/>
        <w:rPr>
          <w:rFonts w:hint="eastAsia"/>
        </w:rPr>
      </w:pPr>
      <w:r>
        <w:rPr>
          <w:rFonts w:hint="eastAsia"/>
          <w:b/>
          <w:bCs/>
        </w:rPr>
        <w:t>7.4.5.2 会计估计变更的说明</w:t>
      </w:r>
    </w:p>
    <w:p>
      <w:pPr>
        <w:pStyle w:val="19"/>
        <w:rPr>
          <w:rFonts w:hint="eastAsia"/>
        </w:rPr>
      </w:pPr>
      <w:r>
        <w:rPr>
          <w:rFonts w:hint="eastAsia"/>
        </w:rPr>
        <w:t>  本基金在本报告期内未发生重大会计估计变更。</w:t>
      </w:r>
    </w:p>
    <w:p>
      <w:pPr>
        <w:widowControl/>
        <w:jc w:val="left"/>
        <w:rPr>
          <w:rFonts w:hint="eastAsia" w:ascii="宋体" w:hAnsi="宋体" w:cs="宋体"/>
          <w:kern w:val="0"/>
          <w:sz w:val="24"/>
          <w:szCs w:val="24"/>
        </w:rPr>
      </w:pPr>
    </w:p>
    <w:p>
      <w:pPr>
        <w:pStyle w:val="14"/>
        <w:rPr>
          <w:rFonts w:hint="eastAsia"/>
        </w:rPr>
      </w:pPr>
      <w:r>
        <w:rPr>
          <w:rFonts w:hint="eastAsia"/>
          <w:b/>
          <w:bCs/>
        </w:rPr>
        <w:t>7.4.5.3 差错更正的说明</w:t>
      </w:r>
    </w:p>
    <w:p>
      <w:pPr>
        <w:pStyle w:val="19"/>
        <w:rPr>
          <w:rFonts w:hint="eastAsia"/>
        </w:rPr>
      </w:pPr>
      <w:r>
        <w:rPr>
          <w:rFonts w:hint="eastAsia"/>
        </w:rPr>
        <w:t>  本基金在本报告期内未发生重大会计差错更正。</w:t>
      </w:r>
    </w:p>
    <w:p>
      <w:pPr>
        <w:widowControl/>
        <w:jc w:val="left"/>
        <w:rPr>
          <w:rFonts w:hint="eastAsia" w:ascii="宋体" w:hAnsi="宋体" w:cs="宋体"/>
          <w:kern w:val="0"/>
          <w:sz w:val="24"/>
          <w:szCs w:val="24"/>
        </w:rPr>
      </w:pPr>
    </w:p>
    <w:p>
      <w:pPr>
        <w:pStyle w:val="14"/>
        <w:rPr>
          <w:rFonts w:hint="eastAsia"/>
        </w:rPr>
      </w:pPr>
      <w:r>
        <w:rPr>
          <w:rFonts w:hint="eastAsia"/>
          <w:b/>
          <w:bCs/>
        </w:rPr>
        <w:t>7.4.6 税项</w:t>
      </w:r>
    </w:p>
    <w:p>
      <w:pPr>
        <w:pStyle w:val="19"/>
        <w:rPr>
          <w:rFonts w:hint="eastAsia"/>
        </w:rPr>
      </w:pPr>
      <w:r>
        <w:rPr>
          <w:rFonts w:hint="eastAsia"/>
        </w:rPr>
        <w:t>  根据财税[2004]78号文《关于证券投资基金税收政策的通知》、财税[2012]85号文《财政部、国家税务总局、证监会关于实施上市公司股息红利差别化个人所得税政策有关问题的通知》、财税[2015]101号《财政部 国家税务总局 证监会关于上市公司股息红利差别化个人所得税政策有关问题的通知》、财税[2005]103号文《关于股权分置试点改革有关税收政策问题的通知》、上证交字[2008]16号《关于做好调整证券交易印花税税率相关工作的通知》及深圳证券交易所于2008年9月18日发布的《深圳证券交易所关于做好证券交易印花税征收方式调整工作的通知》、财税 [2008]1号文《财政部、国家税务总局关于企业所得税若干优惠政策的通知》、财税[2016]36号文《财政部、国家税务总局关于全面推开营业税改征增值税试点的通知》、财税[2016]140号文《关于明确金融、房地产开发、教育辅助服务等增值税政策的通知》、财税[2017]2号文《关于资管产品增值税政策有关问题的补充通知》、财税[2015] 125号文《关于内地与香港基金互认有关税收政策的通知》、财税[2017] 56号《关于资管产品增值税有关问题的通知》及其他相关税务法规和实务操作，本基金适用的主要税项列示如下：</w:t>
      </w:r>
      <w:r>
        <w:rPr>
          <w:rFonts w:hint="eastAsia"/>
        </w:rPr>
        <w:br w:type="textWrapping"/>
      </w:r>
      <w:r>
        <w:rPr>
          <w:rFonts w:hint="eastAsia"/>
        </w:rPr>
        <w:t>  (a)证券投资基金管理人运用基金买卖股票、债券的差价收入暂免征收营业税和企业所得税。</w:t>
      </w:r>
      <w:r>
        <w:rPr>
          <w:rFonts w:hint="eastAsia"/>
        </w:rPr>
        <w:br w:type="textWrapping"/>
      </w:r>
      <w:r>
        <w:rPr>
          <w:rFonts w:hint="eastAsia"/>
        </w:rPr>
        <w:t xml:space="preserve">  (b)自2016年5月1日起，在全国范围内全面推开营业税改征增值税（以下称营改增）试点, 建筑业、房地产业、金融业、生活服务业等全部营业税纳税人, 纳入试点范围，由缴纳营业税改为缴纳增值税。 </w:t>
      </w:r>
      <w:r>
        <w:rPr>
          <w:rFonts w:hint="eastAsia"/>
        </w:rPr>
        <w:br w:type="textWrapping"/>
      </w:r>
      <w:r>
        <w:rPr>
          <w:rFonts w:hint="eastAsia"/>
        </w:rPr>
        <w:t>  2018年1月1日（含）以后，资管产品管理人（以下称管理人）运营基金过程中发生的增值税应税行为，以管理人为增值税纳税人，暂适用简易计税方法，按照3%的征收率缴纳增值税。对基金在2018年1月1日前运营过程中发生的增值税应税行为，未缴纳增值税的，不再缴纳；已缴纳增值税的，已纳税额从管理人以后月份的增值税应纳税额中抵减。</w:t>
      </w:r>
      <w:r>
        <w:rPr>
          <w:rFonts w:hint="eastAsia"/>
        </w:rPr>
        <w:br w:type="textWrapping"/>
      </w:r>
      <w:r>
        <w:rPr>
          <w:rFonts w:hint="eastAsia"/>
        </w:rPr>
        <w:t>  证券投资基金管理人运用基金买卖股票、债券收入免征增值税。</w:t>
      </w:r>
      <w:r>
        <w:rPr>
          <w:rFonts w:hint="eastAsia"/>
        </w:rPr>
        <w:br w:type="textWrapping"/>
      </w:r>
      <w:r>
        <w:rPr>
          <w:rFonts w:hint="eastAsia"/>
        </w:rPr>
        <w:t>  对香港市场投资者（包括单位和个人）通过基金互认买卖内地基金份额免征增值税。</w:t>
      </w:r>
      <w:r>
        <w:rPr>
          <w:rFonts w:hint="eastAsia"/>
        </w:rPr>
        <w:br w:type="textWrapping"/>
      </w:r>
      <w:r>
        <w:rPr>
          <w:rFonts w:hint="eastAsia"/>
        </w:rPr>
        <w:t>  (c)基金作为流通股股东在股权分置改革过程中收到由非流通股股东支付的股份、现金对价，暂免征收印花税、企业所得税和个人所得税。</w:t>
      </w:r>
      <w:r>
        <w:rPr>
          <w:rFonts w:hint="eastAsia"/>
        </w:rPr>
        <w:br w:type="textWrapping"/>
      </w:r>
      <w:r>
        <w:rPr>
          <w:rFonts w:hint="eastAsia"/>
        </w:rPr>
        <w:t>  (d)对基金取得的股票的股息、红利收入，由上市公司在向基金支付上述收入时代扣代缴20%的个人所得税。自2013年1月1日起，对所取得的股息红利收入根据持股期限差别化计算个人所得税的应纳税所得额：持股期限在1个月以内（含1个月）的，其股息红利所得全额计入应纳税所得额；持股期限在1个月以上至1年（含1年）的，暂减按50%计入应纳税所得额；持股期限超过1年的，股权登记日为自2013年1月1日起至2015年9月7日期间的，暂减按25%计入应纳税所得额，股权登记日在2015年9月8日及以后的，暂免征收个人所得税。</w:t>
      </w:r>
      <w:r>
        <w:rPr>
          <w:rFonts w:hint="eastAsia"/>
        </w:rPr>
        <w:br w:type="textWrapping"/>
      </w:r>
      <w:r>
        <w:rPr>
          <w:rFonts w:hint="eastAsia"/>
        </w:rPr>
        <w:t>  (e)关于香港市场投资者通过基金互认买卖内地基金份额的所得税问题：</w:t>
      </w:r>
      <w:r>
        <w:rPr>
          <w:rFonts w:hint="eastAsia"/>
        </w:rPr>
        <w:br w:type="textWrapping"/>
      </w:r>
      <w:r>
        <w:rPr>
          <w:rFonts w:hint="eastAsia"/>
        </w:rPr>
        <w:t>  对香港市场投资者（包括企业和个人）通过基金互认买卖内地基金份额取得的转让差价所得，暂免征收所得税。</w:t>
      </w:r>
      <w:r>
        <w:rPr>
          <w:rFonts w:hint="eastAsia"/>
        </w:rPr>
        <w:br w:type="textWrapping"/>
      </w:r>
      <w:r>
        <w:rPr>
          <w:rFonts w:hint="eastAsia"/>
        </w:rPr>
        <w:t>  对香港市场投资者（包括企业和个人）通过基金互认从内地基金分配取得的收益，由内地上市公司向该内地基金分配股息红利时,对香港市场投资者按照10%的税率代扣所得税；或发行债券的企业向该内地基金分配利息时, 对香港市场投资者按照7%的税率代扣所得税，并由内地上市公司或发行债券的企业向其主管税务机关办理扣缴申报。该内地基金向投资者分配收益时,不再扣缴所得税。</w:t>
      </w:r>
      <w:r>
        <w:rPr>
          <w:rFonts w:hint="eastAsia"/>
        </w:rPr>
        <w:br w:type="textWrapping"/>
      </w:r>
      <w:r>
        <w:rPr>
          <w:rFonts w:hint="eastAsia"/>
        </w:rPr>
        <w:t>  内地基金管理人应当向相关证券登记结算机构提供内地基金的香港市场投资者的相关信息。</w:t>
      </w:r>
      <w:r>
        <w:rPr>
          <w:rFonts w:hint="eastAsia"/>
        </w:rPr>
        <w:br w:type="textWrapping"/>
      </w:r>
      <w:r>
        <w:rPr>
          <w:rFonts w:hint="eastAsia"/>
        </w:rPr>
        <w:t>  (f)基金卖出股票按0.1%的税率缴纳股票交易印花税，买入股票不征收股票交易印花税。</w:t>
      </w:r>
      <w:r>
        <w:rPr>
          <w:rFonts w:hint="eastAsia"/>
        </w:rPr>
        <w:br w:type="textWrapping"/>
      </w:r>
      <w:r>
        <w:rPr>
          <w:rFonts w:hint="eastAsia"/>
        </w:rPr>
        <w:t>  (g)对投资者(包括个人和机构投资者)从基金分配中取得的收入，暂不征收企业所得税。</w:t>
      </w:r>
    </w:p>
    <w:p>
      <w:pPr>
        <w:widowControl/>
        <w:jc w:val="left"/>
        <w:rPr>
          <w:rFonts w:hint="eastAsia" w:ascii="宋体" w:hAnsi="宋体" w:cs="宋体"/>
          <w:kern w:val="0"/>
          <w:sz w:val="24"/>
          <w:szCs w:val="24"/>
        </w:rPr>
      </w:pPr>
    </w:p>
    <w:p>
      <w:pPr>
        <w:pStyle w:val="14"/>
        <w:rPr>
          <w:rFonts w:hint="eastAsia"/>
        </w:rPr>
      </w:pPr>
      <w:r>
        <w:rPr>
          <w:rFonts w:hint="eastAsia"/>
          <w:b/>
          <w:bCs/>
        </w:rPr>
        <w:t>7.4.7 重要财务报表项目的说明</w:t>
      </w:r>
    </w:p>
    <w:p>
      <w:pPr>
        <w:pStyle w:val="14"/>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1,007,931.68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2,579,015.30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1,007,931.68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2,579,015.30</w:t>
            </w:r>
          </w:p>
        </w:tc>
      </w:tr>
    </w:tbl>
    <w:p>
      <w:pPr>
        <w:widowControl/>
        <w:jc w:val="left"/>
        <w:rPr>
          <w:rFonts w:hint="eastAsia" w:ascii="宋体" w:hAnsi="宋体" w:cs="宋体"/>
          <w:kern w:val="0"/>
          <w:sz w:val="24"/>
          <w:szCs w:val="24"/>
        </w:rPr>
      </w:pPr>
    </w:p>
    <w:p>
      <w:pPr>
        <w:pStyle w:val="14"/>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201,513,164.21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194,437,112.50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-7,076,051.71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308,437,835.30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304,247,000.00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-4,190,835.30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509,950,999.51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498,684,112.50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-11,266,887.01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21,475,586.30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21,469,586.30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531,426,585.81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520,153,698.80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-11,272,887.01</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150,348,365.75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147,482,505.00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-2,865,860.75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381,168,561.85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377,219,500.00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-3,949,061.85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531,516,927.60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524,702,005.00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-6,814,922.60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77,105,586.30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77,067,586.30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-38,000.00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608,622,513.90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601,769,591.30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-6,852,922.60</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7.4.7.3 衍生金融资产/负债</w:t>
      </w:r>
    </w:p>
    <w:p>
      <w:pPr>
        <w:pStyle w:val="19"/>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 买入返售金融资产</w:t>
      </w:r>
    </w:p>
    <w:p>
      <w:pPr>
        <w:pStyle w:val="14"/>
        <w:rPr>
          <w:rFonts w:hint="eastAsia"/>
        </w:rPr>
      </w:pPr>
      <w:r>
        <w:rPr>
          <w:rFonts w:hint="eastAsia"/>
          <w:b/>
          <w:bCs/>
        </w:rPr>
        <w:t>7.4.7.4.1 各项买入返售金融资产期末余额</w:t>
      </w:r>
    </w:p>
    <w:p>
      <w:pPr>
        <w:pStyle w:val="19"/>
        <w:rPr>
          <w:rFonts w:hint="eastAsia"/>
        </w:rPr>
      </w:pPr>
      <w:r>
        <w:rPr>
          <w:rFonts w:hint="eastAsia"/>
        </w:rPr>
        <w:t>本基金于本期末及上年度末均未持有买入返售金融资产。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7.4.7.4.2 期末买断式逆回购交易中取得的债券</w:t>
      </w:r>
    </w:p>
    <w:p>
      <w:pPr>
        <w:pStyle w:val="19"/>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7.4.7.5 应收利息</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4,693.92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9,534,126.14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12,399,569.63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271,566.42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365,339.40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9,807,257.82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12,770,750.15</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4"/>
        <w:rPr>
          <w:rFonts w:hint="eastAsia"/>
        </w:rPr>
      </w:pPr>
      <w:r>
        <w:rPr>
          <w:rFonts w:hint="eastAsia"/>
          <w:b/>
          <w:bCs/>
        </w:rPr>
        <w:t>7.4.7.6 其他资产</w:t>
      </w:r>
    </w:p>
    <w:p>
      <w:pPr>
        <w:pStyle w:val="19"/>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7.4.7.7 应付交易费用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1,386.36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7.4.7.8 其他负债</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62,000.00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7.4.7.9 实收基金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499,978,681.87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499,978,681.87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17,470.21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17,470.21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-2,027,638.11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-2,027,638.11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497,968,513.97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497,968,513.97</w:t>
            </w:r>
          </w:p>
        </w:tc>
      </w:tr>
    </w:tbl>
    <w:p>
      <w:pPr>
        <w:pStyle w:val="19"/>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4"/>
        <w:rPr>
          <w:rFonts w:hint="eastAsia"/>
        </w:rPr>
      </w:pPr>
      <w:r>
        <w:rPr>
          <w:rFonts w:hint="eastAsia"/>
          <w:b/>
          <w:bCs/>
        </w:rPr>
        <w:t>7.4.7.10 未分配利润</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2,637,160.42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-5,352,480.85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-2,715,320.43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18,782,426.88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-4,419,964.41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14,362,462.47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-33,135.63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34,741.30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1,605.67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352.89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-237.18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115.71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-33,488.52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34,978.48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1,489.96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21,386,451.67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-9,737,703.96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11,648,747.71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上年度可比期间2016年01月07日（基金合同生效日）至2016年12月31日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35,174.37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116,001.57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165,500.00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124,453.88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50,565.55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159,636.29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332,095.73</w:t>
            </w:r>
          </w:p>
        </w:tc>
      </w:tr>
    </w:tbl>
    <w:p>
      <w:pPr>
        <w:widowControl/>
        <w:jc w:val="left"/>
        <w:rPr>
          <w:rFonts w:hint="eastAsia" w:ascii="宋体" w:hAnsi="宋体" w:cs="宋体"/>
          <w:kern w:val="0"/>
          <w:sz w:val="24"/>
          <w:szCs w:val="24"/>
        </w:rPr>
      </w:pPr>
    </w:p>
    <w:p>
      <w:pPr>
        <w:pStyle w:val="14"/>
        <w:rPr>
          <w:rFonts w:hint="eastAsia"/>
        </w:rPr>
      </w:pPr>
      <w:r>
        <w:rPr>
          <w:rFonts w:hint="eastAsia"/>
          <w:b/>
          <w:bCs/>
        </w:rPr>
        <w:t>7.4.7.12 股票投资收益</w:t>
      </w:r>
    </w:p>
    <w:p>
      <w:pPr>
        <w:pStyle w:val="19"/>
        <w:rPr>
          <w:rFonts w:hint="eastAsia"/>
        </w:rPr>
      </w:pPr>
      <w:r>
        <w:rPr>
          <w:rFonts w:hint="eastAsia"/>
        </w:rPr>
        <w:t>本基金本报告期内及上年度可比期间内无股票投资收益。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 债券投资收益</w:t>
      </w:r>
    </w:p>
    <w:p>
      <w:pPr>
        <w:pStyle w:val="14"/>
        <w:rPr>
          <w:rFonts w:hint="eastAsia"/>
        </w:rPr>
      </w:pPr>
      <w:r>
        <w:rPr>
          <w:rFonts w:hint="eastAsia"/>
          <w:b/>
          <w:bCs/>
        </w:rPr>
        <w:t>7.4.7.13.1 债券投资收益项目构成</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2016年01月07日（基金合同生效日）至2016年12月31日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-3,134,385.01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1,035,198.84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-3,134,385.01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1,035,198.84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7.4.7.13.2 债券投资收益——买卖债券差价收入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2016年01月07日（基金合同生效日）至2016年12月31日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187,569,030.87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308,321,593.07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180,369,785.01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301,304,386.15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10,333,630.87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5,982,008.08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-3,134,385.01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1,035,198.84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7.4.7.13.3 资产支持证券投资收益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2016年01月07日（基金合同生效日）至2016年12月31日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卖出资产支持证券成交总额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56,219,559.88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20,027,630.14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减：卖出资产支持证券成本总额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55,630,000.00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20,054,805.48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589,071.62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40,372.60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-67,547.94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7.4.7.14 衍生工具收益</w:t>
      </w:r>
    </w:p>
    <w:p>
      <w:pPr>
        <w:pStyle w:val="14"/>
        <w:rPr>
          <w:rFonts w:hint="eastAsia"/>
        </w:rPr>
      </w:pPr>
      <w:r>
        <w:rPr>
          <w:rFonts w:hint="eastAsia"/>
          <w:b/>
          <w:bCs/>
        </w:rPr>
        <w:t>7.4.7.14.1 衍生工具收益——买卖权证差价收入</w:t>
      </w:r>
    </w:p>
    <w:p>
      <w:pPr>
        <w:pStyle w:val="19"/>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7.4.7.15 股利收益</w:t>
      </w:r>
    </w:p>
    <w:p>
      <w:pPr>
        <w:pStyle w:val="19"/>
        <w:rPr>
          <w:rFonts w:hint="eastAsia"/>
        </w:rPr>
      </w:pPr>
      <w:r>
        <w:rPr>
          <w:rFonts w:hint="eastAsia"/>
        </w:rPr>
        <w:t>本基金于本期及上年度可比期间内无股利收益。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7.4.7.16 公允价值变动收益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2016年01月07日（基金合同生效日）至2016年12月31日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-4,419,964.41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-6,852,922.60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-4,451,964.41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-6,814,922.60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-4,419,964.41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-6,852,922.60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7.4.7.17 其他收入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2016年01月07日（基金合同生效日）至2016年12月31日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1,431.58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1,431.58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7.4.7.18 交易费用</w:t>
      </w:r>
    </w:p>
    <w:p>
      <w:pPr>
        <w:pStyle w:val="18"/>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2016年01月07日（基金合同生效日）至2016年12月31日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647.69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7,428.90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8,076.59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7.4.7.19 其他费用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2016年01月07日（基金合同生效日）至2016年12月31日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8,370.95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11,659.30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31,900.00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198,570.95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187,259.30</w:t>
            </w:r>
          </w:p>
        </w:tc>
      </w:tr>
    </w:tbl>
    <w:p>
      <w:pPr>
        <w:widowControl/>
        <w:jc w:val="left"/>
        <w:rPr>
          <w:rFonts w:hint="eastAsia" w:ascii="宋体" w:hAnsi="宋体" w:cs="宋体"/>
          <w:kern w:val="0"/>
          <w:sz w:val="24"/>
          <w:szCs w:val="24"/>
        </w:rPr>
      </w:pPr>
    </w:p>
    <w:p>
      <w:pPr>
        <w:pStyle w:val="14"/>
        <w:rPr>
          <w:rFonts w:hint="eastAsia"/>
        </w:rPr>
      </w:pPr>
      <w:r>
        <w:rPr>
          <w:rFonts w:hint="eastAsia"/>
          <w:b/>
          <w:bCs/>
        </w:rPr>
        <w:t>7.4.8 或有事项、资产负债表日后事项的说明</w:t>
      </w:r>
    </w:p>
    <w:p>
      <w:pPr>
        <w:pStyle w:val="14"/>
        <w:rPr>
          <w:rFonts w:hint="eastAsia"/>
        </w:rPr>
      </w:pPr>
      <w:r>
        <w:rPr>
          <w:rFonts w:hint="eastAsia"/>
          <w:b/>
          <w:bCs/>
        </w:rPr>
        <w:t>7.4.8.1 或有事项</w:t>
      </w:r>
    </w:p>
    <w:p>
      <w:pPr>
        <w:pStyle w:val="19"/>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4"/>
        <w:rPr>
          <w:rFonts w:hint="eastAsia"/>
        </w:rPr>
      </w:pPr>
      <w:r>
        <w:rPr>
          <w:rFonts w:hint="eastAsia"/>
          <w:b/>
          <w:bCs/>
        </w:rPr>
        <w:t>7.4.8.2 资产负债表日后事项</w:t>
      </w:r>
    </w:p>
    <w:p>
      <w:pPr>
        <w:pStyle w:val="19"/>
        <w:rPr>
          <w:rFonts w:hint="eastAsia"/>
        </w:rPr>
      </w:pPr>
      <w:r>
        <w:rPr>
          <w:rFonts w:hint="eastAsia"/>
        </w:rPr>
        <w:t>  截至本财务报表批准报出日，本基金无需作披露的资产负债表日后事项。</w:t>
      </w:r>
    </w:p>
    <w:p>
      <w:pPr>
        <w:widowControl/>
        <w:jc w:val="left"/>
        <w:rPr>
          <w:rFonts w:hint="eastAsia" w:ascii="宋体" w:hAnsi="宋体" w:cs="宋体"/>
          <w:kern w:val="0"/>
          <w:sz w:val="24"/>
          <w:szCs w:val="24"/>
        </w:rPr>
      </w:pPr>
    </w:p>
    <w:p>
      <w:pPr>
        <w:pStyle w:val="14"/>
        <w:rPr>
          <w:rFonts w:hint="eastAsia"/>
        </w:rPr>
      </w:pPr>
      <w:r>
        <w:rPr>
          <w:rFonts w:hint="eastAsia"/>
          <w:b/>
          <w:bCs/>
        </w:rPr>
        <w:t>7.4.9 关联方关系</w:t>
      </w:r>
    </w:p>
    <w:p>
      <w:pPr>
        <w:pStyle w:val="19"/>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4"/>
        <w:rPr>
          <w:rFonts w:hint="eastAsia"/>
        </w:rPr>
      </w:pPr>
      <w:r>
        <w:rPr>
          <w:rFonts w:hint="eastAsia"/>
          <w:b/>
          <w:bCs/>
        </w:rPr>
        <w:t>7.4.10 本报告期及上年度可比期间的关联方交易</w:t>
      </w:r>
    </w:p>
    <w:p>
      <w:pPr>
        <w:pStyle w:val="14"/>
        <w:rPr>
          <w:rFonts w:hint="eastAsia"/>
        </w:rPr>
      </w:pPr>
      <w:r>
        <w:rPr>
          <w:rFonts w:hint="eastAsia"/>
          <w:b/>
          <w:bCs/>
        </w:rPr>
        <w:t>7.4.10.1 通过关联方交易单元进行的交易</w:t>
      </w:r>
    </w:p>
    <w:p>
      <w:pPr>
        <w:pStyle w:val="14"/>
        <w:rPr>
          <w:rFonts w:hint="eastAsia"/>
        </w:rPr>
      </w:pPr>
      <w:r>
        <w:rPr>
          <w:rFonts w:hint="eastAsia"/>
          <w:b/>
          <w:bCs/>
        </w:rPr>
        <w:t>7.4.10.1.1 股票交易</w:t>
      </w:r>
    </w:p>
    <w:p>
      <w:pPr>
        <w:pStyle w:val="19"/>
        <w:rPr>
          <w:rFonts w:hint="eastAsia"/>
        </w:rPr>
      </w:pPr>
      <w:r>
        <w:rPr>
          <w:rFonts w:hint="eastAsia"/>
        </w:rPr>
        <w:t>本基金本报告期内及上年度可比期间内无通过关联方交易单元进行的股票交易。</w:t>
      </w:r>
    </w:p>
    <w:p>
      <w:pPr>
        <w:widowControl/>
        <w:jc w:val="left"/>
        <w:rPr>
          <w:rFonts w:hint="eastAsia" w:ascii="宋体" w:hAnsi="宋体" w:cs="宋体"/>
          <w:kern w:val="0"/>
          <w:sz w:val="24"/>
          <w:szCs w:val="24"/>
        </w:rPr>
      </w:pPr>
    </w:p>
    <w:p>
      <w:pPr>
        <w:pStyle w:val="14"/>
        <w:rPr>
          <w:rFonts w:hint="eastAsia"/>
        </w:rPr>
      </w:pPr>
      <w:r>
        <w:rPr>
          <w:rFonts w:hint="eastAsia"/>
          <w:b/>
          <w:bCs/>
        </w:rPr>
        <w:t>7.4.10.1.2 权证交易</w:t>
      </w:r>
    </w:p>
    <w:p>
      <w:pPr>
        <w:pStyle w:val="19"/>
        <w:rPr>
          <w:rFonts w:hint="eastAsia"/>
        </w:rPr>
      </w:pPr>
      <w:r>
        <w:rPr>
          <w:rFonts w:hint="eastAsia"/>
        </w:rPr>
        <w:t>本基金本报告期内及上年度可比期间内无通过关联方交易单元进行的权证交易。</w:t>
      </w:r>
    </w:p>
    <w:p>
      <w:pPr>
        <w:widowControl/>
        <w:jc w:val="left"/>
        <w:rPr>
          <w:rFonts w:hint="eastAsia" w:ascii="宋体" w:hAnsi="宋体" w:cs="宋体"/>
          <w:kern w:val="0"/>
          <w:sz w:val="24"/>
          <w:szCs w:val="24"/>
        </w:rPr>
      </w:pPr>
    </w:p>
    <w:p>
      <w:pPr>
        <w:pStyle w:val="14"/>
        <w:rPr>
          <w:rFonts w:hint="eastAsia"/>
        </w:rPr>
      </w:pPr>
      <w:r>
        <w:rPr>
          <w:rFonts w:hint="eastAsia"/>
          <w:b/>
          <w:bCs/>
        </w:rPr>
        <w:t>7.4.10.1.3 应支付关联方的佣金</w:t>
      </w:r>
    </w:p>
    <w:p>
      <w:pPr>
        <w:pStyle w:val="19"/>
        <w:rPr>
          <w:rFonts w:hint="eastAsia"/>
        </w:rPr>
      </w:pPr>
      <w:r>
        <w:rPr>
          <w:rFonts w:hint="eastAsia"/>
        </w:rPr>
        <w:t>本基金本报告期内及上年度可比期间内无应支付关联方的佣金。</w:t>
      </w:r>
    </w:p>
    <w:p>
      <w:pPr>
        <w:widowControl/>
        <w:jc w:val="left"/>
        <w:rPr>
          <w:rFonts w:hint="eastAsia" w:ascii="宋体" w:hAnsi="宋体" w:cs="宋体"/>
          <w:kern w:val="0"/>
          <w:sz w:val="24"/>
          <w:szCs w:val="24"/>
        </w:rPr>
      </w:pPr>
    </w:p>
    <w:p>
      <w:pPr>
        <w:pStyle w:val="14"/>
        <w:rPr>
          <w:rFonts w:hint="eastAsia"/>
        </w:rPr>
      </w:pPr>
      <w:r>
        <w:rPr>
          <w:rFonts w:hint="eastAsia"/>
          <w:b/>
          <w:bCs/>
        </w:rPr>
        <w:t>7.4.10.1.4 债券交易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799"/>
        <w:gridCol w:w="1893"/>
        <w:gridCol w:w="1165"/>
        <w:gridCol w:w="207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r>
              <w:rPr>
                <w:rFonts w:hint="eastAsia"/>
              </w:rPr>
              <w:br w:type="textWrapping"/>
            </w:r>
            <w:r>
              <w:rPr>
                <w:rFonts w:hint="eastAsia"/>
              </w:rPr>
              <w:t>2016年01月07日（基金合同生效日）至2016年12月31日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87,998,365.75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7.4.10.1.5 债券回购交易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1202"/>
        <w:gridCol w:w="1739"/>
        <w:gridCol w:w="1223"/>
        <w:gridCol w:w="1771"/>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r>
              <w:rPr>
                <w:rFonts w:hint="eastAsia"/>
              </w:rPr>
              <w:br w:type="textWrapping"/>
            </w:r>
            <w:r>
              <w:rPr>
                <w:rFonts w:hint="eastAsia"/>
              </w:rPr>
              <w:t>2016年01月07日（基金合同生效日）至2016年12月31日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11,091,700,000.00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10,321,000,000.00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7.4.10.2 关联方报酬</w:t>
      </w:r>
    </w:p>
    <w:p>
      <w:pPr>
        <w:pStyle w:val="14"/>
        <w:rPr>
          <w:rFonts w:hint="eastAsia"/>
        </w:rPr>
      </w:pPr>
      <w:r>
        <w:rPr>
          <w:rFonts w:hint="eastAsia"/>
          <w:b/>
          <w:bCs/>
        </w:rPr>
        <w:t>7.4.10.2.1 基金管理费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2016年01月07日（基金合同生效日）至2016年12月31日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1,509,171.41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1,397,388.72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810.63</w:t>
            </w:r>
          </w:p>
        </w:tc>
      </w:tr>
    </w:tbl>
    <w:p>
      <w:pPr>
        <w:pStyle w:val="19"/>
        <w:rPr>
          <w:rFonts w:hint="eastAsia"/>
        </w:rPr>
      </w:pPr>
      <w:r>
        <w:rPr>
          <w:rFonts w:hint="eastAsia"/>
        </w:rPr>
        <w:t>本基金的管理费按前一日基金资产净值的0.30%年费率计提。管理费的计算方法如下：</w:t>
      </w:r>
      <w:r>
        <w:rPr>
          <w:rFonts w:hint="eastAsia"/>
        </w:rPr>
        <w:br w:type="textWrapping"/>
      </w:r>
      <w:r>
        <w:rPr>
          <w:rFonts w:hint="eastAsia"/>
        </w:rPr>
        <w:t>H＝E×0.30%÷当年天数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7.4.10.2.2 基金托管费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2016年01月07日（基金合同生效日）至2016年12月31日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503,057.18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465,796.26</w:t>
            </w:r>
          </w:p>
        </w:tc>
      </w:tr>
    </w:tbl>
    <w:p>
      <w:pPr>
        <w:pStyle w:val="19"/>
        <w:rPr>
          <w:rFonts w:hint="eastAsia"/>
        </w:rPr>
      </w:pPr>
      <w:r>
        <w:rPr>
          <w:rFonts w:hint="eastAsia"/>
        </w:rPr>
        <w:t>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7.4.10.3 与关联方进行银行间同业市场的债券(含回购)交易</w:t>
      </w:r>
    </w:p>
    <w:p>
      <w:pPr>
        <w:pStyle w:val="19"/>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4"/>
        <w:rPr>
          <w:rFonts w:hint="eastAsia"/>
        </w:rPr>
      </w:pPr>
      <w:r>
        <w:rPr>
          <w:rFonts w:hint="eastAsia"/>
          <w:b/>
          <w:bCs/>
        </w:rPr>
        <w:t>7.4.10.4 各关联方投资本基金的情况</w:t>
      </w:r>
    </w:p>
    <w:p>
      <w:pPr>
        <w:pStyle w:val="14"/>
        <w:rPr>
          <w:rFonts w:hint="eastAsia"/>
        </w:rPr>
      </w:pPr>
      <w:r>
        <w:rPr>
          <w:rFonts w:hint="eastAsia"/>
          <w:b/>
          <w:bCs/>
        </w:rPr>
        <w:t>7.4.10.4.1 报告期内基金管理人运用固有资金投资本基金的情况</w:t>
      </w:r>
    </w:p>
    <w:p>
      <w:pPr>
        <w:pStyle w:val="19"/>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7.4.10.4.2 报告期末除基金管理人之外的其他关联方投资本基金的情况</w:t>
      </w:r>
    </w:p>
    <w:p>
      <w:pPr>
        <w:pStyle w:val="19"/>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7.4.10.5 由关联方保管的银行存款余额及当期产生的利息收入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631"/>
        <w:gridCol w:w="1252"/>
        <w:gridCol w:w="1252"/>
        <w:gridCol w:w="1955"/>
        <w:gridCol w:w="1955"/>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2016年01月07日（基金合同生效日）至2016年12月31日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1,007,931.68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35,174.37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2,579,015.30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116,001.57</w:t>
            </w:r>
          </w:p>
        </w:tc>
      </w:tr>
    </w:tbl>
    <w:p>
      <w:pPr>
        <w:pStyle w:val="19"/>
        <w:rPr>
          <w:rFonts w:hint="eastAsia"/>
        </w:rPr>
      </w:pPr>
      <w:r>
        <w:rPr>
          <w:rFonts w:hint="eastAsia"/>
        </w:rPr>
        <w:t>注：本基金的银行存款由基金托管人招商银行保管,按银行同业存款利率计息。</w:t>
      </w:r>
    </w:p>
    <w:p>
      <w:pPr>
        <w:pStyle w:val="14"/>
        <w:rPr>
          <w:rFonts w:hint="eastAsia"/>
        </w:rPr>
      </w:pPr>
      <w:r>
        <w:rPr>
          <w:rFonts w:hint="eastAsia"/>
          <w:b/>
          <w:bCs/>
        </w:rPr>
        <w:t>7.4.10.6 本基金在承销期内参与关联方承销证券的情况</w:t>
      </w:r>
    </w:p>
    <w:p>
      <w:pPr>
        <w:pStyle w:val="19"/>
        <w:rPr>
          <w:rFonts w:hint="eastAsia"/>
        </w:rPr>
      </w:pPr>
      <w:r>
        <w:rPr>
          <w:rFonts w:hint="eastAsia"/>
        </w:rPr>
        <w:t>本基金本报告期及上年度可比期间均未在承销期内参与关联方承销证券。</w:t>
      </w:r>
    </w:p>
    <w:p>
      <w:pPr>
        <w:pStyle w:val="14"/>
        <w:rPr>
          <w:rFonts w:hint="eastAsia"/>
        </w:rPr>
      </w:pPr>
      <w:r>
        <w:rPr>
          <w:rFonts w:hint="eastAsia"/>
          <w:b/>
          <w:bCs/>
        </w:rPr>
        <w:t>7.4.10.7 其他关联交易事项的说明</w:t>
      </w:r>
    </w:p>
    <w:p>
      <w:pPr>
        <w:pStyle w:val="19"/>
        <w:rPr>
          <w:rFonts w:hint="eastAsia"/>
        </w:rPr>
      </w:pPr>
      <w:r>
        <w:rPr>
          <w:rFonts w:hint="eastAsia"/>
        </w:rPr>
        <w:t>  本基金本报告期及上年度可比期间无需作说明的其他关联交易事项。</w:t>
      </w:r>
    </w:p>
    <w:p>
      <w:pPr>
        <w:pStyle w:val="14"/>
        <w:rPr>
          <w:rFonts w:hint="eastAsia"/>
        </w:rPr>
      </w:pPr>
      <w:r>
        <w:rPr>
          <w:rFonts w:hint="eastAsia"/>
          <w:b/>
          <w:bCs/>
        </w:rPr>
        <w:t>7.4.11 利润分配情况--非货币市场基金</w:t>
      </w:r>
    </w:p>
    <w:p>
      <w:pPr>
        <w:pStyle w:val="19"/>
        <w:rPr>
          <w:rFonts w:hint="eastAsia"/>
        </w:rPr>
      </w:pPr>
      <w:r>
        <w:rPr>
          <w:rFonts w:hint="eastAsia"/>
        </w:rPr>
        <w:t>本基金于本期未进行利润分配。</w:t>
      </w:r>
    </w:p>
    <w:p>
      <w:pPr>
        <w:pStyle w:val="14"/>
        <w:rPr>
          <w:rFonts w:hint="eastAsia"/>
        </w:rPr>
      </w:pPr>
      <w:r>
        <w:rPr>
          <w:rFonts w:hint="eastAsia"/>
          <w:b/>
          <w:bCs/>
        </w:rPr>
        <w:t>7.4.12 期末（2017年12月31日）本基金持有的流通受限证券</w:t>
      </w:r>
    </w:p>
    <w:p>
      <w:pPr>
        <w:pStyle w:val="14"/>
        <w:rPr>
          <w:rFonts w:hint="eastAsia"/>
        </w:rPr>
      </w:pPr>
      <w:r>
        <w:rPr>
          <w:rFonts w:hint="eastAsia"/>
          <w:b/>
          <w:bCs/>
        </w:rPr>
        <w:t>7.4.12.1 因认购新发/增发证券而于期末持有的流通受限证券</w:t>
      </w:r>
    </w:p>
    <w:p>
      <w:pPr>
        <w:pStyle w:val="19"/>
        <w:rPr>
          <w:rFonts w:hint="eastAsia"/>
        </w:rPr>
      </w:pPr>
      <w:r>
        <w:rPr>
          <w:rFonts w:hint="eastAsia"/>
        </w:rPr>
        <w:t>本基金无因认购新发/增发证券而于期末持有的流通受限的证券。</w:t>
      </w:r>
    </w:p>
    <w:p>
      <w:pPr>
        <w:pStyle w:val="14"/>
        <w:rPr>
          <w:rFonts w:hint="eastAsia"/>
        </w:rPr>
      </w:pPr>
      <w:r>
        <w:rPr>
          <w:rFonts w:hint="eastAsia"/>
          <w:b/>
          <w:bCs/>
        </w:rPr>
        <w:t>7.4.12.2 期末持有的暂时停牌等流通受限股票</w:t>
      </w:r>
    </w:p>
    <w:p>
      <w:pPr>
        <w:pStyle w:val="19"/>
        <w:rPr>
          <w:rFonts w:hint="eastAsia"/>
        </w:rPr>
      </w:pPr>
      <w:r>
        <w:rPr>
          <w:rFonts w:hint="eastAsia"/>
        </w:rPr>
        <w:t>本基金未持有暂时停牌等流通受限股票。</w:t>
      </w:r>
    </w:p>
    <w:p>
      <w:pPr>
        <w:pStyle w:val="14"/>
        <w:rPr>
          <w:rFonts w:hint="eastAsia"/>
        </w:rPr>
      </w:pPr>
      <w:r>
        <w:rPr>
          <w:rFonts w:hint="eastAsia"/>
          <w:b/>
          <w:bCs/>
        </w:rPr>
        <w:t>7.4.12.3 期末债券正回购交易中作为抵押的债券</w:t>
      </w:r>
    </w:p>
    <w:p>
      <w:pPr>
        <w:pStyle w:val="14"/>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截至本报告期末2017年12月31日止，本基金从事银行间市场债券正回购交易形成的卖出回购证券款余额为0，无抵押债券。</w:t>
      </w:r>
    </w:p>
    <w:p>
      <w:pPr>
        <w:pStyle w:val="14"/>
        <w:rPr>
          <w:rFonts w:hint="eastAsia"/>
        </w:rPr>
      </w:pPr>
      <w:r>
        <w:rPr>
          <w:rFonts w:hint="eastAsia"/>
          <w:b/>
          <w:bCs/>
        </w:rPr>
        <w:t>7.4.12.3.2 交易所市场债券正回购</w:t>
      </w:r>
    </w:p>
    <w:p>
      <w:pPr>
        <w:pStyle w:val="19"/>
        <w:rPr>
          <w:rFonts w:hint="eastAsia"/>
        </w:rPr>
      </w:pPr>
      <w:r>
        <w:rPr>
          <w:rFonts w:hint="eastAsia"/>
        </w:rPr>
        <w:t>  截至本报告期末2017年12月31日止，基金从事证券交易所债券正回购交易形成的卖出回购证券款余额23,700,000.00元，于2018年1月2日到期。该类交易要求本基金在回购期内持有的证券交易所交易的债券和/或在新质押式回购下转入质押库的债券，按证券交易所规定的比例折算为标准券后，不低于债券回购交易的余额。</w:t>
      </w:r>
    </w:p>
    <w:p>
      <w:pPr>
        <w:pStyle w:val="14"/>
        <w:rPr>
          <w:rFonts w:hint="eastAsia"/>
        </w:rPr>
      </w:pPr>
      <w:r>
        <w:rPr>
          <w:rFonts w:hint="eastAsia"/>
          <w:b/>
          <w:bCs/>
        </w:rPr>
        <w:t>7.4.13 金融工具风险及管理</w:t>
      </w:r>
    </w:p>
    <w:p>
      <w:pPr>
        <w:pStyle w:val="14"/>
        <w:rPr>
          <w:rFonts w:hint="eastAsia"/>
        </w:rPr>
      </w:pPr>
      <w:r>
        <w:rPr>
          <w:rFonts w:hint="eastAsia"/>
          <w:b/>
          <w:bCs/>
        </w:rPr>
        <w:t>7.4.13.1 风险管理政策和组织架构</w:t>
      </w:r>
    </w:p>
    <w:p>
      <w:pPr>
        <w:pStyle w:val="19"/>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4"/>
        <w:rPr>
          <w:rFonts w:hint="eastAsia"/>
        </w:rPr>
      </w:pPr>
      <w:r>
        <w:rPr>
          <w:rFonts w:hint="eastAsia"/>
          <w:b/>
          <w:bCs/>
        </w:rPr>
        <w:t>7.4.13.2 信用风险</w:t>
      </w:r>
    </w:p>
    <w:p>
      <w:pPr>
        <w:pStyle w:val="19"/>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4"/>
        <w:rPr>
          <w:rFonts w:hint="eastAsia"/>
        </w:rPr>
      </w:pPr>
      <w:r>
        <w:rPr>
          <w:rFonts w:hint="eastAsia"/>
          <w:b/>
          <w:bCs/>
        </w:rPr>
        <w:t>7.4.13.2.1 按短期信用评级列示的债券投资</w:t>
      </w:r>
    </w:p>
    <w:p>
      <w:pPr>
        <w:pStyle w:val="23"/>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19,028,000.00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39,968,000.00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19,028,000.00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39,968,000.00</w:t>
            </w:r>
          </w:p>
        </w:tc>
      </w:tr>
    </w:tbl>
    <w:p>
      <w:pPr>
        <w:pStyle w:val="19"/>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4"/>
        <w:rPr>
          <w:rFonts w:hint="eastAsia"/>
        </w:rPr>
      </w:pPr>
      <w:r>
        <w:rPr>
          <w:rFonts w:hint="eastAsia"/>
          <w:b/>
          <w:bCs/>
        </w:rPr>
        <w:t>7.4.13.2.2 按长期信用评级列示的债券投资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205,635,500.00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178,856,500.00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255,706,198.80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313,588,091.30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39,784,000.00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69,357,000.00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501,125,698.80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561,801,591.30</w:t>
            </w:r>
          </w:p>
        </w:tc>
      </w:tr>
    </w:tbl>
    <w:p>
      <w:pPr>
        <w:pStyle w:val="19"/>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4"/>
        <w:rPr>
          <w:rFonts w:hint="eastAsia"/>
        </w:rPr>
      </w:pPr>
      <w:r>
        <w:rPr>
          <w:rFonts w:hint="eastAsia"/>
          <w:b/>
          <w:bCs/>
        </w:rPr>
        <w:t>7.4.13.3 流动性风险</w:t>
      </w:r>
    </w:p>
    <w:p>
      <w:pPr>
        <w:pStyle w:val="19"/>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除卖出回购金融资产款余额中有23700000.00元将在1个月以内到期且计息(该利息金额不重大)外，本基金所承担的其他金融负债的合约约定到期日均为一个月以内且不计息，可赎回基金份额净值(所有者权益)无固定到期日且不计息，因此账面余额约为未折现的合约到期现金流量。</w:t>
      </w:r>
    </w:p>
    <w:p>
      <w:pPr>
        <w:pStyle w:val="14"/>
        <w:rPr>
          <w:rFonts w:hint="eastAsia"/>
        </w:rPr>
      </w:pPr>
      <w:r>
        <w:rPr>
          <w:rFonts w:hint="eastAsia"/>
          <w:b/>
          <w:bCs/>
        </w:rPr>
        <w:t>7.4.13.3.1 金融资产和金融负债的到期期限分析</w:t>
      </w:r>
    </w:p>
    <w:p>
      <w:pPr>
        <w:pStyle w:val="19"/>
        <w:rPr>
          <w:rFonts w:hint="eastAsia"/>
        </w:rPr>
      </w:pPr>
      <w:r>
        <w:rPr>
          <w:rFonts w:hint="eastAsia"/>
        </w:rPr>
        <w:t>注：无。</w:t>
      </w:r>
    </w:p>
    <w:p>
      <w:pPr>
        <w:pStyle w:val="14"/>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509284732.69元，超过经确认的当日净赎回金额。于2017年12月31日，本基金持有的流动性受限资产的估值占基金资产净值的比例为4.21%，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4"/>
        <w:rPr>
          <w:rFonts w:hint="eastAsia"/>
        </w:rPr>
      </w:pPr>
      <w:r>
        <w:rPr>
          <w:rFonts w:hint="eastAsia"/>
          <w:b/>
          <w:bCs/>
        </w:rPr>
        <w:t>7.4.13.4 市场风险</w:t>
      </w:r>
    </w:p>
    <w:p>
      <w:pPr>
        <w:pStyle w:val="19"/>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4"/>
        <w:rPr>
          <w:rFonts w:hint="eastAsia"/>
        </w:rPr>
      </w:pPr>
      <w:r>
        <w:rPr>
          <w:rFonts w:hint="eastAsia"/>
          <w:b/>
          <w:bCs/>
        </w:rPr>
        <w:t>7.4.13.4.1 利率风险</w:t>
      </w:r>
    </w:p>
    <w:p>
      <w:pPr>
        <w:pStyle w:val="19"/>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本基金主要投资于交易所及银行间市场交易的固定收益品种，因此存在相应的利率风险。</w:t>
      </w:r>
    </w:p>
    <w:p>
      <w:pPr>
        <w:pStyle w:val="14"/>
        <w:rPr>
          <w:rFonts w:hint="eastAsia"/>
        </w:rPr>
      </w:pPr>
      <w:r>
        <w:rPr>
          <w:rFonts w:hint="eastAsia"/>
          <w:b/>
          <w:bCs/>
        </w:rPr>
        <w:t>7.4.13.4.1.1 利率风险敞口</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130"/>
        <w:gridCol w:w="1466"/>
        <w:gridCol w:w="1466"/>
        <w:gridCol w:w="1134"/>
        <w:gridCol w:w="1383"/>
        <w:gridCol w:w="1466"/>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1,007,931.68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1,007,931.68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2,614,463.99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2,614,463.99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138,599,500.00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381,554,198.80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520,153,698.80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58,562.37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58,562.37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9,807,257.82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9,807,257.82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142,221,895.67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381,554,198.80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9,865,820.19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533,641,914.66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23,700,000.00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23,700,000.00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129,759.30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129,759.30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43,253.08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43,253.08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-10,359.40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-10,359.40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23,700,000.00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324,652.98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24,024,652.98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118,521,895.67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381,554,198.80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9,541,167.21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509,617,261.68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2,579,015.30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2,579,015.30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9,482,692.32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9,482,692.32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4,934.02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4,934.02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121,103,000.00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480,469,086.30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197,505.00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601,769,591.30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12,770,750.15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12,770,750.15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133,169,641.64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480,469,086.30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197,505.00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12,770,750.15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626,606,983.09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129,055,869.42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129,055,869.42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46,595.38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46,595.38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126,474.39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126,474.39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42,158.15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42,158.15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1,386.36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9,039.25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9,039.25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129,055,869.42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287,752.23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129,343,621.65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4,113,772.22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480,469,086.30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197,505.00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12,482,997.92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497,263,361.44</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9"/>
      </w:pPr>
      <w:r>
        <w:rPr>
          <w:rFonts w:hint="eastAsia"/>
        </w:rPr>
        <w:t>注：表中所示为本基金资产及负债的账面价值，并按照合约规定的利率重新定价日或到期日孰早者予以分类。</w:t>
      </w:r>
    </w:p>
    <w:p>
      <w:pPr>
        <w:pStyle w:val="14"/>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-1,365,683.76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-2,098,558.62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1,374,352.19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2,113,828.52</w:t>
            </w:r>
          </w:p>
        </w:tc>
      </w:tr>
    </w:tbl>
    <w:p>
      <w:pPr>
        <w:pStyle w:val="14"/>
        <w:rPr>
          <w:rFonts w:hint="eastAsia"/>
        </w:rPr>
      </w:pPr>
      <w:r>
        <w:rPr>
          <w:rFonts w:hint="eastAsia"/>
          <w:b/>
          <w:bCs/>
        </w:rPr>
        <w:t>7.4.13.4.2 外汇风险</w:t>
      </w:r>
    </w:p>
    <w:p>
      <w:pPr>
        <w:pStyle w:val="19"/>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4"/>
        <w:rPr>
          <w:rFonts w:hint="eastAsia"/>
        </w:rPr>
      </w:pPr>
      <w:r>
        <w:rPr>
          <w:rFonts w:hint="eastAsia"/>
          <w:b/>
          <w:bCs/>
        </w:rPr>
        <w:t>7.4.13.4.3 其他价格风险</w:t>
      </w:r>
    </w:p>
    <w:p>
      <w:pPr>
        <w:pStyle w:val="19"/>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4"/>
        <w:rPr>
          <w:rFonts w:hint="eastAsia"/>
        </w:rPr>
      </w:pPr>
      <w:r>
        <w:rPr>
          <w:rFonts w:hint="eastAsia"/>
          <w:b/>
          <w:bCs/>
        </w:rPr>
        <w:t>7.4.13.4.3.1 其他价格风险敞口</w:t>
      </w:r>
    </w:p>
    <w:p>
      <w:pPr>
        <w:pStyle w:val="19"/>
        <w:rPr>
          <w:rFonts w:hint="eastAsia"/>
        </w:rPr>
      </w:pPr>
      <w:r>
        <w:rPr>
          <w:rFonts w:hint="eastAsia"/>
        </w:rPr>
        <w:t>本基金本报告期末未持有交易性权益类投资，因此除市场利率和外汇汇率以外的市场价格因素的变动对于本基金资产净值无重大影响。</w:t>
      </w:r>
    </w:p>
    <w:p>
      <w:pPr>
        <w:pStyle w:val="14"/>
        <w:rPr>
          <w:rFonts w:hint="eastAsia"/>
        </w:rPr>
      </w:pPr>
      <w:r>
        <w:rPr>
          <w:rFonts w:hint="eastAsia"/>
          <w:b/>
          <w:bCs/>
        </w:rPr>
        <w:t>7.4.13.4.3.2 其他价格风险的敏感性分析</w:t>
      </w:r>
    </w:p>
    <w:p>
      <w:pPr>
        <w:pStyle w:val="19"/>
        <w:rPr>
          <w:rFonts w:hint="eastAsia"/>
        </w:rPr>
      </w:pPr>
      <w:r>
        <w:rPr>
          <w:rFonts w:hint="eastAsia"/>
        </w:rPr>
        <w:t>无</w:t>
      </w:r>
    </w:p>
    <w:p>
      <w:pPr>
        <w:pStyle w:val="14"/>
        <w:rPr>
          <w:rFonts w:hint="eastAsia"/>
        </w:rPr>
      </w:pPr>
      <w:r>
        <w:rPr>
          <w:rFonts w:hint="eastAsia"/>
          <w:b/>
          <w:bCs/>
        </w:rPr>
        <w:t>7.4.14 有助于理解和分析会计报表需要说明的其他事项</w:t>
      </w:r>
    </w:p>
    <w:p>
      <w:pPr>
        <w:pStyle w:val="19"/>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161,612.50元,属于第二层次的余额为519,992,086.30元,无属于第三层次的余额(2016年12月31日:第一层次197,505.00元,第二层次601,572,086.30元,无属于第三层次的余额)。</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本基金本期持有的以公允价值计量的金融工具的公允价值所属层次未发生重大变动。</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(2)除公允价值外,截至资产负债表日本基金无需要说明的其他重要事项</w:t>
      </w:r>
    </w:p>
    <w:p>
      <w:pPr>
        <w:pStyle w:val="12"/>
        <w:rPr>
          <w:rFonts w:hint="eastAsia"/>
        </w:rPr>
      </w:pPr>
      <w:bookmarkStart w:id="35" w:name="_Toc510107988"/>
      <w:r>
        <w:rPr>
          <w:rFonts w:hint="eastAsia" w:hAnsi="Calibri"/>
          <w:b/>
          <w:color w:val="000000"/>
        </w:rPr>
        <w:t>§8 投资组合报告</w:t>
      </w:r>
      <w:bookmarkEnd w:id="35"/>
    </w:p>
    <w:p>
      <w:pPr>
        <w:pStyle w:val="13"/>
        <w:rPr>
          <w:rFonts w:hint="eastAsia"/>
        </w:rPr>
      </w:pPr>
      <w:bookmarkStart w:id="36" w:name="_Toc510107989"/>
      <w:r>
        <w:rPr>
          <w:rFonts w:hint="eastAsia"/>
          <w:b/>
          <w:bCs/>
        </w:rPr>
        <w:t>8.1 期末基金资产组合情况</w:t>
      </w:r>
      <w:bookmarkEnd w:id="36"/>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520,153,698.80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97.47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498,684,112.50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93.45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21,469,586.30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3,622,395.67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9,865,820.19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533,641,914.66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pStyle w:val="13"/>
        <w:rPr>
          <w:rFonts w:hint="eastAsia"/>
        </w:rPr>
      </w:pPr>
      <w:bookmarkStart w:id="37" w:name="_Toc510107990"/>
      <w:r>
        <w:rPr>
          <w:rFonts w:hint="eastAsia"/>
          <w:b/>
          <w:bCs/>
        </w:rPr>
        <w:t>8.2 报告期末按行业分类的股票投资组合</w:t>
      </w:r>
      <w:bookmarkEnd w:id="37"/>
    </w:p>
    <w:p>
      <w:pPr>
        <w:pStyle w:val="14"/>
        <w:rPr>
          <w:rFonts w:hint="eastAsia"/>
        </w:rPr>
      </w:pPr>
      <w:r>
        <w:rPr>
          <w:rFonts w:hint="eastAsia"/>
          <w:b/>
          <w:bCs/>
        </w:rPr>
        <w:t>8.2.1 报告期末按行业分类的境内股票投资组合</w:t>
      </w:r>
    </w:p>
    <w:p>
      <w:pPr>
        <w:pStyle w:val="19"/>
        <w:rPr>
          <w:rFonts w:hint="eastAsia"/>
        </w:rPr>
      </w:pPr>
      <w:r>
        <w:rPr>
          <w:rFonts w:hint="eastAsia"/>
        </w:rPr>
        <w:t>本基金本报告期末未持有股票。</w:t>
      </w: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rPr>
            </w:pPr>
          </w:p>
        </w:tc>
      </w:tr>
    </w:tbl>
    <w:p>
      <w:pPr>
        <w:pStyle w:val="13"/>
      </w:pPr>
      <w:bookmarkStart w:id="38" w:name="_Toc510107991"/>
      <w:r>
        <w:rPr>
          <w:rFonts w:hint="eastAsia"/>
          <w:b/>
          <w:bCs/>
        </w:rPr>
        <w:t>8.3 期末按公允价值占基金资产净值比例大小排序的所有股票投资明细</w:t>
      </w:r>
      <w:bookmarkEnd w:id="38"/>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本基金本报告期末未持有股票。</w:t>
      </w:r>
    </w:p>
    <w:p>
      <w:pPr>
        <w:pStyle w:val="13"/>
        <w:rPr>
          <w:rFonts w:hint="eastAsia"/>
        </w:rPr>
      </w:pPr>
      <w:bookmarkStart w:id="39" w:name="_Toc510107992"/>
      <w:r>
        <w:rPr>
          <w:rFonts w:hint="eastAsia"/>
          <w:b/>
          <w:bCs/>
        </w:rPr>
        <w:t>8.4 报告期内股票投资组合的重大变动</w:t>
      </w:r>
      <w:bookmarkEnd w:id="39"/>
    </w:p>
    <w:p>
      <w:pPr>
        <w:pStyle w:val="14"/>
        <w:rPr>
          <w:rFonts w:hint="eastAsia"/>
        </w:rPr>
      </w:pPr>
      <w:r>
        <w:rPr>
          <w:rFonts w:hint="eastAsia"/>
          <w:b/>
          <w:bCs/>
        </w:rPr>
        <w:t>8.4.1 累计买入金额超出期初基金资产净值2%或前20名的股票明细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本基金本报告期内未持有股票。</w:t>
      </w:r>
    </w:p>
    <w:p>
      <w:pPr>
        <w:pStyle w:val="14"/>
        <w:rPr>
          <w:rFonts w:hint="eastAsia"/>
        </w:rPr>
      </w:pPr>
      <w:r>
        <w:rPr>
          <w:rFonts w:hint="eastAsia"/>
          <w:b/>
          <w:bCs/>
        </w:rPr>
        <w:t>8.4.2 累计卖出金额超出期初基金资产净值2%或前20名的股票明细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本基金本报告期内未持有股票。</w:t>
      </w:r>
    </w:p>
    <w:p>
      <w:pPr>
        <w:pStyle w:val="14"/>
        <w:rPr>
          <w:rFonts w:hint="eastAsia"/>
        </w:rPr>
      </w:pPr>
      <w:r>
        <w:rPr>
          <w:rFonts w:hint="eastAsia"/>
          <w:b/>
          <w:bCs/>
        </w:rPr>
        <w:t>8.4.3 买入股票的成本总额及卖出股票的收入总额</w:t>
      </w:r>
    </w:p>
    <w:p>
      <w:pPr>
        <w:pStyle w:val="19"/>
        <w:rPr>
          <w:rFonts w:hint="eastAsia"/>
        </w:rPr>
      </w:pPr>
      <w:r>
        <w:rPr>
          <w:rFonts w:hint="eastAsia"/>
        </w:rPr>
        <w:t>本基金本报告期内未持有股票。</w:t>
      </w:r>
    </w:p>
    <w:p>
      <w:pPr>
        <w:pStyle w:val="13"/>
        <w:rPr>
          <w:rFonts w:hint="eastAsia"/>
        </w:rPr>
      </w:pPr>
      <w:bookmarkStart w:id="40" w:name="_Toc510107993"/>
      <w:r>
        <w:rPr>
          <w:rFonts w:hint="eastAsia"/>
          <w:b/>
          <w:bCs/>
        </w:rPr>
        <w:t>8.5 期末按债券品种分类的债券投资组合</w:t>
      </w:r>
      <w:bookmarkEnd w:id="40"/>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80,028,000.00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39,784,000.00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271,452,500.00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128,014,000.00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161,612.50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19,028,000.00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498,684,112.50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97.85</w:t>
            </w:r>
          </w:p>
        </w:tc>
      </w:tr>
    </w:tbl>
    <w:p>
      <w:pPr>
        <w:pStyle w:val="13"/>
        <w:rPr>
          <w:rFonts w:hint="eastAsia"/>
        </w:rPr>
      </w:pPr>
      <w:bookmarkStart w:id="41" w:name="_Toc510107994"/>
      <w:r>
        <w:rPr>
          <w:rFonts w:hint="eastAsia"/>
          <w:b/>
          <w:bCs/>
        </w:rPr>
        <w:t>8.6 期末按公允价值占基金资产净值比例大小排序的前五名债券投资明细</w:t>
      </w:r>
      <w:bookmarkEnd w:id="41"/>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136446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16电投02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49,560,000.00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136258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16财通债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48,965,000.00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101660017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16浙商集MTN001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48,630,000.00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136631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16南瑞01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48,165,000.00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1420022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14金华银行02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40,244,000.00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7.90</w:t>
            </w:r>
          </w:p>
        </w:tc>
      </w:tr>
    </w:tbl>
    <w:p>
      <w:pPr>
        <w:pStyle w:val="13"/>
        <w:rPr>
          <w:rFonts w:hint="eastAsia"/>
        </w:rPr>
      </w:pPr>
      <w:bookmarkStart w:id="42" w:name="_Toc510107995"/>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814"/>
        <w:gridCol w:w="1617"/>
        <w:gridCol w:w="1617"/>
        <w:gridCol w:w="1788"/>
        <w:gridCol w:w="1617"/>
        <w:gridCol w:w="174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数量（份）</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116102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三电优07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17,105,586.30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1689337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16爽元1A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4,364,000.00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0.86</w:t>
            </w:r>
          </w:p>
        </w:tc>
      </w:tr>
    </w:tbl>
    <w:p>
      <w:pPr>
        <w:pStyle w:val="13"/>
        <w:rPr>
          <w:rFonts w:hint="eastAsia"/>
        </w:rPr>
      </w:pPr>
      <w:bookmarkStart w:id="43" w:name="_Toc510107996"/>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本基金本报告期末未持有贵金属。</w:t>
      </w:r>
    </w:p>
    <w:p>
      <w:pPr>
        <w:pStyle w:val="13"/>
        <w:rPr>
          <w:rFonts w:hint="eastAsia"/>
        </w:rPr>
      </w:pPr>
      <w:bookmarkStart w:id="44" w:name="_Toc510107997"/>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本基金本报告期末未持有权证。</w:t>
      </w:r>
    </w:p>
    <w:p>
      <w:pPr>
        <w:pStyle w:val="13"/>
        <w:rPr>
          <w:rFonts w:hint="eastAsia"/>
        </w:rPr>
      </w:pPr>
      <w:bookmarkStart w:id="45" w:name="_Toc510107998"/>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6" w:name="_Toc510107999"/>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19"/>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7" w:name="_Toc510108000"/>
      <w:r>
        <w:rPr>
          <w:rFonts w:hint="eastAsia"/>
          <w:b/>
          <w:bCs/>
        </w:rPr>
        <w:t>8.12 投资组合报告附注</w:t>
      </w:r>
      <w:bookmarkEnd w:id="47"/>
    </w:p>
    <w:p>
      <w:pPr>
        <w:pStyle w:val="14"/>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4"/>
        <w:rPr>
          <w:rFonts w:hint="eastAsia"/>
        </w:rPr>
      </w:pPr>
      <w:r>
        <w:rPr>
          <w:rFonts w:hint="eastAsia"/>
          <w:b/>
          <w:bCs/>
        </w:rPr>
        <w:t>8.12.2 本报告期内未投资股票。</w:t>
      </w:r>
    </w:p>
    <w:p>
      <w:pPr>
        <w:widowControl/>
        <w:jc w:val="left"/>
        <w:rPr>
          <w:rFonts w:hint="eastAsia" w:ascii="宋体" w:hAnsi="宋体" w:cs="宋体"/>
          <w:kern w:val="0"/>
          <w:sz w:val="24"/>
          <w:szCs w:val="24"/>
        </w:rPr>
      </w:pPr>
    </w:p>
    <w:p>
      <w:pPr>
        <w:pStyle w:val="14"/>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58,562.37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9,807,257.82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9,865,820.19</w:t>
            </w:r>
          </w:p>
        </w:tc>
      </w:tr>
    </w:tbl>
    <w:p>
      <w:pPr>
        <w:widowControl/>
        <w:jc w:val="left"/>
        <w:rPr>
          <w:rFonts w:hint="eastAsia" w:ascii="宋体" w:hAnsi="宋体" w:cs="宋体"/>
          <w:kern w:val="0"/>
          <w:sz w:val="24"/>
          <w:szCs w:val="24"/>
        </w:rPr>
      </w:pPr>
    </w:p>
    <w:p>
      <w:pPr>
        <w:pStyle w:val="14"/>
        <w:rPr>
          <w:rFonts w:hint="eastAsia"/>
        </w:rPr>
      </w:pPr>
      <w:r>
        <w:rPr>
          <w:rFonts w:hint="eastAsia"/>
          <w:b/>
          <w:bCs/>
        </w:rPr>
        <w:t>8.12.4 期末持有的处于转股期的可转换债券明细</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6"/>
        <w:gridCol w:w="2053"/>
        <w:gridCol w:w="2053"/>
        <w:gridCol w:w="2053"/>
        <w:gridCol w:w="209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128013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洪涛转债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161,612.50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8.12.5 期末前十名股票中存在流通受限情况的说明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本基金本报告期末未持有股票。</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2"/>
        <w:rPr>
          <w:rFonts w:hint="eastAsia"/>
        </w:rPr>
      </w:pPr>
      <w:bookmarkStart w:id="48" w:name="_Toc510108001"/>
      <w:r>
        <w:rPr>
          <w:rFonts w:hint="eastAsia" w:hAnsi="Calibri"/>
          <w:b/>
          <w:color w:val="000000"/>
        </w:rPr>
        <w:t>§9  基金份额持有人信息</w:t>
      </w:r>
      <w:bookmarkEnd w:id="48"/>
    </w:p>
    <w:p>
      <w:pPr>
        <w:pStyle w:val="13"/>
        <w:rPr>
          <w:rFonts w:hint="eastAsia"/>
        </w:rPr>
      </w:pPr>
      <w:bookmarkStart w:id="49" w:name="_Toc510108002"/>
      <w:r>
        <w:rPr>
          <w:rFonts w:hint="eastAsia"/>
          <w:b/>
          <w:bCs/>
        </w:rPr>
        <w:t>9.1 期末基金份额持有人户数及持有人结构</w:t>
      </w:r>
      <w:bookmarkEnd w:id="49"/>
    </w:p>
    <w:p>
      <w:pPr>
        <w:pStyle w:val="18"/>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1441"/>
        <w:gridCol w:w="1800"/>
        <w:gridCol w:w="1911"/>
        <w:gridCol w:w="1291"/>
        <w:gridCol w:w="1311"/>
        <w:gridCol w:w="1291"/>
      </w:tblGrid>
      <w:tr>
        <w:tblPrEx>
          <w:tblCellMar>
            <w:top w:w="0" w:type="dxa"/>
            <w:left w:w="108" w:type="dxa"/>
            <w:bottom w:w="0" w:type="dxa"/>
            <w:right w:w="108" w:type="dxa"/>
          </w:tblCellMar>
        </w:tblPrEx>
        <w:trPr>
          <w:wBefore w:w="0" w:type="auto"/>
          <w:jc w:val="center"/>
        </w:trPr>
        <w:tc>
          <w:tcPr>
            <w:tcW w:w="144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持有人户数(户)</w:t>
            </w:r>
          </w:p>
        </w:tc>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机构投资者</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2,477,455.29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497,921,604.77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46,909.20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bl>
    <w:p>
      <w:pPr>
        <w:widowControl/>
        <w:jc w:val="left"/>
        <w:rPr>
          <w:rFonts w:hint="eastAsia" w:ascii="宋体" w:hAnsi="宋体" w:cs="宋体"/>
          <w:kern w:val="0"/>
          <w:sz w:val="24"/>
          <w:szCs w:val="24"/>
        </w:rPr>
      </w:pPr>
    </w:p>
    <w:p>
      <w:pPr>
        <w:pStyle w:val="13"/>
        <w:rPr>
          <w:rFonts w:hint="eastAsia"/>
        </w:rPr>
      </w:pPr>
      <w:bookmarkStart w:id="50" w:name="_Toc510108003"/>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21,483.15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3"/>
        <w:rPr>
          <w:rFonts w:hint="eastAsia"/>
        </w:rPr>
      </w:pPr>
      <w:bookmarkStart w:id="51" w:name="_Toc510108004"/>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jc w:val="center"/>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bl>
    <w:p>
      <w:pPr>
        <w:pStyle w:val="12"/>
        <w:rPr>
          <w:rFonts w:hint="eastAsia"/>
        </w:rPr>
      </w:pPr>
      <w:bookmarkStart w:id="52" w:name="_Toc510108005"/>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0" w:type="auto"/>
        <w:tblInd w:w="108" w:type="dxa"/>
        <w:tblLayout w:type="autofit"/>
        <w:tblCellMar>
          <w:top w:w="0" w:type="dxa"/>
          <w:left w:w="108" w:type="dxa"/>
          <w:bottom w:w="0" w:type="dxa"/>
          <w:right w:w="108" w:type="dxa"/>
        </w:tblCellMar>
      </w:tblPr>
      <w:tblGrid>
        <w:gridCol w:w="6138"/>
        <w:gridCol w:w="2890"/>
      </w:tblGrid>
      <w:tr>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基金合同生效日(2016年01月07日)基金份额总额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200,122,552.48</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本报告期期初基金份额总额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499,978,681.87</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17,470.21</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减：本报告期基金总赎回份额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2,027,638.11</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497,968,513.97</w:t>
            </w:r>
          </w:p>
        </w:tc>
      </w:tr>
    </w:tbl>
    <w:p>
      <w:pPr>
        <w:pStyle w:val="12"/>
        <w:rPr>
          <w:rFonts w:hint="eastAsia"/>
        </w:rPr>
      </w:pPr>
      <w:bookmarkStart w:id="53" w:name="_Toc510108006"/>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3"/>
        <w:rPr>
          <w:rFonts w:hint="eastAsia"/>
        </w:rPr>
      </w:pPr>
      <w:bookmarkStart w:id="54" w:name="_Toc510108007"/>
      <w:r>
        <w:rPr>
          <w:rFonts w:hint="eastAsia"/>
          <w:b/>
          <w:bCs/>
        </w:rPr>
        <w:t>11.1 基金份额持有人大会决议</w:t>
      </w:r>
      <w:bookmarkEnd w:id="54"/>
    </w:p>
    <w:p>
      <w:pPr>
        <w:pStyle w:val="19"/>
        <w:rPr>
          <w:rFonts w:hint="eastAsia"/>
        </w:rPr>
      </w:pPr>
      <w:r>
        <w:rPr>
          <w:rFonts w:hint="eastAsia"/>
        </w:rPr>
        <w:t>  本报告期内未召开基金份额持有人大会。</w:t>
      </w:r>
    </w:p>
    <w:p>
      <w:pPr>
        <w:pStyle w:val="13"/>
        <w:rPr>
          <w:rFonts w:hint="eastAsia"/>
        </w:rPr>
      </w:pPr>
      <w:bookmarkStart w:id="55" w:name="_Toc510108008"/>
      <w:r>
        <w:rPr>
          <w:rFonts w:hint="eastAsia"/>
          <w:b/>
          <w:bCs/>
        </w:rPr>
        <w:t>11.2 基金管理人、基金托管人的专门基金托管部门的重大人事变动</w:t>
      </w:r>
      <w:bookmarkEnd w:id="55"/>
    </w:p>
    <w:p>
      <w:pPr>
        <w:pStyle w:val="19"/>
        <w:rPr>
          <w:rFonts w:hint="eastAsia"/>
        </w:rPr>
      </w:pPr>
      <w:r>
        <w:rPr>
          <w:rFonts w:hint="eastAsia"/>
        </w:rPr>
        <w:t>  本报告期内基金管理人、基金托管人的专门基金托管部门无重大人事变动。</w:t>
      </w:r>
    </w:p>
    <w:p>
      <w:pPr>
        <w:pStyle w:val="13"/>
        <w:rPr>
          <w:rFonts w:hint="eastAsia"/>
        </w:rPr>
      </w:pPr>
      <w:bookmarkStart w:id="56" w:name="_Toc510108009"/>
      <w:r>
        <w:rPr>
          <w:rFonts w:hint="eastAsia"/>
          <w:b/>
          <w:bCs/>
        </w:rPr>
        <w:t>11.3 涉及基金管理人、基金财产、基金托管业务的诉讼</w:t>
      </w:r>
      <w:bookmarkEnd w:id="56"/>
    </w:p>
    <w:p>
      <w:pPr>
        <w:pStyle w:val="19"/>
        <w:rPr>
          <w:rFonts w:hint="eastAsia"/>
        </w:rPr>
      </w:pPr>
      <w:r>
        <w:rPr>
          <w:rFonts w:hint="eastAsia"/>
        </w:rPr>
        <w:t>  本报告期内，未出现涉及基金管理人、基金财产、基金托管业务的诉讼。</w:t>
      </w:r>
    </w:p>
    <w:p>
      <w:pPr>
        <w:pStyle w:val="13"/>
        <w:rPr>
          <w:rFonts w:hint="eastAsia"/>
        </w:rPr>
      </w:pPr>
      <w:bookmarkStart w:id="57" w:name="_Toc510108010"/>
      <w:r>
        <w:rPr>
          <w:rFonts w:hint="eastAsia"/>
          <w:b/>
          <w:bCs/>
        </w:rPr>
        <w:t>11.4 基金投资策略的改变</w:t>
      </w:r>
      <w:bookmarkEnd w:id="57"/>
    </w:p>
    <w:p>
      <w:pPr>
        <w:pStyle w:val="19"/>
        <w:rPr>
          <w:rFonts w:hint="eastAsia"/>
        </w:rPr>
      </w:pPr>
      <w:r>
        <w:rPr>
          <w:rFonts w:hint="eastAsia"/>
        </w:rPr>
        <w:t>  本报告期内基金投资策略无重大改变。</w:t>
      </w:r>
    </w:p>
    <w:p>
      <w:pPr>
        <w:pStyle w:val="13"/>
        <w:rPr>
          <w:rFonts w:hint="eastAsia"/>
        </w:rPr>
      </w:pPr>
      <w:bookmarkStart w:id="58" w:name="_Toc510108011"/>
      <w:r>
        <w:rPr>
          <w:rFonts w:hint="eastAsia"/>
          <w:b/>
          <w:bCs/>
        </w:rPr>
        <w:t>11.5 为基金进行审计的会计师事务所情况</w:t>
      </w:r>
      <w:bookmarkEnd w:id="58"/>
    </w:p>
    <w:p>
      <w:pPr>
        <w:pStyle w:val="19"/>
        <w:rPr>
          <w:rFonts w:hint="eastAsia"/>
        </w:rPr>
      </w:pPr>
      <w:r>
        <w:rPr>
          <w:rFonts w:hint="eastAsia"/>
        </w:rPr>
        <w:t>  本报告期内本基金未更换会计师事务所,本年度支付给毕马威华振会计师事务所(特殊普通合伙)审计费用53,000.00元,该审计机构连续提供审计服务的年限为2年。 </w:t>
      </w:r>
    </w:p>
    <w:p>
      <w:pPr>
        <w:pStyle w:val="13"/>
        <w:rPr>
          <w:rFonts w:hint="eastAsia"/>
        </w:rPr>
      </w:pPr>
      <w:bookmarkStart w:id="59" w:name="_Toc510108012"/>
      <w:r>
        <w:rPr>
          <w:rFonts w:hint="eastAsia"/>
          <w:b/>
          <w:bCs/>
        </w:rPr>
        <w:t>11.6 管理人、托管人及其高级管理人员受稽查或处罚等情况</w:t>
      </w:r>
      <w:bookmarkEnd w:id="59"/>
    </w:p>
    <w:p>
      <w:pPr>
        <w:pStyle w:val="19"/>
        <w:rPr>
          <w:rFonts w:hint="eastAsia"/>
        </w:rPr>
      </w:pPr>
      <w:r>
        <w:rPr>
          <w:rFonts w:hint="eastAsia"/>
        </w:rPr>
        <w:t>  本报告期内，未出现管理人、托管人及其高级管理人员受监管部门稽查或处罚的情况。</w:t>
      </w:r>
    </w:p>
    <w:p>
      <w:pPr>
        <w:pStyle w:val="13"/>
        <w:rPr>
          <w:rFonts w:hint="eastAsia"/>
        </w:rPr>
      </w:pPr>
      <w:bookmarkStart w:id="60" w:name="_Toc510108013"/>
      <w:r>
        <w:rPr>
          <w:rFonts w:hint="eastAsia"/>
          <w:b/>
          <w:bCs/>
        </w:rPr>
        <w:t>11.7 基金租用证券公司交易单元的有关情况</w:t>
      </w:r>
      <w:bookmarkEnd w:id="60"/>
    </w:p>
    <w:p>
      <w:pPr>
        <w:pStyle w:val="14"/>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1586"/>
        <w:gridCol w:w="1050"/>
        <w:gridCol w:w="1285"/>
        <w:gridCol w:w="1426"/>
        <w:gridCol w:w="947"/>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4"/>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0"/>
        <w:gridCol w:w="706"/>
        <w:gridCol w:w="1050"/>
        <w:gridCol w:w="1057"/>
        <w:gridCol w:w="1050"/>
        <w:gridCol w:w="706"/>
        <w:gridCol w:w="1050"/>
        <w:gridCol w:w="706"/>
        <w:gridCol w:w="1050"/>
      </w:tblGrid>
      <w:tr>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5,051,600,000.00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11,091,700,000.00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1" w:name="_Toc510108014"/>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创金合信尊盈纯债债券型证券投资基金招募说明书（更新）摘要 （2017年第1号）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创金合信尊盈纯债债券型证券投资基金（2017年第2号）招募说明书（摘要）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创金合信尊盈纯债债券型证券投资基金2017年第3季度报告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2"/>
        <w:rPr>
          <w:rFonts w:hint="eastAsia"/>
        </w:rPr>
      </w:pPr>
      <w:bookmarkStart w:id="62" w:name="_Toc510108015"/>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3" w:name="_Toc510108016"/>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497,921,604.77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497,921,604.77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99.99%</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4" w:name="_Toc510108017"/>
      <w:r>
        <w:rPr>
          <w:rFonts w:hint="eastAsia"/>
          <w:b/>
          <w:bCs/>
        </w:rPr>
        <w:t>12.2 影响投资者决策的其他重要信息</w:t>
      </w:r>
      <w:bookmarkEnd w:id="64"/>
    </w:p>
    <w:p>
      <w:pPr>
        <w:pStyle w:val="16"/>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2"/>
        <w:rPr>
          <w:rFonts w:hint="eastAsia"/>
        </w:rPr>
      </w:pPr>
      <w:bookmarkStart w:id="65" w:name="_Toc510108018"/>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3"/>
        <w:rPr>
          <w:rFonts w:hint="eastAsia"/>
        </w:rPr>
      </w:pPr>
      <w:bookmarkStart w:id="66" w:name="_Toc510108019"/>
      <w:r>
        <w:rPr>
          <w:rFonts w:hint="eastAsia"/>
          <w:b/>
          <w:bCs/>
        </w:rPr>
        <w:t>13.1 备查文件目录</w:t>
      </w:r>
      <w:r>
        <w:rPr>
          <w:rFonts w:hint="eastAsia"/>
        </w:rPr>
        <w:t>.</w:t>
      </w:r>
      <w:bookmarkEnd w:id="66"/>
    </w:p>
    <w:p>
      <w:pPr>
        <w:pStyle w:val="19"/>
        <w:rPr>
          <w:rFonts w:hint="eastAsia"/>
        </w:rPr>
      </w:pPr>
      <w:r>
        <w:rPr>
          <w:rFonts w:hint="eastAsia"/>
        </w:rPr>
        <w:t>  1、《创金合信尊盈纯债债券型证券投资基金基金合同》;</w:t>
      </w:r>
      <w:r>
        <w:rPr>
          <w:rFonts w:hint="eastAsia"/>
        </w:rPr>
        <w:br w:type="textWrapping"/>
      </w:r>
      <w:r>
        <w:rPr>
          <w:rFonts w:hint="eastAsia"/>
        </w:rPr>
        <w:t>  2、《创金合信尊盈纯债债券型证券投资基金托管协议》;</w:t>
      </w:r>
      <w:r>
        <w:rPr>
          <w:rFonts w:hint="eastAsia"/>
        </w:rPr>
        <w:br w:type="textWrapping"/>
      </w:r>
      <w:r>
        <w:rPr>
          <w:rFonts w:hint="eastAsia"/>
        </w:rPr>
        <w:t>  3、创金合信尊盈纯债债券型证券投资基金2017年年度报告</w:t>
      </w:r>
    </w:p>
    <w:p>
      <w:pPr>
        <w:pStyle w:val="13"/>
        <w:rPr>
          <w:rFonts w:hint="eastAsia"/>
        </w:rPr>
      </w:pPr>
      <w:bookmarkStart w:id="67" w:name="_Toc510108020"/>
      <w:r>
        <w:rPr>
          <w:rFonts w:hint="eastAsia"/>
          <w:b/>
          <w:bCs/>
        </w:rPr>
        <w:t>13.2 存放地点</w:t>
      </w:r>
      <w:bookmarkEnd w:id="67"/>
    </w:p>
    <w:p>
      <w:pPr>
        <w:pStyle w:val="19"/>
        <w:rPr>
          <w:rFonts w:hint="eastAsia"/>
        </w:rPr>
      </w:pPr>
      <w:r>
        <w:rPr>
          <w:rFonts w:hint="eastAsia"/>
        </w:rPr>
        <w:t>  深圳市福田中心区福华一路115号投行大厦15楼</w:t>
      </w:r>
    </w:p>
    <w:p>
      <w:pPr>
        <w:pStyle w:val="13"/>
        <w:rPr>
          <w:rFonts w:hint="eastAsia"/>
        </w:rPr>
      </w:pPr>
      <w:bookmarkStart w:id="68" w:name="_Toc510108021"/>
      <w:r>
        <w:rPr>
          <w:rFonts w:hint="eastAsia"/>
          <w:b/>
          <w:bCs/>
        </w:rPr>
        <w:t>13.3 查阅方式</w:t>
      </w:r>
      <w:bookmarkEnd w:id="68"/>
    </w:p>
    <w:p>
      <w:pPr>
        <w:pStyle w:val="19"/>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8"/>
        <w:rPr>
          <w:rFonts w:hint="eastAsia"/>
        </w:rPr>
      </w:pPr>
      <w:r>
        <w:rPr>
          <w:rFonts w:hint="eastAsia" w:hAnsi="Calibri"/>
          <w:b/>
          <w:bCs/>
          <w:color w:val="000000"/>
        </w:rPr>
        <w:t>创金合信基金管理有限公司</w:t>
      </w:r>
    </w:p>
    <w:p>
      <w:pPr>
        <w:pStyle w:val="18"/>
        <w:rPr>
          <w:rFonts w:hint="eastAsia"/>
        </w:rPr>
      </w:pPr>
      <w:r>
        <w:rPr>
          <w:rFonts w:hint="eastAsia" w:hAnsi="Calibri"/>
          <w:b/>
          <w:bCs/>
          <w:color w:val="000000"/>
        </w:rPr>
        <w:t>二〇一八年三月三十一日</w:t>
      </w:r>
    </w:p>
    <w:p>
      <w:pPr>
        <w:pStyle w:val="25"/>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4</w:t>
    </w:r>
    <w:r>
      <w:rPr>
        <w:rStyle w:val="9"/>
      </w:rPr>
      <w:fldChar w:fldCharType="end"/>
    </w:r>
  </w:p>
  <w:p>
    <w:pPr>
      <w:pStyle w:val="2"/>
      <w:jc w:val="center"/>
    </w:pPr>
    <w:r>
      <w:rPr>
        <w:rFonts w:hint="eastAsia"/>
      </w:rPr>
      <w:t xml:space="preserve">                   第       页，共58页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创金合信尊盈纯债债券型证券投资基金2017年年度报告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2605"/>
    <w:rsid w:val="003641F9"/>
    <w:rsid w:val="00662605"/>
    <w:rsid w:val="00933001"/>
    <w:rsid w:val="00B00B26"/>
    <w:rsid w:val="00E24D60"/>
    <w:rsid w:val="00F87CF2"/>
    <w:rsid w:val="76DE3D4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7"/>
    <w:unhideWhenUsed/>
    <w:uiPriority w:val="99"/>
    <w:pPr>
      <w:tabs>
        <w:tab w:val="center" w:pos="4153"/>
        <w:tab w:val="right" w:pos="8306"/>
      </w:tabs>
      <w:snapToGrid w:val="0"/>
      <w:jc w:val="left"/>
    </w:pPr>
    <w:rPr>
      <w:sz w:val="18"/>
      <w:szCs w:val="18"/>
    </w:rPr>
  </w:style>
  <w:style w:type="paragraph" w:styleId="3">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semiHidden/>
    <w:unhideWhenUsed/>
    <w:uiPriority w:val="99"/>
  </w:style>
  <w:style w:type="character" w:styleId="10">
    <w:name w:val="Hyperlink"/>
    <w:unhideWhenUsed/>
    <w:uiPriority w:val="99"/>
    <w:rPr>
      <w:color w:val="0563C1"/>
      <w:u w:val="single"/>
    </w:rPr>
  </w:style>
  <w:style w:type="paragraph" w:customStyle="1" w:styleId="11">
    <w:name w:val="msonormal1"/>
    <w:qFormat/>
    <w:uiPriority w:val="0"/>
    <w:pPr>
      <w:widowControl w:val="0"/>
      <w:jc w:val="both"/>
    </w:pPr>
    <w:rPr>
      <w:kern w:val="2"/>
      <w:sz w:val="21"/>
      <w:szCs w:val="22"/>
      <w:lang w:val="en-US" w:eastAsia="zh-CN" w:bidi="ar-SA"/>
    </w:rPr>
  </w:style>
  <w:style w:type="paragraph" w:customStyle="1" w:styleId="12">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3">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4">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5">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6">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7">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8">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19">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页眉 Char"/>
    <w:link w:val="3"/>
    <w:locked/>
    <w:uiPriority w:val="99"/>
    <w:rPr>
      <w:rFonts w:hint="default" w:ascii="Times New Roman" w:hAnsi="Times New Roman" w:cs="Times New Roman"/>
      <w:sz w:val="18"/>
      <w:szCs w:val="18"/>
    </w:rPr>
  </w:style>
  <w:style w:type="character" w:customStyle="1" w:styleId="27">
    <w:name w:val="页脚 Char"/>
    <w:link w:val="2"/>
    <w:locked/>
    <w:uiPriority w:val="99"/>
    <w:rPr>
      <w:rFonts w:hint="default" w:ascii="Times New Roman" w:hAnsi="Times New Roman" w:cs="Times New Roman"/>
      <w:sz w:val="18"/>
      <w:szCs w:val="18"/>
    </w:rPr>
  </w:style>
  <w:style w:type="character" w:customStyle="1" w:styleId="28">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56</Pages>
  <Words>6793</Words>
  <Characters>38724</Characters>
  <Lines>322</Lines>
  <Paragraphs>90</Paragraphs>
  <TotalTime>0</TotalTime>
  <ScaleCrop>false</ScaleCrop>
  <LinksUpToDate>false</LinksUpToDate>
  <CharactersWithSpaces>45427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2018-03-29T09:28:00Z</dcterms:created>
  <dc:creator>贺祎琪</dc:creator>
  <cp:lastModifiedBy>Administrator</cp:lastModifiedBy>
  <dcterms:modified xsi:type="dcterms:W3CDTF">2019-12-26T14:06:06Z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