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s="宋体"/>
          <w:color w:val="000000"/>
          <w:kern w:val="0"/>
          <w:sz w:val="24"/>
          <w:szCs w:val="24"/>
        </w:rPr>
      </w:pPr>
      <w:bookmarkStart w:id="65" w:name="_GoBack"/>
      <w:bookmarkEnd w:id="65"/>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创金合信尊盛纯债债券型证券投资基金</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年年度报告</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基金托管人：招商银行股份有限公司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送出日期：</w:t>
      </w:r>
      <w:r>
        <w:rPr>
          <w:rFonts w:ascii="Times New Roman" w:hAnsi="Times New Roman" w:cs="宋体"/>
          <w:b/>
          <w:bCs/>
          <w:color w:val="000000"/>
          <w:kern w:val="0"/>
          <w:sz w:val="24"/>
          <w:szCs w:val="24"/>
        </w:rPr>
        <w:t>2017</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3</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27</w:t>
      </w:r>
      <w:r>
        <w:rPr>
          <w:rFonts w:hint="eastAsia" w:ascii="Times New Roman" w:hAnsi="Times New Roman" w:cs="宋体"/>
          <w:b/>
          <w:bCs/>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cs="宋体"/>
          <w:b/>
          <w:bCs/>
          <w:color w:val="000000"/>
          <w:kern w:val="0"/>
          <w:sz w:val="24"/>
          <w:szCs w:val="24"/>
        </w:rPr>
      </w:pPr>
      <w:bookmarkStart w:id="0" w:name="_Toc477943934"/>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  </w:t>
      </w:r>
      <w:r>
        <w:rPr>
          <w:rFonts w:hint="eastAsia" w:ascii="Times New Roman" w:hAnsi="Times New Roman" w:cs="宋体"/>
          <w:b/>
          <w:bCs/>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1" w:name="_Toc477943935"/>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28"/>
      </w:tblGrid>
      <w:tr>
        <w:tblPrEx>
          <w:tblCellMar>
            <w:top w:w="0" w:type="dxa"/>
            <w:left w:w="108" w:type="dxa"/>
            <w:bottom w:w="0" w:type="dxa"/>
            <w:right w:w="108" w:type="dxa"/>
          </w:tblCellMar>
        </w:tblPrEx>
        <w:trPr>
          <w:wBefore w:w="0" w:type="auto"/>
        </w:trPr>
        <w:tc>
          <w:tcPr>
            <w:tcW w:w="90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基金托管人招商银行股份有限公司根据本基金合同规定，于</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22</w:t>
            </w:r>
            <w:r>
              <w:rPr>
                <w:rFonts w:hint="eastAsia" w:ascii="Times New Roman" w:hAnsi="Times New Roman" w:cs="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基金管理人承诺以诚实信用、勤勉尽责的原则管理和运用基金资产，但不保证基金一定盈利。</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本报告期自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02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2" w:name="_Toc477943936"/>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目录</w:t>
      </w:r>
      <w:bookmarkEnd w:id="2"/>
    </w:p>
    <w:p>
      <w:pPr>
        <w:pStyle w:val="6"/>
        <w:tabs>
          <w:tab w:val="right" w:leader="dot" w:pos="9080"/>
        </w:tabs>
        <w:rPr>
          <w:lang/>
        </w:rPr>
      </w:pPr>
      <w:r>
        <w:rPr>
          <w:rFonts w:ascii="Times New Roman" w:hAnsi="Times New Roman" w:cs="宋体"/>
          <w:b/>
          <w:bCs/>
          <w:color w:val="000000"/>
          <w:kern w:val="0"/>
          <w:sz w:val="24"/>
          <w:szCs w:val="24"/>
        </w:rPr>
        <w:fldChar w:fldCharType="begin"/>
      </w:r>
      <w:r>
        <w:rPr>
          <w:rFonts w:ascii="Times New Roman" w:hAnsi="Times New Roman" w:cs="宋体"/>
          <w:b/>
          <w:bCs/>
          <w:color w:val="000000"/>
          <w:kern w:val="0"/>
          <w:sz w:val="24"/>
          <w:szCs w:val="24"/>
        </w:rPr>
        <w:instrText xml:space="preserve"> TOC \o "1-2" \h \z \u </w:instrText>
      </w:r>
      <w:r>
        <w:rPr>
          <w:rFonts w:ascii="Times New Roman" w:hAnsi="Times New Roman" w:cs="宋体"/>
          <w:b/>
          <w:bCs/>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"_Toc477943934"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  </w:t>
      </w:r>
      <w:r>
        <w:rPr>
          <w:rStyle w:val="10"/>
          <w:rFonts w:hint="eastAsia" w:ascii="Times New Roman" w:hAnsi="Times New Roman" w:cs="宋体"/>
          <w:b/>
          <w:bCs/>
          <w:kern w:val="0"/>
          <w:lang/>
        </w:rPr>
        <w:t>重要提示及目录</w:t>
      </w:r>
      <w:r>
        <w:rPr>
          <w:lang/>
        </w:rPr>
        <w:tab/>
      </w:r>
      <w:r>
        <w:rPr>
          <w:lang/>
        </w:rPr>
        <w:fldChar w:fldCharType="begin"/>
      </w:r>
      <w:r>
        <w:rPr>
          <w:lang/>
        </w:rPr>
        <w:instrText xml:space="preserve"> PAGEREF _Toc477943934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"_Toc477943935"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重要提示</w:t>
      </w:r>
      <w:r>
        <w:rPr>
          <w:lang/>
        </w:rPr>
        <w:tab/>
      </w:r>
      <w:r>
        <w:rPr>
          <w:lang/>
        </w:rPr>
        <w:fldChar w:fldCharType="begin"/>
      </w:r>
      <w:r>
        <w:rPr>
          <w:lang/>
        </w:rPr>
        <w:instrText xml:space="preserve"> PAGEREF _Toc477943935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"_Toc477943936"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目录</w:t>
      </w:r>
      <w:r>
        <w:rPr>
          <w:lang/>
        </w:rPr>
        <w:tab/>
      </w:r>
      <w:r>
        <w:rPr>
          <w:lang/>
        </w:rPr>
        <w:fldChar w:fldCharType="begin"/>
      </w:r>
      <w:r>
        <w:rPr>
          <w:lang/>
        </w:rPr>
        <w:instrText xml:space="preserve"> PAGEREF _Toc477943936 \h </w:instrText>
      </w:r>
      <w:r>
        <w:rPr>
          <w:lang/>
        </w:rPr>
        <w:fldChar w:fldCharType="separate"/>
      </w:r>
      <w:r>
        <w:rPr>
          <w:lang/>
        </w:rPr>
        <w:t>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"_Toc477943937"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  </w:t>
      </w:r>
      <w:r>
        <w:rPr>
          <w:rStyle w:val="10"/>
          <w:rFonts w:hint="eastAsia" w:ascii="Times New Roman" w:hAnsi="Times New Roman" w:cs="宋体"/>
          <w:b/>
          <w:bCs/>
          <w:kern w:val="0"/>
          <w:lang/>
        </w:rPr>
        <w:t>基金简介</w:t>
      </w:r>
      <w:r>
        <w:rPr>
          <w:lang/>
        </w:rPr>
        <w:tab/>
      </w:r>
      <w:r>
        <w:rPr>
          <w:lang/>
        </w:rPr>
        <w:fldChar w:fldCharType="begin"/>
      </w:r>
      <w:r>
        <w:rPr>
          <w:lang/>
        </w:rPr>
        <w:instrText xml:space="preserve"> PAGEREF _Toc477943937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"_Toc477943938"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2.1 </w:t>
      </w:r>
      <w:r>
        <w:rPr>
          <w:rStyle w:val="10"/>
          <w:rFonts w:hint="eastAsia" w:ascii="Times New Roman" w:hAnsi="Times New Roman" w:cs="宋体"/>
          <w:b/>
          <w:bCs/>
          <w:kern w:val="0"/>
          <w:lang/>
        </w:rPr>
        <w:t>基金基本情况</w:t>
      </w:r>
      <w:r>
        <w:rPr>
          <w:lang/>
        </w:rPr>
        <w:tab/>
      </w:r>
      <w:r>
        <w:rPr>
          <w:lang/>
        </w:rPr>
        <w:fldChar w:fldCharType="begin"/>
      </w:r>
      <w:r>
        <w:rPr>
          <w:lang/>
        </w:rPr>
        <w:instrText xml:space="preserve"> PAGEREF _Toc477943938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"_Toc477943939"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2.2 </w:t>
      </w:r>
      <w:r>
        <w:rPr>
          <w:rStyle w:val="10"/>
          <w:rFonts w:hint="eastAsia" w:ascii="Times New Roman" w:hAnsi="Times New Roman" w:cs="宋体"/>
          <w:b/>
          <w:bCs/>
          <w:kern w:val="0"/>
          <w:lang/>
        </w:rPr>
        <w:t>基金产品说明</w:t>
      </w:r>
      <w:r>
        <w:rPr>
          <w:lang/>
        </w:rPr>
        <w:tab/>
      </w:r>
      <w:r>
        <w:rPr>
          <w:lang/>
        </w:rPr>
        <w:fldChar w:fldCharType="begin"/>
      </w:r>
      <w:r>
        <w:rPr>
          <w:lang/>
        </w:rPr>
        <w:instrText xml:space="preserve"> PAGEREF _Toc477943939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"_Toc477943940"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2.3 </w:t>
      </w:r>
      <w:r>
        <w:rPr>
          <w:rStyle w:val="10"/>
          <w:rFonts w:hint="eastAsia" w:ascii="Times New Roman" w:hAnsi="Times New Roman" w:cs="宋体"/>
          <w:b/>
          <w:bCs/>
          <w:kern w:val="0"/>
          <w:lang/>
        </w:rPr>
        <w:t>基金管理人和基金托管人</w:t>
      </w:r>
      <w:r>
        <w:rPr>
          <w:lang/>
        </w:rPr>
        <w:tab/>
      </w:r>
      <w:r>
        <w:rPr>
          <w:lang/>
        </w:rPr>
        <w:fldChar w:fldCharType="begin"/>
      </w:r>
      <w:r>
        <w:rPr>
          <w:lang/>
        </w:rPr>
        <w:instrText xml:space="preserve"> PAGEREF _Toc477943940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"_Toc477943941"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2.4 </w:t>
      </w:r>
      <w:r>
        <w:rPr>
          <w:rStyle w:val="10"/>
          <w:rFonts w:hint="eastAsia" w:ascii="Times New Roman" w:hAnsi="Times New Roman" w:cs="宋体"/>
          <w:b/>
          <w:bCs/>
          <w:kern w:val="0"/>
          <w:lang/>
        </w:rPr>
        <w:t>信息披露方式</w:t>
      </w:r>
      <w:r>
        <w:rPr>
          <w:lang/>
        </w:rPr>
        <w:tab/>
      </w:r>
      <w:r>
        <w:rPr>
          <w:lang/>
        </w:rPr>
        <w:fldChar w:fldCharType="begin"/>
      </w:r>
      <w:r>
        <w:rPr>
          <w:lang/>
        </w:rPr>
        <w:instrText xml:space="preserve"> PAGEREF _Toc477943941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"_Toc477943942"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2.5 </w:t>
      </w:r>
      <w:r>
        <w:rPr>
          <w:rStyle w:val="10"/>
          <w:rFonts w:hint="eastAsia" w:ascii="Times New Roman" w:hAnsi="Times New Roman" w:cs="宋体"/>
          <w:b/>
          <w:bCs/>
          <w:kern w:val="0"/>
          <w:lang/>
        </w:rPr>
        <w:t>其他相关资料</w:t>
      </w:r>
      <w:r>
        <w:rPr>
          <w:lang/>
        </w:rPr>
        <w:tab/>
      </w:r>
      <w:r>
        <w:rPr>
          <w:lang/>
        </w:rPr>
        <w:fldChar w:fldCharType="begin"/>
      </w:r>
      <w:r>
        <w:rPr>
          <w:lang/>
        </w:rPr>
        <w:instrText xml:space="preserve"> PAGEREF _Toc477943942 \h </w:instrText>
      </w:r>
      <w:r>
        <w:rPr>
          <w:lang/>
        </w:rPr>
        <w:fldChar w:fldCharType="separate"/>
      </w:r>
      <w:r>
        <w:rPr>
          <w:lang/>
        </w:rPr>
        <w:t>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"_Toc477943943"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  </w:t>
      </w:r>
      <w:r>
        <w:rPr>
          <w:rStyle w:val="10"/>
          <w:rFonts w:hint="eastAsia" w:ascii="Times New Roman" w:hAnsi="Times New Roman" w:cs="宋体"/>
          <w:b/>
          <w:bCs/>
          <w:kern w:val="0"/>
          <w:lang/>
        </w:rPr>
        <w:t>主要财务指标、基金净值表现及利润分配情况</w:t>
      </w:r>
      <w:r>
        <w:rPr>
          <w:lang/>
        </w:rPr>
        <w:tab/>
      </w:r>
      <w:r>
        <w:rPr>
          <w:lang/>
        </w:rPr>
        <w:fldChar w:fldCharType="begin"/>
      </w:r>
      <w:r>
        <w:rPr>
          <w:lang/>
        </w:rPr>
        <w:instrText xml:space="preserve"> PAGEREF _Toc477943943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"_Toc477943944"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3.1 </w:t>
      </w:r>
      <w:r>
        <w:rPr>
          <w:rStyle w:val="10"/>
          <w:rFonts w:hint="eastAsia" w:ascii="Times New Roman" w:hAnsi="Times New Roman" w:cs="宋体"/>
          <w:b/>
          <w:bCs/>
          <w:kern w:val="0"/>
          <w:lang/>
        </w:rPr>
        <w:t>主要会计数据和财务指标</w:t>
      </w:r>
      <w:r>
        <w:rPr>
          <w:lang/>
        </w:rPr>
        <w:tab/>
      </w:r>
      <w:r>
        <w:rPr>
          <w:lang/>
        </w:rPr>
        <w:fldChar w:fldCharType="begin"/>
      </w:r>
      <w:r>
        <w:rPr>
          <w:lang/>
        </w:rPr>
        <w:instrText xml:space="preserve"> PAGEREF _Toc477943944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"_Toc477943945"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3.2 </w:t>
      </w:r>
      <w:r>
        <w:rPr>
          <w:rStyle w:val="10"/>
          <w:rFonts w:hint="eastAsia" w:ascii="Times New Roman" w:hAnsi="Times New Roman" w:cs="宋体"/>
          <w:b/>
          <w:bCs/>
          <w:kern w:val="0"/>
          <w:lang/>
        </w:rPr>
        <w:t>基金净值表现</w:t>
      </w:r>
      <w:r>
        <w:rPr>
          <w:lang/>
        </w:rPr>
        <w:tab/>
      </w:r>
      <w:r>
        <w:rPr>
          <w:lang/>
        </w:rPr>
        <w:fldChar w:fldCharType="begin"/>
      </w:r>
      <w:r>
        <w:rPr>
          <w:lang/>
        </w:rPr>
        <w:instrText xml:space="preserve"> PAGEREF _Toc477943945 \h </w:instrText>
      </w:r>
      <w:r>
        <w:rPr>
          <w:lang/>
        </w:rPr>
        <w:fldChar w:fldCharType="separate"/>
      </w:r>
      <w:r>
        <w:rPr>
          <w:lang/>
        </w:rPr>
        <w:t>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"_Toc477943946"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3.3 </w:t>
      </w:r>
      <w:r>
        <w:rPr>
          <w:rStyle w:val="10"/>
          <w:rFonts w:hint="eastAsia" w:ascii="Times New Roman" w:hAnsi="Times New Roman" w:cs="宋体"/>
          <w:b/>
          <w:bCs/>
          <w:kern w:val="0"/>
          <w:lang/>
        </w:rPr>
        <w:t>过去三年基金的利润分配情况</w:t>
      </w:r>
      <w:r>
        <w:rPr>
          <w:lang/>
        </w:rPr>
        <w:tab/>
      </w:r>
      <w:r>
        <w:rPr>
          <w:lang/>
        </w:rPr>
        <w:fldChar w:fldCharType="begin"/>
      </w:r>
      <w:r>
        <w:rPr>
          <w:lang/>
        </w:rPr>
        <w:instrText xml:space="preserve"> PAGEREF _Toc477943946 \h </w:instrText>
      </w:r>
      <w:r>
        <w:rPr>
          <w:lang/>
        </w:rPr>
        <w:fldChar w:fldCharType="separate"/>
      </w:r>
      <w:r>
        <w:rPr>
          <w:lang/>
        </w:rPr>
        <w:t>8</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"_Toc477943947"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  </w:t>
      </w:r>
      <w:r>
        <w:rPr>
          <w:rStyle w:val="10"/>
          <w:rFonts w:hint="eastAsia" w:ascii="Times New Roman" w:hAnsi="Times New Roman" w:cs="宋体"/>
          <w:b/>
          <w:bCs/>
          <w:kern w:val="0"/>
          <w:lang/>
        </w:rPr>
        <w:t>管理人报告</w:t>
      </w:r>
      <w:r>
        <w:rPr>
          <w:lang/>
        </w:rPr>
        <w:tab/>
      </w:r>
      <w:r>
        <w:rPr>
          <w:lang/>
        </w:rPr>
        <w:fldChar w:fldCharType="begin"/>
      </w:r>
      <w:r>
        <w:rPr>
          <w:lang/>
        </w:rPr>
        <w:instrText xml:space="preserve"> PAGEREF _Toc477943947 \h </w:instrText>
      </w:r>
      <w:r>
        <w:rPr>
          <w:lang/>
        </w:rPr>
        <w:fldChar w:fldCharType="separate"/>
      </w:r>
      <w:r>
        <w:rPr>
          <w:lang/>
        </w:rPr>
        <w:t>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"_Toc477943948"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4.1 </w:t>
      </w:r>
      <w:r>
        <w:rPr>
          <w:rStyle w:val="10"/>
          <w:rFonts w:hint="eastAsia" w:ascii="Times New Roman" w:hAnsi="Times New Roman" w:cs="宋体"/>
          <w:b/>
          <w:bCs/>
          <w:kern w:val="0"/>
          <w:lang/>
        </w:rPr>
        <w:t>基金管理人及基金经理情况</w:t>
      </w:r>
      <w:r>
        <w:rPr>
          <w:lang/>
        </w:rPr>
        <w:tab/>
      </w:r>
      <w:r>
        <w:rPr>
          <w:lang/>
        </w:rPr>
        <w:fldChar w:fldCharType="begin"/>
      </w:r>
      <w:r>
        <w:rPr>
          <w:lang/>
        </w:rPr>
        <w:instrText xml:space="preserve"> PAGEREF _Toc477943948 \h </w:instrText>
      </w:r>
      <w:r>
        <w:rPr>
          <w:lang/>
        </w:rPr>
        <w:fldChar w:fldCharType="separate"/>
      </w:r>
      <w:r>
        <w:rPr>
          <w:lang/>
        </w:rPr>
        <w:t>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"_Toc477943949"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4.2 </w:t>
      </w:r>
      <w:r>
        <w:rPr>
          <w:rStyle w:val="10"/>
          <w:rFonts w:hint="eastAsia" w:ascii="Times New Roman" w:hAnsi="Times New Roman" w:cs="宋体"/>
          <w:b/>
          <w:bCs/>
          <w:kern w:val="0"/>
          <w:lang/>
        </w:rPr>
        <w:t>管理人对报告期内本基金运作遵规守信情况的说明</w:t>
      </w:r>
      <w:r>
        <w:rPr>
          <w:lang/>
        </w:rPr>
        <w:tab/>
      </w:r>
      <w:r>
        <w:rPr>
          <w:lang/>
        </w:rPr>
        <w:fldChar w:fldCharType="begin"/>
      </w:r>
      <w:r>
        <w:rPr>
          <w:lang/>
        </w:rPr>
        <w:instrText xml:space="preserve"> PAGEREF _Toc477943949 \h </w:instrText>
      </w:r>
      <w:r>
        <w:rPr>
          <w:lang/>
        </w:rPr>
        <w:fldChar w:fldCharType="separate"/>
      </w:r>
      <w:r>
        <w:rPr>
          <w:lang/>
        </w:rPr>
        <w:t>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"_Toc477943950"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4.3 </w:t>
      </w:r>
      <w:r>
        <w:rPr>
          <w:rStyle w:val="10"/>
          <w:rFonts w:hint="eastAsia" w:ascii="Times New Roman" w:hAnsi="Times New Roman" w:cs="宋体"/>
          <w:b/>
          <w:bCs/>
          <w:kern w:val="0"/>
          <w:lang/>
        </w:rPr>
        <w:t>管理人对报告期内公平交易情况的专项说明</w:t>
      </w:r>
      <w:r>
        <w:rPr>
          <w:lang/>
        </w:rPr>
        <w:tab/>
      </w:r>
      <w:r>
        <w:rPr>
          <w:lang/>
        </w:rPr>
        <w:fldChar w:fldCharType="begin"/>
      </w:r>
      <w:r>
        <w:rPr>
          <w:lang/>
        </w:rPr>
        <w:instrText xml:space="preserve"> PAGEREF _Toc477943950 \h </w:instrText>
      </w:r>
      <w:r>
        <w:rPr>
          <w:lang/>
        </w:rPr>
        <w:fldChar w:fldCharType="separate"/>
      </w:r>
      <w:r>
        <w:rPr>
          <w:lang/>
        </w:rPr>
        <w:t>10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"_Toc477943951"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4.4 </w:t>
      </w:r>
      <w:r>
        <w:rPr>
          <w:rStyle w:val="10"/>
          <w:rFonts w:hint="eastAsia" w:ascii="Times New Roman" w:hAnsi="Times New Roman" w:cs="宋体"/>
          <w:b/>
          <w:bCs/>
          <w:kern w:val="0"/>
          <w:lang/>
        </w:rPr>
        <w:t>管理人对报告期内基金的投资策略和业绩表现的说明</w:t>
      </w:r>
      <w:r>
        <w:rPr>
          <w:lang/>
        </w:rPr>
        <w:tab/>
      </w:r>
      <w:r>
        <w:rPr>
          <w:lang/>
        </w:rPr>
        <w:fldChar w:fldCharType="begin"/>
      </w:r>
      <w:r>
        <w:rPr>
          <w:lang/>
        </w:rPr>
        <w:instrText xml:space="preserve"> PAGEREF _Toc477943951 \h </w:instrText>
      </w:r>
      <w:r>
        <w:rPr>
          <w:lang/>
        </w:rPr>
        <w:fldChar w:fldCharType="separate"/>
      </w:r>
      <w:r>
        <w:rPr>
          <w:lang/>
        </w:rPr>
        <w:t>11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"_Toc477943952"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4.5 </w:t>
      </w:r>
      <w:r>
        <w:rPr>
          <w:rStyle w:val="10"/>
          <w:rFonts w:hint="eastAsia" w:ascii="Times New Roman" w:hAnsi="Times New Roman" w:cs="宋体"/>
          <w:b/>
          <w:bCs/>
          <w:kern w:val="0"/>
          <w:lang/>
        </w:rPr>
        <w:t>管理人对宏观经济、证券市场及行业走势的简要展望</w:t>
      </w:r>
      <w:r>
        <w:rPr>
          <w:lang/>
        </w:rPr>
        <w:tab/>
      </w:r>
      <w:r>
        <w:rPr>
          <w:lang/>
        </w:rPr>
        <w:fldChar w:fldCharType="begin"/>
      </w:r>
      <w:r>
        <w:rPr>
          <w:lang/>
        </w:rPr>
        <w:instrText xml:space="preserve"> PAGEREF _Toc477943952 \h </w:instrText>
      </w:r>
      <w:r>
        <w:rPr>
          <w:lang/>
        </w:rPr>
        <w:fldChar w:fldCharType="separate"/>
      </w:r>
      <w:r>
        <w:rPr>
          <w:lang/>
        </w:rPr>
        <w:t>11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"_Toc477943953"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4.6 </w:t>
      </w:r>
      <w:r>
        <w:rPr>
          <w:rStyle w:val="10"/>
          <w:rFonts w:hint="eastAsia" w:ascii="Times New Roman" w:hAnsi="Times New Roman" w:cs="宋体"/>
          <w:b/>
          <w:bCs/>
          <w:kern w:val="0"/>
          <w:lang/>
        </w:rPr>
        <w:t>管理人内部有关本基金的监察稽核工作情况</w:t>
      </w:r>
      <w:r>
        <w:rPr>
          <w:lang/>
        </w:rPr>
        <w:tab/>
      </w:r>
      <w:r>
        <w:rPr>
          <w:lang/>
        </w:rPr>
        <w:fldChar w:fldCharType="begin"/>
      </w:r>
      <w:r>
        <w:rPr>
          <w:lang/>
        </w:rPr>
        <w:instrText xml:space="preserve"> PAGEREF _Toc477943953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"_Toc477943954"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4.7 </w:t>
      </w:r>
      <w:r>
        <w:rPr>
          <w:rStyle w:val="10"/>
          <w:rFonts w:hint="eastAsia" w:ascii="Times New Roman" w:hAnsi="Times New Roman" w:cs="宋体"/>
          <w:b/>
          <w:bCs/>
          <w:kern w:val="0"/>
          <w:lang/>
        </w:rPr>
        <w:t>管理人对报告期内基金估值程序等事项的说明</w:t>
      </w:r>
      <w:r>
        <w:rPr>
          <w:lang/>
        </w:rPr>
        <w:tab/>
      </w:r>
      <w:r>
        <w:rPr>
          <w:lang/>
        </w:rPr>
        <w:fldChar w:fldCharType="begin"/>
      </w:r>
      <w:r>
        <w:rPr>
          <w:lang/>
        </w:rPr>
        <w:instrText xml:space="preserve"> PAGEREF _Toc477943954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"_Toc477943955"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4.8 </w:t>
      </w:r>
      <w:r>
        <w:rPr>
          <w:rStyle w:val="10"/>
          <w:rFonts w:hint="eastAsia" w:ascii="Times New Roman" w:hAnsi="Times New Roman" w:cs="宋体"/>
          <w:b/>
          <w:bCs/>
          <w:kern w:val="0"/>
          <w:lang/>
        </w:rPr>
        <w:t>管理人对报告期内基金利润分配情况的说明</w:t>
      </w:r>
      <w:r>
        <w:rPr>
          <w:lang/>
        </w:rPr>
        <w:tab/>
      </w:r>
      <w:r>
        <w:rPr>
          <w:lang/>
        </w:rPr>
        <w:fldChar w:fldCharType="begin"/>
      </w:r>
      <w:r>
        <w:rPr>
          <w:lang/>
        </w:rPr>
        <w:instrText xml:space="preserve"> PAGEREF _Toc477943955 \h </w:instrText>
      </w:r>
      <w:r>
        <w:rPr>
          <w:lang/>
        </w:rPr>
        <w:fldChar w:fldCharType="separate"/>
      </w:r>
      <w:r>
        <w:rPr>
          <w:lang/>
        </w:rPr>
        <w:t>13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"_Toc477943956"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  </w:t>
      </w:r>
      <w:r>
        <w:rPr>
          <w:rStyle w:val="10"/>
          <w:rFonts w:hint="eastAsia" w:ascii="Times New Roman" w:hAnsi="Times New Roman" w:cs="宋体"/>
          <w:b/>
          <w:bCs/>
          <w:kern w:val="0"/>
          <w:lang/>
        </w:rPr>
        <w:t>托管人报告</w:t>
      </w:r>
      <w:r>
        <w:rPr>
          <w:lang/>
        </w:rPr>
        <w:tab/>
      </w:r>
      <w:r>
        <w:rPr>
          <w:lang/>
        </w:rPr>
        <w:fldChar w:fldCharType="begin"/>
      </w:r>
      <w:r>
        <w:rPr>
          <w:lang/>
        </w:rPr>
        <w:instrText xml:space="preserve"> PAGEREF _Toc477943956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"_Toc477943957"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5.1 </w:t>
      </w:r>
      <w:r>
        <w:rPr>
          <w:rStyle w:val="10"/>
          <w:rFonts w:hint="eastAsia" w:ascii="Times New Roman" w:hAnsi="Times New Roman" w:cs="宋体"/>
          <w:b/>
          <w:bCs/>
          <w:kern w:val="0"/>
          <w:lang/>
        </w:rPr>
        <w:t>报告期内本基金托管人遵规守信情况声明</w:t>
      </w:r>
      <w:r>
        <w:rPr>
          <w:lang/>
        </w:rPr>
        <w:tab/>
      </w:r>
      <w:r>
        <w:rPr>
          <w:lang/>
        </w:rPr>
        <w:fldChar w:fldCharType="begin"/>
      </w:r>
      <w:r>
        <w:rPr>
          <w:lang/>
        </w:rPr>
        <w:instrText xml:space="preserve"> PAGEREF _Toc477943957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"_Toc477943958"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5.2 </w:t>
      </w:r>
      <w:r>
        <w:rPr>
          <w:rStyle w:val="10"/>
          <w:rFonts w:hint="eastAsia" w:ascii="Times New Roman" w:hAnsi="Times New Roman" w:cs="宋体"/>
          <w:b/>
          <w:bCs/>
          <w:kern w:val="0"/>
          <w:lang/>
        </w:rPr>
        <w:t>托管人对报告期内本基金投资运作遵规守信、净值计算、利润分配等情况的说明</w:t>
      </w:r>
      <w:r>
        <w:rPr>
          <w:lang/>
        </w:rPr>
        <w:tab/>
      </w:r>
      <w:r>
        <w:rPr>
          <w:lang/>
        </w:rPr>
        <w:fldChar w:fldCharType="begin"/>
      </w:r>
      <w:r>
        <w:rPr>
          <w:lang/>
        </w:rPr>
        <w:instrText xml:space="preserve"> PAGEREF _Toc477943958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"_Toc477943959"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5.3 </w:t>
      </w:r>
      <w:r>
        <w:rPr>
          <w:rStyle w:val="10"/>
          <w:rFonts w:hint="eastAsia" w:ascii="Times New Roman" w:hAnsi="Times New Roman" w:cs="宋体"/>
          <w:b/>
          <w:bCs/>
          <w:kern w:val="0"/>
          <w:lang/>
        </w:rPr>
        <w:t>托管人对本年度报告中财务信息等内容的真实、准确和完整发表意见</w:t>
      </w:r>
      <w:r>
        <w:rPr>
          <w:lang/>
        </w:rPr>
        <w:tab/>
      </w:r>
      <w:r>
        <w:rPr>
          <w:lang/>
        </w:rPr>
        <w:fldChar w:fldCharType="begin"/>
      </w:r>
      <w:r>
        <w:rPr>
          <w:lang/>
        </w:rPr>
        <w:instrText xml:space="preserve"> PAGEREF _Toc477943959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"_Toc477943960"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  </w:t>
      </w:r>
      <w:r>
        <w:rPr>
          <w:rStyle w:val="10"/>
          <w:rFonts w:hint="eastAsia" w:ascii="Times New Roman" w:hAnsi="Times New Roman" w:cs="宋体"/>
          <w:b/>
          <w:bCs/>
          <w:kern w:val="0"/>
          <w:lang/>
        </w:rPr>
        <w:t>审计报告</w:t>
      </w:r>
      <w:r>
        <w:rPr>
          <w:lang/>
        </w:rPr>
        <w:tab/>
      </w:r>
      <w:r>
        <w:rPr>
          <w:lang/>
        </w:rPr>
        <w:fldChar w:fldCharType="begin"/>
      </w:r>
      <w:r>
        <w:rPr>
          <w:lang/>
        </w:rPr>
        <w:instrText xml:space="preserve"> PAGEREF _Toc477943960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"_Toc477943961"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6.1 </w:t>
      </w:r>
      <w:r>
        <w:rPr>
          <w:rStyle w:val="10"/>
          <w:rFonts w:hint="eastAsia" w:ascii="Times New Roman" w:hAnsi="Times New Roman" w:cs="宋体"/>
          <w:b/>
          <w:bCs/>
          <w:kern w:val="0"/>
          <w:lang/>
        </w:rPr>
        <w:t>审计报告基本信息</w:t>
      </w:r>
      <w:r>
        <w:rPr>
          <w:lang/>
        </w:rPr>
        <w:tab/>
      </w:r>
      <w:r>
        <w:rPr>
          <w:lang/>
        </w:rPr>
        <w:fldChar w:fldCharType="begin"/>
      </w:r>
      <w:r>
        <w:rPr>
          <w:lang/>
        </w:rPr>
        <w:instrText xml:space="preserve"> PAGEREF _Toc477943961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"_Toc477943962"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6.2 </w:t>
      </w:r>
      <w:r>
        <w:rPr>
          <w:rStyle w:val="10"/>
          <w:rFonts w:hint="eastAsia" w:ascii="Times New Roman" w:hAnsi="Times New Roman" w:cs="宋体"/>
          <w:b/>
          <w:bCs/>
          <w:kern w:val="0"/>
          <w:lang/>
        </w:rPr>
        <w:t>审计报告的基本内容</w:t>
      </w:r>
      <w:r>
        <w:rPr>
          <w:lang/>
        </w:rPr>
        <w:tab/>
      </w:r>
      <w:r>
        <w:rPr>
          <w:lang/>
        </w:rPr>
        <w:fldChar w:fldCharType="begin"/>
      </w:r>
      <w:r>
        <w:rPr>
          <w:lang/>
        </w:rPr>
        <w:instrText xml:space="preserve"> PAGEREF _Toc477943962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"_Toc477943963"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  </w:t>
      </w:r>
      <w:r>
        <w:rPr>
          <w:rStyle w:val="10"/>
          <w:rFonts w:hint="eastAsia" w:ascii="Times New Roman" w:hAnsi="Times New Roman" w:cs="宋体"/>
          <w:b/>
          <w:bCs/>
          <w:kern w:val="0"/>
          <w:lang/>
        </w:rPr>
        <w:t>年度财务报表</w:t>
      </w:r>
      <w:r>
        <w:rPr>
          <w:lang/>
        </w:rPr>
        <w:tab/>
      </w:r>
      <w:r>
        <w:rPr>
          <w:lang/>
        </w:rPr>
        <w:fldChar w:fldCharType="begin"/>
      </w:r>
      <w:r>
        <w:rPr>
          <w:lang/>
        </w:rPr>
        <w:instrText xml:space="preserve"> PAGEREF _Toc477943963 \h </w:instrText>
      </w:r>
      <w:r>
        <w:rPr>
          <w:lang/>
        </w:rPr>
        <w:fldChar w:fldCharType="separate"/>
      </w:r>
      <w:r>
        <w:rPr>
          <w:lang/>
        </w:rPr>
        <w:t>15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"_Toc477943964"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7.1 </w:t>
      </w:r>
      <w:r>
        <w:rPr>
          <w:rStyle w:val="10"/>
          <w:rFonts w:hint="eastAsia" w:ascii="Times New Roman" w:hAnsi="Times New Roman" w:cs="宋体"/>
          <w:b/>
          <w:bCs/>
          <w:kern w:val="0"/>
          <w:lang/>
        </w:rPr>
        <w:t>资产负债表</w:t>
      </w:r>
      <w:r>
        <w:rPr>
          <w:lang/>
        </w:rPr>
        <w:tab/>
      </w:r>
      <w:r>
        <w:rPr>
          <w:lang/>
        </w:rPr>
        <w:fldChar w:fldCharType="begin"/>
      </w:r>
      <w:r>
        <w:rPr>
          <w:lang/>
        </w:rPr>
        <w:instrText xml:space="preserve"> PAGEREF _Toc477943964 \h </w:instrText>
      </w:r>
      <w:r>
        <w:rPr>
          <w:lang/>
        </w:rPr>
        <w:fldChar w:fldCharType="separate"/>
      </w:r>
      <w:r>
        <w:rPr>
          <w:lang/>
        </w:rPr>
        <w:t>15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"_Toc477943965"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7.2 </w:t>
      </w:r>
      <w:r>
        <w:rPr>
          <w:rStyle w:val="10"/>
          <w:rFonts w:hint="eastAsia" w:ascii="Times New Roman" w:hAnsi="Times New Roman" w:cs="宋体"/>
          <w:b/>
          <w:bCs/>
          <w:kern w:val="0"/>
          <w:lang/>
        </w:rPr>
        <w:t>利润表</w:t>
      </w:r>
      <w:r>
        <w:rPr>
          <w:lang/>
        </w:rPr>
        <w:tab/>
      </w:r>
      <w:r>
        <w:rPr>
          <w:lang/>
        </w:rPr>
        <w:fldChar w:fldCharType="begin"/>
      </w:r>
      <w:r>
        <w:rPr>
          <w:lang/>
        </w:rPr>
        <w:instrText xml:space="preserve"> PAGEREF _Toc477943965 \h </w:instrText>
      </w:r>
      <w:r>
        <w:rPr>
          <w:lang/>
        </w:rPr>
        <w:fldChar w:fldCharType="separate"/>
      </w:r>
      <w:r>
        <w:rPr>
          <w:lang/>
        </w:rPr>
        <w:t>17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"_Toc477943966"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7.3 </w:t>
      </w:r>
      <w:r>
        <w:rPr>
          <w:rStyle w:val="10"/>
          <w:rFonts w:hint="eastAsia" w:ascii="Times New Roman" w:hAnsi="Times New Roman" w:cs="宋体"/>
          <w:b/>
          <w:bCs/>
          <w:kern w:val="0"/>
          <w:lang/>
        </w:rPr>
        <w:t>所有者权益（基金净值）变动表</w:t>
      </w:r>
      <w:r>
        <w:rPr>
          <w:lang/>
        </w:rPr>
        <w:tab/>
      </w:r>
      <w:r>
        <w:rPr>
          <w:lang/>
        </w:rPr>
        <w:fldChar w:fldCharType="begin"/>
      </w:r>
      <w:r>
        <w:rPr>
          <w:lang/>
        </w:rPr>
        <w:instrText xml:space="preserve"> PAGEREF _Toc477943966 \h </w:instrText>
      </w:r>
      <w:r>
        <w:rPr>
          <w:lang/>
        </w:rPr>
        <w:fldChar w:fldCharType="separate"/>
      </w:r>
      <w:r>
        <w:rPr>
          <w:lang/>
        </w:rPr>
        <w:t>19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"_Toc477943967"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7.4 </w:t>
      </w:r>
      <w:r>
        <w:rPr>
          <w:rStyle w:val="10"/>
          <w:rFonts w:hint="eastAsia" w:ascii="Times New Roman" w:hAnsi="Times New Roman" w:cs="宋体"/>
          <w:b/>
          <w:bCs/>
          <w:kern w:val="0"/>
          <w:lang/>
        </w:rPr>
        <w:t>报表附注</w:t>
      </w:r>
      <w:r>
        <w:rPr>
          <w:lang/>
        </w:rPr>
        <w:tab/>
      </w:r>
      <w:r>
        <w:rPr>
          <w:lang/>
        </w:rPr>
        <w:fldChar w:fldCharType="begin"/>
      </w:r>
      <w:r>
        <w:rPr>
          <w:lang/>
        </w:rPr>
        <w:instrText xml:space="preserve"> PAGEREF _Toc477943967 \h </w:instrText>
      </w:r>
      <w:r>
        <w:rPr>
          <w:lang/>
        </w:rPr>
        <w:fldChar w:fldCharType="separate"/>
      </w:r>
      <w:r>
        <w:rPr>
          <w:lang/>
        </w:rPr>
        <w:t>19</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"_Toc477943968"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  </w:t>
      </w:r>
      <w:r>
        <w:rPr>
          <w:rStyle w:val="10"/>
          <w:rFonts w:hint="eastAsia" w:ascii="Times New Roman" w:hAnsi="Times New Roman" w:cs="宋体"/>
          <w:b/>
          <w:bCs/>
          <w:kern w:val="0"/>
          <w:lang/>
        </w:rPr>
        <w:t>投资组合报告</w:t>
      </w:r>
      <w:r>
        <w:rPr>
          <w:lang/>
        </w:rPr>
        <w:tab/>
      </w:r>
      <w:r>
        <w:rPr>
          <w:lang/>
        </w:rPr>
        <w:fldChar w:fldCharType="begin"/>
      </w:r>
      <w:r>
        <w:rPr>
          <w:lang/>
        </w:rPr>
        <w:instrText xml:space="preserve"> PAGEREF _Toc477943968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"_Toc477943969"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 </w:t>
      </w:r>
      <w:r>
        <w:rPr>
          <w:rStyle w:val="10"/>
          <w:rFonts w:hint="eastAsia" w:ascii="Times New Roman" w:hAnsi="Times New Roman" w:cs="宋体"/>
          <w:b/>
          <w:bCs/>
          <w:kern w:val="0"/>
          <w:lang/>
        </w:rPr>
        <w:t>期末基金资产组合情况</w:t>
      </w:r>
      <w:r>
        <w:rPr>
          <w:lang/>
        </w:rPr>
        <w:tab/>
      </w:r>
      <w:r>
        <w:rPr>
          <w:lang/>
        </w:rPr>
        <w:fldChar w:fldCharType="begin"/>
      </w:r>
      <w:r>
        <w:rPr>
          <w:lang/>
        </w:rPr>
        <w:instrText xml:space="preserve"> PAGEREF _Toc477943969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8.3 </w:t>
      </w:r>
      <w:r>
        <w:rPr>
          <w:rStyle w:val="10"/>
          <w:rFonts w:hint="eastAsia" w:ascii="Times New Roman" w:hAnsi="Times New Roman" w:cs="宋体"/>
          <w:b/>
          <w:bCs/>
          <w:kern w:val="0"/>
          <w:lang/>
        </w:rPr>
        <w:t>期末按公允价值占基金资产净值比例大小排序的所有股票投资明细</w:t>
      </w:r>
      <w:r>
        <w:rPr>
          <w:lang/>
        </w:rPr>
        <w:tab/>
      </w:r>
      <w:r>
        <w:rPr>
          <w:lang/>
        </w:rPr>
        <w:fldChar w:fldCharType="begin"/>
      </w:r>
      <w:r>
        <w:rPr>
          <w:lang/>
        </w:rPr>
        <w:instrText xml:space="preserve"> PAGEREF _Toc477943970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8.4 </w:t>
      </w:r>
      <w:r>
        <w:rPr>
          <w:rStyle w:val="10"/>
          <w:rFonts w:hint="eastAsia" w:ascii="Times New Roman" w:hAnsi="Times New Roman" w:cs="宋体"/>
          <w:b/>
          <w:bCs/>
          <w:kern w:val="0"/>
          <w:lang/>
        </w:rPr>
        <w:t>报告期内股票投资组合的重大变动</w:t>
      </w:r>
      <w:r>
        <w:rPr>
          <w:lang/>
        </w:rPr>
        <w:tab/>
      </w:r>
      <w:r>
        <w:rPr>
          <w:lang/>
        </w:rPr>
        <w:fldChar w:fldCharType="begin"/>
      </w:r>
      <w:r>
        <w:rPr>
          <w:lang/>
        </w:rPr>
        <w:instrText xml:space="preserve"> PAGEREF _Toc477943971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8.5 </w:t>
      </w:r>
      <w:r>
        <w:rPr>
          <w:rStyle w:val="10"/>
          <w:rFonts w:hint="eastAsia" w:ascii="Times New Roman" w:hAnsi="Times New Roman" w:cs="宋体"/>
          <w:b/>
          <w:bCs/>
          <w:kern w:val="0"/>
          <w:lang/>
        </w:rPr>
        <w:t>期末按债券品种分类的债券投资组合</w:t>
      </w:r>
      <w:r>
        <w:rPr>
          <w:lang/>
        </w:rPr>
        <w:tab/>
      </w:r>
      <w:r>
        <w:rPr>
          <w:lang/>
        </w:rPr>
        <w:fldChar w:fldCharType="begin"/>
      </w:r>
      <w:r>
        <w:rPr>
          <w:lang/>
        </w:rPr>
        <w:instrText xml:space="preserve"> PAGEREF _Toc477943972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8.6 </w:t>
      </w:r>
      <w:r>
        <w:rPr>
          <w:rStyle w:val="10"/>
          <w:rFonts w:hint="eastAsia" w:ascii="Times New Roman" w:hAnsi="Times New Roman" w:cs="宋体"/>
          <w:b/>
          <w:bCs/>
          <w:kern w:val="0"/>
          <w:lang/>
        </w:rPr>
        <w:t>期末按公允价值占基金资产净值比例大小排序的前五名债券投资明细</w:t>
      </w:r>
      <w:r>
        <w:rPr>
          <w:lang/>
        </w:rPr>
        <w:tab/>
      </w:r>
      <w:r>
        <w:rPr>
          <w:lang/>
        </w:rPr>
        <w:fldChar w:fldCharType="begin"/>
      </w:r>
      <w:r>
        <w:rPr>
          <w:lang/>
        </w:rPr>
        <w:instrText xml:space="preserve"> PAGEREF _Toc477943973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8.7 </w:t>
      </w:r>
      <w:r>
        <w:rPr>
          <w:rStyle w:val="10"/>
          <w:rFonts w:hint="eastAsia" w:ascii="Times New Roman" w:hAnsi="Times New Roman" w:cs="宋体"/>
          <w:b/>
          <w:bCs/>
          <w:kern w:val="0"/>
          <w:lang/>
        </w:rPr>
        <w:t>期末按公允价值占基金资产净值比例大小排序的所有资产支持证券投资明细</w:t>
      </w:r>
      <w:r>
        <w:rPr>
          <w:lang/>
        </w:rPr>
        <w:tab/>
      </w:r>
      <w:r>
        <w:rPr>
          <w:lang/>
        </w:rPr>
        <w:fldChar w:fldCharType="begin"/>
      </w:r>
      <w:r>
        <w:rPr>
          <w:lang/>
        </w:rPr>
        <w:instrText xml:space="preserve"> PAGEREF _Toc477943974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8.8 </w:t>
      </w:r>
      <w:r>
        <w:rPr>
          <w:rStyle w:val="10"/>
          <w:rFonts w:hint="eastAsia" w:ascii="Times New Roman" w:hAnsi="Times New Roman" w:cs="宋体"/>
          <w:b/>
          <w:bCs/>
          <w:kern w:val="0"/>
          <w:lang/>
        </w:rPr>
        <w:t>报告期末按公允价值占基金资产净值比例大小排序的前五名贵金属投资明细</w:t>
      </w:r>
      <w:r>
        <w:rPr>
          <w:lang/>
        </w:rPr>
        <w:tab/>
      </w:r>
      <w:r>
        <w:rPr>
          <w:lang/>
        </w:rPr>
        <w:fldChar w:fldCharType="begin"/>
      </w:r>
      <w:r>
        <w:rPr>
          <w:lang/>
        </w:rPr>
        <w:instrText xml:space="preserve"> PAGEREF _Toc477943975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8.9 </w:t>
      </w:r>
      <w:r>
        <w:rPr>
          <w:rStyle w:val="10"/>
          <w:rFonts w:hint="eastAsia" w:ascii="Times New Roman" w:hAnsi="Times New Roman" w:cs="宋体"/>
          <w:b/>
          <w:bCs/>
          <w:kern w:val="0"/>
          <w:lang/>
        </w:rPr>
        <w:t>期末按公允价值占基金资产净值比例大小排序的前五名权证投资明细</w:t>
      </w:r>
      <w:r>
        <w:rPr>
          <w:lang/>
        </w:rPr>
        <w:tab/>
      </w:r>
      <w:r>
        <w:rPr>
          <w:lang/>
        </w:rPr>
        <w:fldChar w:fldCharType="begin"/>
      </w:r>
      <w:r>
        <w:rPr>
          <w:lang/>
        </w:rPr>
        <w:instrText xml:space="preserve"> PAGEREF _Toc477943976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8.10 </w:t>
      </w:r>
      <w:r>
        <w:rPr>
          <w:rStyle w:val="10"/>
          <w:rFonts w:hint="eastAsia" w:ascii="Times New Roman" w:hAnsi="Times New Roman" w:cs="宋体"/>
          <w:b/>
          <w:bCs/>
          <w:kern w:val="0"/>
          <w:lang/>
        </w:rPr>
        <w:t>报告期末本基金投资的股指期货交易情况说明</w:t>
      </w:r>
      <w:r>
        <w:rPr>
          <w:lang/>
        </w:rPr>
        <w:tab/>
      </w:r>
      <w:r>
        <w:rPr>
          <w:lang/>
        </w:rPr>
        <w:fldChar w:fldCharType="begin"/>
      </w:r>
      <w:r>
        <w:rPr>
          <w:lang/>
        </w:rPr>
        <w:instrText xml:space="preserve"> PAGEREF _Toc477943977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8.11 </w:t>
      </w:r>
      <w:r>
        <w:rPr>
          <w:rStyle w:val="10"/>
          <w:rFonts w:hint="eastAsia" w:ascii="Times New Roman" w:hAnsi="Times New Roman" w:cs="宋体"/>
          <w:b/>
          <w:bCs/>
          <w:kern w:val="0"/>
          <w:lang/>
        </w:rPr>
        <w:t>报告期末本基金投资的国债期货交易情况说明</w:t>
      </w:r>
      <w:r>
        <w:rPr>
          <w:lang/>
        </w:rPr>
        <w:tab/>
      </w:r>
      <w:r>
        <w:rPr>
          <w:lang/>
        </w:rPr>
        <w:fldChar w:fldCharType="begin"/>
      </w:r>
      <w:r>
        <w:rPr>
          <w:lang/>
        </w:rPr>
        <w:instrText xml:space="preserve"> PAGEREF _Toc477943978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"_Toc477943979"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8.12 </w:t>
      </w:r>
      <w:r>
        <w:rPr>
          <w:rStyle w:val="10"/>
          <w:rFonts w:hint="eastAsia" w:ascii="Times New Roman" w:hAnsi="Times New Roman" w:cs="宋体"/>
          <w:b/>
          <w:bCs/>
          <w:kern w:val="0"/>
          <w:lang/>
        </w:rPr>
        <w:t>投资组合报告附注</w:t>
      </w:r>
      <w:r>
        <w:rPr>
          <w:lang/>
        </w:rPr>
        <w:tab/>
      </w:r>
      <w:r>
        <w:rPr>
          <w:lang/>
        </w:rPr>
        <w:fldChar w:fldCharType="begin"/>
      </w:r>
      <w:r>
        <w:rPr>
          <w:lang/>
        </w:rPr>
        <w:instrText xml:space="preserve"> PAGEREF _Toc477943979 \h </w:instrText>
      </w:r>
      <w:r>
        <w:rPr>
          <w:lang/>
        </w:rPr>
        <w:fldChar w:fldCharType="separate"/>
      </w:r>
      <w:r>
        <w:rPr>
          <w:lang/>
        </w:rPr>
        <w:t>43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"_Toc477943980"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  </w:t>
      </w:r>
      <w:r>
        <w:rPr>
          <w:rStyle w:val="10"/>
          <w:rFonts w:hint="eastAsia" w:ascii="Times New Roman" w:hAnsi="Times New Roman" w:cs="宋体"/>
          <w:b/>
          <w:bCs/>
          <w:kern w:val="0"/>
          <w:lang/>
        </w:rPr>
        <w:t>基金份额持有人信息</w:t>
      </w:r>
      <w:r>
        <w:rPr>
          <w:lang/>
        </w:rPr>
        <w:tab/>
      </w:r>
      <w:r>
        <w:rPr>
          <w:lang/>
        </w:rPr>
        <w:fldChar w:fldCharType="begin"/>
      </w:r>
      <w:r>
        <w:rPr>
          <w:lang/>
        </w:rPr>
        <w:instrText xml:space="preserve"> PAGEREF _Toc477943980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"_Toc477943981"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9.1 </w:t>
      </w:r>
      <w:r>
        <w:rPr>
          <w:rStyle w:val="10"/>
          <w:rFonts w:hint="eastAsia" w:ascii="Times New Roman" w:hAnsi="Times New Roman" w:cs="宋体"/>
          <w:b/>
          <w:bCs/>
          <w:kern w:val="0"/>
          <w:lang/>
        </w:rPr>
        <w:t>期末基金份额持有人户数及持有人结构</w:t>
      </w:r>
      <w:r>
        <w:rPr>
          <w:lang/>
        </w:rPr>
        <w:tab/>
      </w:r>
      <w:r>
        <w:rPr>
          <w:lang/>
        </w:rPr>
        <w:fldChar w:fldCharType="begin"/>
      </w:r>
      <w:r>
        <w:rPr>
          <w:lang/>
        </w:rPr>
        <w:instrText xml:space="preserve"> PAGEREF _Toc477943981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"_Toc477943982"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9.2 </w:t>
      </w:r>
      <w:r>
        <w:rPr>
          <w:rStyle w:val="10"/>
          <w:rFonts w:hint="eastAsia" w:ascii="Times New Roman" w:hAnsi="Times New Roman" w:cs="宋体"/>
          <w:b/>
          <w:bCs/>
          <w:kern w:val="0"/>
          <w:lang/>
        </w:rPr>
        <w:t>期末基金管理人的从业人员持有本基金的情况</w:t>
      </w:r>
      <w:r>
        <w:rPr>
          <w:lang/>
        </w:rPr>
        <w:tab/>
      </w:r>
      <w:r>
        <w:rPr>
          <w:lang/>
        </w:rPr>
        <w:fldChar w:fldCharType="begin"/>
      </w:r>
      <w:r>
        <w:rPr>
          <w:lang/>
        </w:rPr>
        <w:instrText xml:space="preserve"> PAGEREF _Toc477943982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"_Toc477943983"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9.3 </w:t>
      </w:r>
      <w:r>
        <w:rPr>
          <w:rStyle w:val="10"/>
          <w:rFonts w:hint="eastAsia" w:ascii="Times New Roman" w:hAnsi="Times New Roman" w:cs="宋体"/>
          <w:b/>
          <w:bCs/>
          <w:kern w:val="0"/>
          <w:lang/>
        </w:rPr>
        <w:t>期末基金管理人的从业人员持有本开放式基金份额总量区间情况</w:t>
      </w:r>
      <w:r>
        <w:rPr>
          <w:lang/>
        </w:rPr>
        <w:tab/>
      </w:r>
      <w:r>
        <w:rPr>
          <w:lang/>
        </w:rPr>
        <w:fldChar w:fldCharType="begin"/>
      </w:r>
      <w:r>
        <w:rPr>
          <w:lang/>
        </w:rPr>
        <w:instrText xml:space="preserve"> PAGEREF _Toc477943983 \h </w:instrText>
      </w:r>
      <w:r>
        <w:rPr>
          <w:lang/>
        </w:rPr>
        <w:fldChar w:fldCharType="separate"/>
      </w:r>
      <w:r>
        <w:rPr>
          <w:lang/>
        </w:rPr>
        <w:t>44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"_Toc477943984"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§10 </w:t>
      </w:r>
      <w:r>
        <w:rPr>
          <w:rStyle w:val="10"/>
          <w:rFonts w:hint="eastAsia" w:ascii="Times New Roman" w:hAnsi="Times New Roman" w:cs="宋体"/>
          <w:b/>
          <w:bCs/>
          <w:kern w:val="0"/>
          <w:lang/>
        </w:rPr>
        <w:t>开放式基金份额变动</w:t>
      </w:r>
      <w:r>
        <w:rPr>
          <w:lang/>
        </w:rPr>
        <w:tab/>
      </w:r>
      <w:r>
        <w:rPr>
          <w:lang/>
        </w:rPr>
        <w:fldChar w:fldCharType="begin"/>
      </w:r>
      <w:r>
        <w:rPr>
          <w:lang/>
        </w:rPr>
        <w:instrText xml:space="preserve"> PAGEREF _Toc477943984 \h </w:instrText>
      </w:r>
      <w:r>
        <w:rPr>
          <w:lang/>
        </w:rPr>
        <w:fldChar w:fldCharType="separate"/>
      </w:r>
      <w:r>
        <w:rPr>
          <w:lang/>
        </w:rPr>
        <w:t>45</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"_Toc477943985"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重大事件揭示</w:t>
      </w:r>
      <w:r>
        <w:rPr>
          <w:lang/>
        </w:rPr>
        <w:tab/>
      </w:r>
      <w:r>
        <w:rPr>
          <w:lang/>
        </w:rPr>
        <w:fldChar w:fldCharType="begin"/>
      </w:r>
      <w:r>
        <w:rPr>
          <w:lang/>
        </w:rPr>
        <w:instrText xml:space="preserve"> PAGEREF _Toc477943985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"_Toc477943986"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11.1 </w:t>
      </w:r>
      <w:r>
        <w:rPr>
          <w:rStyle w:val="10"/>
          <w:rFonts w:hint="eastAsia" w:ascii="Times New Roman" w:hAnsi="Times New Roman" w:cs="宋体"/>
          <w:b/>
          <w:bCs/>
          <w:kern w:val="0"/>
          <w:lang/>
        </w:rPr>
        <w:t>基金份额持有人大会决议</w:t>
      </w:r>
      <w:r>
        <w:rPr>
          <w:lang/>
        </w:rPr>
        <w:tab/>
      </w:r>
      <w:r>
        <w:rPr>
          <w:lang/>
        </w:rPr>
        <w:fldChar w:fldCharType="begin"/>
      </w:r>
      <w:r>
        <w:rPr>
          <w:lang/>
        </w:rPr>
        <w:instrText xml:space="preserve"> PAGEREF _Toc477943986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"_Toc477943987"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11.2 </w:t>
      </w:r>
      <w:r>
        <w:rPr>
          <w:rStyle w:val="10"/>
          <w:rFonts w:hint="eastAsia" w:ascii="Times New Roman" w:hAnsi="Times New Roman" w:cs="宋体"/>
          <w:b/>
          <w:bCs/>
          <w:kern w:val="0"/>
          <w:lang/>
        </w:rPr>
        <w:t>基金管理人、基金托管人的专门基金托管部门的重大人事变动</w:t>
      </w:r>
      <w:r>
        <w:rPr>
          <w:lang/>
        </w:rPr>
        <w:tab/>
      </w:r>
      <w:r>
        <w:rPr>
          <w:lang/>
        </w:rPr>
        <w:fldChar w:fldCharType="begin"/>
      </w:r>
      <w:r>
        <w:rPr>
          <w:lang/>
        </w:rPr>
        <w:instrText xml:space="preserve"> PAGEREF _Toc477943987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"_Toc477943988"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11.3 </w:t>
      </w:r>
      <w:r>
        <w:rPr>
          <w:rStyle w:val="10"/>
          <w:rFonts w:hint="eastAsia" w:ascii="Times New Roman" w:hAnsi="Times New Roman" w:cs="宋体"/>
          <w:b/>
          <w:bCs/>
          <w:kern w:val="0"/>
          <w:lang/>
        </w:rPr>
        <w:t>涉及基金管理人、基金财产、基金托管业务的诉讼</w:t>
      </w:r>
      <w:r>
        <w:rPr>
          <w:lang/>
        </w:rPr>
        <w:tab/>
      </w:r>
      <w:r>
        <w:rPr>
          <w:lang/>
        </w:rPr>
        <w:fldChar w:fldCharType="begin"/>
      </w:r>
      <w:r>
        <w:rPr>
          <w:lang/>
        </w:rPr>
        <w:instrText xml:space="preserve"> PAGEREF _Toc477943988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"_Toc477943989"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11.4 </w:t>
      </w:r>
      <w:r>
        <w:rPr>
          <w:rStyle w:val="10"/>
          <w:rFonts w:hint="eastAsia" w:ascii="Times New Roman" w:hAnsi="Times New Roman" w:cs="宋体"/>
          <w:b/>
          <w:bCs/>
          <w:kern w:val="0"/>
          <w:lang/>
        </w:rPr>
        <w:t>基金投资策略的改变</w:t>
      </w:r>
      <w:r>
        <w:rPr>
          <w:lang/>
        </w:rPr>
        <w:tab/>
      </w:r>
      <w:r>
        <w:rPr>
          <w:lang/>
        </w:rPr>
        <w:fldChar w:fldCharType="begin"/>
      </w:r>
      <w:r>
        <w:rPr>
          <w:lang/>
        </w:rPr>
        <w:instrText xml:space="preserve"> PAGEREF _Toc477943989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"_Toc477943990"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11.5 </w:t>
      </w:r>
      <w:r>
        <w:rPr>
          <w:rStyle w:val="10"/>
          <w:rFonts w:hint="eastAsia" w:ascii="Times New Roman" w:hAnsi="Times New Roman" w:cs="宋体"/>
          <w:b/>
          <w:bCs/>
          <w:kern w:val="0"/>
          <w:lang/>
        </w:rPr>
        <w:t>为基金进行审计的会计师事务所情况</w:t>
      </w:r>
      <w:r>
        <w:rPr>
          <w:lang/>
        </w:rPr>
        <w:tab/>
      </w:r>
      <w:r>
        <w:rPr>
          <w:lang/>
        </w:rPr>
        <w:fldChar w:fldCharType="begin"/>
      </w:r>
      <w:r>
        <w:rPr>
          <w:lang/>
        </w:rPr>
        <w:instrText xml:space="preserve"> PAGEREF _Toc477943990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"_Toc477943991"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11.6 </w:t>
      </w:r>
      <w:r>
        <w:rPr>
          <w:rStyle w:val="10"/>
          <w:rFonts w:hint="eastAsia" w:ascii="Times New Roman" w:hAnsi="Times New Roman" w:cs="宋体"/>
          <w:b/>
          <w:bCs/>
          <w:kern w:val="0"/>
          <w:lang/>
        </w:rPr>
        <w:t>管理人、托管人及其高级管理人员受稽查或处罚等情况</w:t>
      </w:r>
      <w:r>
        <w:rPr>
          <w:lang/>
        </w:rPr>
        <w:tab/>
      </w:r>
      <w:r>
        <w:rPr>
          <w:lang/>
        </w:rPr>
        <w:fldChar w:fldCharType="begin"/>
      </w:r>
      <w:r>
        <w:rPr>
          <w:lang/>
        </w:rPr>
        <w:instrText xml:space="preserve"> PAGEREF _Toc477943991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"_Toc477943992"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11.7 </w:t>
      </w:r>
      <w:r>
        <w:rPr>
          <w:rStyle w:val="10"/>
          <w:rFonts w:hint="eastAsia" w:ascii="Times New Roman" w:hAnsi="Times New Roman" w:cs="宋体"/>
          <w:b/>
          <w:bCs/>
          <w:kern w:val="0"/>
          <w:lang/>
        </w:rPr>
        <w:t>基金租用证券公司交易单元的有关情况</w:t>
      </w:r>
      <w:r>
        <w:rPr>
          <w:lang/>
        </w:rPr>
        <w:tab/>
      </w:r>
      <w:r>
        <w:rPr>
          <w:lang/>
        </w:rPr>
        <w:fldChar w:fldCharType="begin"/>
      </w:r>
      <w:r>
        <w:rPr>
          <w:lang/>
        </w:rPr>
        <w:instrText xml:space="preserve"> PAGEREF _Toc477943992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"_Toc477943993"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11.8 </w:t>
      </w:r>
      <w:r>
        <w:rPr>
          <w:rStyle w:val="10"/>
          <w:rFonts w:hint="eastAsia" w:ascii="Times New Roman" w:hAnsi="Times New Roman" w:cs="宋体"/>
          <w:b/>
          <w:bCs/>
          <w:kern w:val="0"/>
          <w:lang/>
        </w:rPr>
        <w:t>其他重大事件</w:t>
      </w:r>
      <w:r>
        <w:rPr>
          <w:lang/>
        </w:rPr>
        <w:tab/>
      </w:r>
      <w:r>
        <w:rPr>
          <w:lang/>
        </w:rPr>
        <w:fldChar w:fldCharType="begin"/>
      </w:r>
      <w:r>
        <w:rPr>
          <w:lang/>
        </w:rPr>
        <w:instrText xml:space="preserve"> PAGEREF _Toc477943993 \h </w:instrText>
      </w:r>
      <w:r>
        <w:rPr>
          <w:lang/>
        </w:rPr>
        <w:fldChar w:fldCharType="separate"/>
      </w:r>
      <w:r>
        <w:rPr>
          <w:lang/>
        </w:rPr>
        <w:t>46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"_Toc477943994"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影响投资者决策的其他重要信息</w:t>
      </w:r>
      <w:r>
        <w:rPr>
          <w:lang/>
        </w:rPr>
        <w:tab/>
      </w:r>
      <w:r>
        <w:rPr>
          <w:lang/>
        </w:rPr>
        <w:fldChar w:fldCharType="begin"/>
      </w:r>
      <w:r>
        <w:rPr>
          <w:lang/>
        </w:rPr>
        <w:instrText xml:space="preserve"> PAGEREF _Toc477943994 \h </w:instrText>
      </w:r>
      <w:r>
        <w:rPr>
          <w:lang/>
        </w:rPr>
        <w:fldChar w:fldCharType="separate"/>
      </w:r>
      <w:r>
        <w:rPr>
          <w:lang/>
        </w:rPr>
        <w:t>48</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"_Toc477943995"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_Toc477943995 \h </w:instrText>
      </w:r>
      <w:r>
        <w:rPr>
          <w:lang/>
        </w:rPr>
        <w:fldChar w:fldCharType="separate"/>
      </w:r>
      <w:r>
        <w:rPr>
          <w:lang/>
        </w:rPr>
        <w:t>48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"_Toc477943996"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13.1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_Toc477943996 \h </w:instrText>
      </w:r>
      <w:r>
        <w:rPr>
          <w:lang/>
        </w:rPr>
        <w:fldChar w:fldCharType="separate"/>
      </w:r>
      <w:r>
        <w:rPr>
          <w:lang/>
        </w:rPr>
        <w:t>48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"_Toc477943997"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13.2 </w:t>
      </w:r>
      <w:r>
        <w:rPr>
          <w:rStyle w:val="10"/>
          <w:rFonts w:hint="eastAsia" w:ascii="Times New Roman" w:hAnsi="Times New Roman" w:cs="宋体"/>
          <w:b/>
          <w:bCs/>
          <w:kern w:val="0"/>
          <w:lang/>
        </w:rPr>
        <w:t>存放地点</w:t>
      </w:r>
      <w:r>
        <w:rPr>
          <w:lang/>
        </w:rPr>
        <w:tab/>
      </w:r>
      <w:r>
        <w:rPr>
          <w:lang/>
        </w:rPr>
        <w:fldChar w:fldCharType="begin"/>
      </w:r>
      <w:r>
        <w:rPr>
          <w:lang/>
        </w:rPr>
        <w:instrText xml:space="preserve"> PAGEREF _Toc477943997 \h </w:instrText>
      </w:r>
      <w:r>
        <w:rPr>
          <w:lang/>
        </w:rPr>
        <w:fldChar w:fldCharType="separate"/>
      </w:r>
      <w:r>
        <w:rPr>
          <w:lang/>
        </w:rPr>
        <w:t>48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"_Toc477943998"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13.3 </w:t>
      </w:r>
      <w:r>
        <w:rPr>
          <w:rStyle w:val="10"/>
          <w:rFonts w:hint="eastAsia" w:ascii="Times New Roman" w:hAnsi="Times New Roman" w:cs="宋体"/>
          <w:b/>
          <w:bCs/>
          <w:kern w:val="0"/>
          <w:lang/>
        </w:rPr>
        <w:t>查阅方式</w:t>
      </w:r>
      <w:r>
        <w:rPr>
          <w:lang/>
        </w:rPr>
        <w:tab/>
      </w:r>
      <w:r>
        <w:rPr>
          <w:lang/>
        </w:rPr>
        <w:fldChar w:fldCharType="begin"/>
      </w:r>
      <w:r>
        <w:rPr>
          <w:lang/>
        </w:rPr>
        <w:instrText xml:space="preserve"> PAGEREF _Toc477943998 \h </w:instrText>
      </w:r>
      <w:r>
        <w:rPr>
          <w:lang/>
        </w:rPr>
        <w:fldChar w:fldCharType="separate"/>
      </w:r>
      <w:r>
        <w:rPr>
          <w:lang/>
        </w:rPr>
        <w:t>48</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 w:name="_Toc477943937"/>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2  </w:t>
      </w:r>
      <w:r>
        <w:rPr>
          <w:rFonts w:hint="eastAsia" w:ascii="Times New Roman" w:hAnsi="Times New Roman" w:cs="宋体"/>
          <w:b/>
          <w:bCs/>
          <w:color w:val="000000"/>
          <w:kern w:val="0"/>
          <w:sz w:val="24"/>
          <w:szCs w:val="24"/>
        </w:rPr>
        <w:t>基金简介</w:t>
      </w:r>
      <w:bookmarkEnd w:id="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 w:name="_Toc477943938"/>
      <w:r>
        <w:rPr>
          <w:rFonts w:ascii="Times New Roman" w:hAnsi="Times New Roman" w:cs="宋体"/>
          <w:b/>
          <w:bCs/>
          <w:color w:val="000000"/>
          <w:kern w:val="0"/>
          <w:sz w:val="24"/>
          <w:szCs w:val="24"/>
        </w:rPr>
        <w:t xml:space="preserve">2.1 </w:t>
      </w:r>
      <w:r>
        <w:rPr>
          <w:rFonts w:hint="eastAsia" w:ascii="Times New Roman" w:hAnsi="Times New Roman" w:cs="宋体"/>
          <w:b/>
          <w:bCs/>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基金简称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基金主代码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002438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基金运作方式</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报告期末基金份额总额</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539,931,715.48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基金合同存续期</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不定期</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 w:name="_Toc477943939"/>
      <w:r>
        <w:rPr>
          <w:rFonts w:ascii="Times New Roman" w:hAnsi="Times New Roman" w:cs="宋体"/>
          <w:b/>
          <w:bCs/>
          <w:color w:val="000000"/>
          <w:kern w:val="0"/>
          <w:sz w:val="24"/>
          <w:szCs w:val="24"/>
        </w:rPr>
        <w:t xml:space="preserve">2.2 </w:t>
      </w:r>
      <w:r>
        <w:rPr>
          <w:rFonts w:hint="eastAsia" w:ascii="Times New Roman" w:hAnsi="Times New Roman" w:cs="宋体"/>
          <w:b/>
          <w:bCs/>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本基金为债券型基金，长期来看，其预期风险和预期收益水平低于股票型基金、混合型基金，高于货币市场基金。</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 w:name="_Toc477943940"/>
      <w:r>
        <w:rPr>
          <w:rFonts w:ascii="Times New Roman" w:hAnsi="Times New Roman" w:cs="宋体"/>
          <w:b/>
          <w:bCs/>
          <w:color w:val="000000"/>
          <w:kern w:val="0"/>
          <w:sz w:val="24"/>
          <w:szCs w:val="24"/>
        </w:rPr>
        <w:t xml:space="preserve">2.3 </w:t>
      </w:r>
      <w:r>
        <w:rPr>
          <w:rFonts w:hint="eastAsia" w:ascii="Times New Roman" w:hAnsi="Times New Roman" w:cs="宋体"/>
          <w:b/>
          <w:bCs/>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082"/>
        <w:gridCol w:w="1444"/>
        <w:gridCol w:w="3251"/>
        <w:gridCol w:w="3251"/>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张燕</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0755-83199084</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深圳市前海深港合作区前湾一路</w:t>
            </w:r>
            <w:r>
              <w:rPr>
                <w:rFonts w:ascii="Times New Roman" w:hAnsi="Times New Roman" w:cs="宋体"/>
                <w:color w:val="000000"/>
                <w:kern w:val="0"/>
                <w:sz w:val="24"/>
                <w:szCs w:val="24"/>
              </w:rPr>
              <w:t xml:space="preserve"> 1</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栋</w:t>
            </w:r>
            <w:r>
              <w:rPr>
                <w:rFonts w:ascii="Times New Roman" w:hAnsi="Times New Roman" w:cs="宋体"/>
                <w:color w:val="000000"/>
                <w:kern w:val="0"/>
                <w:sz w:val="24"/>
                <w:szCs w:val="24"/>
              </w:rPr>
              <w:t xml:space="preserve">201 </w:t>
            </w:r>
            <w:r>
              <w:rPr>
                <w:rFonts w:hint="eastAsia" w:ascii="Times New Roman" w:hAnsi="Times New Roman" w:cs="宋体"/>
                <w:color w:val="000000"/>
                <w:kern w:val="0"/>
                <w:sz w:val="24"/>
                <w:szCs w:val="24"/>
              </w:rPr>
              <w:t>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olor w:val="000000"/>
                <w:kern w:val="0"/>
                <w:sz w:val="24"/>
                <w:szCs w:val="24"/>
              </w:rPr>
              <w:t>深圳市</w:t>
            </w:r>
            <w:r>
              <w:rPr>
                <w:rFonts w:hint="eastAsia" w:ascii="Times New Roman" w:hAnsi="Times New Roman" w:cs="宋体"/>
                <w:color w:val="000000"/>
                <w:kern w:val="0"/>
                <w:sz w:val="24"/>
                <w:szCs w:val="24"/>
              </w:rPr>
              <w:t>深南大道</w:t>
            </w:r>
            <w:r>
              <w:rPr>
                <w:rFonts w:ascii="Times New Roman" w:hAnsi="Times New Roman" w:cs="宋体"/>
                <w:color w:val="000000"/>
                <w:kern w:val="0"/>
                <w:sz w:val="24"/>
                <w:szCs w:val="24"/>
              </w:rPr>
              <w:t>7088</w:t>
            </w:r>
            <w:r>
              <w:rPr>
                <w:rFonts w:hint="eastAsia" w:ascii="Times New Roman" w:hAnsi="Times New Roman" w:cs="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olor w:val="000000"/>
                <w:kern w:val="0"/>
                <w:sz w:val="24"/>
                <w:szCs w:val="24"/>
              </w:rPr>
              <w:t>深圳市</w:t>
            </w:r>
            <w:r>
              <w:rPr>
                <w:rFonts w:hint="eastAsia" w:ascii="Times New Roman" w:hAnsi="Times New Roman" w:cs="宋体"/>
                <w:color w:val="000000"/>
                <w:kern w:val="0"/>
                <w:sz w:val="24"/>
                <w:szCs w:val="24"/>
              </w:rPr>
              <w:t>深南大道</w:t>
            </w:r>
            <w:r>
              <w:rPr>
                <w:rFonts w:ascii="Times New Roman" w:hAnsi="Times New Roman" w:cs="宋体"/>
                <w:color w:val="000000"/>
                <w:kern w:val="0"/>
                <w:sz w:val="24"/>
                <w:szCs w:val="24"/>
              </w:rPr>
              <w:t>7088</w:t>
            </w:r>
            <w:r>
              <w:rPr>
                <w:rFonts w:hint="eastAsia" w:ascii="Times New Roman" w:hAnsi="Times New Roman" w:cs="宋体"/>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李建红</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7" w:name="_Toc477943941"/>
      <w:r>
        <w:rPr>
          <w:rFonts w:ascii="Times New Roman" w:hAnsi="Times New Roman" w:cs="宋体"/>
          <w:b/>
          <w:bCs/>
          <w:color w:val="000000"/>
          <w:kern w:val="0"/>
          <w:sz w:val="24"/>
          <w:szCs w:val="24"/>
        </w:rPr>
        <w:t xml:space="preserve">2.4 </w:t>
      </w:r>
      <w:r>
        <w:rPr>
          <w:rFonts w:hint="eastAsia" w:ascii="Times New Roman" w:hAnsi="Times New Roman" w:cs="宋体"/>
          <w:b/>
          <w:bCs/>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2526"/>
        <w:gridCol w:w="650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8" w:name="_Toc477943942"/>
      <w:r>
        <w:rPr>
          <w:rFonts w:ascii="Times New Roman" w:hAnsi="Times New Roman" w:cs="宋体"/>
          <w:b/>
          <w:bCs/>
          <w:color w:val="000000"/>
          <w:kern w:val="0"/>
          <w:sz w:val="24"/>
          <w:szCs w:val="24"/>
        </w:rPr>
        <w:t xml:space="preserve">2.5 </w:t>
      </w:r>
      <w:r>
        <w:rPr>
          <w:rFonts w:hint="eastAsia" w:ascii="Times New Roman" w:hAnsi="Times New Roman" w:cs="宋体"/>
          <w:b/>
          <w:bCs/>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2165"/>
        <w:gridCol w:w="3251"/>
        <w:gridCol w:w="3612"/>
      </w:tblGrid>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毕马威华振会计师事务所（特殊普通合伙）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北京市东城区东长安街</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号东方广场东</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座办公楼</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层</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9" w:name="_Toc47794394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3  </w:t>
      </w:r>
      <w:r>
        <w:rPr>
          <w:rFonts w:hint="eastAsia" w:ascii="Times New Roman" w:hAnsi="Times New Roman" w:cs="宋体"/>
          <w:b/>
          <w:bCs/>
          <w:color w:val="000000"/>
          <w:kern w:val="0"/>
          <w:sz w:val="24"/>
          <w:szCs w:val="24"/>
        </w:rPr>
        <w:t>主要财务指标、基金净值表现及利润分配情况</w:t>
      </w:r>
      <w:bookmarkEnd w:id="9"/>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0" w:name="_Toc477943944"/>
      <w:r>
        <w:rPr>
          <w:rFonts w:ascii="Times New Roman" w:hAnsi="Times New Roman" w:cs="宋体"/>
          <w:b/>
          <w:bCs/>
          <w:color w:val="000000"/>
          <w:kern w:val="0"/>
          <w:sz w:val="24"/>
          <w:szCs w:val="24"/>
        </w:rPr>
        <w:t xml:space="preserve">3.1 </w:t>
      </w:r>
      <w:r>
        <w:rPr>
          <w:rFonts w:hint="eastAsia" w:ascii="Times New Roman" w:hAnsi="Times New Roman" w:cs="宋体"/>
          <w:b/>
          <w:bCs/>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3.1.1 </w:t>
            </w:r>
            <w:r>
              <w:rPr>
                <w:rFonts w:hint="eastAsia" w:ascii="Times New Roman" w:hAnsi="Times New Roman" w:cs="宋体"/>
                <w:b/>
                <w:bCs/>
                <w:color w:val="000000"/>
                <w:kern w:val="0"/>
                <w:sz w:val="24"/>
                <w:szCs w:val="24"/>
              </w:rPr>
              <w:t>期间数据和指标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本期已实现收益</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17,241,205.09</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11,451,510.54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0.0248</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本期加权平均净值利润率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3.1.2 </w:t>
            </w:r>
            <w:r>
              <w:rPr>
                <w:rFonts w:hint="eastAsia" w:ascii="Times New Roman" w:hAnsi="Times New Roman" w:cs="宋体"/>
                <w:b/>
                <w:bCs/>
                <w:color w:val="000000"/>
                <w:kern w:val="0"/>
                <w:sz w:val="24"/>
                <w:szCs w:val="24"/>
              </w:rPr>
              <w:t>期末数据和指标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11,548,189.41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0.0214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期末基金资产净值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551,479,904.89</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期末基金份额净值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3.1.3 </w:t>
            </w:r>
            <w:r>
              <w:rPr>
                <w:rFonts w:hint="eastAsia" w:ascii="Times New Roman" w:hAnsi="Times New Roman" w:cs="宋体"/>
                <w:b/>
                <w:bCs/>
                <w:color w:val="000000"/>
                <w:kern w:val="0"/>
                <w:sz w:val="24"/>
                <w:szCs w:val="24"/>
              </w:rPr>
              <w:t>累计期末指标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基金份额累计净值增长率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上述基金业绩指标不包括持有人认购或交易基金的各项费用</w:t>
      </w:r>
      <w:r>
        <w:rPr>
          <w:rFonts w:ascii="Times New Roman" w:hAnsi="Times New Roman" w:cs="宋体"/>
          <w:color w:val="000000"/>
          <w:kern w:val="0"/>
          <w:szCs w:val="21"/>
        </w:rPr>
        <w:t>,</w:t>
      </w:r>
      <w:r>
        <w:rPr>
          <w:rFonts w:hint="eastAsia" w:ascii="Times New Roman" w:hAnsi="Times New Roman" w:cs="宋体"/>
          <w:color w:val="000000"/>
          <w:kern w:val="0"/>
          <w:szCs w:val="21"/>
        </w:rPr>
        <w:t>计入费用后实际收益水平要低于所列数字。</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本期已实现收益指基金本期利息收入、投资收益、其他收入</w:t>
      </w:r>
      <w:r>
        <w:rPr>
          <w:rFonts w:ascii="Times New Roman" w:hAnsi="Times New Roman" w:cs="宋体"/>
          <w:color w:val="000000"/>
          <w:kern w:val="0"/>
          <w:szCs w:val="21"/>
        </w:rPr>
        <w:t>(</w:t>
      </w:r>
      <w:r>
        <w:rPr>
          <w:rFonts w:hint="eastAsia" w:ascii="Times New Roman" w:hAnsi="Times New Roman" w:cs="宋体"/>
          <w:color w:val="000000"/>
          <w:kern w:val="0"/>
          <w:szCs w:val="21"/>
        </w:rPr>
        <w:t>不含公允价值变动收益</w:t>
      </w:r>
      <w:r>
        <w:rPr>
          <w:rFonts w:ascii="Times New Roman" w:hAnsi="Times New Roman" w:cs="宋体"/>
          <w:color w:val="000000"/>
          <w:kern w:val="0"/>
          <w:szCs w:val="21"/>
        </w:rPr>
        <w:t>)</w:t>
      </w:r>
      <w:r>
        <w:rPr>
          <w:rFonts w:hint="eastAsia" w:ascii="Times New Roman" w:hAnsi="Times New Roman" w:cs="宋体"/>
          <w:color w:val="000000"/>
          <w:kern w:val="0"/>
          <w:szCs w:val="21"/>
        </w:rPr>
        <w:t>扣除相关费用后的余额</w:t>
      </w:r>
      <w:r>
        <w:rPr>
          <w:rFonts w:ascii="Times New Roman" w:hAnsi="Times New Roman" w:cs="宋体"/>
          <w:color w:val="000000"/>
          <w:kern w:val="0"/>
          <w:szCs w:val="21"/>
        </w:rPr>
        <w:t>,</w:t>
      </w:r>
      <w:r>
        <w:rPr>
          <w:rFonts w:hint="eastAsia" w:ascii="Times New Roman" w:hAnsi="Times New Roman" w:cs="宋体"/>
          <w:color w:val="000000"/>
          <w:kern w:val="0"/>
          <w:szCs w:val="21"/>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3.</w:t>
      </w:r>
      <w:r>
        <w:rPr>
          <w:rFonts w:hint="eastAsia" w:ascii="Times New Roman" w:hAnsi="Times New Roman" w:cs="宋体"/>
          <w:color w:val="000000"/>
          <w:kern w:val="0"/>
          <w:szCs w:val="21"/>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4.</w:t>
      </w:r>
      <w:r>
        <w:rPr>
          <w:rFonts w:hint="eastAsia" w:ascii="Times New Roman" w:hAnsi="Times New Roman" w:cs="宋体"/>
          <w:color w:val="000000"/>
          <w:kern w:val="0"/>
          <w:szCs w:val="21"/>
        </w:rPr>
        <w:t>本基金合同生效日为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26</w:t>
      </w:r>
      <w:r>
        <w:rPr>
          <w:rFonts w:hint="eastAsia" w:ascii="Times New Roman" w:hAnsi="Times New Roman" w:cs="宋体"/>
          <w:color w:val="000000"/>
          <w:kern w:val="0"/>
          <w:szCs w:val="21"/>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1" w:name="_Toc477943945"/>
      <w:r>
        <w:rPr>
          <w:rFonts w:ascii="Times New Roman" w:hAnsi="Times New Roman" w:cs="宋体"/>
          <w:b/>
          <w:bCs/>
          <w:color w:val="000000"/>
          <w:kern w:val="0"/>
          <w:sz w:val="24"/>
          <w:szCs w:val="24"/>
        </w:rPr>
        <w:t xml:space="preserve">3.2 </w:t>
      </w:r>
      <w:r>
        <w:rPr>
          <w:rFonts w:hint="eastAsia" w:ascii="Times New Roman" w:hAnsi="Times New Roman" w:cs="宋体"/>
          <w:b/>
          <w:bCs/>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3.2.1 </w:t>
      </w:r>
      <w:r>
        <w:rPr>
          <w:rFonts w:hint="eastAsia" w:ascii="Times New Roman" w:hAnsi="Times New Roman" w:cs="宋体"/>
          <w:b/>
          <w:bCs/>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阶段</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①</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②</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④</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0.00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自基金合同生效日起至今（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02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3.2.2 </w:t>
      </w:r>
      <w:r>
        <w:rPr>
          <w:rFonts w:hint="eastAsia" w:ascii="Times New Roman" w:hAnsi="Times New Roman" w:cs="宋体"/>
          <w:b/>
          <w:bCs/>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3.95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3.2.3 </w:t>
      </w:r>
      <w:r>
        <w:rPr>
          <w:rFonts w:hint="eastAsia" w:ascii="Times New Roman" w:hAnsi="Times New Roman" w:cs="宋体"/>
          <w:b/>
          <w:bCs/>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2" w:name="_Toc477943946"/>
      <w:r>
        <w:rPr>
          <w:rFonts w:ascii="Times New Roman" w:hAnsi="Times New Roman" w:cs="宋体"/>
          <w:b/>
          <w:bCs/>
          <w:color w:val="000000"/>
          <w:kern w:val="0"/>
          <w:sz w:val="24"/>
          <w:szCs w:val="24"/>
        </w:rPr>
        <w:t xml:space="preserve">3.3 </w:t>
      </w:r>
      <w:r>
        <w:rPr>
          <w:rFonts w:hint="eastAsia" w:ascii="Times New Roman" w:hAnsi="Times New Roman" w:cs="宋体"/>
          <w:b/>
          <w:bCs/>
          <w:color w:val="000000"/>
          <w:kern w:val="0"/>
          <w:sz w:val="24"/>
          <w:szCs w:val="24"/>
        </w:rPr>
        <w:t>过去三年基金的利润分配情况</w:t>
      </w:r>
      <w:bookmarkEnd w:id="12"/>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本基金自基金合同生效日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至本报告期末未发生利润分配。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13" w:name="_Toc477943947"/>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4  </w:t>
      </w:r>
      <w:r>
        <w:rPr>
          <w:rFonts w:hint="eastAsia" w:ascii="Times New Roman" w:hAnsi="Times New Roman" w:cs="宋体"/>
          <w:b/>
          <w:bCs/>
          <w:color w:val="000000"/>
          <w:kern w:val="0"/>
          <w:sz w:val="24"/>
          <w:szCs w:val="24"/>
        </w:rPr>
        <w:t>管理人报告</w:t>
      </w:r>
      <w:bookmarkEnd w:id="1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4" w:name="_Toc477943948"/>
      <w:r>
        <w:rPr>
          <w:rFonts w:ascii="Times New Roman" w:hAnsi="Times New Roman" w:cs="宋体"/>
          <w:b/>
          <w:bCs/>
          <w:color w:val="000000"/>
          <w:kern w:val="0"/>
          <w:sz w:val="24"/>
          <w:szCs w:val="24"/>
        </w:rPr>
        <w:t xml:space="preserve">4.1 </w:t>
      </w:r>
      <w:r>
        <w:rPr>
          <w:rFonts w:hint="eastAsia" w:ascii="Times New Roman" w:hAnsi="Times New Roman" w:cs="宋体"/>
          <w:b/>
          <w:bCs/>
          <w:color w:val="000000"/>
          <w:kern w:val="0"/>
          <w:sz w:val="24"/>
          <w:szCs w:val="24"/>
        </w:rPr>
        <w:t>基金管理人及基金经理情况</w:t>
      </w:r>
      <w:bookmarkEnd w:id="14"/>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4.1.1 </w:t>
      </w:r>
      <w:r>
        <w:rPr>
          <w:rFonts w:hint="eastAsia" w:ascii="Times New Roman" w:hAnsi="Times New Roman" w:cs="宋体"/>
          <w:b/>
          <w:bCs/>
          <w:color w:val="000000"/>
          <w:kern w:val="0"/>
          <w:sz w:val="24"/>
          <w:szCs w:val="24"/>
        </w:rPr>
        <w:t>基金管理人及其管理基金的经验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创金合信基金管理有限公司于</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日获得中国证监会批复，</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亿元人民币，股东出资情况为：第一创业证券股份有限公司出资</w:t>
      </w:r>
      <w:r>
        <w:rPr>
          <w:rFonts w:ascii="Times New Roman" w:hAnsi="Times New Roman" w:cs="宋体"/>
          <w:color w:val="000000"/>
          <w:kern w:val="0"/>
          <w:sz w:val="24"/>
          <w:szCs w:val="24"/>
        </w:rPr>
        <w:t>11,900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70%</w:t>
      </w:r>
      <w:r>
        <w:rPr>
          <w:rFonts w:hint="eastAsia" w:ascii="Times New Roman" w:hAnsi="Times New Roman" w:cs="宋体"/>
          <w:color w:val="000000"/>
          <w:kern w:val="0"/>
          <w:sz w:val="24"/>
          <w:szCs w:val="24"/>
        </w:rPr>
        <w:t>；深圳市金合信投资合伙企业（有限合伙）出资</w:t>
      </w:r>
      <w:r>
        <w:rPr>
          <w:rFonts w:ascii="Times New Roman" w:hAnsi="Times New Roman" w:cs="宋体"/>
          <w:color w:val="000000"/>
          <w:kern w:val="0"/>
          <w:sz w:val="24"/>
          <w:szCs w:val="24"/>
        </w:rPr>
        <w:t>5,100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30%</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公司始终坚持</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客户利益至上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报告期内，本公司共发行</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只公募基金。截至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日，本公司共管理</w:t>
      </w:r>
      <w:r>
        <w:rPr>
          <w:rFonts w:ascii="Times New Roman" w:hAnsi="Times New Roman" w:cs="宋体"/>
          <w:color w:val="000000"/>
          <w:kern w:val="0"/>
          <w:sz w:val="24"/>
          <w:szCs w:val="24"/>
        </w:rPr>
        <w:t>24</w:t>
      </w:r>
      <w:r>
        <w:rPr>
          <w:rFonts w:hint="eastAsia" w:ascii="Times New Roman" w:hAnsi="Times New Roman" w:cs="宋体"/>
          <w:color w:val="000000"/>
          <w:kern w:val="0"/>
          <w:sz w:val="24"/>
          <w:szCs w:val="24"/>
        </w:rPr>
        <w:t>只公募基金，其中混合型产品</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只、指数型产品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只、债券型产品</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只、股票型产品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只、货币型产品</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只；管理的公募基金规模约</w:t>
      </w:r>
      <w:r>
        <w:rPr>
          <w:rFonts w:ascii="Times New Roman" w:hAnsi="Times New Roman" w:cs="宋体"/>
          <w:color w:val="000000"/>
          <w:kern w:val="0"/>
          <w:sz w:val="24"/>
          <w:szCs w:val="24"/>
        </w:rPr>
        <w:t>142.74</w:t>
      </w:r>
      <w:r>
        <w:rPr>
          <w:rFonts w:hint="eastAsia" w:ascii="Times New Roman" w:hAnsi="Times New Roman" w:cs="宋体"/>
          <w:color w:val="000000"/>
          <w:kern w:val="0"/>
          <w:sz w:val="24"/>
          <w:szCs w:val="24"/>
        </w:rPr>
        <w:t>亿元。</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4.1.2 </w:t>
      </w:r>
      <w:r>
        <w:rPr>
          <w:rFonts w:hint="eastAsia" w:ascii="Times New Roman" w:hAnsi="Times New Roman" w:cs="宋体"/>
          <w:b/>
          <w:bCs/>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2"/>
        <w:gridCol w:w="1083"/>
        <w:gridCol w:w="1445"/>
        <w:gridCol w:w="1445"/>
        <w:gridCol w:w="1083"/>
        <w:gridCol w:w="2890"/>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说明</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郑振源先生，中国国籍，中国人民银行研究生部经济学硕士。</w:t>
            </w:r>
            <w:r>
              <w:rPr>
                <w:rFonts w:ascii="Times New Roman" w:hAnsi="Times New Roman" w:cs="宋体"/>
                <w:color w:val="000000"/>
                <w:kern w:val="0"/>
                <w:sz w:val="24"/>
                <w:szCs w:val="24"/>
              </w:rPr>
              <w:t>2009</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月加入第一创业证券研究所，担任宏观债券研究员。</w:t>
            </w:r>
            <w:r>
              <w:rPr>
                <w:rFonts w:ascii="Times New Roman" w:hAnsi="Times New Roman" w:cs="宋体"/>
                <w:color w:val="000000"/>
                <w:kern w:val="0"/>
                <w:sz w:val="24"/>
                <w:szCs w:val="24"/>
              </w:rPr>
              <w:t>2012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月加入第一创业证券资产管理部，先后担任宏观债券研究员、投资主办等职务。</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、证券从业年限计算的起止时间按照从事证券行业开始时间计算。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5" w:name="_Toc477943949"/>
      <w:r>
        <w:rPr>
          <w:rFonts w:ascii="Times New Roman" w:hAnsi="Times New Roman" w:cs="宋体"/>
          <w:b/>
          <w:bCs/>
          <w:color w:val="000000"/>
          <w:kern w:val="0"/>
          <w:sz w:val="24"/>
          <w:szCs w:val="24"/>
        </w:rPr>
        <w:t xml:space="preserve">4.2 </w:t>
      </w:r>
      <w:r>
        <w:rPr>
          <w:rFonts w:hint="eastAsia" w:ascii="Times New Roman" w:hAnsi="Times New Roman" w:cs="宋体"/>
          <w:b/>
          <w:bCs/>
          <w:color w:val="000000"/>
          <w:kern w:val="0"/>
          <w:sz w:val="24"/>
          <w:szCs w:val="24"/>
        </w:rPr>
        <w:t>管理人对报告期内本基金运作遵规守信情况的说明</w:t>
      </w:r>
      <w:bookmarkEnd w:id="1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尊盛纯债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6" w:name="_Toc477943950"/>
      <w:r>
        <w:rPr>
          <w:rFonts w:ascii="Times New Roman" w:hAnsi="Times New Roman" w:cs="宋体"/>
          <w:b/>
          <w:bCs/>
          <w:color w:val="000000"/>
          <w:kern w:val="0"/>
          <w:sz w:val="24"/>
          <w:szCs w:val="24"/>
        </w:rPr>
        <w:t xml:space="preserve">4.3 </w:t>
      </w:r>
      <w:r>
        <w:rPr>
          <w:rFonts w:hint="eastAsia" w:ascii="Times New Roman" w:hAnsi="Times New Roman" w:cs="宋体"/>
          <w:b/>
          <w:bCs/>
          <w:color w:val="000000"/>
          <w:kern w:val="0"/>
          <w:sz w:val="24"/>
          <w:szCs w:val="24"/>
        </w:rPr>
        <w:t>管理人对报告期内公平交易情况的专项说明</w:t>
      </w:r>
      <w:bookmarkEnd w:id="16"/>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4.3.1 </w:t>
      </w:r>
      <w:r>
        <w:rPr>
          <w:rFonts w:hint="eastAsia" w:ascii="Times New Roman" w:hAnsi="Times New Roman" w:cs="宋体"/>
          <w:b/>
          <w:bCs/>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为了进一步规范和完善本基金管理人（以下简称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、公平交易监控</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日内、</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4.3.2 </w:t>
      </w:r>
      <w:r>
        <w:rPr>
          <w:rFonts w:hint="eastAsia" w:ascii="Times New Roman" w:hAnsi="Times New Roman" w:cs="宋体"/>
          <w:b/>
          <w:bCs/>
          <w:color w:val="000000"/>
          <w:kern w:val="0"/>
          <w:sz w:val="24"/>
          <w:szCs w:val="24"/>
        </w:rPr>
        <w:t>公平交易制度的执行情况</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本基金管理人严格执行《证券投资基金管理公司公平交易制度指导意见（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4.3.3 </w:t>
      </w:r>
      <w:r>
        <w:rPr>
          <w:rFonts w:hint="eastAsia" w:ascii="Times New Roman" w:hAnsi="Times New Roman" w:cs="宋体"/>
          <w:b/>
          <w:bCs/>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7" w:name="_Toc477943951"/>
      <w:r>
        <w:rPr>
          <w:rFonts w:ascii="Times New Roman" w:hAnsi="Times New Roman" w:cs="宋体"/>
          <w:b/>
          <w:bCs/>
          <w:color w:val="000000"/>
          <w:kern w:val="0"/>
          <w:sz w:val="24"/>
          <w:szCs w:val="24"/>
        </w:rPr>
        <w:t xml:space="preserve">4.4 </w:t>
      </w:r>
      <w:r>
        <w:rPr>
          <w:rFonts w:hint="eastAsia" w:ascii="Times New Roman" w:hAnsi="Times New Roman" w:cs="宋体"/>
          <w:b/>
          <w:bCs/>
          <w:color w:val="000000"/>
          <w:kern w:val="0"/>
          <w:sz w:val="24"/>
          <w:szCs w:val="24"/>
        </w:rPr>
        <w:t>管理人对报告期内基金的投资策略和业绩表现的说明</w:t>
      </w:r>
      <w:bookmarkEnd w:id="1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4.4.1 </w:t>
      </w:r>
      <w:r>
        <w:rPr>
          <w:rFonts w:hint="eastAsia" w:ascii="Times New Roman" w:hAnsi="Times New Roman" w:cs="宋体"/>
          <w:b/>
          <w:bCs/>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年成为</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年以来债牛的末期，并在年底开始扭转走熊。主要变化因素在于：第一，</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年经济整体走平，步入</w:t>
      </w:r>
      <w:r>
        <w:rPr>
          <w:rFonts w:ascii="Times New Roman" w:hAnsi="Times New Roman" w:cs="宋体"/>
          <w:color w:val="000000"/>
          <w:kern w:val="0"/>
          <w:sz w:val="24"/>
          <w:szCs w:val="24"/>
        </w:rPr>
        <w:t>L</w:t>
      </w:r>
      <w:r>
        <w:rPr>
          <w:rFonts w:hint="eastAsia" w:ascii="Times New Roman" w:hAnsi="Times New Roman" w:cs="宋体"/>
          <w:color w:val="000000"/>
          <w:kern w:val="0"/>
          <w:sz w:val="24"/>
          <w:szCs w:val="24"/>
        </w:rPr>
        <w:t>型的底部阶段，而同时大宗商品价格暴涨、以房价为首的资产价格暴涨；第二，</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考核等宏观审慎措施。在上述因素变化下，同时叠加了流动性危机，年底债市收益率大幅上行，幅度普遍在</w:t>
      </w:r>
      <w:r>
        <w:rPr>
          <w:rFonts w:ascii="Times New Roman" w:hAnsi="Times New Roman" w:cs="宋体"/>
          <w:color w:val="000000"/>
          <w:kern w:val="0"/>
          <w:sz w:val="24"/>
          <w:szCs w:val="24"/>
        </w:rPr>
        <w:t>100-150bp</w:t>
      </w:r>
      <w:r>
        <w:rPr>
          <w:rFonts w:hint="eastAsia" w:ascii="Times New Roman" w:hAnsi="Times New Roman" w:cs="宋体"/>
          <w:color w:val="000000"/>
          <w:kern w:val="0"/>
          <w:sz w:val="24"/>
          <w:szCs w:val="24"/>
        </w:rPr>
        <w:t>。在债券市场极度紧张时期，央行及时释放流动性，守住系统性风险不发生的底线。</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4.4.2 </w:t>
      </w:r>
      <w:r>
        <w:rPr>
          <w:rFonts w:hint="eastAsia" w:ascii="Times New Roman" w:hAnsi="Times New Roman" w:cs="宋体"/>
          <w:b/>
          <w:bCs/>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年本基金净值增长率为</w:t>
      </w:r>
      <w:r>
        <w:rPr>
          <w:rFonts w:ascii="Times New Roman" w:hAnsi="Times New Roman" w:cs="宋体"/>
          <w:color w:val="000000"/>
          <w:kern w:val="0"/>
          <w:sz w:val="24"/>
          <w:szCs w:val="24"/>
        </w:rPr>
        <w:t>2.10%</w:t>
      </w:r>
      <w:r>
        <w:rPr>
          <w:rFonts w:hint="eastAsia" w:ascii="Times New Roman" w:hAnsi="Times New Roman" w:cs="宋体"/>
          <w:color w:val="000000"/>
          <w:kern w:val="0"/>
          <w:sz w:val="24"/>
          <w:szCs w:val="24"/>
        </w:rPr>
        <w:t>，同期业绩比较基准增长率为</w:t>
      </w:r>
      <w:r>
        <w:rPr>
          <w:rFonts w:ascii="Times New Roman" w:hAnsi="Times New Roman" w:cs="宋体"/>
          <w:color w:val="000000"/>
          <w:kern w:val="0"/>
          <w:sz w:val="24"/>
          <w:szCs w:val="24"/>
        </w:rPr>
        <w:t>-1.68%</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8" w:name="_Toc477943952"/>
      <w:r>
        <w:rPr>
          <w:rFonts w:ascii="Times New Roman" w:hAnsi="Times New Roman" w:cs="宋体"/>
          <w:b/>
          <w:bCs/>
          <w:color w:val="000000"/>
          <w:kern w:val="0"/>
          <w:sz w:val="24"/>
          <w:szCs w:val="24"/>
        </w:rPr>
        <w:t xml:space="preserve">4.5 </w:t>
      </w:r>
      <w:r>
        <w:rPr>
          <w:rFonts w:hint="eastAsia" w:ascii="Times New Roman" w:hAnsi="Times New Roman" w:cs="宋体"/>
          <w:b/>
          <w:bCs/>
          <w:color w:val="000000"/>
          <w:kern w:val="0"/>
          <w:sz w:val="24"/>
          <w:szCs w:val="24"/>
        </w:rPr>
        <w:t>管理人对宏观经济、证券市场及行业走势的简要展望</w:t>
      </w:r>
      <w:bookmarkEnd w:id="18"/>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9" w:name="_Toc477943953"/>
      <w:r>
        <w:rPr>
          <w:rFonts w:ascii="Times New Roman" w:hAnsi="Times New Roman" w:cs="宋体"/>
          <w:b/>
          <w:bCs/>
          <w:color w:val="000000"/>
          <w:kern w:val="0"/>
          <w:sz w:val="24"/>
          <w:szCs w:val="24"/>
        </w:rPr>
        <w:t xml:space="preserve">4.6 </w:t>
      </w:r>
      <w:r>
        <w:rPr>
          <w:rFonts w:hint="eastAsia" w:ascii="Times New Roman" w:hAnsi="Times New Roman" w:cs="宋体"/>
          <w:b/>
          <w:bCs/>
          <w:color w:val="000000"/>
          <w:kern w:val="0"/>
          <w:sz w:val="24"/>
          <w:szCs w:val="24"/>
        </w:rPr>
        <w:t>管理人内部有关本基金的监察稽核工作情况</w:t>
      </w:r>
      <w:bookmarkEnd w:id="19"/>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本报告期内，本基金管理人的主要内部监察稽核工作如下：</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0" w:name="_Toc477943954"/>
      <w:r>
        <w:rPr>
          <w:rFonts w:ascii="Times New Roman" w:hAnsi="Times New Roman" w:cs="宋体"/>
          <w:b/>
          <w:bCs/>
          <w:color w:val="000000"/>
          <w:kern w:val="0"/>
          <w:sz w:val="24"/>
          <w:szCs w:val="24"/>
        </w:rPr>
        <w:t xml:space="preserve">4.7 </w:t>
      </w:r>
      <w:r>
        <w:rPr>
          <w:rFonts w:hint="eastAsia" w:ascii="Times New Roman" w:hAnsi="Times New Roman" w:cs="宋体"/>
          <w:b/>
          <w:bCs/>
          <w:color w:val="000000"/>
          <w:kern w:val="0"/>
          <w:sz w:val="24"/>
          <w:szCs w:val="24"/>
        </w:rPr>
        <w:t>管理人对报告期内基金估值程序等事项的说明</w:t>
      </w:r>
      <w:bookmarkEnd w:id="20"/>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1" w:name="_Toc477943955"/>
      <w:r>
        <w:rPr>
          <w:rFonts w:ascii="Times New Roman" w:hAnsi="Times New Roman" w:cs="宋体"/>
          <w:b/>
          <w:bCs/>
          <w:color w:val="000000"/>
          <w:kern w:val="0"/>
          <w:sz w:val="24"/>
          <w:szCs w:val="24"/>
        </w:rPr>
        <w:t xml:space="preserve">4.8 </w:t>
      </w:r>
      <w:r>
        <w:rPr>
          <w:rFonts w:hint="eastAsia" w:ascii="Times New Roman" w:hAnsi="Times New Roman" w:cs="宋体"/>
          <w:b/>
          <w:bCs/>
          <w:color w:val="000000"/>
          <w:kern w:val="0"/>
          <w:sz w:val="24"/>
          <w:szCs w:val="24"/>
        </w:rPr>
        <w:t>管理人对报告期内基金利润分配情况的说明</w:t>
      </w:r>
      <w:bookmarkEnd w:id="2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结合法律法规的规定及《基金合同》的约定，在符合有关基金分红条件的前提下，本基金每年收益分配次数最多为</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次，每份基金份额每次收益分配比例不得低于该次该类基金份额可供分配利润的</w:t>
      </w:r>
      <w:r>
        <w:rPr>
          <w:rFonts w:ascii="Times New Roman" w:hAnsi="Times New Roman" w:cs="宋体"/>
          <w:color w:val="000000"/>
          <w:kern w:val="0"/>
          <w:sz w:val="24"/>
          <w:szCs w:val="24"/>
        </w:rPr>
        <w:t>30%</w:t>
      </w:r>
      <w:r>
        <w:rPr>
          <w:rFonts w:hint="eastAsia" w:ascii="Times New Roman" w:hAnsi="Times New Roman" w:cs="宋体"/>
          <w:color w:val="000000"/>
          <w:kern w:val="0"/>
          <w:sz w:val="24"/>
          <w:szCs w:val="24"/>
        </w:rPr>
        <w:t>，若《基金合同》生效不满</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个月可不进行收益分配。</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4.9 </w:t>
      </w:r>
      <w:r>
        <w:rPr>
          <w:rFonts w:hint="eastAsia" w:ascii="Times New Roman" w:hAnsi="Times New Roman" w:cs="宋体"/>
          <w:b/>
          <w:bCs/>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2" w:name="_Toc477943956"/>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5  </w:t>
      </w:r>
      <w:r>
        <w:rPr>
          <w:rFonts w:hint="eastAsia" w:ascii="Times New Roman" w:hAnsi="Times New Roman" w:cs="宋体"/>
          <w:b/>
          <w:bCs/>
          <w:color w:val="000000"/>
          <w:kern w:val="0"/>
          <w:sz w:val="24"/>
          <w:szCs w:val="24"/>
        </w:rPr>
        <w:t>托管人报告</w:t>
      </w:r>
      <w:bookmarkEnd w:id="22"/>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3" w:name="_Toc477943957"/>
      <w:r>
        <w:rPr>
          <w:rFonts w:ascii="Times New Roman" w:hAnsi="Times New Roman" w:cs="宋体"/>
          <w:b/>
          <w:bCs/>
          <w:color w:val="000000"/>
          <w:kern w:val="0"/>
          <w:sz w:val="24"/>
          <w:szCs w:val="24"/>
        </w:rPr>
        <w:t xml:space="preserve">5.1 </w:t>
      </w:r>
      <w:r>
        <w:rPr>
          <w:rFonts w:hint="eastAsia" w:ascii="Times New Roman" w:hAnsi="Times New Roman" w:cs="宋体"/>
          <w:b/>
          <w:bCs/>
          <w:color w:val="000000"/>
          <w:kern w:val="0"/>
          <w:sz w:val="24"/>
          <w:szCs w:val="24"/>
        </w:rPr>
        <w:t>报告期内本基金托管人遵规守信情况声明</w:t>
      </w:r>
      <w:bookmarkEnd w:id="2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托管人声明，在本报告期内，基金托管人</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4" w:name="_Toc477943958"/>
      <w:r>
        <w:rPr>
          <w:rFonts w:ascii="Times New Roman" w:hAnsi="Times New Roman" w:cs="宋体"/>
          <w:b/>
          <w:bCs/>
          <w:color w:val="000000"/>
          <w:kern w:val="0"/>
          <w:sz w:val="24"/>
          <w:szCs w:val="24"/>
        </w:rPr>
        <w:t xml:space="preserve">5.2 </w:t>
      </w:r>
      <w:r>
        <w:rPr>
          <w:rFonts w:hint="eastAsia" w:ascii="Times New Roman" w:hAnsi="Times New Roman" w:cs="宋体"/>
          <w:b/>
          <w:bCs/>
          <w:color w:val="000000"/>
          <w:kern w:val="0"/>
          <w:sz w:val="24"/>
          <w:szCs w:val="24"/>
        </w:rPr>
        <w:t>托管人对报告期内本基金投资运作遵规守信、净值计算、利润分配等情况的说明</w:t>
      </w:r>
      <w:bookmarkEnd w:id="2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5" w:name="_Toc477943959"/>
      <w:r>
        <w:rPr>
          <w:rFonts w:ascii="Times New Roman" w:hAnsi="Times New Roman" w:cs="宋体"/>
          <w:b/>
          <w:bCs/>
          <w:color w:val="000000"/>
          <w:kern w:val="0"/>
          <w:sz w:val="24"/>
          <w:szCs w:val="24"/>
        </w:rPr>
        <w:t xml:space="preserve">5.3 </w:t>
      </w:r>
      <w:r>
        <w:rPr>
          <w:rFonts w:hint="eastAsia" w:ascii="Times New Roman" w:hAnsi="Times New Roman" w:cs="宋体"/>
          <w:b/>
          <w:bCs/>
          <w:color w:val="000000"/>
          <w:kern w:val="0"/>
          <w:sz w:val="24"/>
          <w:szCs w:val="24"/>
        </w:rPr>
        <w:t>托管人对本年度报告中财务信息等内容的真实、准确和完整发表意见</w:t>
      </w:r>
      <w:bookmarkEnd w:id="2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本年度报告中财务指标、净值表现、财务会计报告、利润分配、投资组合报告等内容真实、准确和完整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不存在虚假记载、误导性陈述或者重大遗漏。</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6" w:name="_Toc47794396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6  </w:t>
      </w:r>
      <w:r>
        <w:rPr>
          <w:rFonts w:hint="eastAsia" w:ascii="Times New Roman" w:hAnsi="Times New Roman" w:cs="宋体"/>
          <w:b/>
          <w:bCs/>
          <w:color w:val="000000"/>
          <w:kern w:val="0"/>
          <w:sz w:val="24"/>
          <w:szCs w:val="24"/>
        </w:rPr>
        <w:t>审计报告</w:t>
      </w:r>
      <w:bookmarkEnd w:id="2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7" w:name="_Toc477943961"/>
      <w:r>
        <w:rPr>
          <w:rFonts w:ascii="Times New Roman" w:hAnsi="Times New Roman" w:cs="宋体"/>
          <w:b/>
          <w:bCs/>
          <w:color w:val="000000"/>
          <w:kern w:val="0"/>
          <w:sz w:val="24"/>
          <w:szCs w:val="24"/>
        </w:rPr>
        <w:t xml:space="preserve">6.1 </w:t>
      </w:r>
      <w:r>
        <w:rPr>
          <w:rFonts w:hint="eastAsia" w:ascii="Times New Roman" w:hAnsi="Times New Roman" w:cs="宋体"/>
          <w:b/>
          <w:bCs/>
          <w:color w:val="000000"/>
          <w:kern w:val="0"/>
          <w:sz w:val="24"/>
          <w:szCs w:val="24"/>
        </w:rPr>
        <w:t>审计报告基本信息</w:t>
      </w:r>
      <w:bookmarkEnd w:id="27"/>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是</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毕马威华振审字第</w:t>
            </w:r>
            <w:r>
              <w:rPr>
                <w:rFonts w:ascii="Times New Roman" w:hAnsi="Times New Roman" w:cs="宋体"/>
                <w:color w:val="000000"/>
                <w:kern w:val="0"/>
                <w:sz w:val="24"/>
                <w:szCs w:val="24"/>
              </w:rPr>
              <w:t>1700419</w:t>
            </w:r>
            <w:r>
              <w:rPr>
                <w:rFonts w:hint="eastAsia" w:ascii="Times New Roman" w:hAnsi="Times New Roman" w:cs="宋体"/>
                <w:color w:val="000000"/>
                <w:kern w:val="0"/>
                <w:sz w:val="24"/>
                <w:szCs w:val="24"/>
              </w:rPr>
              <w:t>号</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8" w:name="_Toc477943962"/>
      <w:r>
        <w:rPr>
          <w:rFonts w:ascii="Times New Roman" w:hAnsi="Times New Roman" w:cs="宋体"/>
          <w:b/>
          <w:bCs/>
          <w:color w:val="000000"/>
          <w:kern w:val="0"/>
          <w:sz w:val="24"/>
          <w:szCs w:val="24"/>
        </w:rPr>
        <w:t xml:space="preserve">6.2 </w:t>
      </w:r>
      <w:r>
        <w:rPr>
          <w:rFonts w:hint="eastAsia" w:ascii="Times New Roman" w:hAnsi="Times New Roman" w:cs="宋体"/>
          <w:b/>
          <w:bCs/>
          <w:color w:val="000000"/>
          <w:kern w:val="0"/>
          <w:sz w:val="24"/>
          <w:szCs w:val="24"/>
        </w:rPr>
        <w:t>审计报告的基本内容</w:t>
      </w:r>
      <w:bookmarkEnd w:id="28"/>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创金合信尊盛纯债债券型证券投资基金全体基金份额持有人</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我们审计了创金合信尊盛纯债债券型证券投资基金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创金合信尊盛纯债债券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财务报表，包括</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日的资产负债表</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日止期间的利润表、所有者权益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编制和公允列报财务报表是创金合信尊盛纯债债券的管理人创金合信基金管理有限公司管理层的责任，这种责任包括：</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按照中华人民共和国财政部颁布的企业会计准则和中国证券监督管理委员会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和中国证券投资基金业协会发布的有关基金行业实务操作的规定编制财务报表，并使其实现公允反映</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创金合信基金管理有限公司管理层选用会计政策的恰当性和作出会计估计的合理性，以及评价财务报表的总体列报。</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我们认为，创金合信尊盛纯债债券的财务报表在所有重大方面按照中华人民共和国财政部颁布的企业会计准则和在财务报表附注</w:t>
            </w:r>
            <w:r>
              <w:rPr>
                <w:rFonts w:ascii="Times New Roman" w:hAnsi="Times New Roman" w:cs="宋体"/>
                <w:color w:val="000000"/>
                <w:kern w:val="0"/>
                <w:sz w:val="24"/>
                <w:szCs w:val="24"/>
              </w:rPr>
              <w:t>7.4.2</w:t>
            </w:r>
            <w:r>
              <w:rPr>
                <w:rFonts w:hint="eastAsia" w:ascii="Times New Roman" w:hAnsi="Times New Roman" w:cs="宋体"/>
                <w:color w:val="000000"/>
                <w:kern w:val="0"/>
                <w:sz w:val="24"/>
                <w:szCs w:val="24"/>
              </w:rPr>
              <w:t>中所列示的中国证监会和中国证券投资基金业协会发布的有关基金行业实务操作的规定编制，公允反映了创金合信尊盛纯债债券</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日的财务状况以及自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日止期间的经营成果及基金净值变动情况。</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左艳霞、吴钟鸣</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毕马威华振会计师事务所（特殊普通合伙）</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北京市东城区东长安街</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号东方广场东</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座办公楼</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层</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2017-03-23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9" w:name="_Toc47794396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7  </w:t>
      </w:r>
      <w:r>
        <w:rPr>
          <w:rFonts w:hint="eastAsia" w:ascii="Times New Roman" w:hAnsi="Times New Roman" w:cs="宋体"/>
          <w:b/>
          <w:bCs/>
          <w:color w:val="000000"/>
          <w:kern w:val="0"/>
          <w:sz w:val="24"/>
          <w:szCs w:val="24"/>
        </w:rPr>
        <w:t>年度财务报表</w:t>
      </w:r>
      <w:bookmarkEnd w:id="29"/>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0" w:name="_Toc477943964"/>
      <w:r>
        <w:rPr>
          <w:rFonts w:ascii="Times New Roman" w:hAnsi="Times New Roman" w:cs="宋体"/>
          <w:b/>
          <w:bCs/>
          <w:color w:val="000000"/>
          <w:kern w:val="0"/>
          <w:sz w:val="24"/>
          <w:szCs w:val="24"/>
        </w:rPr>
        <w:t xml:space="preserve">7.1 </w:t>
      </w:r>
      <w:r>
        <w:rPr>
          <w:rFonts w:hint="eastAsia" w:ascii="Times New Roman" w:hAnsi="Times New Roman" w:cs="宋体"/>
          <w:b/>
          <w:bCs/>
          <w:color w:val="000000"/>
          <w:kern w:val="0"/>
          <w:sz w:val="24"/>
          <w:szCs w:val="24"/>
        </w:rPr>
        <w:t>资产负债表</w:t>
      </w:r>
      <w:bookmarkEnd w:id="30"/>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会计主体：创金合信尊盛纯债债券型证券投资基金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报告截止日：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1083"/>
        <w:gridCol w:w="5117"/>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14,337,418.10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490,531,500.00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465,686,500.00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24,845,000.00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40,000,180.00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6,942,194.73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551,811,292.83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139,873.33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46,624.46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2,890.15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331,387.94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539,931,715.48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11,548,189.41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551,479,904.89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551,811,292.83</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报告截止日</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日，基金份额净值</w:t>
      </w:r>
      <w:r>
        <w:rPr>
          <w:rFonts w:ascii="Times New Roman" w:hAnsi="Times New Roman" w:cs="宋体"/>
          <w:color w:val="000000"/>
          <w:kern w:val="0"/>
          <w:szCs w:val="21"/>
        </w:rPr>
        <w:t>1.021</w:t>
      </w:r>
      <w:r>
        <w:rPr>
          <w:rFonts w:hint="eastAsia" w:ascii="Times New Roman" w:hAnsi="Times New Roman" w:cs="宋体"/>
          <w:color w:val="000000"/>
          <w:kern w:val="0"/>
          <w:szCs w:val="21"/>
        </w:rPr>
        <w:t>元，基金份额总额</w:t>
      </w:r>
      <w:r>
        <w:rPr>
          <w:rFonts w:ascii="Times New Roman" w:hAnsi="Times New Roman" w:cs="宋体"/>
          <w:color w:val="000000"/>
          <w:kern w:val="0"/>
          <w:szCs w:val="21"/>
        </w:rPr>
        <w:t>539,931,715.48</w:t>
      </w:r>
      <w:r>
        <w:rPr>
          <w:rFonts w:hint="eastAsia" w:ascii="Times New Roman" w:hAnsi="Times New Roman" w:cs="宋体"/>
          <w:color w:val="000000"/>
          <w:kern w:val="0"/>
          <w:szCs w:val="21"/>
        </w:rPr>
        <w:t>份。</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本财务报表的实际报告期间为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26</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1" w:name="_Toc477943965"/>
      <w:r>
        <w:rPr>
          <w:rFonts w:ascii="Times New Roman" w:hAnsi="Times New Roman" w:cs="宋体"/>
          <w:b/>
          <w:bCs/>
          <w:color w:val="000000"/>
          <w:kern w:val="0"/>
          <w:sz w:val="24"/>
          <w:szCs w:val="24"/>
        </w:rPr>
        <w:t xml:space="preserve">7.2 </w:t>
      </w:r>
      <w:r>
        <w:rPr>
          <w:rFonts w:hint="eastAsia" w:ascii="Times New Roman" w:hAnsi="Times New Roman" w:cs="宋体"/>
          <w:b/>
          <w:bCs/>
          <w:color w:val="000000"/>
          <w:kern w:val="0"/>
          <w:sz w:val="24"/>
          <w:szCs w:val="24"/>
        </w:rPr>
        <w:t>利润表</w:t>
      </w:r>
      <w:bookmarkEnd w:id="31"/>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会计主体：创金合信尊盛纯债债券型证券投资基金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083"/>
        <w:gridCol w:w="47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26</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14,482,597.58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20,892,805.72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163,534.06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19,818,064.60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486,247.47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424,959.59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投资收益（损失以“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-620,613.29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-620,613.29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公允价值变动收益（损失以“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-5,789,694.55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其他收入（损失以“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3,031,087.04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1,195,285.53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398,428.52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1,264,472.18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1,264,472.18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167,918.31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三、利润总额（亏损总额以“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11,451,510.54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四、净利润（净亏损以“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11,451,510.54</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注：本财务报表的实际编制报告期间为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26</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2" w:name="_Toc477943966"/>
      <w:r>
        <w:rPr>
          <w:rFonts w:ascii="Times New Roman" w:hAnsi="Times New Roman" w:cs="宋体"/>
          <w:b/>
          <w:bCs/>
          <w:color w:val="000000"/>
          <w:kern w:val="0"/>
          <w:sz w:val="24"/>
          <w:szCs w:val="24"/>
        </w:rPr>
        <w:t xml:space="preserve">7.3 </w:t>
      </w:r>
      <w:r>
        <w:rPr>
          <w:rFonts w:hint="eastAsia" w:ascii="Times New Roman" w:hAnsi="Times New Roman" w:cs="宋体"/>
          <w:b/>
          <w:bCs/>
          <w:color w:val="000000"/>
          <w:kern w:val="0"/>
          <w:sz w:val="24"/>
          <w:szCs w:val="24"/>
        </w:rPr>
        <w:t>所有者权益（基金净值）变动表</w:t>
      </w:r>
      <w:bookmarkEnd w:id="32"/>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会计主体：创金合信尊盛纯债债券型证券投资基金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26</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一、期初所有者权益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200,164,018.44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200,164,018.44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二、本期经营活动产生的基金净值变动数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本期利润</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11,451,510.54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11,451,510.54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三、本期基金份额交易产生的基金净值变动数（净值减少以“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339,767,697.04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96,678.87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339,864,375.91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340,016,378.76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101,801.59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340,118,180.35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2.</w:t>
            </w:r>
            <w:r>
              <w:rPr>
                <w:rFonts w:hint="eastAsia" w:ascii="Times New Roman" w:hAnsi="Times New Roman" w:cs="宋体"/>
                <w:color w:val="000000"/>
                <w:kern w:val="0"/>
                <w:sz w:val="24"/>
                <w:szCs w:val="24"/>
              </w:rPr>
              <w:t>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-248,681.72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-5,122.72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-253,804.44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四、本期向基金份额持有人分配利润产生的基金净值变动（净值减少以“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五、期末所有者权益</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539,931,715.48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11,548,189.41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551,479,904.89</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26</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w:t>
      </w:r>
      <w:r>
        <w:rPr>
          <w:rFonts w:ascii="Times New Roman" w:hAnsi="Times New Roman" w:cs="宋体"/>
          <w:color w:val="000000"/>
          <w:kern w:val="0"/>
          <w:sz w:val="24"/>
          <w:szCs w:val="24"/>
        </w:rPr>
        <w:t>7.1</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7.4</w:t>
      </w:r>
      <w:r>
        <w:rPr>
          <w:rFonts w:hint="eastAsia" w:ascii="Times New Roman" w:hAnsi="Times New Roman" w:cs="宋体"/>
          <w:color w:val="000000"/>
          <w:kern w:val="0"/>
          <w:sz w:val="24"/>
          <w:szCs w:val="24"/>
        </w:rPr>
        <w:t>财务报表由下列负责人签署</w:t>
      </w:r>
      <w:r>
        <w:rPr>
          <w:rFonts w:ascii="Times New Roman" w:hAnsi="Times New Roman" w:cs="宋体"/>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苏彦祝</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黄越岷</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安兆国</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会计机构负责人</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3" w:name="_Toc477943967"/>
      <w:r>
        <w:rPr>
          <w:rFonts w:ascii="Times New Roman" w:hAnsi="Times New Roman" w:cs="宋体"/>
          <w:b/>
          <w:bCs/>
          <w:color w:val="000000"/>
          <w:kern w:val="0"/>
          <w:sz w:val="24"/>
          <w:szCs w:val="24"/>
        </w:rPr>
        <w:t xml:space="preserve">7.4 </w:t>
      </w:r>
      <w:r>
        <w:rPr>
          <w:rFonts w:hint="eastAsia" w:ascii="Times New Roman" w:hAnsi="Times New Roman" w:cs="宋体"/>
          <w:b/>
          <w:bCs/>
          <w:color w:val="000000"/>
          <w:kern w:val="0"/>
          <w:sz w:val="24"/>
          <w:szCs w:val="24"/>
        </w:rPr>
        <w:t>报表附注</w:t>
      </w:r>
      <w:bookmarkEnd w:id="33"/>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 </w:t>
      </w:r>
      <w:r>
        <w:rPr>
          <w:rFonts w:hint="eastAsia" w:ascii="Times New Roman" w:hAnsi="Times New Roman" w:cs="宋体"/>
          <w:b/>
          <w:bCs/>
          <w:color w:val="000000"/>
          <w:kern w:val="0"/>
          <w:sz w:val="24"/>
          <w:szCs w:val="24"/>
        </w:rPr>
        <w:t>基金基本情况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经中国证券监督管理委员会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《关于准予创金合信尊盛纯债债券型证券投资基金注册的批复》</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证监许可</w:t>
      </w:r>
      <w:r>
        <w:rPr>
          <w:rFonts w:ascii="Times New Roman" w:hAnsi="Times New Roman" w:cs="宋体"/>
          <w:color w:val="000000"/>
          <w:kern w:val="0"/>
          <w:sz w:val="24"/>
          <w:szCs w:val="24"/>
        </w:rPr>
        <w:t xml:space="preserve"> [2016] 195</w:t>
      </w:r>
      <w:r>
        <w:rPr>
          <w:rFonts w:hint="eastAsia" w:ascii="Times New Roman" w:hAnsi="Times New Roman" w:cs="宋体"/>
          <w:color w:val="000000"/>
          <w:kern w:val="0"/>
          <w:sz w:val="24"/>
          <w:szCs w:val="24"/>
        </w:rPr>
        <w:t>号文</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批准，由创金合信基金管理有限公司依照《中华人民共和国证券投资基金法》及其配套规则和《创金合信尊盛纯债债券型证券投资基金基金合同》发售，基金合同于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日生效。本基金为契约型开放式，存续期限不定，首次设立募集规模为</w:t>
      </w:r>
      <w:r>
        <w:rPr>
          <w:rFonts w:ascii="Times New Roman" w:hAnsi="Times New Roman" w:cs="宋体"/>
          <w:color w:val="000000"/>
          <w:kern w:val="0"/>
          <w:sz w:val="24"/>
          <w:szCs w:val="24"/>
        </w:rPr>
        <w:t>200,164,018.44</w:t>
      </w:r>
      <w:r>
        <w:rPr>
          <w:rFonts w:hint="eastAsia" w:ascii="Times New Roman" w:hAnsi="Times New Roman" w:cs="宋体"/>
          <w:color w:val="000000"/>
          <w:kern w:val="0"/>
          <w:sz w:val="24"/>
          <w:szCs w:val="24"/>
        </w:rPr>
        <w:t>份基金份额。本基金的基金管理人为创金合信基金管理有限公司，基金托管人为招商银行股份有限公司</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招商银行</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22</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23</w:t>
      </w:r>
      <w:r>
        <w:rPr>
          <w:rFonts w:hint="eastAsia" w:ascii="Times New Roman" w:hAnsi="Times New Roman" w:cs="宋体"/>
          <w:color w:val="000000"/>
          <w:kern w:val="0"/>
          <w:sz w:val="24"/>
          <w:szCs w:val="24"/>
        </w:rPr>
        <w:t>日募集，募集期间净认购资金人民币</w:t>
      </w:r>
      <w:r>
        <w:rPr>
          <w:rFonts w:ascii="Times New Roman" w:hAnsi="Times New Roman" w:cs="宋体"/>
          <w:color w:val="000000"/>
          <w:kern w:val="0"/>
          <w:sz w:val="24"/>
          <w:szCs w:val="24"/>
        </w:rPr>
        <w:t>200,162,350.80</w:t>
      </w:r>
      <w:r>
        <w:rPr>
          <w:rFonts w:hint="eastAsia" w:ascii="Times New Roman" w:hAnsi="Times New Roman" w:cs="宋体"/>
          <w:color w:val="000000"/>
          <w:kern w:val="0"/>
          <w:sz w:val="24"/>
          <w:szCs w:val="24"/>
        </w:rPr>
        <w:t>元，认购资金在募集期间产生的利息人民币</w:t>
      </w:r>
      <w:r>
        <w:rPr>
          <w:rFonts w:ascii="Times New Roman" w:hAnsi="Times New Roman" w:cs="宋体"/>
          <w:color w:val="000000"/>
          <w:kern w:val="0"/>
          <w:sz w:val="24"/>
          <w:szCs w:val="24"/>
        </w:rPr>
        <w:t>1,667.64</w:t>
      </w:r>
      <w:r>
        <w:rPr>
          <w:rFonts w:hint="eastAsia" w:ascii="Times New Roman" w:hAnsi="Times New Roman" w:cs="宋体"/>
          <w:color w:val="000000"/>
          <w:kern w:val="0"/>
          <w:sz w:val="24"/>
          <w:szCs w:val="24"/>
        </w:rPr>
        <w:t>元，募集的有效认购份额及利息结转的基金份额合计</w:t>
      </w:r>
      <w:r>
        <w:rPr>
          <w:rFonts w:ascii="Times New Roman" w:hAnsi="Times New Roman" w:cs="宋体"/>
          <w:color w:val="000000"/>
          <w:kern w:val="0"/>
          <w:sz w:val="24"/>
          <w:szCs w:val="24"/>
        </w:rPr>
        <w:t>200,164,018.44</w:t>
      </w:r>
      <w:r>
        <w:rPr>
          <w:rFonts w:hint="eastAsia" w:ascii="Times New Roman" w:hAnsi="Times New Roman" w:cs="宋体"/>
          <w:color w:val="000000"/>
          <w:kern w:val="0"/>
          <w:sz w:val="24"/>
          <w:szCs w:val="24"/>
        </w:rPr>
        <w:t>份。上述募集资金已由毕马威华振会计师事务所</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验证，并出具了毕马威华振验字第</w:t>
      </w:r>
      <w:r>
        <w:rPr>
          <w:rFonts w:ascii="Times New Roman" w:hAnsi="Times New Roman" w:cs="宋体"/>
          <w:color w:val="000000"/>
          <w:kern w:val="0"/>
          <w:sz w:val="24"/>
          <w:szCs w:val="24"/>
        </w:rPr>
        <w:t>1600198</w:t>
      </w:r>
      <w:r>
        <w:rPr>
          <w:rFonts w:hint="eastAsia" w:ascii="Times New Roman" w:hAnsi="Times New Roman" w:cs="宋体"/>
          <w:color w:val="000000"/>
          <w:kern w:val="0"/>
          <w:sz w:val="24"/>
          <w:szCs w:val="24"/>
        </w:rPr>
        <w:t>号验资报告。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中华人民共和国证券投资基金法》及其配套规则、《创金合信尊盛纯债债券型证券投资基金基金合同》和截至报告期末最新公告的《创金合信尊盛纯债债券型证券投资基金招募说明书》的有关规定，本基金主要投资于固定收益类品种，包括国债、央行票据、地方政府债、金融债、企业债、公司债、中小企业私募债、次级债、中期票据、短期融资券、可分离交易可转债的纯债部分、资产支持证券、债券回购、银行存款等。本基金不投资股票、权证等权益类资产，可转债仅投资二级市场可分离交易可转债的纯债部分。本基金的业绩比较基准为：中债综合</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全价</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指数收益率。</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7.4.2 </w:t>
      </w:r>
      <w:r>
        <w:rPr>
          <w:rFonts w:hint="eastAsia" w:ascii="Times New Roman" w:hAnsi="Times New Roman" w:cs="宋体"/>
          <w:b/>
          <w:bCs/>
          <w:color w:val="000000"/>
          <w:kern w:val="0"/>
          <w:sz w:val="24"/>
          <w:szCs w:val="24"/>
        </w:rPr>
        <w:t>会计报表的编制基础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本基金以持续经营为基础。本财务报表符合中华人民共和国财政部</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财政部</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颁布的企业会计准则的要求，同时亦按照中国证监会颁布的《证券投资基金信息披露</w:t>
      </w:r>
      <w:r>
        <w:rPr>
          <w:rFonts w:ascii="Times New Roman" w:hAnsi="Times New Roman" w:cs="宋体"/>
          <w:color w:val="000000"/>
          <w:kern w:val="0"/>
          <w:sz w:val="24"/>
          <w:szCs w:val="24"/>
        </w:rPr>
        <w:t>XBRL</w:t>
      </w:r>
      <w:r>
        <w:rPr>
          <w:rFonts w:hint="eastAsia" w:ascii="Times New Roman" w:hAnsi="Times New Roman" w:cs="宋体"/>
          <w:color w:val="000000"/>
          <w:kern w:val="0"/>
          <w:sz w:val="24"/>
          <w:szCs w:val="24"/>
        </w:rPr>
        <w:t>模板第</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年度报告和半年度报告</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》以及中国证券投资基金业协会于</w:t>
      </w:r>
      <w:r>
        <w:rPr>
          <w:rFonts w:ascii="Times New Roman" w:hAnsi="Times New Roman" w:cs="宋体"/>
          <w:color w:val="000000"/>
          <w:kern w:val="0"/>
          <w:sz w:val="24"/>
          <w:szCs w:val="24"/>
        </w:rPr>
        <w:t>2012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日颁布的《证券投资基金会计核算业务指引》编制财务报表。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7.4.3 </w:t>
      </w:r>
      <w:r>
        <w:rPr>
          <w:rFonts w:hint="eastAsia" w:ascii="Times New Roman" w:hAnsi="Times New Roman" w:cs="宋体"/>
          <w:b/>
          <w:bCs/>
          <w:color w:val="000000"/>
          <w:kern w:val="0"/>
          <w:sz w:val="24"/>
          <w:szCs w:val="24"/>
        </w:rPr>
        <w:t>遵循企业会计准则及其他有关规定的声明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本财务报表符合财政部颁布的企业会计准则的要求，真实、完整地反映了本基金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日止期间的经营成果和基金净值变动情况。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 </w:t>
      </w:r>
      <w:r>
        <w:rPr>
          <w:rFonts w:hint="eastAsia" w:ascii="Times New Roman" w:hAnsi="Times New Roman" w:cs="宋体"/>
          <w:b/>
          <w:bCs/>
          <w:color w:val="000000"/>
          <w:kern w:val="0"/>
          <w:sz w:val="24"/>
          <w:szCs w:val="24"/>
        </w:rPr>
        <w:t>重要会计政策和会计估计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 </w:t>
      </w:r>
      <w:r>
        <w:rPr>
          <w:rFonts w:hint="eastAsia" w:ascii="Times New Roman" w:hAnsi="Times New Roman" w:cs="宋体"/>
          <w:b/>
          <w:bCs/>
          <w:color w:val="000000"/>
          <w:kern w:val="0"/>
          <w:sz w:val="24"/>
          <w:szCs w:val="24"/>
        </w:rPr>
        <w:t>会计年度</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本基金的会计年度自公历</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日止。本期财务报表的实际编制期间为自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7.4.4.2 </w:t>
      </w:r>
      <w:r>
        <w:rPr>
          <w:rFonts w:hint="eastAsia" w:ascii="Times New Roman" w:hAnsi="Times New Roman" w:cs="宋体"/>
          <w:b/>
          <w:bCs/>
          <w:color w:val="000000"/>
          <w:kern w:val="0"/>
          <w:sz w:val="24"/>
          <w:szCs w:val="24"/>
        </w:rPr>
        <w:t>记账本位币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本基金的记账本位币为人民币，编制财务报表采用的货币为人民币。本基金选定记账本位币的依据是主要业务收支的计价和结算币种。</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7.4.4.3 </w:t>
      </w:r>
      <w:r>
        <w:rPr>
          <w:rFonts w:hint="eastAsia" w:ascii="Times New Roman" w:hAnsi="Times New Roman" w:cs="宋体"/>
          <w:b/>
          <w:bCs/>
          <w:color w:val="000000"/>
          <w:kern w:val="0"/>
          <w:sz w:val="24"/>
          <w:szCs w:val="24"/>
        </w:rPr>
        <w:t>金融资产和金融负债的分类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本基金目前持有的债券投资分类为以公允价值计量且其变动计入当期损益的金融资产。以公允价值计量且其变动计入当期损益的金融资产在资产负债表中以交易性金融资产列示。</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7.4.4.4 </w:t>
      </w:r>
      <w:r>
        <w:rPr>
          <w:rFonts w:hint="eastAsia" w:ascii="Times New Roman" w:hAnsi="Times New Roman" w:cs="宋体"/>
          <w:b/>
          <w:bCs/>
          <w:color w:val="000000"/>
          <w:kern w:val="0"/>
          <w:sz w:val="24"/>
          <w:szCs w:val="24"/>
        </w:rPr>
        <w:t>金融资产和金融负债的初始确认、后续计量和终止确认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金融资产和金融负债在本基金成为相关金融工具合同条款的一方时，于资产负债表内确认。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初始确认后，金融资产和金融负债的后续计量如下：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以公允价值计量且其变动计入当期损益的金融资产和金融负债以公允价值计量，公允价值变动形成的利得或损失计入当期损益。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应收款项以实际利率法按摊余成本计量。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除以公允价值计量且其变动计入当期损益的金融负债以外的金融负债采用实际利率法按摊余成本进行后续计量。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当收取某项金融资产的现金流量的合同权利终止或将所有权上几乎所有的风险和报酬转移时，本基金终止确认该金融资产。终止确认的金融资产的成本按移动加权平均法于交易日结转。</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金融负债的现时义务全部或部分已经解除的，本基金终止确认该金融负债或其一部分。</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7.4.4.5 </w:t>
      </w:r>
      <w:r>
        <w:rPr>
          <w:rFonts w:hint="eastAsia" w:ascii="Times New Roman" w:hAnsi="Times New Roman" w:cs="宋体"/>
          <w:b/>
          <w:bCs/>
          <w:color w:val="000000"/>
          <w:kern w:val="0"/>
          <w:sz w:val="24"/>
          <w:szCs w:val="24"/>
        </w:rPr>
        <w:t>金融资产和金融负债的估值原则</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除特别声明外，本基金按下述原则计量公允价值：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公允价值是指市场参与者在计量日发生的有序交易中，出售一项资产所能收到或者转移一项负债所需支付的价格。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本基金估计公允价值时，考虑市场参与者在计量日对相关资产或负债进行定价时考虑的特征</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包括资产状况及所在位置、对资产出售或者使用的限制等</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，并采用在当前情况下适用并且有足够可利用数据和其他信息支持的估值技术。</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在活跃市场的金融工具，如估值日无交易且最近交易日后经济环境发生了重大变化或证券发行机构发生了影响证券价格的重大事件，参考类似投资品种的现行市价及重大变化等因素，调整最近交易市价以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7.4.4.6 </w:t>
      </w:r>
      <w:r>
        <w:rPr>
          <w:rFonts w:hint="eastAsia" w:ascii="Times New Roman" w:hAnsi="Times New Roman" w:cs="宋体"/>
          <w:b/>
          <w:bCs/>
          <w:color w:val="000000"/>
          <w:kern w:val="0"/>
          <w:sz w:val="24"/>
          <w:szCs w:val="24"/>
        </w:rPr>
        <w:t>金融资产和金融负债的抵销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金融资产和金融负债在资产负债表内分别列示，没有相互抵销。但是，同时满足下列条件的，以相互抵销后的净额在资产负债表内列示：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本基金具有抵销已确认金额的法定权利，且该种法定权利现在是可执行的；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本基金计划以净额结算，或同时变现该金融资产和清偿该金融负债。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7.4.4.7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7.4.4.8 </w:t>
      </w:r>
      <w:r>
        <w:rPr>
          <w:rFonts w:hint="eastAsia" w:ascii="Times New Roman" w:hAnsi="Times New Roman" w:cs="宋体"/>
          <w:b/>
          <w:bCs/>
          <w:color w:val="000000"/>
          <w:kern w:val="0"/>
          <w:sz w:val="24"/>
          <w:szCs w:val="24"/>
        </w:rPr>
        <w:t>损益平准金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未分配利润</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累计亏损</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7.4.4.9 </w:t>
      </w:r>
      <w:r>
        <w:rPr>
          <w:rFonts w:hint="eastAsia" w:ascii="Times New Roman" w:hAnsi="Times New Roman" w:cs="宋体"/>
          <w:b/>
          <w:bCs/>
          <w:color w:val="000000"/>
          <w:kern w:val="0"/>
          <w:sz w:val="24"/>
          <w:szCs w:val="24"/>
        </w:rPr>
        <w:t>收入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（损失）的确认和计量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债券投资收益按相关金融资产于处置日成交金额与其成本的差额确认。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债券利息收入按债券投资的票面价值与票面利率计算的金额扣除应由发行债券的企业代扣代缴的个人所得税</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如适用</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利息收入是按借出货币资金的时间和实际利率计算确定。</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买入返售金融资产收入按到期应收或实际收到的金额与初始确认金额的差额，在回购期内按实际利率法逐日确认，直线法与实际利率法确定的收入差异较小的可采用直线法。</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公允价值变动收益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损失</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7.4.4.10 </w:t>
      </w:r>
      <w:r>
        <w:rPr>
          <w:rFonts w:hint="eastAsia" w:ascii="Times New Roman" w:hAnsi="Times New Roman" w:cs="宋体"/>
          <w:b/>
          <w:bCs/>
          <w:color w:val="000000"/>
          <w:kern w:val="0"/>
          <w:sz w:val="24"/>
          <w:szCs w:val="24"/>
        </w:rPr>
        <w:t>费用的确认和计量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本基金的管理人报酬和托管费在费用涵盖期间按基金合同约定的费率和计算方法逐日确认。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本基金的交易费用于进行债券交易发生时按照确定的金额确认。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本基金的利息支出按资金的本金和适用利率逐日计提。</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卖出回购金融资产利息支出按到期应付或实际支付的金额与初始确认金额的差额，在回购期内以实际利率法逐日确认，直线法与实际利率法确定的支出差异较小的可采用直线法。</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本基金的其他费用如不影响估值日基金份额净值小数点后第四位，发生时直接计入基金损益；如果影响基金份额净值小数点后第四位的，应采用待摊或预提的方法，待摊或预提计入基金损益。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7.4.4.11 </w:t>
      </w:r>
      <w:r>
        <w:rPr>
          <w:rFonts w:hint="eastAsia" w:ascii="Times New Roman" w:hAnsi="Times New Roman" w:cs="宋体"/>
          <w:b/>
          <w:bCs/>
          <w:color w:val="000000"/>
          <w:kern w:val="0"/>
          <w:sz w:val="24"/>
          <w:szCs w:val="24"/>
        </w:rPr>
        <w:t>基金的收益分配政策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(b)</w:t>
      </w:r>
      <w:r>
        <w:rPr>
          <w:rFonts w:hint="eastAsia" w:ascii="Times New Roman" w:hAnsi="Times New Roman" w:cs="宋体"/>
          <w:color w:val="000000"/>
          <w:kern w:val="0"/>
          <w:sz w:val="24"/>
          <w:szCs w:val="24"/>
        </w:rPr>
        <w:t>基金收益分配后基金份额净值不能低于面值；即基金收益分配基准日的基金份额净值减去每单位基金份额收益分配金额后不能低于面值；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(c)</w:t>
      </w:r>
      <w:r>
        <w:rPr>
          <w:rFonts w:hint="eastAsia" w:ascii="Times New Roman" w:hAnsi="Times New Roman" w:cs="宋体"/>
          <w:color w:val="000000"/>
          <w:kern w:val="0"/>
          <w:sz w:val="24"/>
          <w:szCs w:val="24"/>
        </w:rPr>
        <w:t>每一基金份额享有同等分配权；</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(d)</w:t>
      </w:r>
      <w:r>
        <w:rPr>
          <w:rFonts w:hint="eastAsia" w:ascii="Times New Roman" w:hAnsi="Times New Roman" w:cs="宋体"/>
          <w:color w:val="000000"/>
          <w:kern w:val="0"/>
          <w:sz w:val="24"/>
          <w:szCs w:val="24"/>
        </w:rPr>
        <w:t>在对基金份额持有人利益无实质不利影响的前提下，基金管理人可调整基金收益的分配原则和支付方式，不需召开基金份额持有人大会审议；</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(e)</w:t>
      </w:r>
      <w:r>
        <w:rPr>
          <w:rFonts w:hint="eastAsia" w:ascii="Times New Roman" w:hAnsi="Times New Roman" w:cs="宋体"/>
          <w:color w:val="000000"/>
          <w:kern w:val="0"/>
          <w:sz w:val="24"/>
          <w:szCs w:val="24"/>
        </w:rPr>
        <w:t>法律法规或监管机关另有规定的，从其规定。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7.4.4.12 </w:t>
      </w:r>
      <w:r>
        <w:rPr>
          <w:rFonts w:hint="eastAsia" w:ascii="Times New Roman" w:hAnsi="Times New Roman" w:cs="宋体"/>
          <w:b/>
          <w:bCs/>
          <w:color w:val="000000"/>
          <w:kern w:val="0"/>
          <w:sz w:val="24"/>
          <w:szCs w:val="24"/>
        </w:rPr>
        <w:t>分部报告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本基金以内部组织结构、管理要求、内部报告制度为依据确定经营分部，以经营分部为基础确定报告分部。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本基金目前以一个经营分部运作，不需要进行分部报告的披露。</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7.4.4.13 </w:t>
      </w:r>
      <w:r>
        <w:rPr>
          <w:rFonts w:hint="eastAsia" w:ascii="Times New Roman" w:hAnsi="Times New Roman" w:cs="宋体"/>
          <w:b/>
          <w:bCs/>
          <w:color w:val="000000"/>
          <w:kern w:val="0"/>
          <w:sz w:val="24"/>
          <w:szCs w:val="24"/>
        </w:rPr>
        <w:t>其他重要的会计政策和会计估计</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对于证券交易所上市的股票，若出现重大事项停牌或交易不活跃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等情况，本基金根据中国证监会公告</w:t>
      </w:r>
      <w:r>
        <w:rPr>
          <w:rFonts w:ascii="Times New Roman" w:hAnsi="Times New Roman" w:cs="宋体"/>
          <w:color w:val="000000"/>
          <w:kern w:val="0"/>
          <w:sz w:val="24"/>
          <w:szCs w:val="24"/>
        </w:rPr>
        <w:t>[2008]38</w:t>
      </w:r>
      <w:r>
        <w:rPr>
          <w:rFonts w:hint="eastAsia" w:ascii="Times New Roman" w:hAnsi="Times New Roman" w:cs="宋体"/>
          <w:color w:val="000000"/>
          <w:kern w:val="0"/>
          <w:sz w:val="24"/>
          <w:szCs w:val="24"/>
        </w:rPr>
        <w:t>号《关于进一步规范证券投资基金估值业务的指导意见》，根据具体情况采用《关于发布中基协</w:t>
      </w:r>
      <w:r>
        <w:rPr>
          <w:rFonts w:ascii="Times New Roman" w:hAnsi="Times New Roman" w:cs="宋体"/>
          <w:color w:val="000000"/>
          <w:kern w:val="0"/>
          <w:sz w:val="24"/>
          <w:szCs w:val="24"/>
        </w:rPr>
        <w:t>(AMAC)</w:t>
      </w:r>
      <w:r>
        <w:rPr>
          <w:rFonts w:hint="eastAsia" w:ascii="Times New Roman" w:hAnsi="Times New Roman" w:cs="宋体"/>
          <w:color w:val="000000"/>
          <w:kern w:val="0"/>
          <w:sz w:val="24"/>
          <w:szCs w:val="24"/>
        </w:rPr>
        <w:t>基金行业股票估值指数的通知》提供的指数收益法、市盈率法、现金流量折现法等估值技术进行估值。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对于在锁定期内的非公开发行股票，根据中国证监会证监会计字</w:t>
      </w:r>
      <w:r>
        <w:rPr>
          <w:rFonts w:ascii="Times New Roman" w:hAnsi="Times New Roman" w:cs="宋体"/>
          <w:color w:val="000000"/>
          <w:kern w:val="0"/>
          <w:sz w:val="24"/>
          <w:szCs w:val="24"/>
        </w:rPr>
        <w:t>[2007]21</w:t>
      </w:r>
      <w:r>
        <w:rPr>
          <w:rFonts w:hint="eastAsia" w:ascii="Times New Roman" w:hAnsi="Times New Roman" w:cs="宋体"/>
          <w:color w:val="000000"/>
          <w:kern w:val="0"/>
          <w:sz w:val="24"/>
          <w:szCs w:val="24"/>
        </w:rPr>
        <w:t>号《关于证券投资基金执行</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企业会计准则</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估值业务及份额净值计价有关事项的通知》，若在证券交易所挂牌的同一股票的市场交易收盘价低于非公开发行股票的初始投资成本，按估值日证券交易所挂牌的同一股票的市场交易收盘价估值；若在证券交易所挂牌的同一股票的市场交易收盘价高于非公开发行股票的初始投资成本，按锁定期内已经过交易所交易天数占锁定期内总交易所交易天数的比例将两者之间差价的一部分确认为估值增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根据《中国证券投资基金业协会估值核算工作小组关于</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季度固定收益品种的估值处理标准》，在上海证券交易所、深圳证券交易所及银行间同业市场上市交易或挂牌转让的固定收益品种</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估值处理标准另有规定的除外</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，采用第三方估值机构提供的价格数据进行估值。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 </w:t>
      </w:r>
      <w:r>
        <w:rPr>
          <w:rFonts w:hint="eastAsia" w:ascii="Times New Roman" w:hAnsi="Times New Roman" w:cs="宋体"/>
          <w:b/>
          <w:bCs/>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7.4.5.1 </w:t>
      </w:r>
      <w:r>
        <w:rPr>
          <w:rFonts w:hint="eastAsia" w:ascii="Times New Roman" w:hAnsi="Times New Roman" w:cs="宋体"/>
          <w:b/>
          <w:bCs/>
          <w:color w:val="000000"/>
          <w:kern w:val="0"/>
          <w:sz w:val="24"/>
          <w:szCs w:val="24"/>
        </w:rPr>
        <w:t>会计政策变更的说明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本基金在本报告期内未发生重大会计政策变更。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7.4.5.2 </w:t>
      </w:r>
      <w:r>
        <w:rPr>
          <w:rFonts w:hint="eastAsia" w:ascii="Times New Roman" w:hAnsi="Times New Roman" w:cs="宋体"/>
          <w:b/>
          <w:bCs/>
          <w:color w:val="000000"/>
          <w:kern w:val="0"/>
          <w:sz w:val="24"/>
          <w:szCs w:val="24"/>
        </w:rPr>
        <w:t>会计估计变更的说明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本基金在本报告期内未发生重大会计估计变更。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7.4.5.3 </w:t>
      </w:r>
      <w:r>
        <w:rPr>
          <w:rFonts w:hint="eastAsia" w:ascii="Times New Roman" w:hAnsi="Times New Roman" w:cs="宋体"/>
          <w:b/>
          <w:bCs/>
          <w:color w:val="000000"/>
          <w:kern w:val="0"/>
          <w:sz w:val="24"/>
          <w:szCs w:val="24"/>
        </w:rPr>
        <w:t>差错更正的说明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本基金在本报告期内未发生重大会计差错更正。</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7.4.6 </w:t>
      </w:r>
      <w:r>
        <w:rPr>
          <w:rFonts w:hint="eastAsia" w:ascii="Times New Roman" w:hAnsi="Times New Roman" w:cs="宋体"/>
          <w:b/>
          <w:bCs/>
          <w:color w:val="000000"/>
          <w:kern w:val="0"/>
          <w:sz w:val="24"/>
          <w:szCs w:val="24"/>
        </w:rPr>
        <w:t>税项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根据财税字</w:t>
      </w:r>
      <w:r>
        <w:rPr>
          <w:rFonts w:ascii="Times New Roman" w:hAnsi="Times New Roman" w:cs="宋体"/>
          <w:color w:val="000000"/>
          <w:kern w:val="0"/>
          <w:sz w:val="24"/>
          <w:szCs w:val="24"/>
        </w:rPr>
        <w:t>[1998]55</w:t>
      </w:r>
      <w:r>
        <w:rPr>
          <w:rFonts w:hint="eastAsia" w:ascii="Times New Roman" w:hAnsi="Times New Roman" w:cs="宋体"/>
          <w:color w:val="000000"/>
          <w:kern w:val="0"/>
          <w:sz w:val="24"/>
          <w:szCs w:val="24"/>
        </w:rPr>
        <w:t>号文《财政部、国家税务总局关于证券投资基金税收问题的通知》、财税</w:t>
      </w:r>
      <w:r>
        <w:rPr>
          <w:rFonts w:ascii="Times New Roman" w:hAnsi="Times New Roman" w:cs="宋体"/>
          <w:color w:val="000000"/>
          <w:kern w:val="0"/>
          <w:sz w:val="24"/>
          <w:szCs w:val="24"/>
        </w:rPr>
        <w:t>[2002]128</w:t>
      </w:r>
      <w:r>
        <w:rPr>
          <w:rFonts w:hint="eastAsia" w:ascii="Times New Roman" w:hAnsi="Times New Roman" w:cs="宋体"/>
          <w:color w:val="000000"/>
          <w:kern w:val="0"/>
          <w:sz w:val="24"/>
          <w:szCs w:val="24"/>
        </w:rPr>
        <w:t>号文《关于开放式证券投资基金有关税收问题的通知》、财税</w:t>
      </w:r>
      <w:r>
        <w:rPr>
          <w:rFonts w:ascii="Times New Roman" w:hAnsi="Times New Roman" w:cs="宋体"/>
          <w:color w:val="000000"/>
          <w:kern w:val="0"/>
          <w:sz w:val="24"/>
          <w:szCs w:val="24"/>
        </w:rPr>
        <w:t>[2004]78</w:t>
      </w:r>
      <w:r>
        <w:rPr>
          <w:rFonts w:hint="eastAsia" w:ascii="Times New Roman" w:hAnsi="Times New Roman" w:cs="宋体"/>
          <w:color w:val="000000"/>
          <w:kern w:val="0"/>
          <w:sz w:val="24"/>
          <w:szCs w:val="24"/>
        </w:rPr>
        <w:t>号文《关于证券投资基金税收政策的通知》、财税</w:t>
      </w:r>
      <w:r>
        <w:rPr>
          <w:rFonts w:ascii="Times New Roman" w:hAnsi="Times New Roman" w:cs="宋体"/>
          <w:color w:val="000000"/>
          <w:kern w:val="0"/>
          <w:sz w:val="24"/>
          <w:szCs w:val="24"/>
        </w:rPr>
        <w:t>[2012]85</w:t>
      </w:r>
      <w:r>
        <w:rPr>
          <w:rFonts w:hint="eastAsia" w:ascii="Times New Roman" w:hAnsi="Times New Roman" w:cs="宋体"/>
          <w:color w:val="000000"/>
          <w:kern w:val="0"/>
          <w:sz w:val="24"/>
          <w:szCs w:val="24"/>
        </w:rPr>
        <w:t>号文《财政部、国家税务总局、证监会关于实施上市公司股息红利差别化个人所得税政策有关问题的通知》、财税</w:t>
      </w:r>
      <w:r>
        <w:rPr>
          <w:rFonts w:ascii="Times New Roman" w:hAnsi="Times New Roman" w:cs="宋体"/>
          <w:color w:val="000000"/>
          <w:kern w:val="0"/>
          <w:sz w:val="24"/>
          <w:szCs w:val="24"/>
        </w:rPr>
        <w:t>[2015]101</w:t>
      </w:r>
      <w:r>
        <w:rPr>
          <w:rFonts w:hint="eastAsia" w:ascii="Times New Roman" w:hAnsi="Times New Roman" w:cs="宋体"/>
          <w:color w:val="000000"/>
          <w:kern w:val="0"/>
          <w:sz w:val="24"/>
          <w:szCs w:val="24"/>
        </w:rPr>
        <w:t>号《财政部国家税务总局证监会关于上市公司股息红利差别化个人所得税政策有关问题的通知》、财税</w:t>
      </w:r>
      <w:r>
        <w:rPr>
          <w:rFonts w:ascii="Times New Roman" w:hAnsi="Times New Roman" w:cs="宋体"/>
          <w:color w:val="000000"/>
          <w:kern w:val="0"/>
          <w:sz w:val="24"/>
          <w:szCs w:val="24"/>
        </w:rPr>
        <w:t>[2005]103</w:t>
      </w:r>
      <w:r>
        <w:rPr>
          <w:rFonts w:hint="eastAsia" w:ascii="Times New Roman" w:hAnsi="Times New Roman" w:cs="宋体"/>
          <w:color w:val="000000"/>
          <w:kern w:val="0"/>
          <w:sz w:val="24"/>
          <w:szCs w:val="24"/>
        </w:rPr>
        <w:t>号文《关于股权分置试点改革有关税收政策问题的通知》、上证交字</w:t>
      </w:r>
      <w:r>
        <w:rPr>
          <w:rFonts w:ascii="Times New Roman" w:hAnsi="Times New Roman" w:cs="宋体"/>
          <w:color w:val="000000"/>
          <w:kern w:val="0"/>
          <w:sz w:val="24"/>
          <w:szCs w:val="24"/>
        </w:rPr>
        <w:t>[2008]16</w:t>
      </w:r>
      <w:r>
        <w:rPr>
          <w:rFonts w:hint="eastAsia" w:ascii="Times New Roman" w:hAnsi="Times New Roman" w:cs="宋体"/>
          <w:color w:val="000000"/>
          <w:kern w:val="0"/>
          <w:sz w:val="24"/>
          <w:szCs w:val="24"/>
        </w:rPr>
        <w:t>号《关于做好调整证券交易印花税税率相关工作的通知》及深圳证券交易所于</w:t>
      </w:r>
      <w:r>
        <w:rPr>
          <w:rFonts w:ascii="Times New Roman" w:hAnsi="Times New Roman" w:cs="宋体"/>
          <w:color w:val="000000"/>
          <w:kern w:val="0"/>
          <w:sz w:val="24"/>
          <w:szCs w:val="24"/>
        </w:rPr>
        <w:t>2008</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18</w:t>
      </w:r>
      <w:r>
        <w:rPr>
          <w:rFonts w:hint="eastAsia" w:ascii="Times New Roman" w:hAnsi="Times New Roman" w:cs="宋体"/>
          <w:color w:val="000000"/>
          <w:kern w:val="0"/>
          <w:sz w:val="24"/>
          <w:szCs w:val="24"/>
        </w:rPr>
        <w:t>日发布的《深圳证券交易所关于做好证券交易印花税征收方式调整工作的通知》、财税</w:t>
      </w:r>
      <w:r>
        <w:rPr>
          <w:rFonts w:ascii="Times New Roman" w:hAnsi="Times New Roman" w:cs="宋体"/>
          <w:color w:val="000000"/>
          <w:kern w:val="0"/>
          <w:sz w:val="24"/>
          <w:szCs w:val="24"/>
        </w:rPr>
        <w:t>[2008]1</w:t>
      </w:r>
      <w:r>
        <w:rPr>
          <w:rFonts w:hint="eastAsia" w:ascii="Times New Roman" w:hAnsi="Times New Roman" w:cs="宋体"/>
          <w:color w:val="000000"/>
          <w:kern w:val="0"/>
          <w:sz w:val="24"/>
          <w:szCs w:val="24"/>
        </w:rPr>
        <w:t>号文《财政部、国家税务总局关于企业所得税若干优惠政策的通知》、财税</w:t>
      </w:r>
      <w:r>
        <w:rPr>
          <w:rFonts w:ascii="Times New Roman" w:hAnsi="Times New Roman" w:cs="宋体"/>
          <w:color w:val="000000"/>
          <w:kern w:val="0"/>
          <w:sz w:val="24"/>
          <w:szCs w:val="24"/>
        </w:rPr>
        <w:t>[2016]36</w:t>
      </w:r>
      <w:r>
        <w:rPr>
          <w:rFonts w:hint="eastAsia" w:ascii="Times New Roman" w:hAnsi="Times New Roman" w:cs="宋体"/>
          <w:color w:val="000000"/>
          <w:kern w:val="0"/>
          <w:sz w:val="24"/>
          <w:szCs w:val="24"/>
        </w:rPr>
        <w:t>号文《财政部、国家税务总局关于全面推开营业税改征增值税试点的通知》、财税</w:t>
      </w:r>
      <w:r>
        <w:rPr>
          <w:rFonts w:ascii="Times New Roman" w:hAnsi="Times New Roman" w:cs="宋体"/>
          <w:color w:val="000000"/>
          <w:kern w:val="0"/>
          <w:sz w:val="24"/>
          <w:szCs w:val="24"/>
        </w:rPr>
        <w:t>[2016]140</w:t>
      </w:r>
      <w:r>
        <w:rPr>
          <w:rFonts w:hint="eastAsia" w:ascii="Times New Roman" w:hAnsi="Times New Roman" w:cs="宋体"/>
          <w:color w:val="000000"/>
          <w:kern w:val="0"/>
          <w:sz w:val="24"/>
          <w:szCs w:val="24"/>
        </w:rPr>
        <w:t>号文《关于明确金融、房地产开发、教育辅助服务等增值税政策的通知》、财税</w:t>
      </w:r>
      <w:r>
        <w:rPr>
          <w:rFonts w:ascii="Times New Roman" w:hAnsi="Times New Roman" w:cs="宋体"/>
          <w:color w:val="000000"/>
          <w:kern w:val="0"/>
          <w:sz w:val="24"/>
          <w:szCs w:val="24"/>
        </w:rPr>
        <w:t>[2017]2</w:t>
      </w:r>
      <w:r>
        <w:rPr>
          <w:rFonts w:hint="eastAsia" w:ascii="Times New Roman" w:hAnsi="Times New Roman" w:cs="宋体"/>
          <w:color w:val="000000"/>
          <w:kern w:val="0"/>
          <w:sz w:val="24"/>
          <w:szCs w:val="24"/>
        </w:rPr>
        <w:t>号文《关于资管产品增值税政策有关问题的补充通知》、财税</w:t>
      </w:r>
      <w:r>
        <w:rPr>
          <w:rFonts w:ascii="Times New Roman" w:hAnsi="Times New Roman" w:cs="宋体"/>
          <w:color w:val="000000"/>
          <w:kern w:val="0"/>
          <w:sz w:val="24"/>
          <w:szCs w:val="24"/>
        </w:rPr>
        <w:t>[2015] 125</w:t>
      </w:r>
      <w:r>
        <w:rPr>
          <w:rFonts w:hint="eastAsia" w:ascii="Times New Roman" w:hAnsi="Times New Roman" w:cs="宋体"/>
          <w:color w:val="000000"/>
          <w:kern w:val="0"/>
          <w:sz w:val="24"/>
          <w:szCs w:val="24"/>
        </w:rPr>
        <w:t>号文《关于内地与香港基金互认有关税收政策的通知》及其他相关税务法规和实务操作，本基金适用的主要税项列示如下：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以发行基金方式募集资金，不属于营业税征收范围，不征收营业税。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(b)</w:t>
      </w:r>
      <w:r>
        <w:rPr>
          <w:rFonts w:hint="eastAsia" w:ascii="Times New Roman" w:hAnsi="Times New Roman" w:cs="宋体"/>
          <w:color w:val="000000"/>
          <w:kern w:val="0"/>
          <w:sz w:val="24"/>
          <w:szCs w:val="24"/>
        </w:rPr>
        <w:t>证券投资基金管理人运用基金买卖股票、债券的差价收入暂免征收营业税和企业所得税。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(c)</w:t>
      </w:r>
      <w:r>
        <w:rPr>
          <w:rFonts w:hint="eastAsia" w:ascii="Times New Roman" w:hAnsi="Times New Roman" w:cs="宋体"/>
          <w:color w:val="000000"/>
          <w:kern w:val="0"/>
          <w:sz w:val="24"/>
          <w:szCs w:val="24"/>
        </w:rPr>
        <w:t>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日起，在全国范围内全面推开营业税改征增值税</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以下称营改增</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试点，建筑业、房地产业、金融业、生活服务业等全部营业税纳税人，纳入试点范围，由缴纳营业税改为缴纳增值税。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证券投资基金</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封闭式证券投资基金，开放式证券投资基金</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管理人运用基金买卖股票、债券收入免征增值税。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对香港市场投资者</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包括单位和个人</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通过基金互认买卖内地基金份额免征增值税。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日前运营过程中发生的增值税应税行为，未缴纳增值税的，不再缴纳；已缴纳增值税的，已纳税额从资管产品管理人以后月份的增值税应纳税额中抵减。因此，截至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日，本基金没有计提有关增值税费用。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(d)</w:t>
      </w:r>
      <w:r>
        <w:rPr>
          <w:rFonts w:hint="eastAsia" w:ascii="Times New Roman" w:hAnsi="Times New Roman" w:cs="宋体"/>
          <w:color w:val="000000"/>
          <w:kern w:val="0"/>
          <w:sz w:val="24"/>
          <w:szCs w:val="24"/>
        </w:rPr>
        <w:t>基金作为流通股股东在股权分置改革过程中收到由非流通股股东支付的股份、现金对价，暂免征收印花税、企业所得税和个人所得税。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(e)</w:t>
      </w:r>
      <w:r>
        <w:rPr>
          <w:rFonts w:hint="eastAsia" w:ascii="Times New Roman" w:hAnsi="Times New Roman" w:cs="宋体"/>
          <w:color w:val="000000"/>
          <w:kern w:val="0"/>
          <w:sz w:val="24"/>
          <w:szCs w:val="24"/>
        </w:rPr>
        <w:t>对基金取得的股票的股息、红利收入，债券的利息收入，由上市公司、发行债券的企业在向基金支付上述收入时代扣代缴</w:t>
      </w:r>
      <w:r>
        <w:rPr>
          <w:rFonts w:ascii="Times New Roman" w:hAnsi="Times New Roman" w:cs="宋体"/>
          <w:color w:val="000000"/>
          <w:kern w:val="0"/>
          <w:sz w:val="24"/>
          <w:szCs w:val="24"/>
        </w:rPr>
        <w:t>20%</w:t>
      </w:r>
      <w:r>
        <w:rPr>
          <w:rFonts w:hint="eastAsia" w:ascii="Times New Roman" w:hAnsi="Times New Roman" w:cs="宋体"/>
          <w:color w:val="000000"/>
          <w:kern w:val="0"/>
          <w:sz w:val="24"/>
          <w:szCs w:val="24"/>
        </w:rPr>
        <w:t>的个人所得税。自</w:t>
      </w:r>
      <w:r>
        <w:rPr>
          <w:rFonts w:ascii="Times New Roman" w:hAnsi="Times New Roman" w:cs="宋体"/>
          <w:color w:val="000000"/>
          <w:kern w:val="0"/>
          <w:sz w:val="24"/>
          <w:szCs w:val="24"/>
        </w:rPr>
        <w:t>2013</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日起，对所取得的股息红利收入根据持股期限差别化计算个人所得税的应纳税所得额：持股期限在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个月以内</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的，其股息红利所得全额计入应纳税所得额；持股期限在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个月以上至</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年）的，暂减按</w:t>
      </w:r>
      <w:r>
        <w:rPr>
          <w:rFonts w:ascii="Times New Roman" w:hAnsi="Times New Roman" w:cs="宋体"/>
          <w:color w:val="000000"/>
          <w:kern w:val="0"/>
          <w:sz w:val="24"/>
          <w:szCs w:val="24"/>
        </w:rPr>
        <w:t>50%</w:t>
      </w:r>
      <w:r>
        <w:rPr>
          <w:rFonts w:hint="eastAsia" w:ascii="Times New Roman" w:hAnsi="Times New Roman" w:cs="宋体"/>
          <w:color w:val="000000"/>
          <w:kern w:val="0"/>
          <w:sz w:val="24"/>
          <w:szCs w:val="24"/>
        </w:rPr>
        <w:t>计入应纳税所得额；持股期限超过</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年的，股权登记日为自</w:t>
      </w:r>
      <w:r>
        <w:rPr>
          <w:rFonts w:ascii="Times New Roman" w:hAnsi="Times New Roman" w:cs="宋体"/>
          <w:color w:val="000000"/>
          <w:kern w:val="0"/>
          <w:sz w:val="24"/>
          <w:szCs w:val="24"/>
        </w:rPr>
        <w:t>2013</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日期间的，暂减按</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计入应纳税所得额，股权登记日在</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日及以后的，暂免征收个人所得税。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(f)</w:t>
      </w:r>
      <w:r>
        <w:rPr>
          <w:rFonts w:hint="eastAsia" w:ascii="Times New Roman" w:hAnsi="Times New Roman" w:cs="宋体"/>
          <w:color w:val="000000"/>
          <w:kern w:val="0"/>
          <w:sz w:val="24"/>
          <w:szCs w:val="24"/>
        </w:rPr>
        <w:t>关于香港市场投资者通过基金互认买卖内地基金份额的所得税问题：</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对香港市场投资者</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包括企业和个人</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通过基金互认买卖内地基金份额取得的转让差价所得，暂免征收所得税。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对香港市场投资者</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包括企业和个人</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通过基金互认从内地基金分配取得的收益，由内地上市公司向该内地基金分配股息红利时</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对香港市场投资者按照</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的税率代扣所得税；或发行债券的企业向该内地基金分配利息时，对香港市场投资者按照</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的税率代扣所得税，并由内地上市公司或发行债券的企业向其主管税务机关办理扣缴申报。该内地基金向投资者分配收益时</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不再扣缴所得税。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内地基金管理人应当向相关证券登记结算机构提供内地基金的香港市场投资者的相关信息。</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(g)</w:t>
      </w:r>
      <w:r>
        <w:rPr>
          <w:rFonts w:hint="eastAsia" w:ascii="Times New Roman" w:hAnsi="Times New Roman" w:cs="宋体"/>
          <w:color w:val="000000"/>
          <w:kern w:val="0"/>
          <w:sz w:val="24"/>
          <w:szCs w:val="24"/>
        </w:rPr>
        <w:t>基金卖出股票按</w:t>
      </w:r>
      <w:r>
        <w:rPr>
          <w:rFonts w:ascii="Times New Roman" w:hAnsi="Times New Roman" w:cs="宋体"/>
          <w:color w:val="000000"/>
          <w:kern w:val="0"/>
          <w:sz w:val="24"/>
          <w:szCs w:val="24"/>
        </w:rPr>
        <w:t>0.1%</w:t>
      </w:r>
      <w:r>
        <w:rPr>
          <w:rFonts w:hint="eastAsia" w:ascii="Times New Roman" w:hAnsi="Times New Roman" w:cs="宋体"/>
          <w:color w:val="000000"/>
          <w:kern w:val="0"/>
          <w:sz w:val="24"/>
          <w:szCs w:val="24"/>
        </w:rPr>
        <w:t>的税率缴纳股票交易印花税，买入股票不征收股票交易印花税。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(h)</w:t>
      </w:r>
      <w:r>
        <w:rPr>
          <w:rFonts w:hint="eastAsia" w:ascii="Times New Roman" w:hAnsi="Times New Roman" w:cs="宋体"/>
          <w:color w:val="000000"/>
          <w:kern w:val="0"/>
          <w:sz w:val="24"/>
          <w:szCs w:val="24"/>
        </w:rPr>
        <w:t>对投资者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包括个人和机构投资者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从基金分配中取得的收入，暂不征收个人所得税和企业所得税。</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 </w:t>
      </w:r>
      <w:r>
        <w:rPr>
          <w:rFonts w:hint="eastAsia" w:ascii="Times New Roman" w:hAnsi="Times New Roman" w:cs="宋体"/>
          <w:b/>
          <w:bCs/>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 </w:t>
      </w:r>
      <w:r>
        <w:rPr>
          <w:rFonts w:hint="eastAsia" w:ascii="Times New Roman" w:hAnsi="Times New Roman" w:cs="宋体"/>
          <w:b/>
          <w:bCs/>
          <w:color w:val="000000"/>
          <w:kern w:val="0"/>
          <w:sz w:val="24"/>
          <w:szCs w:val="24"/>
        </w:rPr>
        <w:t>银行存款</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620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14,337,418.10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其中：存款期限</w:t>
            </w:r>
            <w:r>
              <w:rPr>
                <w:rFonts w:ascii="Times New Roman" w:hAnsi="Times New Roman" w:cs="宋体"/>
                <w:color w:val="000000"/>
                <w:kern w:val="0"/>
                <w:sz w:val="24"/>
                <w:szCs w:val="24"/>
              </w:rPr>
              <w:t>1-3</w:t>
            </w:r>
            <w:r>
              <w:rPr>
                <w:rFonts w:hint="eastAsia" w:ascii="Times New Roman" w:hAnsi="Times New Roman" w:cs="宋体"/>
                <w:color w:val="000000"/>
                <w:kern w:val="0"/>
                <w:sz w:val="24"/>
                <w:szCs w:val="24"/>
              </w:rPr>
              <w:t>个月</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14,337,418.10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7.4.7.2 </w:t>
      </w:r>
      <w:r>
        <w:rPr>
          <w:rFonts w:hint="eastAsia" w:ascii="Times New Roman" w:hAnsi="Times New Roman" w:cs="宋体"/>
          <w:b/>
          <w:bCs/>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 xml:space="preserve"> 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471,321,194.55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465,686,500.00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-5,634,694.55</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471,321,194.55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465,686,500.00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-5,634,694.55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25,000,000.00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24,845,000.00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-155,000.00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496,321,194.55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490,531,500.00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-5,789,694.55</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7.4.7.3 </w:t>
      </w:r>
      <w:r>
        <w:rPr>
          <w:rFonts w:hint="eastAsia" w:ascii="Times New Roman" w:hAnsi="Times New Roman" w:cs="宋体"/>
          <w:b/>
          <w:bCs/>
          <w:color w:val="000000"/>
          <w:kern w:val="0"/>
          <w:sz w:val="24"/>
          <w:szCs w:val="24"/>
        </w:rPr>
        <w:t>衍生金融资产</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负债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本基金本报告期末无衍生金融资产</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负债。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 </w:t>
      </w:r>
      <w:r>
        <w:rPr>
          <w:rFonts w:hint="eastAsia" w:ascii="Times New Roman" w:hAnsi="Times New Roman" w:cs="宋体"/>
          <w:b/>
          <w:bCs/>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7.4.7.4.1 </w:t>
      </w:r>
      <w:r>
        <w:rPr>
          <w:rFonts w:hint="eastAsia" w:ascii="Times New Roman" w:hAnsi="Times New Roman" w:cs="宋体"/>
          <w:b/>
          <w:bCs/>
          <w:color w:val="000000"/>
          <w:kern w:val="0"/>
          <w:sz w:val="24"/>
          <w:szCs w:val="24"/>
        </w:rPr>
        <w:t>各项买入返售金融资产期末余额</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3251"/>
        <w:gridCol w:w="3251"/>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0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 xml:space="preserve"> 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账面余额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其中：买断式逆回购</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40,000,180.00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40,000,180.00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7.4.7.4.2 </w:t>
      </w:r>
      <w:r>
        <w:rPr>
          <w:rFonts w:hint="eastAsia" w:ascii="Times New Roman" w:hAnsi="Times New Roman" w:cs="宋体"/>
          <w:b/>
          <w:bCs/>
          <w:color w:val="000000"/>
          <w:kern w:val="0"/>
          <w:sz w:val="24"/>
          <w:szCs w:val="24"/>
        </w:rPr>
        <w:t>期末买断式逆回购交易中取得的债券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本基金本期末未持有买断式逆回购交易中取得的债券。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7.4.7.5 </w:t>
      </w:r>
      <w:r>
        <w:rPr>
          <w:rFonts w:hint="eastAsia" w:ascii="Times New Roman" w:hAnsi="Times New Roman" w:cs="宋体"/>
          <w:b/>
          <w:bCs/>
          <w:color w:val="000000"/>
          <w:kern w:val="0"/>
          <w:sz w:val="24"/>
          <w:szCs w:val="24"/>
        </w:rPr>
        <w:t>应收利息</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应收活期存款利息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2,898.95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应收定期存款利息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应收其他存款利息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应收结算备付金利息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应收债券利息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6,717,987.94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应收买入返售证券利息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54,732.50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应收黄金合约拆借孳息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166,575.34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6,942,194.73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7.4.7.6 </w:t>
      </w:r>
      <w:r>
        <w:rPr>
          <w:rFonts w:hint="eastAsia" w:ascii="Times New Roman" w:hAnsi="Times New Roman" w:cs="宋体"/>
          <w:b/>
          <w:bCs/>
          <w:color w:val="000000"/>
          <w:kern w:val="0"/>
          <w:sz w:val="24"/>
          <w:szCs w:val="24"/>
        </w:rPr>
        <w:t>其他资产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本基金本报告期末无其他资产。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7.4.7.7 </w:t>
      </w:r>
      <w:r>
        <w:rPr>
          <w:rFonts w:hint="eastAsia" w:ascii="Times New Roman" w:hAnsi="Times New Roman" w:cs="宋体"/>
          <w:b/>
          <w:bCs/>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2,890.15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2,890.15</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7.4.7.8 </w:t>
      </w:r>
      <w:r>
        <w:rPr>
          <w:rFonts w:hint="eastAsia" w:ascii="Times New Roman" w:hAnsi="Times New Roman" w:cs="宋体"/>
          <w:b/>
          <w:bCs/>
          <w:color w:val="000000"/>
          <w:kern w:val="0"/>
          <w:sz w:val="24"/>
          <w:szCs w:val="24"/>
        </w:rPr>
        <w:t>其他负债</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应付券商交易单元保证金</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预提费用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142,000.00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7.4.7.9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日（基金合同生效日）至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200,164,018.44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200,164,018.44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340,016,378.76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340,016,378.76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本期赎回（以“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-248,681.72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-248,681.72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539,931,715.48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539,931,715.48</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、申购含红利再投、转换入份</w:t>
      </w:r>
      <w:r>
        <w:rPr>
          <w:rFonts w:ascii="Times New Roman" w:hAnsi="Times New Roman" w:cs="宋体"/>
          <w:color w:val="000000"/>
          <w:kern w:val="0"/>
          <w:szCs w:val="21"/>
        </w:rPr>
        <w:t>(</w:t>
      </w:r>
      <w:r>
        <w:rPr>
          <w:rFonts w:hint="eastAsia" w:ascii="Times New Roman" w:hAnsi="Times New Roman" w:cs="宋体"/>
          <w:color w:val="000000"/>
          <w:kern w:val="0"/>
          <w:szCs w:val="21"/>
        </w:rPr>
        <w:t>金</w:t>
      </w:r>
      <w:r>
        <w:rPr>
          <w:rFonts w:ascii="Times New Roman" w:hAnsi="Times New Roman" w:cs="宋体"/>
          <w:color w:val="000000"/>
          <w:kern w:val="0"/>
          <w:szCs w:val="21"/>
        </w:rPr>
        <w:t>)</w:t>
      </w:r>
      <w:r>
        <w:rPr>
          <w:rFonts w:hint="eastAsia" w:ascii="Times New Roman" w:hAnsi="Times New Roman" w:cs="宋体"/>
          <w:color w:val="000000"/>
          <w:kern w:val="0"/>
          <w:szCs w:val="21"/>
        </w:rPr>
        <w:t>额；赎回含转换出份</w:t>
      </w:r>
      <w:r>
        <w:rPr>
          <w:rFonts w:ascii="Times New Roman" w:hAnsi="Times New Roman" w:cs="宋体"/>
          <w:color w:val="000000"/>
          <w:kern w:val="0"/>
          <w:szCs w:val="21"/>
        </w:rPr>
        <w:t>(</w:t>
      </w:r>
      <w:r>
        <w:rPr>
          <w:rFonts w:hint="eastAsia" w:ascii="Times New Roman" w:hAnsi="Times New Roman" w:cs="宋体"/>
          <w:color w:val="000000"/>
          <w:kern w:val="0"/>
          <w:szCs w:val="21"/>
        </w:rPr>
        <w:t>金</w:t>
      </w:r>
      <w:r>
        <w:rPr>
          <w:rFonts w:ascii="Times New Roman" w:hAnsi="Times New Roman" w:cs="宋体"/>
          <w:color w:val="000000"/>
          <w:kern w:val="0"/>
          <w:szCs w:val="21"/>
        </w:rPr>
        <w:t>)</w:t>
      </w:r>
      <w:r>
        <w:rPr>
          <w:rFonts w:hint="eastAsia" w:ascii="Times New Roman" w:hAnsi="Times New Roman" w:cs="宋体"/>
          <w:color w:val="000000"/>
          <w:kern w:val="0"/>
          <w:szCs w:val="21"/>
        </w:rPr>
        <w:t>额。</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、本基金自</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22</w:t>
      </w:r>
      <w:r>
        <w:rPr>
          <w:rFonts w:hint="eastAsia" w:ascii="Times New Roman" w:hAnsi="Times New Roman" w:cs="宋体"/>
          <w:color w:val="000000"/>
          <w:kern w:val="0"/>
          <w:szCs w:val="21"/>
        </w:rPr>
        <w:t>日至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2</w:t>
      </w:r>
      <w:r>
        <w:rPr>
          <w:rFonts w:hint="eastAsia" w:ascii="Times New Roman" w:hAnsi="Times New Roman" w:cs="宋体"/>
          <w:color w:val="000000"/>
          <w:kern w:val="0"/>
          <w:szCs w:val="21"/>
        </w:rPr>
        <w:t>月</w:t>
      </w:r>
      <w:r>
        <w:rPr>
          <w:rFonts w:ascii="Times New Roman" w:hAnsi="Times New Roman" w:cs="宋体"/>
          <w:color w:val="000000"/>
          <w:kern w:val="0"/>
          <w:szCs w:val="21"/>
        </w:rPr>
        <w:t>23</w:t>
      </w:r>
      <w:r>
        <w:rPr>
          <w:rFonts w:hint="eastAsia" w:ascii="Times New Roman" w:hAnsi="Times New Roman" w:cs="宋体"/>
          <w:color w:val="000000"/>
          <w:kern w:val="0"/>
          <w:szCs w:val="21"/>
        </w:rPr>
        <w:t>日止期间公开发售，共募集有效净认购资金</w:t>
      </w:r>
      <w:r>
        <w:rPr>
          <w:rFonts w:ascii="Times New Roman" w:hAnsi="Times New Roman" w:cs="宋体"/>
          <w:color w:val="000000"/>
          <w:kern w:val="0"/>
          <w:szCs w:val="21"/>
        </w:rPr>
        <w:t>200,162,350.80</w:t>
      </w:r>
      <w:r>
        <w:rPr>
          <w:rFonts w:hint="eastAsia" w:ascii="Times New Roman" w:hAnsi="Times New Roman" w:cs="宋体"/>
          <w:color w:val="000000"/>
          <w:kern w:val="0"/>
          <w:szCs w:val="21"/>
        </w:rPr>
        <w:t>元。根据《创金合信尊盛纯债债券型证券投资基金募集说明书》的规定，本基金设立募集期内认购资金产生的利息收入</w:t>
      </w:r>
      <w:r>
        <w:rPr>
          <w:rFonts w:ascii="Times New Roman" w:hAnsi="Times New Roman" w:cs="宋体"/>
          <w:color w:val="000000"/>
          <w:kern w:val="0"/>
          <w:szCs w:val="21"/>
        </w:rPr>
        <w:t>1,667.64</w:t>
      </w:r>
      <w:r>
        <w:rPr>
          <w:rFonts w:hint="eastAsia" w:ascii="Times New Roman" w:hAnsi="Times New Roman" w:cs="宋体"/>
          <w:color w:val="000000"/>
          <w:kern w:val="0"/>
          <w:szCs w:val="21"/>
        </w:rPr>
        <w:t>元，在本基金成立后，折算为</w:t>
      </w:r>
      <w:r>
        <w:rPr>
          <w:rFonts w:ascii="Times New Roman" w:hAnsi="Times New Roman" w:cs="宋体"/>
          <w:color w:val="000000"/>
          <w:kern w:val="0"/>
          <w:szCs w:val="21"/>
        </w:rPr>
        <w:t>1,667.64</w:t>
      </w:r>
      <w:r>
        <w:rPr>
          <w:rFonts w:hint="eastAsia" w:ascii="Times New Roman" w:hAnsi="Times New Roman" w:cs="宋体"/>
          <w:color w:val="000000"/>
          <w:kern w:val="0"/>
          <w:szCs w:val="21"/>
        </w:rPr>
        <w:t>份基金份额，划入基金份额持有人账户。</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7.4.7.10 </w:t>
      </w:r>
      <w:r>
        <w:rPr>
          <w:rFonts w:hint="eastAsia" w:ascii="Times New Roman" w:hAnsi="Times New Roman" w:cs="宋体"/>
          <w:b/>
          <w:bCs/>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2168"/>
        <w:gridCol w:w="2167"/>
        <w:gridCol w:w="2167"/>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17,241,205.09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-5,789,694.55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11,451,510.54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1,827,641.05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-1,730,962.18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96,678.87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1,832,379.61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-1,730,578.02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101,801.59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-4,738.56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-384.16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-5,122.72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19,068,846.14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-7,520,656.73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11,548,189.41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7.4.7.11 </w:t>
      </w:r>
      <w:r>
        <w:rPr>
          <w:rFonts w:hint="eastAsia" w:ascii="Times New Roman" w:hAnsi="Times New Roman" w:cs="宋体"/>
          <w:b/>
          <w:bCs/>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153,531.77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10,002.29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163,534.06</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7.4.7.12 </w:t>
      </w:r>
      <w:r>
        <w:rPr>
          <w:rFonts w:hint="eastAsia" w:ascii="Times New Roman" w:hAnsi="Times New Roman" w:cs="宋体"/>
          <w:b/>
          <w:bCs/>
          <w:color w:val="000000"/>
          <w:kern w:val="0"/>
          <w:sz w:val="24"/>
          <w:szCs w:val="24"/>
        </w:rPr>
        <w:t>股票投资收益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本基金本报告期内无股票投资收益。</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 </w:t>
      </w:r>
      <w:r>
        <w:rPr>
          <w:rFonts w:hint="eastAsia" w:ascii="Times New Roman" w:hAnsi="Times New Roman" w:cs="宋体"/>
          <w:b/>
          <w:bCs/>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7.4.7.13.1 </w:t>
      </w:r>
      <w:r>
        <w:rPr>
          <w:rFonts w:hint="eastAsia" w:ascii="Times New Roman" w:hAnsi="Times New Roman" w:cs="宋体"/>
          <w:b/>
          <w:bCs/>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买卖债券（、债转股及债券到期兑付）差价收入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-620,613.29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赎回差价收入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申购差价收入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-620,613.29</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7.4.7.13.2 </w:t>
      </w:r>
      <w:r>
        <w:rPr>
          <w:rFonts w:hint="eastAsia" w:ascii="Times New Roman" w:hAnsi="Times New Roman" w:cs="宋体"/>
          <w:b/>
          <w:bCs/>
          <w:color w:val="000000"/>
          <w:kern w:val="0"/>
          <w:sz w:val="24"/>
          <w:szCs w:val="24"/>
        </w:rPr>
        <w:t>债券投资收益</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卖出债券（、债转股及债券到期兑付）成交总额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218,162,873.99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减：卖出债券（、债转股及债券到期兑付）成本总额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209,857,628.69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减：应收利息总额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8,925,858.59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买卖债券差价收入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-620,613.29</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7.4.7.14 </w:t>
      </w:r>
      <w:r>
        <w:rPr>
          <w:rFonts w:hint="eastAsia" w:ascii="Times New Roman" w:hAnsi="Times New Roman" w:cs="宋体"/>
          <w:b/>
          <w:bCs/>
          <w:color w:val="000000"/>
          <w:kern w:val="0"/>
          <w:sz w:val="24"/>
          <w:szCs w:val="24"/>
        </w:rPr>
        <w:t>衍生工具收益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7.4.7.15 </w:t>
      </w:r>
      <w:r>
        <w:rPr>
          <w:rFonts w:hint="eastAsia" w:ascii="Times New Roman" w:hAnsi="Times New Roman" w:cs="宋体"/>
          <w:b/>
          <w:bCs/>
          <w:color w:val="000000"/>
          <w:kern w:val="0"/>
          <w:sz w:val="24"/>
          <w:szCs w:val="24"/>
        </w:rPr>
        <w:t>股利收益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本基金本报告期内无股利收益。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7.4.7.16 </w:t>
      </w:r>
      <w:r>
        <w:rPr>
          <w:rFonts w:hint="eastAsia" w:ascii="Times New Roman" w:hAnsi="Times New Roman" w:cs="宋体"/>
          <w:b/>
          <w:bCs/>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交易性金融资产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-5,789,694.55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股票投资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债券投资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-5,634,694.55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资产支持证券投资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贵金属投资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衍生工具</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权证投资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-5,789,694.55</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7.4.7.17 </w:t>
      </w:r>
      <w:r>
        <w:rPr>
          <w:rFonts w:hint="eastAsia" w:ascii="Times New Roman" w:hAnsi="Times New Roman" w:cs="宋体"/>
          <w:b/>
          <w:bCs/>
          <w:color w:val="000000"/>
          <w:kern w:val="0"/>
          <w:sz w:val="24"/>
          <w:szCs w:val="24"/>
        </w:rPr>
        <w:t>其他收入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基金赎回费收入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99.70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7.4.7.18 </w:t>
      </w:r>
      <w:r>
        <w:rPr>
          <w:rFonts w:hint="eastAsia" w:ascii="Times New Roman" w:hAnsi="Times New Roman" w:cs="宋体"/>
          <w:b/>
          <w:bCs/>
          <w:color w:val="000000"/>
          <w:kern w:val="0"/>
          <w:sz w:val="24"/>
          <w:szCs w:val="24"/>
        </w:rPr>
        <w:t>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4,982.50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4,982.50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7.4.7.19 </w:t>
      </w:r>
      <w:r>
        <w:rPr>
          <w:rFonts w:hint="eastAsia" w:ascii="Times New Roman" w:hAnsi="Times New Roman" w:cs="宋体"/>
          <w:b/>
          <w:bCs/>
          <w:color w:val="000000"/>
          <w:kern w:val="0"/>
          <w:sz w:val="24"/>
          <w:szCs w:val="24"/>
        </w:rPr>
        <w:t>其他费用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审计费用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帐户维护费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27,400.00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汇划手续费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6,918.31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查询服务费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167,918.31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 </w:t>
      </w:r>
      <w:r>
        <w:rPr>
          <w:rFonts w:hint="eastAsia" w:ascii="Times New Roman" w:hAnsi="Times New Roman" w:cs="宋体"/>
          <w:b/>
          <w:bCs/>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7.4.8.1 </w:t>
      </w:r>
      <w:r>
        <w:rPr>
          <w:rFonts w:hint="eastAsia" w:ascii="Times New Roman" w:hAnsi="Times New Roman" w:cs="宋体"/>
          <w:b/>
          <w:bCs/>
          <w:color w:val="000000"/>
          <w:kern w:val="0"/>
          <w:sz w:val="24"/>
          <w:szCs w:val="24"/>
        </w:rPr>
        <w:t>或有事项</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截至资产负债表日，本基金无须披露的或有事项。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7.4.8.2 </w:t>
      </w:r>
      <w:r>
        <w:rPr>
          <w:rFonts w:hint="eastAsia" w:ascii="Times New Roman" w:hAnsi="Times New Roman" w:cs="宋体"/>
          <w:b/>
          <w:bCs/>
          <w:color w:val="000000"/>
          <w:kern w:val="0"/>
          <w:sz w:val="24"/>
          <w:szCs w:val="24"/>
        </w:rPr>
        <w:t>资产负债表日后事项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截至本财务报表批准报出日，本基金无需作披露的资产负债表日后事项。</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 </w:t>
      </w:r>
      <w:r>
        <w:rPr>
          <w:rFonts w:hint="eastAsia" w:ascii="Times New Roman" w:hAnsi="Times New Roman" w:cs="宋体"/>
          <w:b/>
          <w:bCs/>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7.4.9.1 </w:t>
      </w:r>
      <w:r>
        <w:rPr>
          <w:rFonts w:hint="eastAsia" w:ascii="Times New Roman" w:hAnsi="Times New Roman" w:cs="宋体"/>
          <w:b/>
          <w:bCs/>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本报告期不存在重大关联方发生变化的情况。</w:t>
      </w:r>
    </w:p>
    <w:p>
      <w:pPr>
        <w:autoSpaceDE w:val="0"/>
        <w:autoSpaceDN w:val="0"/>
        <w:adjustRightInd w:val="0"/>
        <w:spacing w:before="29" w:line="288" w:lineRule="auto"/>
        <w:ind w:left="15"/>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332"/>
        <w:gridCol w:w="4696"/>
      </w:tblGrid>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“招商银行”</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深圳市金合信投资合伙企业（有限合伙）</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“第一创业证券”</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 </w:t>
      </w:r>
      <w:r>
        <w:rPr>
          <w:rFonts w:hint="eastAsia" w:ascii="Times New Roman" w:hAnsi="Times New Roman" w:cs="宋体"/>
          <w:b/>
          <w:bCs/>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 </w:t>
      </w:r>
      <w:r>
        <w:rPr>
          <w:rFonts w:hint="eastAsia" w:ascii="Times New Roman" w:hAnsi="Times New Roman" w:cs="宋体"/>
          <w:b/>
          <w:bCs/>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7.4.10.1.1 </w:t>
      </w:r>
      <w:r>
        <w:rPr>
          <w:rFonts w:hint="eastAsia" w:ascii="Times New Roman" w:hAnsi="Times New Roman" w:cs="宋体"/>
          <w:b/>
          <w:bCs/>
          <w:color w:val="000000"/>
          <w:kern w:val="0"/>
          <w:sz w:val="24"/>
          <w:szCs w:val="24"/>
        </w:rPr>
        <w:t>股票交易</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本基金本报告期内无通过关联方交易单元进行的股票交易。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7.4.10.1.2 </w:t>
      </w:r>
      <w:r>
        <w:rPr>
          <w:rFonts w:hint="eastAsia" w:ascii="Times New Roman" w:hAnsi="Times New Roman" w:cs="宋体"/>
          <w:b/>
          <w:bCs/>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1,762,857,000.00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100.00%</w:t>
            </w:r>
          </w:p>
        </w:tc>
      </w:tr>
    </w:tbl>
    <w:p>
      <w:pPr>
        <w:autoSpaceDE w:val="0"/>
        <w:autoSpaceDN w:val="0"/>
        <w:adjustRightInd w:val="0"/>
        <w:spacing w:before="29" w:line="288" w:lineRule="auto"/>
        <w:ind w:left="15"/>
        <w:jc w:val="left"/>
        <w:rPr>
          <w:rFonts w:hint="eastAsia" w:ascii="Times New Roman" w:hAnsi="Times New Roman" w:cs="宋体"/>
          <w:b/>
          <w:bCs/>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7.4.10.1.3 </w:t>
      </w:r>
      <w:r>
        <w:rPr>
          <w:rFonts w:hint="eastAsia" w:ascii="Times New Roman" w:hAnsi="Times New Roman" w:cs="宋体"/>
          <w:b/>
          <w:bCs/>
          <w:color w:val="000000"/>
          <w:kern w:val="0"/>
          <w:sz w:val="24"/>
          <w:szCs w:val="24"/>
        </w:rPr>
        <w:t>权证交易</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本基金本报告期内无通过关联方交易单元进行的权证交易。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7.4.10.1.4 </w:t>
      </w:r>
      <w:r>
        <w:rPr>
          <w:rFonts w:hint="eastAsia" w:ascii="Times New Roman" w:hAnsi="Times New Roman" w:cs="宋体"/>
          <w:b/>
          <w:bCs/>
          <w:color w:val="000000"/>
          <w:kern w:val="0"/>
          <w:sz w:val="24"/>
          <w:szCs w:val="24"/>
        </w:rPr>
        <w:t>应支付关联方的佣金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本基金本报告期内无应支付关联方的佣金。</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 </w:t>
      </w:r>
      <w:r>
        <w:rPr>
          <w:rFonts w:hint="eastAsia" w:ascii="Times New Roman" w:hAnsi="Times New Roman" w:cs="宋体"/>
          <w:b/>
          <w:bCs/>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7.4.10.2.1 </w:t>
      </w:r>
      <w:r>
        <w:rPr>
          <w:rFonts w:hint="eastAsia" w:ascii="Times New Roman" w:hAnsi="Times New Roman" w:cs="宋体"/>
          <w:b/>
          <w:bCs/>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1,195,285.53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156.72</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注：支付基金管理人创金合信基金管理有限公司的基金管理人报酬按前一日基金资产净值×</w:t>
      </w:r>
      <w:r>
        <w:rPr>
          <w:rFonts w:ascii="Times New Roman" w:hAnsi="Times New Roman" w:cs="宋体"/>
          <w:color w:val="000000"/>
          <w:kern w:val="0"/>
          <w:szCs w:val="21"/>
        </w:rPr>
        <w:t>0.30%</w:t>
      </w:r>
      <w:r>
        <w:rPr>
          <w:rFonts w:hint="eastAsia" w:ascii="Times New Roman" w:hAnsi="Times New Roman" w:cs="宋体"/>
          <w:color w:val="000000"/>
          <w:kern w:val="0"/>
          <w:szCs w:val="21"/>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日基金管理费＝前一日基金资产净值×</w:t>
      </w:r>
      <w:r>
        <w:rPr>
          <w:rFonts w:ascii="Times New Roman" w:hAnsi="Times New Roman" w:cs="宋体"/>
          <w:color w:val="000000"/>
          <w:kern w:val="0"/>
          <w:szCs w:val="21"/>
        </w:rPr>
        <w:t>0.30%</w:t>
      </w:r>
      <w:r>
        <w:rPr>
          <w:rFonts w:hint="eastAsia" w:ascii="Times New Roman" w:hAnsi="Times New Roman" w:cs="宋体"/>
          <w:color w:val="000000"/>
          <w:kern w:val="0"/>
          <w:szCs w:val="21"/>
        </w:rPr>
        <w:t>÷当年天数</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7.4.10.2.2 </w:t>
      </w:r>
      <w:r>
        <w:rPr>
          <w:rFonts w:hint="eastAsia" w:ascii="Times New Roman" w:hAnsi="Times New Roman" w:cs="宋体"/>
          <w:b/>
          <w:bCs/>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398,428.52</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注：支付基金托管人招商银行的基金托管费按前一日基金资产净值×</w:t>
      </w:r>
      <w:r>
        <w:rPr>
          <w:rFonts w:ascii="Times New Roman" w:hAnsi="Times New Roman" w:cs="宋体"/>
          <w:color w:val="000000"/>
          <w:kern w:val="0"/>
          <w:szCs w:val="21"/>
        </w:rPr>
        <w:t>0.10%</w:t>
      </w:r>
      <w:r>
        <w:rPr>
          <w:rFonts w:hint="eastAsia" w:ascii="Times New Roman" w:hAnsi="Times New Roman" w:cs="宋体"/>
          <w:color w:val="000000"/>
          <w:kern w:val="0"/>
          <w:szCs w:val="21"/>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日基金托管费＝前一日基金资产净值×</w:t>
      </w:r>
      <w:r>
        <w:rPr>
          <w:rFonts w:ascii="Times New Roman" w:hAnsi="Times New Roman" w:cs="宋体"/>
          <w:color w:val="000000"/>
          <w:kern w:val="0"/>
          <w:szCs w:val="21"/>
        </w:rPr>
        <w:t>0.10%</w:t>
      </w:r>
      <w:r>
        <w:rPr>
          <w:rFonts w:hint="eastAsia" w:ascii="Times New Roman" w:hAnsi="Times New Roman" w:cs="宋体"/>
          <w:color w:val="000000"/>
          <w:kern w:val="0"/>
          <w:szCs w:val="21"/>
        </w:rPr>
        <w:t>÷当年天数</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7.4.10.3 </w:t>
      </w:r>
      <w:r>
        <w:rPr>
          <w:rFonts w:hint="eastAsia" w:ascii="Times New Roman" w:hAnsi="Times New Roman" w:cs="宋体"/>
          <w:b/>
          <w:bCs/>
          <w:color w:val="000000"/>
          <w:kern w:val="0"/>
          <w:sz w:val="24"/>
          <w:szCs w:val="24"/>
        </w:rPr>
        <w:t>与关联方进行银行间同业市场的债券</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含回购</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本基金本报告期内与关联方无银行间同业市场的债券（含回购）交易。</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 </w:t>
      </w:r>
      <w:r>
        <w:rPr>
          <w:rFonts w:hint="eastAsia" w:ascii="Times New Roman" w:hAnsi="Times New Roman" w:cs="宋体"/>
          <w:b/>
          <w:bCs/>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7.4.10.4.1 </w:t>
      </w:r>
      <w:r>
        <w:rPr>
          <w:rFonts w:hint="eastAsia" w:ascii="Times New Roman" w:hAnsi="Times New Roman" w:cs="宋体"/>
          <w:b/>
          <w:bCs/>
          <w:color w:val="000000"/>
          <w:kern w:val="0"/>
          <w:sz w:val="24"/>
          <w:szCs w:val="24"/>
        </w:rPr>
        <w:t>报告期内基金管理人运用固有资金投资本基金的情况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7.4.10.4.2 </w:t>
      </w:r>
      <w:r>
        <w:rPr>
          <w:rFonts w:hint="eastAsia" w:ascii="Times New Roman" w:hAnsi="Times New Roman" w:cs="宋体"/>
          <w:b/>
          <w:bCs/>
          <w:color w:val="000000"/>
          <w:kern w:val="0"/>
          <w:sz w:val="24"/>
          <w:szCs w:val="24"/>
        </w:rPr>
        <w:t>报告期末除基金管理人之外的其他关联方投资本基金的情况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7.4.10.5 </w:t>
      </w:r>
      <w:r>
        <w:rPr>
          <w:rFonts w:hint="eastAsia" w:ascii="Times New Roman" w:hAnsi="Times New Roman" w:cs="宋体"/>
          <w:b/>
          <w:bCs/>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期末余额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招商银行</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14,337,418.10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153,531.77</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注：本基金的银行存款由基金托管人招商银行保管，按金融机构同业存款利率计息。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7.4.10.6 </w:t>
      </w:r>
      <w:r>
        <w:rPr>
          <w:rFonts w:hint="eastAsia" w:ascii="Times New Roman" w:hAnsi="Times New Roman" w:cs="宋体"/>
          <w:b/>
          <w:bCs/>
          <w:color w:val="000000"/>
          <w:kern w:val="0"/>
          <w:sz w:val="24"/>
          <w:szCs w:val="24"/>
        </w:rPr>
        <w:t>本基金在承销期内参与关联方承销证券的情况</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本基金本报告期内无在承销期内参与关联方承销证券的情况。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7.4.10.7 </w:t>
      </w:r>
      <w:r>
        <w:rPr>
          <w:rFonts w:hint="eastAsia" w:ascii="Times New Roman" w:hAnsi="Times New Roman" w:cs="宋体"/>
          <w:b/>
          <w:bCs/>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无。</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7.4.11 </w:t>
      </w:r>
      <w:r>
        <w:rPr>
          <w:rFonts w:hint="eastAsia" w:ascii="Times New Roman" w:hAnsi="Times New Roman" w:cs="宋体"/>
          <w:b/>
          <w:bCs/>
          <w:color w:val="000000"/>
          <w:kern w:val="0"/>
          <w:sz w:val="24"/>
          <w:szCs w:val="24"/>
        </w:rPr>
        <w:t>利润分配情况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本基金于本期未进行利润分配。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 </w:t>
      </w:r>
      <w:r>
        <w:rPr>
          <w:rFonts w:hint="eastAsia" w:ascii="Times New Roman" w:hAnsi="Times New Roman" w:cs="宋体"/>
          <w:b/>
          <w:bCs/>
          <w:color w:val="000000"/>
          <w:kern w:val="0"/>
          <w:sz w:val="24"/>
          <w:szCs w:val="24"/>
        </w:rPr>
        <w:t>期末（</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7.4.12.1 </w:t>
      </w:r>
      <w:r>
        <w:rPr>
          <w:rFonts w:hint="eastAsia" w:ascii="Times New Roman" w:hAnsi="Times New Roman" w:cs="宋体"/>
          <w:b/>
          <w:bCs/>
          <w:color w:val="000000"/>
          <w:kern w:val="0"/>
          <w:sz w:val="24"/>
          <w:szCs w:val="24"/>
        </w:rPr>
        <w:t>因认购新发</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增发证券而于期末持有的流通受限证券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本基金无因认购新发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增发证券而于期末持有的流通受限的证券。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7.4.12.2 </w:t>
      </w:r>
      <w:r>
        <w:rPr>
          <w:rFonts w:hint="eastAsia" w:ascii="Times New Roman" w:hAnsi="Times New Roman" w:cs="宋体"/>
          <w:b/>
          <w:bCs/>
          <w:color w:val="000000"/>
          <w:kern w:val="0"/>
          <w:sz w:val="24"/>
          <w:szCs w:val="24"/>
        </w:rPr>
        <w:t>期末持有的暂时停牌等流通受限股票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本基金于本期末未持有暂时停牌等流通受限股票。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 </w:t>
      </w:r>
      <w:r>
        <w:rPr>
          <w:rFonts w:hint="eastAsia" w:ascii="Times New Roman" w:hAnsi="Times New Roman" w:cs="宋体"/>
          <w:b/>
          <w:bCs/>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cs="MS Sans Serif"/>
          <w:color w:val="000000"/>
          <w:kern w:val="0"/>
          <w:sz w:val="23"/>
          <w:szCs w:val="23"/>
        </w:rPr>
      </w:pPr>
      <w:r>
        <w:rPr>
          <w:rFonts w:ascii="Times New Roman" w:hAnsi="Times New Roman" w:cs="宋体"/>
          <w:b/>
          <w:bCs/>
          <w:color w:val="000000"/>
          <w:kern w:val="0"/>
          <w:sz w:val="24"/>
          <w:szCs w:val="24"/>
        </w:rPr>
        <w:t xml:space="preserve">7.4.12.3.1 </w:t>
      </w:r>
      <w:r>
        <w:rPr>
          <w:rFonts w:hint="eastAsia" w:ascii="Times New Roman" w:hAnsi="Times New Roman" w:cs="宋体"/>
          <w:b/>
          <w:bCs/>
          <w:color w:val="000000"/>
          <w:kern w:val="0"/>
          <w:sz w:val="24"/>
          <w:szCs w:val="24"/>
        </w:rPr>
        <w:t>银行间市场债券正回购</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日止，本基金从事银行间市场债券正回购交易形成的卖出回购证券款余额为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7.4.12.3.2 </w:t>
      </w:r>
      <w:r>
        <w:rPr>
          <w:rFonts w:hint="eastAsia" w:ascii="Times New Roman" w:hAnsi="Times New Roman" w:cs="宋体"/>
          <w:b/>
          <w:bCs/>
          <w:color w:val="000000"/>
          <w:kern w:val="0"/>
          <w:sz w:val="24"/>
          <w:szCs w:val="24"/>
        </w:rPr>
        <w:t>交易所市场债券正回购</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截至本报告期末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日止，本基金从事交易所债券正回购交易形成的卖出回购证券款余额为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 </w:t>
      </w:r>
      <w:r>
        <w:rPr>
          <w:rFonts w:hint="eastAsia" w:ascii="Times New Roman" w:hAnsi="Times New Roman" w:cs="宋体"/>
          <w:b/>
          <w:bCs/>
          <w:color w:val="000000"/>
          <w:kern w:val="0"/>
          <w:sz w:val="24"/>
          <w:szCs w:val="24"/>
        </w:rPr>
        <w:t>金融工具风险及管理</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7.4.13.1 </w:t>
      </w:r>
      <w:r>
        <w:rPr>
          <w:rFonts w:hint="eastAsia" w:ascii="Times New Roman" w:hAnsi="Times New Roman" w:cs="宋体"/>
          <w:b/>
          <w:bCs/>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7.4.13.2</w:t>
      </w:r>
      <w:r>
        <w:rPr>
          <w:rFonts w:hint="eastAsia" w:ascii="Times New Roman" w:hAnsi="Times New Roman" w:cs="宋体"/>
          <w:b/>
          <w:bCs/>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本基金债券投资的信用评级情况按《中国人民银行信用评级管理指导意见》设定的标准统计及汇总。</w:t>
      </w:r>
      <w:r>
        <w:rPr>
          <w:rFonts w:ascii="Times New Roman" w:hAnsi="Times New Roman" w:cs="宋体"/>
          <w:color w:val="000000"/>
          <w:kern w:val="0"/>
          <w:sz w:val="24"/>
          <w:szCs w:val="24"/>
        </w:rPr>
        <w:t xml:space="preserve"> </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7.4.13.2.1 </w:t>
      </w:r>
      <w:r>
        <w:rPr>
          <w:rFonts w:hint="eastAsia" w:ascii="Times New Roman" w:hAnsi="Times New Roman" w:cs="宋体"/>
          <w:b/>
          <w:bCs/>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短期信用评级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A-1</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A-1</w:t>
            </w:r>
            <w:r>
              <w:rPr>
                <w:rFonts w:hint="eastAsia" w:ascii="Times New Roman" w:hAnsi="Times New Roman" w:cs="宋体"/>
                <w:color w:val="000000"/>
                <w:kern w:val="0"/>
                <w:sz w:val="24"/>
                <w:szCs w:val="24"/>
              </w:rPr>
              <w:t>以下</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29,955,000.00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29,955,000.00</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注：未评级债券为国债、央行票据及政策性金融债等利率债券。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7.4.13.2.2 </w:t>
      </w:r>
      <w:r>
        <w:rPr>
          <w:rFonts w:hint="eastAsia" w:ascii="Times New Roman" w:hAnsi="Times New Roman" w:cs="宋体"/>
          <w:b/>
          <w:bCs/>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长期信用评级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AAA</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AAA</w:t>
            </w:r>
            <w:r>
              <w:rPr>
                <w:rFonts w:hint="eastAsia" w:ascii="Times New Roman" w:hAnsi="Times New Roman" w:cs="宋体"/>
                <w:color w:val="000000"/>
                <w:kern w:val="0"/>
                <w:sz w:val="24"/>
                <w:szCs w:val="24"/>
              </w:rPr>
              <w:t>以下</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460,576,500.00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460,576,500.00</w:t>
            </w:r>
          </w:p>
        </w:tc>
      </w:tr>
    </w:tbl>
    <w:p>
      <w:pPr>
        <w:autoSpaceDE w:val="0"/>
        <w:autoSpaceDN w:val="0"/>
        <w:adjustRightInd w:val="0"/>
        <w:spacing w:before="29" w:line="288" w:lineRule="auto"/>
        <w:ind w:left="15"/>
        <w:jc w:val="left"/>
        <w:rPr>
          <w:rFonts w:hint="eastAsia" w:ascii="Times New Roman" w:hAnsi="Times New Roman" w:cs="宋体"/>
          <w:color w:val="000000"/>
          <w:kern w:val="0"/>
          <w:szCs w:val="21"/>
        </w:rPr>
      </w:pPr>
      <w:r>
        <w:rPr>
          <w:rFonts w:hint="eastAsia" w:ascii="Times New Roman" w:hAnsi="Times New Roman" w:cs="宋体"/>
          <w:color w:val="000000"/>
          <w:kern w:val="0"/>
          <w:szCs w:val="21"/>
        </w:rPr>
        <w:t>注：未评级债券为国债、央行票据及政策性金融债等利率债券。</w:t>
      </w:r>
    </w:p>
    <w:p>
      <w:pPr>
        <w:autoSpaceDE w:val="0"/>
        <w:autoSpaceDN w:val="0"/>
        <w:adjustRightInd w:val="0"/>
        <w:spacing w:before="29" w:line="288" w:lineRule="auto"/>
        <w:ind w:left="15"/>
        <w:jc w:val="left"/>
        <w:rPr>
          <w:rFonts w:ascii="Times New Roman" w:hAnsi="Times New Roman" w:cs="宋体"/>
          <w:color w:val="000000"/>
          <w:kern w:val="0"/>
          <w:szCs w:val="21"/>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7.4.13.3 </w:t>
      </w:r>
      <w:r>
        <w:rPr>
          <w:rFonts w:hint="eastAsia" w:ascii="Times New Roman" w:hAnsi="Times New Roman" w:cs="宋体"/>
          <w:b/>
          <w:bCs/>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，且本基金与由本基金的基金管理人管理的其他基金共同持有一家公司发行的证券不得超过该证券的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。本基金所持大部分证券在证券交易所上市，其余亦可在银行间同业市场交易，因此除附注</w:t>
      </w:r>
      <w:r>
        <w:rPr>
          <w:rFonts w:ascii="Times New Roman" w:hAnsi="Times New Roman" w:cs="宋体"/>
          <w:color w:val="000000"/>
          <w:kern w:val="0"/>
          <w:sz w:val="24"/>
          <w:szCs w:val="24"/>
        </w:rPr>
        <w:t>7.4.12</w:t>
      </w:r>
      <w:r>
        <w:rPr>
          <w:rFonts w:hint="eastAsia" w:ascii="Times New Roman" w:hAnsi="Times New Roman" w:cs="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 </w:t>
      </w:r>
      <w:r>
        <w:rPr>
          <w:rFonts w:hint="eastAsia" w:ascii="Times New Roman" w:hAnsi="Times New Roman" w:cs="宋体"/>
          <w:b/>
          <w:bCs/>
          <w:color w:val="000000"/>
          <w:kern w:val="0"/>
          <w:sz w:val="24"/>
          <w:szCs w:val="24"/>
        </w:rPr>
        <w:t>市场风险</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 </w:t>
      </w:r>
      <w:r>
        <w:rPr>
          <w:rFonts w:hint="eastAsia" w:ascii="Times New Roman" w:hAnsi="Times New Roman" w:cs="宋体"/>
          <w:b/>
          <w:bCs/>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7.4.13.4.1.1 </w:t>
      </w:r>
      <w:r>
        <w:rPr>
          <w:rFonts w:hint="eastAsia" w:ascii="Times New Roman" w:hAnsi="Times New Roman" w:cs="宋体"/>
          <w:b/>
          <w:bCs/>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1445"/>
        <w:gridCol w:w="1445"/>
        <w:gridCol w:w="1444"/>
        <w:gridCol w:w="1445"/>
        <w:gridCol w:w="1445"/>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14,337,418.10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14,337,418.10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105,540,000.00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158,483,500.00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226,508,000.00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490,531,500.00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40,000,180.00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40,000,180.00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6,942,194.73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6,942,194.73</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159,877,598.10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158,483,500.00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226,508,000.00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6,942,194.73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551,811,292.83</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139,873.33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139,873.33</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46,624.46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46,624.46</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2,890.15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2,890.15</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142,000.00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142,000.00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331,387.94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331,387.94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159,877,598.10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158,483,500.00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226,508,000.00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6,610,806.79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551,479,904.89</w:t>
            </w:r>
          </w:p>
        </w:tc>
      </w:tr>
    </w:tbl>
    <w:p>
      <w:pPr>
        <w:autoSpaceDE w:val="0"/>
        <w:autoSpaceDN w:val="0"/>
        <w:adjustRightInd w:val="0"/>
        <w:spacing w:before="145"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7.4.13.4.1.2 </w:t>
      </w:r>
      <w:r>
        <w:rPr>
          <w:rFonts w:hint="eastAsia" w:ascii="Times New Roman" w:hAnsi="Times New Roman" w:cs="宋体"/>
          <w:b/>
          <w:bCs/>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2"/>
        <w:gridCol w:w="2889"/>
        <w:gridCol w:w="5057"/>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nil"/>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相关风险变量的变动</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nil"/>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市场利率上升</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-2,952,171.86</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市场利率下降</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2,983,259.29</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7.4.13.4.2 </w:t>
      </w:r>
      <w:r>
        <w:rPr>
          <w:rFonts w:hint="eastAsia" w:ascii="Times New Roman" w:hAnsi="Times New Roman" w:cs="宋体"/>
          <w:b/>
          <w:bCs/>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 </w:t>
      </w:r>
      <w:r>
        <w:rPr>
          <w:rFonts w:hint="eastAsia" w:ascii="Times New Roman" w:hAnsi="Times New Roman" w:cs="宋体"/>
          <w:b/>
          <w:bCs/>
          <w:color w:val="000000"/>
          <w:kern w:val="0"/>
          <w:sz w:val="24"/>
          <w:szCs w:val="24"/>
        </w:rPr>
        <w:t>其他价格风险</w:t>
      </w:r>
    </w:p>
    <w:p>
      <w:pPr>
        <w:autoSpaceDE w:val="0"/>
        <w:autoSpaceDN w:val="0"/>
        <w:adjustRightInd w:val="0"/>
        <w:spacing w:before="29" w:line="288" w:lineRule="auto"/>
        <w:ind w:left="15" w:firstLine="482"/>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本基金承受的其他价格风险，主要是基金所持金融工具的公允价值或未来现金流量因除市场利率和外汇汇率以外的市场价格因素变动而发生波动的风险。本基金的其他价格风险，主要受到证券交易所上市的股票整体涨跌趋势的影响，由所持有的金融工具的公允价值决定。本基金通过投资组合的分散化降低其他价格风险，并且本基金管理人每日对本基金所持有的证券价格实施监控，通过组合估值、行业配置分析等进行市场价格风险管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7.4.13.4.3.1 </w:t>
      </w:r>
      <w:r>
        <w:rPr>
          <w:rFonts w:hint="eastAsia" w:ascii="Times New Roman" w:hAnsi="Times New Roman" w:cs="宋体"/>
          <w:b/>
          <w:bCs/>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本基金本报告期末未持有交易性权益类投资，因此除市场利率和外汇汇率以外的市场价格因素的变动对于本基金资产净值无重大影响。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7.4.13.4.3.2 </w:t>
      </w:r>
      <w:r>
        <w:rPr>
          <w:rFonts w:hint="eastAsia" w:ascii="Times New Roman" w:hAnsi="Times New Roman" w:cs="宋体"/>
          <w:b/>
          <w:bCs/>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 w:val="24"/>
          <w:szCs w:val="24"/>
        </w:rPr>
        <w:t xml:space="preserve">    于本报告期末，本基金未持有股票投资、权证投资等权益性投资，若除市场利率和外汇汇率外的其他市场因素变化导致本基金所持有的权益性投资的市场价格上升或下降</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且其他市场变量保持不变，对于本基金的基金资产净值无重大影响。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7.4.14 </w:t>
      </w:r>
      <w:r>
        <w:rPr>
          <w:rFonts w:hint="eastAsia" w:ascii="Times New Roman" w:hAnsi="Times New Roman" w:cs="宋体"/>
          <w:b/>
          <w:bCs/>
          <w:color w:val="000000"/>
          <w:kern w:val="0"/>
          <w:sz w:val="24"/>
          <w:szCs w:val="24"/>
        </w:rPr>
        <w:t>有助于理解和分析会计报表需要说明的其他事项</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7.4.14.1</w:t>
      </w:r>
      <w:r>
        <w:rPr>
          <w:rFonts w:hint="eastAsia" w:ascii="Times New Roman" w:hAnsi="Times New Roman" w:cs="宋体"/>
          <w:color w:val="000000"/>
          <w:kern w:val="0"/>
          <w:sz w:val="24"/>
          <w:szCs w:val="24"/>
        </w:rPr>
        <w:t>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金融工具公允价值计量的方法</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第一层次：相同资产或负债在活跃市场上未经调整的报价。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第二层次：除第一层次输入值外相关资产或负债直接或间接可观察的输入值。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第三层次：相关资产或负债的不可观察输入值。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(b)</w:t>
      </w:r>
      <w:r>
        <w:rPr>
          <w:rFonts w:hint="eastAsia" w:ascii="Times New Roman" w:hAnsi="Times New Roman" w:cs="宋体"/>
          <w:color w:val="000000"/>
          <w:kern w:val="0"/>
          <w:sz w:val="24"/>
          <w:szCs w:val="24"/>
        </w:rPr>
        <w:t>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w:t>
      </w:r>
      <w:r>
        <w:rPr>
          <w:rFonts w:hint="eastAsia" w:ascii="Times New Roman" w:hAnsi="Times New Roman" w:cs="宋体"/>
          <w:color w:val="000000"/>
          <w:kern w:val="0"/>
          <w:sz w:val="24"/>
          <w:szCs w:val="24"/>
        </w:rPr>
        <w:t>各层次金融工具公允价值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日，本基金持有的以公允价值计量且其变动计入当期损益的金融资产中属于第二层次的余额为</w:t>
      </w:r>
      <w:r>
        <w:rPr>
          <w:rFonts w:ascii="Times New Roman" w:hAnsi="Times New Roman" w:cs="宋体"/>
          <w:color w:val="000000"/>
          <w:kern w:val="0"/>
          <w:sz w:val="24"/>
          <w:szCs w:val="24"/>
        </w:rPr>
        <w:t>490,531,500.00</w:t>
      </w:r>
      <w:r>
        <w:rPr>
          <w:rFonts w:hint="eastAsia" w:ascii="Times New Roman" w:hAnsi="Times New Roman" w:cs="宋体"/>
          <w:color w:val="000000"/>
          <w:kern w:val="0"/>
          <w:sz w:val="24"/>
          <w:szCs w:val="24"/>
        </w:rPr>
        <w:t>元，无属于第一层次和第三层次的余额。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w:t>
      </w:r>
      <w:r>
        <w:rPr>
          <w:rFonts w:hint="eastAsia" w:ascii="Times New Roman" w:hAnsi="Times New Roman" w:cs="宋体"/>
          <w:color w:val="000000"/>
          <w:kern w:val="0"/>
          <w:sz w:val="24"/>
          <w:szCs w:val="24"/>
        </w:rPr>
        <w:t>公允价值所属层次间的重大变动</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对于证券交易所上市的股票和债券，若出现重大事项停牌、交易不活跃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本基金本期持有的以公允价值计量的金融工具的公允价值所属层次未发生重大变动。</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(iii)</w:t>
      </w:r>
      <w:r>
        <w:rPr>
          <w:rFonts w:hint="eastAsia" w:ascii="Times New Roman" w:hAnsi="Times New Roman" w:cs="宋体"/>
          <w:color w:val="000000"/>
          <w:kern w:val="0"/>
          <w:sz w:val="24"/>
          <w:szCs w:val="24"/>
        </w:rPr>
        <w:t>第三层次公允价值余额和本期变动金额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无。</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(c)</w:t>
      </w:r>
      <w:r>
        <w:rPr>
          <w:rFonts w:hint="eastAsia" w:ascii="Times New Roman" w:hAnsi="Times New Roman" w:cs="宋体"/>
          <w:color w:val="000000"/>
          <w:kern w:val="0"/>
          <w:sz w:val="24"/>
          <w:szCs w:val="24"/>
        </w:rPr>
        <w:t>非持续的以公允价值计量的金融工具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日，本基金未持有非持续的以公允价值计量的金融资产。</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(d)</w:t>
      </w:r>
      <w:r>
        <w:rPr>
          <w:rFonts w:hint="eastAsia" w:ascii="Times New Roman" w:hAnsi="Times New Roman" w:cs="宋体"/>
          <w:color w:val="000000"/>
          <w:kern w:val="0"/>
          <w:sz w:val="24"/>
          <w:szCs w:val="24"/>
        </w:rPr>
        <w:t>不以公允价值计量的金融工具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7.4.14.2</w:t>
      </w:r>
      <w:r>
        <w:rPr>
          <w:rFonts w:hint="eastAsia" w:ascii="Times New Roman" w:hAnsi="Times New Roman" w:cs="宋体"/>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4" w:name="_Toc477943968"/>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8  </w:t>
      </w:r>
      <w:r>
        <w:rPr>
          <w:rFonts w:hint="eastAsia" w:ascii="Times New Roman" w:hAnsi="Times New Roman" w:cs="宋体"/>
          <w:b/>
          <w:bCs/>
          <w:color w:val="000000"/>
          <w:kern w:val="0"/>
          <w:sz w:val="24"/>
          <w:szCs w:val="24"/>
        </w:rPr>
        <w:t>投资组合报告</w:t>
      </w:r>
      <w:bookmarkEnd w:id="34"/>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5" w:name="_Toc477943969"/>
      <w:r>
        <w:rPr>
          <w:rFonts w:ascii="Times New Roman" w:hAnsi="Times New Roman" w:cs="宋体"/>
          <w:b/>
          <w:bCs/>
          <w:color w:val="000000"/>
          <w:kern w:val="0"/>
          <w:sz w:val="24"/>
          <w:szCs w:val="24"/>
        </w:rPr>
        <w:t xml:space="preserve">8.1 </w:t>
      </w:r>
      <w:r>
        <w:rPr>
          <w:rFonts w:hint="eastAsia" w:ascii="Times New Roman" w:hAnsi="Times New Roman" w:cs="宋体"/>
          <w:b/>
          <w:bCs/>
          <w:color w:val="000000"/>
          <w:kern w:val="0"/>
          <w:sz w:val="24"/>
          <w:szCs w:val="24"/>
        </w:rPr>
        <w:t>期末基金资产组合情况</w:t>
      </w:r>
      <w:bookmarkEnd w:id="35"/>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占基金总资产的比例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490,531,500.00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465,686,500.00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24,845,000.00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14,337,418.10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6,942,194.73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551,811,292.83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8.2 </w:t>
      </w:r>
      <w:r>
        <w:rPr>
          <w:rFonts w:hint="eastAsia" w:ascii="Times New Roman" w:hAnsi="Times New Roman" w:cs="宋体"/>
          <w:b/>
          <w:bCs/>
          <w:color w:val="000000"/>
          <w:kern w:val="0"/>
          <w:sz w:val="24"/>
          <w:szCs w:val="24"/>
        </w:rPr>
        <w:t>报告期末按行业分类的股票投资组合</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6" w:name="_Toc477943970"/>
      <w:r>
        <w:rPr>
          <w:rFonts w:ascii="Times New Roman" w:hAnsi="Times New Roman" w:cs="宋体"/>
          <w:b/>
          <w:bCs/>
          <w:color w:val="000000"/>
          <w:kern w:val="0"/>
          <w:sz w:val="24"/>
          <w:szCs w:val="24"/>
        </w:rPr>
        <w:t xml:space="preserve">8.3 </w:t>
      </w:r>
      <w:r>
        <w:rPr>
          <w:rFonts w:hint="eastAsia" w:ascii="Times New Roman" w:hAnsi="Times New Roman" w:cs="宋体"/>
          <w:b/>
          <w:bCs/>
          <w:color w:val="000000"/>
          <w:kern w:val="0"/>
          <w:sz w:val="24"/>
          <w:szCs w:val="24"/>
        </w:rPr>
        <w:t>期末按公允价值占基金资产净值比例大小排序的所有股票投资明细</w:t>
      </w:r>
      <w:bookmarkEnd w:id="3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7" w:name="_Toc477943971"/>
      <w:r>
        <w:rPr>
          <w:rFonts w:ascii="Times New Roman" w:hAnsi="Times New Roman" w:cs="宋体"/>
          <w:b/>
          <w:bCs/>
          <w:color w:val="000000"/>
          <w:kern w:val="0"/>
          <w:sz w:val="24"/>
          <w:szCs w:val="24"/>
        </w:rPr>
        <w:t xml:space="preserve">8.4 </w:t>
      </w:r>
      <w:r>
        <w:rPr>
          <w:rFonts w:hint="eastAsia" w:ascii="Times New Roman" w:hAnsi="Times New Roman" w:cs="宋体"/>
          <w:b/>
          <w:bCs/>
          <w:color w:val="000000"/>
          <w:kern w:val="0"/>
          <w:sz w:val="24"/>
          <w:szCs w:val="24"/>
        </w:rPr>
        <w:t>报告期内股票投资组合的重大变动</w:t>
      </w:r>
      <w:bookmarkEnd w:id="3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8.4.1 </w:t>
      </w:r>
      <w:r>
        <w:rPr>
          <w:rFonts w:hint="eastAsia" w:ascii="Times New Roman" w:hAnsi="Times New Roman" w:cs="宋体"/>
          <w:b/>
          <w:bCs/>
          <w:color w:val="000000"/>
          <w:kern w:val="0"/>
          <w:sz w:val="24"/>
          <w:szCs w:val="24"/>
        </w:rPr>
        <w:t>累计买入金额超出期末基金资产净值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8.4.2 </w:t>
      </w:r>
      <w:r>
        <w:rPr>
          <w:rFonts w:hint="eastAsia" w:ascii="Times New Roman" w:hAnsi="Times New Roman" w:cs="宋体"/>
          <w:b/>
          <w:bCs/>
          <w:color w:val="000000"/>
          <w:kern w:val="0"/>
          <w:sz w:val="24"/>
          <w:szCs w:val="24"/>
        </w:rPr>
        <w:t>累计卖出金额超出期末基金资产净值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8.4.3 </w:t>
      </w:r>
      <w:r>
        <w:rPr>
          <w:rFonts w:hint="eastAsia" w:ascii="Times New Roman" w:hAnsi="Times New Roman" w:cs="宋体"/>
          <w:b/>
          <w:bCs/>
          <w:color w:val="000000"/>
          <w:kern w:val="0"/>
          <w:sz w:val="24"/>
          <w:szCs w:val="24"/>
        </w:rPr>
        <w:t>买入股票的成本总额及卖出股票的收入总额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8" w:name="_Toc477943972"/>
      <w:r>
        <w:rPr>
          <w:rFonts w:ascii="Times New Roman" w:hAnsi="Times New Roman" w:cs="宋体"/>
          <w:b/>
          <w:bCs/>
          <w:color w:val="000000"/>
          <w:kern w:val="0"/>
          <w:sz w:val="24"/>
          <w:szCs w:val="24"/>
        </w:rPr>
        <w:t xml:space="preserve">8.5 </w:t>
      </w:r>
      <w:r>
        <w:rPr>
          <w:rFonts w:hint="eastAsia" w:ascii="Times New Roman" w:hAnsi="Times New Roman" w:cs="宋体"/>
          <w:b/>
          <w:bCs/>
          <w:color w:val="000000"/>
          <w:kern w:val="0"/>
          <w:sz w:val="24"/>
          <w:szCs w:val="24"/>
        </w:rPr>
        <w:t>期末按债券品种分类的债券投资组合</w:t>
      </w:r>
      <w:bookmarkEnd w:id="38"/>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332,406,500.00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60.28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29,955,000.00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5.43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31,335,000.00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101,945,000.00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可转债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465,686,500.00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84.44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9" w:name="_Toc477943973"/>
      <w:r>
        <w:rPr>
          <w:rFonts w:ascii="Times New Roman" w:hAnsi="Times New Roman" w:cs="宋体"/>
          <w:b/>
          <w:bCs/>
          <w:color w:val="000000"/>
          <w:kern w:val="0"/>
          <w:sz w:val="24"/>
          <w:szCs w:val="24"/>
        </w:rPr>
        <w:t xml:space="preserve">8.6 </w:t>
      </w:r>
      <w:r>
        <w:rPr>
          <w:rFonts w:hint="eastAsia" w:ascii="Times New Roman" w:hAnsi="Times New Roman" w:cs="宋体"/>
          <w:b/>
          <w:bCs/>
          <w:color w:val="000000"/>
          <w:kern w:val="0"/>
          <w:sz w:val="24"/>
          <w:szCs w:val="24"/>
        </w:rPr>
        <w:t>期末按公允价值占基金资产净值比例大小排序的前五名债券投资明细</w:t>
      </w:r>
      <w:bookmarkEnd w:id="39"/>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1445"/>
        <w:gridCol w:w="1806"/>
        <w:gridCol w:w="1445"/>
        <w:gridCol w:w="1806"/>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101683003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红豆</w:t>
            </w:r>
            <w:r>
              <w:rPr>
                <w:rFonts w:ascii="Times New Roman" w:hAnsi="Times New Roman" w:cs="宋体"/>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51,205,000.00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1282438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海机股</w:t>
            </w:r>
            <w:r>
              <w:rPr>
                <w:rFonts w:ascii="Times New Roman" w:hAnsi="Times New Roman" w:cs="宋体"/>
                <w:color w:val="000000"/>
                <w:kern w:val="0"/>
                <w:sz w:val="24"/>
                <w:szCs w:val="24"/>
              </w:rPr>
              <w:t>MTN2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50,740,000.00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1521023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紫金农商二级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50,340,000.00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1421011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14</w:t>
            </w:r>
            <w:r>
              <w:rPr>
                <w:rFonts w:hint="eastAsia" w:ascii="Times New Roman" w:hAnsi="Times New Roman" w:cs="宋体"/>
                <w:color w:val="000000"/>
                <w:kern w:val="0"/>
                <w:sz w:val="24"/>
                <w:szCs w:val="24"/>
              </w:rPr>
              <w:t>无锡农商二级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49,776,000.00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1621015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海门农商二级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49,200,000.00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8.92</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0" w:name="_Toc477943974"/>
      <w:r>
        <w:rPr>
          <w:rFonts w:ascii="Times New Roman" w:hAnsi="Times New Roman" w:cs="宋体"/>
          <w:b/>
          <w:bCs/>
          <w:color w:val="000000"/>
          <w:kern w:val="0"/>
          <w:sz w:val="24"/>
          <w:szCs w:val="24"/>
        </w:rPr>
        <w:t xml:space="preserve">8.7 </w:t>
      </w:r>
      <w:r>
        <w:rPr>
          <w:rFonts w:hint="eastAsia" w:ascii="Times New Roman" w:hAnsi="Times New Roman" w:cs="宋体"/>
          <w:b/>
          <w:bCs/>
          <w:color w:val="000000"/>
          <w:kern w:val="0"/>
          <w:sz w:val="24"/>
          <w:szCs w:val="24"/>
        </w:rPr>
        <w:t>期末按公允价值占基金资产净值比例大小排序的所有资产支持证券投资明细</w:t>
      </w:r>
      <w:bookmarkEnd w:id="4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1445"/>
        <w:gridCol w:w="1445"/>
        <w:gridCol w:w="1806"/>
        <w:gridCol w:w="1806"/>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证券代码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权证名称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1689129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旭越</w:t>
            </w:r>
            <w:r>
              <w:rPr>
                <w:rFonts w:ascii="Times New Roman" w:hAnsi="Times New Roman" w:cs="宋体"/>
                <w:color w:val="000000"/>
                <w:kern w:val="0"/>
                <w:sz w:val="24"/>
                <w:szCs w:val="24"/>
              </w:rPr>
              <w:t>2B</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24,845,000.00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4.51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1" w:name="_Toc477943975"/>
      <w:r>
        <w:rPr>
          <w:rFonts w:ascii="Times New Roman" w:hAnsi="Times New Roman" w:cs="宋体"/>
          <w:b/>
          <w:bCs/>
          <w:color w:val="000000"/>
          <w:kern w:val="0"/>
          <w:sz w:val="24"/>
          <w:szCs w:val="24"/>
        </w:rPr>
        <w:t xml:space="preserve">8.8 </w:t>
      </w:r>
      <w:r>
        <w:rPr>
          <w:rFonts w:hint="eastAsia" w:ascii="Times New Roman" w:hAnsi="Times New Roman" w:cs="宋体"/>
          <w:b/>
          <w:bCs/>
          <w:color w:val="000000"/>
          <w:kern w:val="0"/>
          <w:sz w:val="24"/>
          <w:szCs w:val="24"/>
        </w:rPr>
        <w:t>报告期末按公允价值占基金资产净值比例大小排序的前五名贵金属投资明细</w:t>
      </w:r>
      <w:bookmarkEnd w:id="4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2" w:name="_Toc477943976"/>
      <w:r>
        <w:rPr>
          <w:rFonts w:ascii="Times New Roman" w:hAnsi="Times New Roman" w:cs="宋体"/>
          <w:b/>
          <w:bCs/>
          <w:color w:val="000000"/>
          <w:kern w:val="0"/>
          <w:sz w:val="24"/>
          <w:szCs w:val="24"/>
        </w:rPr>
        <w:t xml:space="preserve">8.9 </w:t>
      </w:r>
      <w:r>
        <w:rPr>
          <w:rFonts w:hint="eastAsia" w:ascii="Times New Roman" w:hAnsi="Times New Roman" w:cs="宋体"/>
          <w:b/>
          <w:bCs/>
          <w:color w:val="000000"/>
          <w:kern w:val="0"/>
          <w:sz w:val="24"/>
          <w:szCs w:val="24"/>
        </w:rPr>
        <w:t>期末按公允价值占基金资产净值比例大小排序的前五名权证投资明细</w:t>
      </w:r>
      <w:bookmarkEnd w:id="4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3" w:name="_Toc477943977"/>
      <w:r>
        <w:rPr>
          <w:rFonts w:ascii="Times New Roman" w:hAnsi="Times New Roman" w:cs="宋体"/>
          <w:b/>
          <w:bCs/>
          <w:color w:val="000000"/>
          <w:kern w:val="0"/>
          <w:sz w:val="24"/>
          <w:szCs w:val="24"/>
        </w:rPr>
        <w:t xml:space="preserve">8.10 </w:t>
      </w:r>
      <w:r>
        <w:rPr>
          <w:rFonts w:hint="eastAsia" w:ascii="Times New Roman" w:hAnsi="Times New Roman" w:cs="宋体"/>
          <w:b/>
          <w:bCs/>
          <w:color w:val="000000"/>
          <w:kern w:val="0"/>
          <w:sz w:val="24"/>
          <w:szCs w:val="24"/>
        </w:rPr>
        <w:t>报告期末本基金投资的股指期货交易情况说明</w:t>
      </w:r>
      <w:bookmarkEnd w:id="43"/>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本基金本报告期未投资股指期货。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4" w:name="_Toc477943978"/>
      <w:r>
        <w:rPr>
          <w:rFonts w:ascii="Times New Roman" w:hAnsi="Times New Roman" w:cs="宋体"/>
          <w:b/>
          <w:bCs/>
          <w:color w:val="000000"/>
          <w:kern w:val="0"/>
          <w:sz w:val="24"/>
          <w:szCs w:val="24"/>
        </w:rPr>
        <w:t xml:space="preserve">8.11 </w:t>
      </w:r>
      <w:r>
        <w:rPr>
          <w:rFonts w:hint="eastAsia" w:ascii="Times New Roman" w:hAnsi="Times New Roman" w:cs="宋体"/>
          <w:b/>
          <w:bCs/>
          <w:color w:val="000000"/>
          <w:kern w:val="0"/>
          <w:sz w:val="24"/>
          <w:szCs w:val="24"/>
        </w:rPr>
        <w:t>报告期末本基金投资的国债期货交易情况说明</w:t>
      </w:r>
      <w:bookmarkEnd w:id="44"/>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本基金本报告期未投资国债期货。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5" w:name="_Toc477943979"/>
      <w:r>
        <w:rPr>
          <w:rFonts w:ascii="Times New Roman" w:hAnsi="Times New Roman" w:cs="宋体"/>
          <w:b/>
          <w:bCs/>
          <w:color w:val="000000"/>
          <w:kern w:val="0"/>
          <w:sz w:val="24"/>
          <w:szCs w:val="24"/>
        </w:rPr>
        <w:t xml:space="preserve">8.12 </w:t>
      </w:r>
      <w:r>
        <w:rPr>
          <w:rFonts w:hint="eastAsia" w:ascii="Times New Roman" w:hAnsi="Times New Roman" w:cs="宋体"/>
          <w:b/>
          <w:bCs/>
          <w:color w:val="000000"/>
          <w:kern w:val="0"/>
          <w:sz w:val="24"/>
          <w:szCs w:val="24"/>
        </w:rPr>
        <w:t>投资组合报告附注</w:t>
      </w:r>
      <w:bookmarkEnd w:id="45"/>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b/>
          <w:bCs/>
          <w:color w:val="000000"/>
          <w:kern w:val="0"/>
          <w:sz w:val="24"/>
          <w:szCs w:val="24"/>
        </w:rPr>
        <w:t>8.12.1</w:t>
      </w:r>
      <w:r>
        <w:rPr>
          <w:rFonts w:hint="eastAsia" w:ascii="Times New Roman" w:hAnsi="Times New Roman" w:cs="宋体"/>
          <w:color w:val="000000"/>
          <w:kern w:val="0"/>
          <w:sz w:val="24"/>
          <w:szCs w:val="24"/>
        </w:rPr>
        <w:t xml:space="preserve">   本报告期内基金投资的前十名证券发行主体未受到监管部门的立案调查，在编制日前一年内也未受到公开谴责和处罚。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b/>
          <w:bCs/>
          <w:color w:val="000000"/>
          <w:kern w:val="0"/>
          <w:sz w:val="24"/>
          <w:szCs w:val="24"/>
        </w:rPr>
        <w:t>8.12.2</w:t>
      </w:r>
      <w:r>
        <w:rPr>
          <w:rFonts w:hint="eastAsia" w:ascii="Times New Roman" w:hAnsi="Times New Roman" w:cs="宋体"/>
          <w:color w:val="000000"/>
          <w:kern w:val="0"/>
          <w:sz w:val="24"/>
          <w:szCs w:val="24"/>
        </w:rPr>
        <w:t xml:space="preserve">   本基金未投资于股票。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8.12.3 </w:t>
      </w:r>
      <w:r>
        <w:rPr>
          <w:rFonts w:hint="eastAsia" w:ascii="Times New Roman" w:hAnsi="Times New Roman" w:cs="宋体"/>
          <w:b/>
          <w:bCs/>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469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6,942,194.73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6,942,194.73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8.12.4 </w:t>
      </w:r>
      <w:r>
        <w:rPr>
          <w:rFonts w:hint="eastAsia" w:ascii="Times New Roman" w:hAnsi="Times New Roman" w:cs="宋体"/>
          <w:b/>
          <w:bCs/>
          <w:color w:val="000000"/>
          <w:kern w:val="0"/>
          <w:sz w:val="24"/>
          <w:szCs w:val="24"/>
        </w:rPr>
        <w:t>期末持有的处于转股期的可转换债券明细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8.12.5 </w:t>
      </w:r>
      <w:r>
        <w:rPr>
          <w:rFonts w:hint="eastAsia" w:ascii="Times New Roman" w:hAnsi="Times New Roman" w:cs="宋体"/>
          <w:b/>
          <w:bCs/>
          <w:color w:val="000000"/>
          <w:kern w:val="0"/>
          <w:sz w:val="24"/>
          <w:szCs w:val="24"/>
        </w:rPr>
        <w:t>期末前十名股票中存在流通受限情况的说明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本基金本报告期末前十名股票不存在流通受限的情况。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46" w:name="_Toc477943980"/>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9  </w:t>
      </w:r>
      <w:r>
        <w:rPr>
          <w:rFonts w:hint="eastAsia" w:ascii="Times New Roman" w:hAnsi="Times New Roman" w:cs="宋体"/>
          <w:b/>
          <w:bCs/>
          <w:color w:val="000000"/>
          <w:kern w:val="0"/>
          <w:sz w:val="24"/>
          <w:szCs w:val="24"/>
        </w:rPr>
        <w:t>基金份额持有人信息</w:t>
      </w:r>
      <w:bookmarkEnd w:id="4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7" w:name="_Toc477943981"/>
      <w:r>
        <w:rPr>
          <w:rFonts w:ascii="Times New Roman" w:hAnsi="Times New Roman" w:cs="宋体"/>
          <w:b/>
          <w:bCs/>
          <w:color w:val="000000"/>
          <w:kern w:val="0"/>
          <w:sz w:val="24"/>
          <w:szCs w:val="24"/>
        </w:rPr>
        <w:t xml:space="preserve">9.1 </w:t>
      </w:r>
      <w:r>
        <w:rPr>
          <w:rFonts w:hint="eastAsia" w:ascii="Times New Roman" w:hAnsi="Times New Roman" w:cs="宋体"/>
          <w:b/>
          <w:bCs/>
          <w:color w:val="000000"/>
          <w:kern w:val="0"/>
          <w:sz w:val="24"/>
          <w:szCs w:val="24"/>
        </w:rPr>
        <w:t>期末基金份额持有人户数及持有人结构</w:t>
      </w:r>
      <w:bookmarkEnd w:id="47"/>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443"/>
        <w:gridCol w:w="1806"/>
        <w:gridCol w:w="1806"/>
        <w:gridCol w:w="1083"/>
        <w:gridCol w:w="1806"/>
        <w:gridCol w:w="1084"/>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户</w:t>
            </w:r>
            <w:r>
              <w:rPr>
                <w:rFonts w:ascii="Times New Roman" w:hAnsi="Times New Roman" w:cs="宋体"/>
                <w:color w:val="000000"/>
                <w:kern w:val="0"/>
                <w:sz w:val="24"/>
                <w:szCs w:val="24"/>
              </w:rPr>
              <w:t>)</w:t>
            </w:r>
          </w:p>
        </w:tc>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持有人结构</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机构投资者</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个人投资者</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2,726,927.86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539,898,767.56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32,947.92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0.01%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8" w:name="_Toc477943982"/>
      <w:r>
        <w:rPr>
          <w:rFonts w:ascii="Times New Roman" w:hAnsi="Times New Roman" w:cs="宋体"/>
          <w:b/>
          <w:bCs/>
          <w:color w:val="000000"/>
          <w:kern w:val="0"/>
          <w:sz w:val="24"/>
          <w:szCs w:val="24"/>
        </w:rPr>
        <w:t xml:space="preserve">9.2 </w:t>
      </w:r>
      <w:r>
        <w:rPr>
          <w:rFonts w:hint="eastAsia" w:ascii="Times New Roman" w:hAnsi="Times New Roman" w:cs="宋体"/>
          <w:b/>
          <w:bCs/>
          <w:color w:val="000000"/>
          <w:kern w:val="0"/>
          <w:sz w:val="24"/>
          <w:szCs w:val="24"/>
        </w:rPr>
        <w:t>期末基金管理人的从业人员持有本基金的情况</w:t>
      </w:r>
      <w:bookmarkEnd w:id="48"/>
    </w:p>
    <w:tbl>
      <w:tblPr>
        <w:tblStyle w:val="8"/>
        <w:tblW w:w="0" w:type="auto"/>
        <w:tblInd w:w="108" w:type="dxa"/>
        <w:tblLayout w:type="fixed"/>
        <w:tblCellMar>
          <w:top w:w="0" w:type="dxa"/>
          <w:left w:w="108" w:type="dxa"/>
          <w:bottom w:w="0" w:type="dxa"/>
          <w:right w:w="108" w:type="dxa"/>
        </w:tblCellMar>
      </w:tblPr>
      <w:tblGrid>
        <w:gridCol w:w="3971"/>
        <w:gridCol w:w="2529"/>
        <w:gridCol w:w="252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持有份额总数（份）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9,629.11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9" w:name="_Toc477943983"/>
      <w:r>
        <w:rPr>
          <w:rFonts w:ascii="Times New Roman" w:hAnsi="Times New Roman" w:cs="宋体"/>
          <w:b/>
          <w:bCs/>
          <w:color w:val="000000"/>
          <w:kern w:val="0"/>
          <w:sz w:val="24"/>
          <w:szCs w:val="24"/>
        </w:rPr>
        <w:t xml:space="preserve">9.3 </w:t>
      </w:r>
      <w:r>
        <w:rPr>
          <w:rFonts w:hint="eastAsia" w:ascii="Times New Roman" w:hAnsi="Times New Roman" w:cs="宋体"/>
          <w:b/>
          <w:bCs/>
          <w:color w:val="000000"/>
          <w:kern w:val="0"/>
          <w:sz w:val="24"/>
          <w:szCs w:val="24"/>
        </w:rPr>
        <w:t>期末基金管理人的从业人员持有本开放式基金份额总量区间情况</w:t>
      </w:r>
      <w:bookmarkEnd w:id="49"/>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持有基金份额总量的数量区间（万份）</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0" w:name="_Toc477943984"/>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10 </w:t>
      </w:r>
      <w:r>
        <w:rPr>
          <w:rFonts w:hint="eastAsia" w:ascii="Times New Roman" w:hAnsi="Times New Roman" w:cs="宋体"/>
          <w:b/>
          <w:bCs/>
          <w:color w:val="000000"/>
          <w:kern w:val="0"/>
          <w:sz w:val="24"/>
          <w:szCs w:val="24"/>
        </w:rPr>
        <w:t>开放式基金份额变动</w:t>
      </w:r>
      <w:bookmarkEnd w:id="5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26</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200,164,018.44</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340,016,378.76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248,681.72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539,931,715.48</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1" w:name="_Toc477943985"/>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重大事件揭示</w:t>
      </w:r>
      <w:bookmarkEnd w:id="5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2" w:name="_Toc477943986"/>
      <w:r>
        <w:rPr>
          <w:rFonts w:ascii="Times New Roman" w:hAnsi="Times New Roman" w:cs="宋体"/>
          <w:b/>
          <w:bCs/>
          <w:color w:val="000000"/>
          <w:kern w:val="0"/>
          <w:sz w:val="24"/>
          <w:szCs w:val="24"/>
        </w:rPr>
        <w:t xml:space="preserve">11.1 </w:t>
      </w:r>
      <w:r>
        <w:rPr>
          <w:rFonts w:hint="eastAsia" w:ascii="Times New Roman" w:hAnsi="Times New Roman" w:cs="宋体"/>
          <w:b/>
          <w:bCs/>
          <w:color w:val="000000"/>
          <w:kern w:val="0"/>
          <w:sz w:val="24"/>
          <w:szCs w:val="24"/>
        </w:rPr>
        <w:t>基金份额持有人大会决议</w:t>
      </w:r>
      <w:bookmarkEnd w:id="5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3" w:name="_Toc477943987"/>
      <w:r>
        <w:rPr>
          <w:rFonts w:ascii="Times New Roman" w:hAnsi="Times New Roman" w:cs="宋体"/>
          <w:b/>
          <w:bCs/>
          <w:color w:val="000000"/>
          <w:kern w:val="0"/>
          <w:sz w:val="24"/>
          <w:szCs w:val="24"/>
        </w:rPr>
        <w:t xml:space="preserve">11.2 </w:t>
      </w:r>
      <w:r>
        <w:rPr>
          <w:rFonts w:hint="eastAsia" w:ascii="Times New Roman" w:hAnsi="Times New Roman" w:cs="宋体"/>
          <w:b/>
          <w:bCs/>
          <w:color w:val="000000"/>
          <w:kern w:val="0"/>
          <w:sz w:val="24"/>
          <w:szCs w:val="24"/>
        </w:rPr>
        <w:t>基金管理人、基金托管人的专门基金托管部门的重大人事变动</w:t>
      </w:r>
      <w:bookmarkEnd w:id="5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4" w:name="_Toc477943988"/>
      <w:r>
        <w:rPr>
          <w:rFonts w:ascii="Times New Roman" w:hAnsi="Times New Roman" w:cs="宋体"/>
          <w:b/>
          <w:bCs/>
          <w:color w:val="000000"/>
          <w:kern w:val="0"/>
          <w:sz w:val="24"/>
          <w:szCs w:val="24"/>
        </w:rPr>
        <w:t xml:space="preserve">11.3 </w:t>
      </w:r>
      <w:r>
        <w:rPr>
          <w:rFonts w:hint="eastAsia" w:ascii="Times New Roman" w:hAnsi="Times New Roman" w:cs="宋体"/>
          <w:b/>
          <w:bCs/>
          <w:color w:val="000000"/>
          <w:kern w:val="0"/>
          <w:sz w:val="24"/>
          <w:szCs w:val="24"/>
        </w:rPr>
        <w:t>涉及基金管理人、基金财产、基金托管业务的诉讼</w:t>
      </w:r>
      <w:bookmarkEnd w:id="5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5" w:name="_Toc477943989"/>
      <w:r>
        <w:rPr>
          <w:rFonts w:ascii="Times New Roman" w:hAnsi="Times New Roman" w:cs="宋体"/>
          <w:b/>
          <w:bCs/>
          <w:color w:val="000000"/>
          <w:kern w:val="0"/>
          <w:sz w:val="24"/>
          <w:szCs w:val="24"/>
        </w:rPr>
        <w:t xml:space="preserve">11.4 </w:t>
      </w:r>
      <w:r>
        <w:rPr>
          <w:rFonts w:hint="eastAsia" w:ascii="Times New Roman" w:hAnsi="Times New Roman" w:cs="宋体"/>
          <w:b/>
          <w:bCs/>
          <w:color w:val="000000"/>
          <w:kern w:val="0"/>
          <w:sz w:val="24"/>
          <w:szCs w:val="24"/>
        </w:rPr>
        <w:t>基金投资策略的改变</w:t>
      </w:r>
      <w:bookmarkEnd w:id="5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6" w:name="_Toc477943990"/>
      <w:r>
        <w:rPr>
          <w:rFonts w:ascii="Times New Roman" w:hAnsi="Times New Roman" w:cs="宋体"/>
          <w:b/>
          <w:bCs/>
          <w:color w:val="000000"/>
          <w:kern w:val="0"/>
          <w:sz w:val="24"/>
          <w:szCs w:val="24"/>
        </w:rPr>
        <w:t xml:space="preserve">11.5 </w:t>
      </w:r>
      <w:r>
        <w:rPr>
          <w:rFonts w:hint="eastAsia" w:ascii="Times New Roman" w:hAnsi="Times New Roman" w:cs="宋体"/>
          <w:b/>
          <w:bCs/>
          <w:color w:val="000000"/>
          <w:kern w:val="0"/>
          <w:sz w:val="24"/>
          <w:szCs w:val="24"/>
        </w:rPr>
        <w:t>为基金进行审计的会计师事务所情况</w:t>
      </w:r>
      <w:bookmarkEnd w:id="5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本报告期内本基金未更换会计师事务所，本年度支付给毕马威华振会计师事务所</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审计费用</w:t>
      </w:r>
      <w:r>
        <w:rPr>
          <w:rFonts w:ascii="Times New Roman" w:hAnsi="Times New Roman" w:cs="宋体"/>
          <w:color w:val="000000"/>
          <w:kern w:val="0"/>
          <w:sz w:val="24"/>
          <w:szCs w:val="24"/>
        </w:rPr>
        <w:t>53,000.00</w:t>
      </w:r>
      <w:r>
        <w:rPr>
          <w:rFonts w:hint="eastAsia" w:ascii="Times New Roman" w:hAnsi="Times New Roman" w:cs="宋体"/>
          <w:color w:val="000000"/>
          <w:kern w:val="0"/>
          <w:sz w:val="24"/>
          <w:szCs w:val="24"/>
        </w:rPr>
        <w:t>元，该审计机构连续提供审计服务的年限为</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7" w:name="_Toc477943991"/>
      <w:r>
        <w:rPr>
          <w:rFonts w:ascii="Times New Roman" w:hAnsi="Times New Roman" w:cs="宋体"/>
          <w:b/>
          <w:bCs/>
          <w:color w:val="000000"/>
          <w:kern w:val="0"/>
          <w:sz w:val="24"/>
          <w:szCs w:val="24"/>
        </w:rPr>
        <w:t xml:space="preserve">11.6 </w:t>
      </w:r>
      <w:r>
        <w:rPr>
          <w:rFonts w:hint="eastAsia" w:ascii="Times New Roman" w:hAnsi="Times New Roman" w:cs="宋体"/>
          <w:b/>
          <w:bCs/>
          <w:color w:val="000000"/>
          <w:kern w:val="0"/>
          <w:sz w:val="24"/>
          <w:szCs w:val="24"/>
        </w:rPr>
        <w:t>管理人、托管人及其高级管理人员受稽查或处罚等情况</w:t>
      </w:r>
      <w:bookmarkEnd w:id="57"/>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8" w:name="_Toc477943992"/>
      <w:r>
        <w:rPr>
          <w:rFonts w:ascii="Times New Roman" w:hAnsi="Times New Roman" w:cs="宋体"/>
          <w:b/>
          <w:bCs/>
          <w:color w:val="000000"/>
          <w:kern w:val="0"/>
          <w:sz w:val="24"/>
          <w:szCs w:val="24"/>
        </w:rPr>
        <w:t xml:space="preserve">11.7 </w:t>
      </w:r>
      <w:r>
        <w:rPr>
          <w:rFonts w:hint="eastAsia" w:ascii="Times New Roman" w:hAnsi="Times New Roman" w:cs="宋体"/>
          <w:b/>
          <w:bCs/>
          <w:color w:val="000000"/>
          <w:kern w:val="0"/>
          <w:sz w:val="24"/>
          <w:szCs w:val="24"/>
        </w:rPr>
        <w:t>基金租用证券公司交易单元的有关情况</w:t>
      </w:r>
      <w:bookmarkEnd w:id="58"/>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11.7.1 </w:t>
      </w:r>
      <w:r>
        <w:rPr>
          <w:rFonts w:hint="eastAsia" w:ascii="Times New Roman" w:hAnsi="Times New Roman" w:cs="宋体"/>
          <w:b/>
          <w:bCs/>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交易单元</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股票交易</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备注</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占股票</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占当期佣金</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4"/>
                <w:szCs w:val="24"/>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注：交易单元的选择标准和程序：</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1</w:t>
      </w:r>
      <w:r>
        <w:rPr>
          <w:rFonts w:hint="eastAsia" w:ascii="Times New Roman" w:hAnsi="Times New Roman" w:cs="宋体"/>
          <w:color w:val="000000"/>
          <w:kern w:val="0"/>
          <w:szCs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2</w:t>
      </w:r>
      <w:r>
        <w:rPr>
          <w:rFonts w:hint="eastAsia" w:ascii="Times New Roman" w:hAnsi="Times New Roman" w:cs="宋体"/>
          <w:color w:val="000000"/>
          <w:kern w:val="0"/>
          <w:szCs w:val="21"/>
        </w:rPr>
        <w:t>）财务状况良好，各项财务指标显示公司经营状况稳定；</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3</w:t>
      </w:r>
      <w:r>
        <w:rPr>
          <w:rFonts w:hint="eastAsia" w:ascii="Times New Roman" w:hAnsi="Times New Roman" w:cs="宋体"/>
          <w:color w:val="000000"/>
          <w:kern w:val="0"/>
          <w:szCs w:val="21"/>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w:t>
      </w:r>
      <w:r>
        <w:rPr>
          <w:rFonts w:ascii="Times New Roman" w:hAnsi="Times New Roman" w:cs="宋体"/>
          <w:color w:val="000000"/>
          <w:kern w:val="0"/>
          <w:szCs w:val="21"/>
        </w:rPr>
        <w:t>4</w:t>
      </w:r>
      <w:r>
        <w:rPr>
          <w:rFonts w:hint="eastAsia" w:ascii="Times New Roman" w:hAnsi="Times New Roman" w:cs="宋体"/>
          <w:color w:val="000000"/>
          <w:kern w:val="0"/>
          <w:szCs w:val="21"/>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hint="eastAsia" w:ascii="Times New Roman" w:hAnsi="Times New Roman" w:cs="宋体"/>
          <w:color w:val="000000"/>
          <w:kern w:val="0"/>
          <w:szCs w:val="21"/>
        </w:rPr>
      </w:pPr>
      <w:r>
        <w:rPr>
          <w:rFonts w:hint="eastAsia" w:ascii="Times New Roman" w:hAnsi="Times New Roman" w:cs="宋体"/>
          <w:color w:val="000000"/>
          <w:kern w:val="0"/>
          <w:szCs w:val="21"/>
        </w:rPr>
        <w:t>本基金在报告期内成立，交易单元均于本期内新增。</w:t>
      </w:r>
    </w:p>
    <w:p>
      <w:pPr>
        <w:autoSpaceDE w:val="0"/>
        <w:autoSpaceDN w:val="0"/>
        <w:adjustRightInd w:val="0"/>
        <w:spacing w:before="29" w:line="288" w:lineRule="auto"/>
        <w:ind w:left="15"/>
        <w:jc w:val="left"/>
        <w:rPr>
          <w:rFonts w:ascii="Times New Roman" w:hAnsi="Times New Roman" w:cs="宋体"/>
          <w:color w:val="000000"/>
          <w:kern w:val="0"/>
          <w:szCs w:val="21"/>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11.7.2 </w:t>
      </w:r>
      <w:r>
        <w:rPr>
          <w:rFonts w:hint="eastAsia" w:ascii="Times New Roman" w:hAnsi="Times New Roman" w:cs="宋体"/>
          <w:b/>
          <w:bCs/>
          <w:color w:val="000000"/>
          <w:kern w:val="0"/>
          <w:sz w:val="24"/>
          <w:szCs w:val="24"/>
        </w:rPr>
        <w:t>基金租用证券公司交易单元进行其他证券投资的情况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权证交易</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占债券回购</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占权证</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1,762,857,000.00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9" w:name="_Toc477943993"/>
      <w:r>
        <w:rPr>
          <w:rFonts w:ascii="Times New Roman" w:hAnsi="Times New Roman" w:cs="宋体"/>
          <w:b/>
          <w:bCs/>
          <w:color w:val="000000"/>
          <w:kern w:val="0"/>
          <w:sz w:val="24"/>
          <w:szCs w:val="24"/>
        </w:rPr>
        <w:t xml:space="preserve">11.8 </w:t>
      </w:r>
      <w:r>
        <w:rPr>
          <w:rFonts w:hint="eastAsia" w:ascii="Times New Roman" w:hAnsi="Times New Roman" w:cs="宋体"/>
          <w:b/>
          <w:bCs/>
          <w:color w:val="000000"/>
          <w:kern w:val="0"/>
          <w:sz w:val="24"/>
          <w:szCs w:val="24"/>
        </w:rPr>
        <w:t>其他重大事件</w:t>
      </w:r>
      <w:bookmarkEnd w:id="59"/>
    </w:p>
    <w:tbl>
      <w:tblPr>
        <w:tblStyle w:val="8"/>
        <w:tblW w:w="0" w:type="auto"/>
        <w:tblInd w:w="108" w:type="dxa"/>
        <w:tblLayout w:type="fixed"/>
        <w:tblCellMar>
          <w:top w:w="0" w:type="dxa"/>
          <w:left w:w="108" w:type="dxa"/>
          <w:bottom w:w="0" w:type="dxa"/>
          <w:right w:w="108" w:type="dxa"/>
        </w:tblCellMar>
      </w:tblPr>
      <w:tblGrid>
        <w:gridCol w:w="720"/>
        <w:gridCol w:w="3612"/>
        <w:gridCol w:w="2890"/>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2016-02-27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2016-03-19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创金合信尊盛纯债债券型证券投资基金暂停（大额）申购（转换转入、赎回、转换转出、定期定额投资）公告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2016-03-22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创金合信尊盛纯债债券型证券投资基金恢复大额申购公告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2016-05-20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2016-06-24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年第</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2016-07-20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年半年度报告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年半年度报告摘要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2016-08-27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年第</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年第</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创金合信尊盛纯债债券型证券投资基金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年第</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2016-10-24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MS Sans Serif"/>
          <w:color w:val="000000"/>
          <w:kern w:val="0"/>
          <w:sz w:val="23"/>
          <w:szCs w:val="23"/>
        </w:rPr>
      </w:pPr>
      <w:bookmarkStart w:id="60" w:name="_Toc477943994"/>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影响投资者决策的其他重要信息</w:t>
      </w:r>
      <w:bookmarkEnd w:id="60"/>
    </w:p>
    <w:p>
      <w:pPr>
        <w:autoSpaceDE w:val="0"/>
        <w:autoSpaceDN w:val="0"/>
        <w:adjustRightInd w:val="0"/>
        <w:spacing w:before="145"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本报告期内，未出现影响投资者决策的其他重要信息。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61" w:name="_Toc477943995"/>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13 </w:t>
      </w:r>
      <w:r>
        <w:rPr>
          <w:rFonts w:hint="eastAsia" w:ascii="Times New Roman" w:hAnsi="Times New Roman" w:cs="宋体"/>
          <w:b/>
          <w:bCs/>
          <w:color w:val="000000"/>
          <w:kern w:val="0"/>
          <w:sz w:val="24"/>
          <w:szCs w:val="24"/>
        </w:rPr>
        <w:t>备查文件目录</w:t>
      </w:r>
      <w:bookmarkEnd w:id="6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2" w:name="_Toc477943996"/>
      <w:r>
        <w:rPr>
          <w:rFonts w:ascii="Times New Roman" w:hAnsi="Times New Roman" w:cs="宋体"/>
          <w:b/>
          <w:bCs/>
          <w:color w:val="000000"/>
          <w:kern w:val="0"/>
          <w:sz w:val="24"/>
          <w:szCs w:val="24"/>
        </w:rPr>
        <w:t xml:space="preserve">13.1 </w:t>
      </w:r>
      <w:r>
        <w:rPr>
          <w:rFonts w:hint="eastAsia" w:ascii="Times New Roman" w:hAnsi="Times New Roman" w:cs="宋体"/>
          <w:b/>
          <w:bCs/>
          <w:color w:val="000000"/>
          <w:kern w:val="0"/>
          <w:sz w:val="24"/>
          <w:szCs w:val="24"/>
        </w:rPr>
        <w:t>备查文件目录</w:t>
      </w:r>
      <w:bookmarkEnd w:id="62"/>
    </w:p>
    <w:p>
      <w:pPr>
        <w:autoSpaceDE w:val="0"/>
        <w:autoSpaceDN w:val="0"/>
        <w:adjustRightInd w:val="0"/>
        <w:spacing w:before="29" w:line="288" w:lineRule="auto"/>
        <w:ind w:left="15"/>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创金合信尊盛纯债债券型证券投资基金基金合同》；</w:t>
      </w:r>
    </w:p>
    <w:p>
      <w:pPr>
        <w:autoSpaceDE w:val="0"/>
        <w:autoSpaceDN w:val="0"/>
        <w:adjustRightInd w:val="0"/>
        <w:spacing w:before="29" w:line="288" w:lineRule="auto"/>
        <w:ind w:left="15"/>
        <w:jc w:val="left"/>
        <w:rPr>
          <w:rFonts w:hint="eastAsia"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创金合信尊盛纯债债券型证券投资基金托管协议》；</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 xml:space="preserve">    </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、创金合信尊盛纯债债券型证券投资基金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年年度报告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3" w:name="_Toc477943997"/>
      <w:r>
        <w:rPr>
          <w:rFonts w:ascii="Times New Roman" w:hAnsi="Times New Roman" w:cs="宋体"/>
          <w:b/>
          <w:bCs/>
          <w:color w:val="000000"/>
          <w:kern w:val="0"/>
          <w:sz w:val="24"/>
          <w:szCs w:val="24"/>
        </w:rPr>
        <w:t xml:space="preserve">13.2 </w:t>
      </w:r>
      <w:r>
        <w:rPr>
          <w:rFonts w:hint="eastAsia" w:ascii="Times New Roman" w:hAnsi="Times New Roman" w:cs="宋体"/>
          <w:b/>
          <w:bCs/>
          <w:color w:val="000000"/>
          <w:kern w:val="0"/>
          <w:sz w:val="24"/>
          <w:szCs w:val="24"/>
        </w:rPr>
        <w:t>存放地点</w:t>
      </w:r>
      <w:bookmarkEnd w:id="6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4" w:name="_Toc477943998"/>
      <w:r>
        <w:rPr>
          <w:rFonts w:ascii="Times New Roman" w:hAnsi="Times New Roman" w:cs="宋体"/>
          <w:b/>
          <w:bCs/>
          <w:color w:val="000000"/>
          <w:kern w:val="0"/>
          <w:sz w:val="24"/>
          <w:szCs w:val="24"/>
        </w:rPr>
        <w:t xml:space="preserve">13.3 </w:t>
      </w:r>
      <w:r>
        <w:rPr>
          <w:rFonts w:hint="eastAsia" w:ascii="Times New Roman" w:hAnsi="Times New Roman" w:cs="宋体"/>
          <w:b/>
          <w:bCs/>
          <w:color w:val="000000"/>
          <w:kern w:val="0"/>
          <w:sz w:val="24"/>
          <w:szCs w:val="24"/>
        </w:rPr>
        <w:t>查阅方式</w:t>
      </w:r>
      <w:bookmarkEnd w:id="6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rFonts w:ascii="宋体"/>
        <w:kern w:val="0"/>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2888"/>
      <w:gridCol w:w="6140"/>
    </w:tblGrid>
    <w:tr>
      <w:tblPrEx>
        <w:tblCellMar>
          <w:top w:w="0" w:type="dxa"/>
          <w:left w:w="108" w:type="dxa"/>
          <w:bottom w:w="0" w:type="dxa"/>
          <w:right w:w="108" w:type="dxa"/>
        </w:tblCellMar>
      </w:tblPrEx>
      <w:trPr>
        <w:wBefore w:w="0" w:type="auto"/>
      </w:trPr>
      <w:tc>
        <w:tcPr>
          <w:tcW w:w="2888"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41.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创金合信尊盛纯债债券型证券投资基金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28"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11"/>
              <w:szCs w:val="1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2CB3"/>
    <w:rsid w:val="00031A62"/>
    <w:rsid w:val="00227727"/>
    <w:rsid w:val="00292CB3"/>
    <w:rsid w:val="003D4B4A"/>
    <w:rsid w:val="004B1139"/>
    <w:rsid w:val="0053684B"/>
    <w:rsid w:val="00545E9F"/>
    <w:rsid w:val="00606C18"/>
    <w:rsid w:val="007300F6"/>
    <w:rsid w:val="00770414"/>
    <w:rsid w:val="007C4D9C"/>
    <w:rsid w:val="00953102"/>
    <w:rsid w:val="00AB7E4D"/>
    <w:rsid w:val="00BB2981"/>
    <w:rsid w:val="00D13BC1"/>
    <w:rsid w:val="00DB5691"/>
    <w:rsid w:val="00F95347"/>
    <w:rsid w:val="66BC58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uiPriority w:val="99"/>
    <w:rPr>
      <w:rFonts w:cs="Times New Roman"/>
      <w:color w:val="0000FF"/>
      <w:u w:val="single"/>
    </w:rPr>
  </w:style>
  <w:style w:type="character" w:customStyle="1" w:styleId="11">
    <w:name w:val="文档结构图 Char"/>
    <w:basedOn w:val="9"/>
    <w:link w:val="2"/>
    <w:semiHidden/>
    <w:locked/>
    <w:uiPriority w:val="99"/>
    <w:rPr>
      <w:rFonts w:ascii="宋体" w:eastAsia="宋体" w:cs="Times New Roman"/>
      <w:sz w:val="18"/>
      <w:szCs w:val="18"/>
    </w:rPr>
  </w:style>
  <w:style w:type="character" w:customStyle="1" w:styleId="12">
    <w:name w:val="页眉 Char"/>
    <w:basedOn w:val="9"/>
    <w:link w:val="5"/>
    <w:semiHidden/>
    <w:locked/>
    <w:uiPriority w:val="99"/>
    <w:rPr>
      <w:rFonts w:cs="Times New Roman"/>
      <w:sz w:val="18"/>
      <w:szCs w:val="18"/>
    </w:rPr>
  </w:style>
  <w:style w:type="character" w:customStyle="1" w:styleId="13">
    <w:name w:val="页脚 Char"/>
    <w:basedOn w:val="9"/>
    <w:link w:val="4"/>
    <w:semiHidden/>
    <w:locked/>
    <w:uiPriority w:val="99"/>
    <w:rPr>
      <w:rFonts w:cs="Times New Roman"/>
      <w:sz w:val="18"/>
      <w:szCs w:val="18"/>
    </w:rPr>
  </w:style>
  <w:style w:type="character" w:customStyle="1" w:styleId="14">
    <w:name w:val="批注框文本 Char"/>
    <w:basedOn w:val="9"/>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48</Pages>
  <Words>5550</Words>
  <Characters>31638</Characters>
  <Lines>263</Lines>
  <Paragraphs>74</Paragraphs>
  <TotalTime>0</TotalTime>
  <ScaleCrop>false</ScaleCrop>
  <LinksUpToDate>false</LinksUpToDate>
  <CharactersWithSpaces>37114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2017-03-22T02:53:00Z</dcterms:created>
  <dc:creator>FastReport</dc:creator>
  <cp:lastModifiedBy>Administrator</cp:lastModifiedBy>
  <dcterms:modified xsi:type="dcterms:W3CDTF">2019-12-26T14:06:10Z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