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创金合信尊盛纯债债券型证券投资基金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2"/>
        <w:spacing w:before="240" w:after="120"/>
      </w:pPr>
      <w:bookmarkStart w:id="0" w:name="_Toc510107604"/>
      <w:r>
        <w:rPr>
          <w:rFonts w:hint="eastAsia" w:hAnsi="Calibri"/>
          <w:b/>
          <w:color w:val="000000"/>
        </w:rPr>
        <w:t>§1  重要提示及目录</w:t>
      </w:r>
      <w:bookmarkEnd w:id="0"/>
      <w:r>
        <w:rPr>
          <w:rFonts w:hint="eastAsia"/>
        </w:rPr>
        <w:t xml:space="preserve"> </w:t>
      </w:r>
    </w:p>
    <w:p>
      <w:pPr>
        <w:pStyle w:val="13"/>
        <w:rPr>
          <w:rFonts w:hint="eastAsia"/>
        </w:rPr>
      </w:pPr>
      <w:bookmarkStart w:id="1" w:name="_Toc510107605"/>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8"/>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8"/>
                <w:rFonts w:hint="eastAsia" w:ascii="宋体" w:hAnsi="宋体" w:cs="宋体"/>
                <w:kern w:val="0"/>
                <w:sz w:val="24"/>
                <w:szCs w:val="24"/>
              </w:rPr>
              <w:t>  基金托管人招商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8"/>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8"/>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8"/>
                <w:rFonts w:hint="eastAsia" w:ascii="宋体" w:hAnsi="宋体" w:cs="宋体"/>
                <w:kern w:val="0"/>
                <w:sz w:val="24"/>
                <w:szCs w:val="24"/>
              </w:rPr>
              <w:t>  本报告期自2017年01月01日起至2017年12月31日止。</w:t>
            </w:r>
            <w:r>
              <w:rPr>
                <w:rFonts w:hint="eastAsia" w:ascii="宋体" w:hAnsi="宋体" w:cs="宋体"/>
                <w:kern w:val="0"/>
                <w:sz w:val="24"/>
                <w:szCs w:val="24"/>
              </w:rPr>
              <w:t xml:space="preserve"> </w:t>
            </w:r>
          </w:p>
        </w:tc>
      </w:tr>
    </w:tbl>
    <w:p>
      <w:pPr>
        <w:pStyle w:val="13"/>
        <w:rPr>
          <w:rFonts w:hint="eastAsia"/>
        </w:rPr>
      </w:pPr>
      <w:r>
        <w:rPr>
          <w:rFonts w:ascii="Times New Roman" w:hAnsi="Times New Roman"/>
        </w:rPr>
        <w:br w:type="page"/>
      </w:r>
      <w:bookmarkStart w:id="2" w:name="_Toc510107606"/>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0"/>
          <w:lang/>
        </w:rPr>
        <w:fldChar w:fldCharType="begin"/>
      </w:r>
      <w:r>
        <w:rPr>
          <w:rStyle w:val="10"/>
          <w:lang/>
        </w:rPr>
        <w:instrText xml:space="preserve"> </w:instrText>
      </w:r>
      <w:r>
        <w:rPr>
          <w:lang/>
        </w:rPr>
        <w:instrText xml:space="preserve">HYPERLINK \l "_Toc510107604"</w:instrText>
      </w:r>
      <w:r>
        <w:rPr>
          <w:rStyle w:val="10"/>
          <w:lang/>
        </w:rPr>
        <w:instrText xml:space="preserve"> </w:instrText>
      </w:r>
      <w:r>
        <w:rPr>
          <w:rStyle w:val="10"/>
          <w:lang/>
        </w:rPr>
        <w:fldChar w:fldCharType="separate"/>
      </w:r>
      <w:r>
        <w:rPr>
          <w:rStyle w:val="10"/>
          <w:b/>
          <w:lang/>
        </w:rPr>
        <w:t xml:space="preserve">§1  </w:t>
      </w:r>
      <w:r>
        <w:rPr>
          <w:rStyle w:val="10"/>
          <w:rFonts w:hint="eastAsia"/>
          <w:b/>
          <w:lang/>
        </w:rPr>
        <w:t>重要提示及目录</w:t>
      </w:r>
      <w:r>
        <w:rPr>
          <w:lang/>
        </w:rPr>
        <w:tab/>
      </w:r>
      <w:r>
        <w:rPr>
          <w:lang/>
        </w:rPr>
        <w:fldChar w:fldCharType="begin"/>
      </w:r>
      <w:r>
        <w:rPr>
          <w:lang/>
        </w:rPr>
        <w:instrText xml:space="preserve"> PAGEREF _Toc510107604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"_Toc510107605"</w:instrText>
      </w:r>
      <w:r>
        <w:rPr>
          <w:rStyle w:val="10"/>
          <w:lang/>
        </w:rPr>
        <w:instrText xml:space="preserve"> </w:instrText>
      </w:r>
      <w:r>
        <w:rPr>
          <w:rStyle w:val="10"/>
          <w:lang/>
        </w:rPr>
        <w:fldChar w:fldCharType="separate"/>
      </w:r>
      <w:r>
        <w:rPr>
          <w:rStyle w:val="10"/>
          <w:b/>
          <w:bCs/>
          <w:lang/>
        </w:rPr>
        <w:t xml:space="preserve">1.1 </w:t>
      </w:r>
      <w:r>
        <w:rPr>
          <w:rStyle w:val="10"/>
          <w:rFonts w:hint="eastAsia"/>
          <w:b/>
          <w:bCs/>
          <w:lang/>
        </w:rPr>
        <w:t>重要提示</w:t>
      </w:r>
      <w:r>
        <w:rPr>
          <w:lang/>
        </w:rPr>
        <w:tab/>
      </w:r>
      <w:r>
        <w:rPr>
          <w:lang/>
        </w:rPr>
        <w:fldChar w:fldCharType="begin"/>
      </w:r>
      <w:r>
        <w:rPr>
          <w:lang/>
        </w:rPr>
        <w:instrText xml:space="preserve"> PAGEREF _Toc510107605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"_Toc510107606"</w:instrText>
      </w:r>
      <w:r>
        <w:rPr>
          <w:rStyle w:val="10"/>
          <w:lang/>
        </w:rPr>
        <w:instrText xml:space="preserve"> </w:instrText>
      </w:r>
      <w:r>
        <w:rPr>
          <w:rStyle w:val="10"/>
          <w:lang/>
        </w:rPr>
        <w:fldChar w:fldCharType="separate"/>
      </w:r>
      <w:r>
        <w:rPr>
          <w:rStyle w:val="10"/>
          <w:b/>
          <w:bCs/>
          <w:lang/>
        </w:rPr>
        <w:t xml:space="preserve">1.2 </w:t>
      </w:r>
      <w:r>
        <w:rPr>
          <w:rStyle w:val="10"/>
          <w:rFonts w:hint="eastAsia"/>
          <w:b/>
          <w:bCs/>
          <w:lang/>
        </w:rPr>
        <w:t>目录</w:t>
      </w:r>
      <w:r>
        <w:rPr>
          <w:lang/>
        </w:rPr>
        <w:tab/>
      </w:r>
      <w:r>
        <w:rPr>
          <w:lang/>
        </w:rPr>
        <w:fldChar w:fldCharType="begin"/>
      </w:r>
      <w:r>
        <w:rPr>
          <w:lang/>
        </w:rPr>
        <w:instrText xml:space="preserve"> PAGEREF _Toc510107606 \h </w:instrText>
      </w:r>
      <w:r>
        <w:rPr>
          <w:lang/>
        </w:rPr>
        <w:fldChar w:fldCharType="separate"/>
      </w:r>
      <w:r>
        <w:rPr>
          <w:lang/>
        </w:rPr>
        <w:t>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"_Toc510107607"</w:instrText>
      </w:r>
      <w:r>
        <w:rPr>
          <w:rStyle w:val="10"/>
          <w:lang/>
        </w:rPr>
        <w:instrText xml:space="preserve"> </w:instrText>
      </w:r>
      <w:r>
        <w:rPr>
          <w:rStyle w:val="10"/>
          <w:lang/>
        </w:rPr>
        <w:fldChar w:fldCharType="separate"/>
      </w:r>
      <w:r>
        <w:rPr>
          <w:rStyle w:val="10"/>
          <w:b/>
          <w:lang/>
        </w:rPr>
        <w:t xml:space="preserve">§2  </w:t>
      </w:r>
      <w:r>
        <w:rPr>
          <w:rStyle w:val="10"/>
          <w:rFonts w:hint="eastAsia"/>
          <w:b/>
          <w:lang/>
        </w:rPr>
        <w:t>基金简介</w:t>
      </w:r>
      <w:r>
        <w:rPr>
          <w:lang/>
        </w:rPr>
        <w:tab/>
      </w:r>
      <w:r>
        <w:rPr>
          <w:lang/>
        </w:rPr>
        <w:fldChar w:fldCharType="begin"/>
      </w:r>
      <w:r>
        <w:rPr>
          <w:lang/>
        </w:rPr>
        <w:instrText xml:space="preserve"> PAGEREF _Toc510107607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"_Toc510107608"</w:instrText>
      </w:r>
      <w:r>
        <w:rPr>
          <w:rStyle w:val="10"/>
          <w:lang/>
        </w:rPr>
        <w:instrText xml:space="preserve"> </w:instrText>
      </w:r>
      <w:r>
        <w:rPr>
          <w:rStyle w:val="10"/>
          <w:lang/>
        </w:rPr>
        <w:fldChar w:fldCharType="separate"/>
      </w:r>
      <w:r>
        <w:rPr>
          <w:rStyle w:val="10"/>
          <w:b/>
          <w:bCs/>
          <w:lang/>
        </w:rPr>
        <w:t xml:space="preserve">2.1 </w:t>
      </w:r>
      <w:r>
        <w:rPr>
          <w:rStyle w:val="10"/>
          <w:rFonts w:hint="eastAsia"/>
          <w:b/>
          <w:bCs/>
          <w:lang/>
        </w:rPr>
        <w:t>基金基本情况</w:t>
      </w:r>
      <w:r>
        <w:rPr>
          <w:lang/>
        </w:rPr>
        <w:tab/>
      </w:r>
      <w:r>
        <w:rPr>
          <w:lang/>
        </w:rPr>
        <w:fldChar w:fldCharType="begin"/>
      </w:r>
      <w:r>
        <w:rPr>
          <w:lang/>
        </w:rPr>
        <w:instrText xml:space="preserve"> PAGEREF _Toc510107608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"_Toc510107609"</w:instrText>
      </w:r>
      <w:r>
        <w:rPr>
          <w:rStyle w:val="10"/>
          <w:lang/>
        </w:rPr>
        <w:instrText xml:space="preserve"> </w:instrText>
      </w:r>
      <w:r>
        <w:rPr>
          <w:rStyle w:val="10"/>
          <w:lang/>
        </w:rPr>
        <w:fldChar w:fldCharType="separate"/>
      </w:r>
      <w:r>
        <w:rPr>
          <w:rStyle w:val="10"/>
          <w:b/>
          <w:bCs/>
          <w:lang/>
        </w:rPr>
        <w:t xml:space="preserve">2.2 </w:t>
      </w:r>
      <w:r>
        <w:rPr>
          <w:rStyle w:val="10"/>
          <w:rFonts w:hint="eastAsia"/>
          <w:b/>
          <w:bCs/>
          <w:lang/>
        </w:rPr>
        <w:t>基金产品说明</w:t>
      </w:r>
      <w:r>
        <w:rPr>
          <w:lang/>
        </w:rPr>
        <w:tab/>
      </w:r>
      <w:r>
        <w:rPr>
          <w:lang/>
        </w:rPr>
        <w:fldChar w:fldCharType="begin"/>
      </w:r>
      <w:r>
        <w:rPr>
          <w:lang/>
        </w:rPr>
        <w:instrText xml:space="preserve"> PAGEREF _Toc510107609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"_Toc510107610"</w:instrText>
      </w:r>
      <w:r>
        <w:rPr>
          <w:rStyle w:val="10"/>
          <w:lang/>
        </w:rPr>
        <w:instrText xml:space="preserve"> </w:instrText>
      </w:r>
      <w:r>
        <w:rPr>
          <w:rStyle w:val="10"/>
          <w:lang/>
        </w:rPr>
        <w:fldChar w:fldCharType="separate"/>
      </w:r>
      <w:r>
        <w:rPr>
          <w:rStyle w:val="10"/>
          <w:b/>
          <w:bCs/>
          <w:lang/>
        </w:rPr>
        <w:t xml:space="preserve">2.3 </w:t>
      </w:r>
      <w:r>
        <w:rPr>
          <w:rStyle w:val="10"/>
          <w:rFonts w:hint="eastAsia"/>
          <w:b/>
          <w:bCs/>
          <w:lang/>
        </w:rPr>
        <w:t>基金管理人和基金托管人</w:t>
      </w:r>
      <w:r>
        <w:rPr>
          <w:lang/>
        </w:rPr>
        <w:tab/>
      </w:r>
      <w:r>
        <w:rPr>
          <w:lang/>
        </w:rPr>
        <w:fldChar w:fldCharType="begin"/>
      </w:r>
      <w:r>
        <w:rPr>
          <w:lang/>
        </w:rPr>
        <w:instrText xml:space="preserve"> PAGEREF _Toc510107610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"_Toc510107611"</w:instrText>
      </w:r>
      <w:r>
        <w:rPr>
          <w:rStyle w:val="10"/>
          <w:lang/>
        </w:rPr>
        <w:instrText xml:space="preserve"> </w:instrText>
      </w:r>
      <w:r>
        <w:rPr>
          <w:rStyle w:val="10"/>
          <w:lang/>
        </w:rPr>
        <w:fldChar w:fldCharType="separate"/>
      </w:r>
      <w:r>
        <w:rPr>
          <w:rStyle w:val="10"/>
          <w:b/>
          <w:bCs/>
          <w:lang/>
        </w:rPr>
        <w:t xml:space="preserve">2.4 </w:t>
      </w:r>
      <w:r>
        <w:rPr>
          <w:rStyle w:val="10"/>
          <w:rFonts w:hint="eastAsia"/>
          <w:b/>
          <w:bCs/>
          <w:lang/>
        </w:rPr>
        <w:t>信息披露方式</w:t>
      </w:r>
      <w:r>
        <w:rPr>
          <w:lang/>
        </w:rPr>
        <w:tab/>
      </w:r>
      <w:r>
        <w:rPr>
          <w:lang/>
        </w:rPr>
        <w:fldChar w:fldCharType="begin"/>
      </w:r>
      <w:r>
        <w:rPr>
          <w:lang/>
        </w:rPr>
        <w:instrText xml:space="preserve"> PAGEREF _Toc510107611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"_Toc510107612"</w:instrText>
      </w:r>
      <w:r>
        <w:rPr>
          <w:rStyle w:val="10"/>
          <w:lang/>
        </w:rPr>
        <w:instrText xml:space="preserve"> </w:instrText>
      </w:r>
      <w:r>
        <w:rPr>
          <w:rStyle w:val="10"/>
          <w:lang/>
        </w:rPr>
        <w:fldChar w:fldCharType="separate"/>
      </w:r>
      <w:r>
        <w:rPr>
          <w:rStyle w:val="10"/>
          <w:b/>
          <w:bCs/>
          <w:lang/>
        </w:rPr>
        <w:t xml:space="preserve">2.5 </w:t>
      </w:r>
      <w:r>
        <w:rPr>
          <w:rStyle w:val="10"/>
          <w:rFonts w:hint="eastAsia"/>
          <w:b/>
          <w:bCs/>
          <w:lang/>
        </w:rPr>
        <w:t>其他相关资料</w:t>
      </w:r>
      <w:r>
        <w:rPr>
          <w:lang/>
        </w:rPr>
        <w:tab/>
      </w:r>
      <w:r>
        <w:rPr>
          <w:lang/>
        </w:rPr>
        <w:fldChar w:fldCharType="begin"/>
      </w:r>
      <w:r>
        <w:rPr>
          <w:lang/>
        </w:rPr>
        <w:instrText xml:space="preserve"> PAGEREF _Toc510107612 \h </w:instrText>
      </w:r>
      <w:r>
        <w:rPr>
          <w:lang/>
        </w:rPr>
        <w:fldChar w:fldCharType="separate"/>
      </w:r>
      <w:r>
        <w:rPr>
          <w:lang/>
        </w:rPr>
        <w:t>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"_Toc510107613"</w:instrText>
      </w:r>
      <w:r>
        <w:rPr>
          <w:rStyle w:val="10"/>
          <w:lang/>
        </w:rPr>
        <w:instrText xml:space="preserve"> </w:instrText>
      </w:r>
      <w:r>
        <w:rPr>
          <w:rStyle w:val="10"/>
          <w:lang/>
        </w:rPr>
        <w:fldChar w:fldCharType="separate"/>
      </w:r>
      <w:r>
        <w:rPr>
          <w:rStyle w:val="10"/>
          <w:b/>
          <w:lang/>
        </w:rPr>
        <w:t xml:space="preserve">§3  </w:t>
      </w:r>
      <w:r>
        <w:rPr>
          <w:rStyle w:val="10"/>
          <w:rFonts w:hint="eastAsia"/>
          <w:b/>
          <w:lang/>
        </w:rPr>
        <w:t>主要财务指标、基金净值表现及利润分配情况</w:t>
      </w:r>
      <w:r>
        <w:rPr>
          <w:lang/>
        </w:rPr>
        <w:tab/>
      </w:r>
      <w:r>
        <w:rPr>
          <w:lang/>
        </w:rPr>
        <w:fldChar w:fldCharType="begin"/>
      </w:r>
      <w:r>
        <w:rPr>
          <w:lang/>
        </w:rPr>
        <w:instrText xml:space="preserve"> PAGEREF _Toc510107613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"_Toc510107614"</w:instrText>
      </w:r>
      <w:r>
        <w:rPr>
          <w:rStyle w:val="10"/>
          <w:lang/>
        </w:rPr>
        <w:instrText xml:space="preserve"> </w:instrText>
      </w:r>
      <w:r>
        <w:rPr>
          <w:rStyle w:val="10"/>
          <w:lang/>
        </w:rPr>
        <w:fldChar w:fldCharType="separate"/>
      </w:r>
      <w:r>
        <w:rPr>
          <w:rStyle w:val="10"/>
          <w:b/>
          <w:bCs/>
          <w:lang/>
        </w:rPr>
        <w:t xml:space="preserve">3.1 </w:t>
      </w:r>
      <w:r>
        <w:rPr>
          <w:rStyle w:val="10"/>
          <w:rFonts w:hint="eastAsia"/>
          <w:b/>
          <w:bCs/>
          <w:lang/>
        </w:rPr>
        <w:t>主要会计数据和财务指标</w:t>
      </w:r>
      <w:r>
        <w:rPr>
          <w:lang/>
        </w:rPr>
        <w:tab/>
      </w:r>
      <w:r>
        <w:rPr>
          <w:lang/>
        </w:rPr>
        <w:fldChar w:fldCharType="begin"/>
      </w:r>
      <w:r>
        <w:rPr>
          <w:lang/>
        </w:rPr>
        <w:instrText xml:space="preserve"> PAGEREF _Toc510107614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"_Toc510107615"</w:instrText>
      </w:r>
      <w:r>
        <w:rPr>
          <w:rStyle w:val="10"/>
          <w:lang/>
        </w:rPr>
        <w:instrText xml:space="preserve"> </w:instrText>
      </w:r>
      <w:r>
        <w:rPr>
          <w:rStyle w:val="10"/>
          <w:lang/>
        </w:rPr>
        <w:fldChar w:fldCharType="separate"/>
      </w:r>
      <w:r>
        <w:rPr>
          <w:rStyle w:val="10"/>
          <w:b/>
          <w:bCs/>
          <w:lang/>
        </w:rPr>
        <w:t xml:space="preserve">3.2 </w:t>
      </w:r>
      <w:r>
        <w:rPr>
          <w:rStyle w:val="10"/>
          <w:rFonts w:hint="eastAsia"/>
          <w:b/>
          <w:bCs/>
          <w:lang/>
        </w:rPr>
        <w:t>基金净值表现</w:t>
      </w:r>
      <w:r>
        <w:rPr>
          <w:lang/>
        </w:rPr>
        <w:tab/>
      </w:r>
      <w:r>
        <w:rPr>
          <w:lang/>
        </w:rPr>
        <w:fldChar w:fldCharType="begin"/>
      </w:r>
      <w:r>
        <w:rPr>
          <w:lang/>
        </w:rPr>
        <w:instrText xml:space="preserve"> PAGEREF _Toc510107615 \h </w:instrText>
      </w:r>
      <w:r>
        <w:rPr>
          <w:lang/>
        </w:rPr>
        <w:fldChar w:fldCharType="separate"/>
      </w:r>
      <w:r>
        <w:rPr>
          <w:lang/>
        </w:rPr>
        <w:t>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"_Toc510107616"</w:instrText>
      </w:r>
      <w:r>
        <w:rPr>
          <w:rStyle w:val="10"/>
          <w:lang/>
        </w:rPr>
        <w:instrText xml:space="preserve"> </w:instrText>
      </w:r>
      <w:r>
        <w:rPr>
          <w:rStyle w:val="10"/>
          <w:lang/>
        </w:rPr>
        <w:fldChar w:fldCharType="separate"/>
      </w:r>
      <w:r>
        <w:rPr>
          <w:rStyle w:val="10"/>
          <w:b/>
          <w:lang/>
        </w:rPr>
        <w:t xml:space="preserve">3.3 </w:t>
      </w:r>
      <w:r>
        <w:rPr>
          <w:rStyle w:val="10"/>
          <w:rFonts w:hint="eastAsia"/>
          <w:b/>
          <w:lang/>
        </w:rPr>
        <w:t>过去三年基金的利润分配情况</w:t>
      </w:r>
      <w:r>
        <w:rPr>
          <w:lang/>
        </w:rPr>
        <w:tab/>
      </w:r>
      <w:r>
        <w:rPr>
          <w:lang/>
        </w:rPr>
        <w:fldChar w:fldCharType="begin"/>
      </w:r>
      <w:r>
        <w:rPr>
          <w:lang/>
        </w:rPr>
        <w:instrText xml:space="preserve"> PAGEREF _Toc510107616 \h </w:instrText>
      </w:r>
      <w:r>
        <w:rPr>
          <w:lang/>
        </w:rPr>
        <w:fldChar w:fldCharType="separate"/>
      </w:r>
      <w:r>
        <w:rPr>
          <w:lang/>
        </w:rPr>
        <w:t>8</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"_Toc510107617"</w:instrText>
      </w:r>
      <w:r>
        <w:rPr>
          <w:rStyle w:val="10"/>
          <w:lang/>
        </w:rPr>
        <w:instrText xml:space="preserve"> </w:instrText>
      </w:r>
      <w:r>
        <w:rPr>
          <w:rStyle w:val="10"/>
          <w:lang/>
        </w:rPr>
        <w:fldChar w:fldCharType="separate"/>
      </w:r>
      <w:r>
        <w:rPr>
          <w:rStyle w:val="10"/>
          <w:b/>
          <w:lang/>
        </w:rPr>
        <w:t xml:space="preserve">§4  </w:t>
      </w:r>
      <w:r>
        <w:rPr>
          <w:rStyle w:val="10"/>
          <w:rFonts w:hint="eastAsia"/>
          <w:b/>
          <w:lang/>
        </w:rPr>
        <w:t>管理人报告</w:t>
      </w:r>
      <w:r>
        <w:rPr>
          <w:lang/>
        </w:rPr>
        <w:tab/>
      </w:r>
      <w:r>
        <w:rPr>
          <w:lang/>
        </w:rPr>
        <w:fldChar w:fldCharType="begin"/>
      </w:r>
      <w:r>
        <w:rPr>
          <w:lang/>
        </w:rPr>
        <w:instrText xml:space="preserve"> PAGEREF _Toc510107617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"_Toc510107618"</w:instrText>
      </w:r>
      <w:r>
        <w:rPr>
          <w:rStyle w:val="10"/>
          <w:lang/>
        </w:rPr>
        <w:instrText xml:space="preserve"> </w:instrText>
      </w:r>
      <w:r>
        <w:rPr>
          <w:rStyle w:val="10"/>
          <w:lang/>
        </w:rPr>
        <w:fldChar w:fldCharType="separate"/>
      </w:r>
      <w:r>
        <w:rPr>
          <w:rStyle w:val="10"/>
          <w:b/>
          <w:bCs/>
          <w:lang/>
        </w:rPr>
        <w:t xml:space="preserve">4.1 </w:t>
      </w:r>
      <w:r>
        <w:rPr>
          <w:rStyle w:val="10"/>
          <w:rFonts w:hint="eastAsia"/>
          <w:b/>
          <w:bCs/>
          <w:lang/>
        </w:rPr>
        <w:t>基金管理人及基金经理情况</w:t>
      </w:r>
      <w:r>
        <w:rPr>
          <w:lang/>
        </w:rPr>
        <w:tab/>
      </w:r>
      <w:r>
        <w:rPr>
          <w:lang/>
        </w:rPr>
        <w:fldChar w:fldCharType="begin"/>
      </w:r>
      <w:r>
        <w:rPr>
          <w:lang/>
        </w:rPr>
        <w:instrText xml:space="preserve"> PAGEREF _Toc510107618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"_Toc510107619"</w:instrText>
      </w:r>
      <w:r>
        <w:rPr>
          <w:rStyle w:val="10"/>
          <w:lang/>
        </w:rPr>
        <w:instrText xml:space="preserve"> </w:instrText>
      </w:r>
      <w:r>
        <w:rPr>
          <w:rStyle w:val="10"/>
          <w:lang/>
        </w:rPr>
        <w:fldChar w:fldCharType="separate"/>
      </w:r>
      <w:r>
        <w:rPr>
          <w:rStyle w:val="10"/>
          <w:b/>
          <w:bCs/>
          <w:lang/>
        </w:rPr>
        <w:t xml:space="preserve">4.2 </w:t>
      </w:r>
      <w:r>
        <w:rPr>
          <w:rStyle w:val="10"/>
          <w:rFonts w:hint="eastAsia"/>
          <w:b/>
          <w:bCs/>
          <w:lang/>
        </w:rPr>
        <w:t>管理人对报告期内本基金运作遵规守信情况的说明</w:t>
      </w:r>
      <w:r>
        <w:rPr>
          <w:lang/>
        </w:rPr>
        <w:tab/>
      </w:r>
      <w:r>
        <w:rPr>
          <w:lang/>
        </w:rPr>
        <w:fldChar w:fldCharType="begin"/>
      </w:r>
      <w:r>
        <w:rPr>
          <w:lang/>
        </w:rPr>
        <w:instrText xml:space="preserve"> PAGEREF _Toc510107619 \h </w:instrText>
      </w:r>
      <w:r>
        <w:rPr>
          <w:lang/>
        </w:rPr>
        <w:fldChar w:fldCharType="separate"/>
      </w:r>
      <w:r>
        <w:rPr>
          <w:lang/>
        </w:rPr>
        <w:t>10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"_Toc510107620"</w:instrText>
      </w:r>
      <w:r>
        <w:rPr>
          <w:rStyle w:val="10"/>
          <w:lang/>
        </w:rPr>
        <w:instrText xml:space="preserve"> </w:instrText>
      </w:r>
      <w:r>
        <w:rPr>
          <w:rStyle w:val="10"/>
          <w:lang/>
        </w:rPr>
        <w:fldChar w:fldCharType="separate"/>
      </w:r>
      <w:r>
        <w:rPr>
          <w:rStyle w:val="10"/>
          <w:b/>
          <w:bCs/>
          <w:lang/>
        </w:rPr>
        <w:t xml:space="preserve">4.3 </w:t>
      </w:r>
      <w:r>
        <w:rPr>
          <w:rStyle w:val="10"/>
          <w:rFonts w:hint="eastAsia"/>
          <w:b/>
          <w:bCs/>
          <w:lang/>
        </w:rPr>
        <w:t>管理人对报告期内公平交易情况的专项说明</w:t>
      </w:r>
      <w:r>
        <w:rPr>
          <w:lang/>
        </w:rPr>
        <w:tab/>
      </w:r>
      <w:r>
        <w:rPr>
          <w:lang/>
        </w:rPr>
        <w:fldChar w:fldCharType="begin"/>
      </w:r>
      <w:r>
        <w:rPr>
          <w:lang/>
        </w:rPr>
        <w:instrText xml:space="preserve"> PAGEREF _Toc510107620 \h </w:instrText>
      </w:r>
      <w:r>
        <w:rPr>
          <w:lang/>
        </w:rPr>
        <w:fldChar w:fldCharType="separate"/>
      </w:r>
      <w:r>
        <w:rPr>
          <w:lang/>
        </w:rPr>
        <w:t>10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"_Toc510107621"</w:instrText>
      </w:r>
      <w:r>
        <w:rPr>
          <w:rStyle w:val="10"/>
          <w:lang/>
        </w:rPr>
        <w:instrText xml:space="preserve"> </w:instrText>
      </w:r>
      <w:r>
        <w:rPr>
          <w:rStyle w:val="10"/>
          <w:lang/>
        </w:rPr>
        <w:fldChar w:fldCharType="separate"/>
      </w:r>
      <w:r>
        <w:rPr>
          <w:rStyle w:val="10"/>
          <w:b/>
          <w:bCs/>
          <w:lang/>
        </w:rPr>
        <w:t xml:space="preserve">4.4 </w:t>
      </w:r>
      <w:r>
        <w:rPr>
          <w:rStyle w:val="10"/>
          <w:rFonts w:hint="eastAsia"/>
          <w:b/>
          <w:bCs/>
          <w:lang/>
        </w:rPr>
        <w:t>管理人对报告期内基金的投资策略和业绩表现的说明</w:t>
      </w:r>
      <w:r>
        <w:rPr>
          <w:lang/>
        </w:rPr>
        <w:tab/>
      </w:r>
      <w:r>
        <w:rPr>
          <w:lang/>
        </w:rPr>
        <w:fldChar w:fldCharType="begin"/>
      </w:r>
      <w:r>
        <w:rPr>
          <w:lang/>
        </w:rPr>
        <w:instrText xml:space="preserve"> PAGEREF _Toc510107621 \h </w:instrText>
      </w:r>
      <w:r>
        <w:rPr>
          <w:lang/>
        </w:rPr>
        <w:fldChar w:fldCharType="separate"/>
      </w:r>
      <w:r>
        <w:rPr>
          <w:lang/>
        </w:rPr>
        <w:t>11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"_Toc510107622"</w:instrText>
      </w:r>
      <w:r>
        <w:rPr>
          <w:rStyle w:val="10"/>
          <w:lang/>
        </w:rPr>
        <w:instrText xml:space="preserve"> </w:instrText>
      </w:r>
      <w:r>
        <w:rPr>
          <w:rStyle w:val="10"/>
          <w:lang/>
        </w:rPr>
        <w:fldChar w:fldCharType="separate"/>
      </w:r>
      <w:r>
        <w:rPr>
          <w:rStyle w:val="10"/>
          <w:b/>
          <w:bCs/>
          <w:lang/>
        </w:rPr>
        <w:t xml:space="preserve">4.5 </w:t>
      </w:r>
      <w:r>
        <w:rPr>
          <w:rStyle w:val="10"/>
          <w:rFonts w:hint="eastAsia"/>
          <w:b/>
          <w:bCs/>
          <w:lang/>
        </w:rPr>
        <w:t>管理人对宏观经济、证券市场及行业走势的简要展望</w:t>
      </w:r>
      <w:r>
        <w:rPr>
          <w:lang/>
        </w:rPr>
        <w:tab/>
      </w:r>
      <w:r>
        <w:rPr>
          <w:lang/>
        </w:rPr>
        <w:fldChar w:fldCharType="begin"/>
      </w:r>
      <w:r>
        <w:rPr>
          <w:lang/>
        </w:rPr>
        <w:instrText xml:space="preserve"> PAGEREF _Toc510107622 \h </w:instrText>
      </w:r>
      <w:r>
        <w:rPr>
          <w:lang/>
        </w:rPr>
        <w:fldChar w:fldCharType="separate"/>
      </w:r>
      <w:r>
        <w:rPr>
          <w:lang/>
        </w:rPr>
        <w:t>12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"_Toc510107623"</w:instrText>
      </w:r>
      <w:r>
        <w:rPr>
          <w:rStyle w:val="10"/>
          <w:lang/>
        </w:rPr>
        <w:instrText xml:space="preserve"> </w:instrText>
      </w:r>
      <w:r>
        <w:rPr>
          <w:rStyle w:val="10"/>
          <w:lang/>
        </w:rPr>
        <w:fldChar w:fldCharType="separate"/>
      </w:r>
      <w:r>
        <w:rPr>
          <w:rStyle w:val="10"/>
          <w:b/>
          <w:bCs/>
          <w:lang/>
        </w:rPr>
        <w:t xml:space="preserve">4.6 </w:t>
      </w:r>
      <w:r>
        <w:rPr>
          <w:rStyle w:val="10"/>
          <w:rFonts w:hint="eastAsia"/>
          <w:b/>
          <w:bCs/>
          <w:lang/>
        </w:rPr>
        <w:t>管理人内部有关本基金的监察稽核工作情况</w:t>
      </w:r>
      <w:r>
        <w:rPr>
          <w:lang/>
        </w:rPr>
        <w:tab/>
      </w:r>
      <w:r>
        <w:rPr>
          <w:lang/>
        </w:rPr>
        <w:fldChar w:fldCharType="begin"/>
      </w:r>
      <w:r>
        <w:rPr>
          <w:lang/>
        </w:rPr>
        <w:instrText xml:space="preserve"> PAGEREF _Toc510107623 \h </w:instrText>
      </w:r>
      <w:r>
        <w:rPr>
          <w:lang/>
        </w:rPr>
        <w:fldChar w:fldCharType="separate"/>
      </w:r>
      <w:r>
        <w:rPr>
          <w:lang/>
        </w:rPr>
        <w:t>12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"_Toc510107624"</w:instrText>
      </w:r>
      <w:r>
        <w:rPr>
          <w:rStyle w:val="10"/>
          <w:lang/>
        </w:rPr>
        <w:instrText xml:space="preserve"> </w:instrText>
      </w:r>
      <w:r>
        <w:rPr>
          <w:rStyle w:val="10"/>
          <w:lang/>
        </w:rPr>
        <w:fldChar w:fldCharType="separate"/>
      </w:r>
      <w:r>
        <w:rPr>
          <w:rStyle w:val="10"/>
          <w:b/>
          <w:bCs/>
          <w:lang/>
        </w:rPr>
        <w:t xml:space="preserve">4.7 </w:t>
      </w:r>
      <w:r>
        <w:rPr>
          <w:rStyle w:val="10"/>
          <w:rFonts w:hint="eastAsia"/>
          <w:b/>
          <w:bCs/>
          <w:lang/>
        </w:rPr>
        <w:t>管理人对报告期内基金估值程序等事项的说明</w:t>
      </w:r>
      <w:r>
        <w:rPr>
          <w:lang/>
        </w:rPr>
        <w:tab/>
      </w:r>
      <w:r>
        <w:rPr>
          <w:lang/>
        </w:rPr>
        <w:fldChar w:fldCharType="begin"/>
      </w:r>
      <w:r>
        <w:rPr>
          <w:lang/>
        </w:rPr>
        <w:instrText xml:space="preserve"> PAGEREF _Toc510107624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"_Toc510107625"</w:instrText>
      </w:r>
      <w:r>
        <w:rPr>
          <w:rStyle w:val="10"/>
          <w:lang/>
        </w:rPr>
        <w:instrText xml:space="preserve"> </w:instrText>
      </w:r>
      <w:r>
        <w:rPr>
          <w:rStyle w:val="10"/>
          <w:lang/>
        </w:rPr>
        <w:fldChar w:fldCharType="separate"/>
      </w:r>
      <w:r>
        <w:rPr>
          <w:rStyle w:val="10"/>
          <w:b/>
          <w:bCs/>
          <w:lang/>
        </w:rPr>
        <w:t xml:space="preserve">4.8 </w:t>
      </w:r>
      <w:r>
        <w:rPr>
          <w:rStyle w:val="10"/>
          <w:rFonts w:hint="eastAsia"/>
          <w:b/>
          <w:bCs/>
          <w:lang/>
        </w:rPr>
        <w:t>管理人对报告期内基金利润分配情况的说明</w:t>
      </w:r>
      <w:r>
        <w:rPr>
          <w:lang/>
        </w:rPr>
        <w:tab/>
      </w:r>
      <w:r>
        <w:rPr>
          <w:lang/>
        </w:rPr>
        <w:fldChar w:fldCharType="begin"/>
      </w:r>
      <w:r>
        <w:rPr>
          <w:lang/>
        </w:rPr>
        <w:instrText xml:space="preserve"> PAGEREF _Toc510107625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"_Toc510107626"</w:instrText>
      </w:r>
      <w:r>
        <w:rPr>
          <w:rStyle w:val="10"/>
          <w:lang/>
        </w:rPr>
        <w:instrText xml:space="preserve"> </w:instrText>
      </w:r>
      <w:r>
        <w:rPr>
          <w:rStyle w:val="10"/>
          <w:lang/>
        </w:rPr>
        <w:fldChar w:fldCharType="separate"/>
      </w:r>
      <w:r>
        <w:rPr>
          <w:rStyle w:val="10"/>
          <w:b/>
          <w:bCs/>
          <w:lang/>
        </w:rPr>
        <w:t xml:space="preserve">4.9 </w:t>
      </w:r>
      <w:r>
        <w:rPr>
          <w:rStyle w:val="10"/>
          <w:rFonts w:hint="eastAsia"/>
          <w:b/>
          <w:bCs/>
          <w:lang/>
        </w:rPr>
        <w:t>报告期内管理人对本基金持有人数或基金资产净值预警情形的说明</w:t>
      </w:r>
      <w:r>
        <w:rPr>
          <w:lang/>
        </w:rPr>
        <w:tab/>
      </w:r>
      <w:r>
        <w:rPr>
          <w:lang/>
        </w:rPr>
        <w:fldChar w:fldCharType="begin"/>
      </w:r>
      <w:r>
        <w:rPr>
          <w:lang/>
        </w:rPr>
        <w:instrText xml:space="preserve"> PAGEREF _Toc510107626 \h </w:instrText>
      </w:r>
      <w:r>
        <w:rPr>
          <w:lang/>
        </w:rPr>
        <w:fldChar w:fldCharType="separate"/>
      </w:r>
      <w:r>
        <w:rPr>
          <w:lang/>
        </w:rPr>
        <w:t>13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"_Toc510107627"</w:instrText>
      </w:r>
      <w:r>
        <w:rPr>
          <w:rStyle w:val="10"/>
          <w:lang/>
        </w:rPr>
        <w:instrText xml:space="preserve"> </w:instrText>
      </w:r>
      <w:r>
        <w:rPr>
          <w:rStyle w:val="10"/>
          <w:lang/>
        </w:rPr>
        <w:fldChar w:fldCharType="separate"/>
      </w:r>
      <w:r>
        <w:rPr>
          <w:rStyle w:val="10"/>
          <w:b/>
          <w:lang/>
        </w:rPr>
        <w:t xml:space="preserve">§5  </w:t>
      </w:r>
      <w:r>
        <w:rPr>
          <w:rStyle w:val="10"/>
          <w:rFonts w:hint="eastAsia"/>
          <w:b/>
          <w:lang/>
        </w:rPr>
        <w:t>托管人报告</w:t>
      </w:r>
      <w:r>
        <w:rPr>
          <w:lang/>
        </w:rPr>
        <w:tab/>
      </w:r>
      <w:r>
        <w:rPr>
          <w:lang/>
        </w:rPr>
        <w:fldChar w:fldCharType="begin"/>
      </w:r>
      <w:r>
        <w:rPr>
          <w:lang/>
        </w:rPr>
        <w:instrText xml:space="preserve"> PAGEREF _Toc510107627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"_Toc510107628"</w:instrText>
      </w:r>
      <w:r>
        <w:rPr>
          <w:rStyle w:val="10"/>
          <w:lang/>
        </w:rPr>
        <w:instrText xml:space="preserve"> </w:instrText>
      </w:r>
      <w:r>
        <w:rPr>
          <w:rStyle w:val="10"/>
          <w:lang/>
        </w:rPr>
        <w:fldChar w:fldCharType="separate"/>
      </w:r>
      <w:r>
        <w:rPr>
          <w:rStyle w:val="10"/>
          <w:b/>
          <w:bCs/>
          <w:lang/>
        </w:rPr>
        <w:t xml:space="preserve">5.1 </w:t>
      </w:r>
      <w:r>
        <w:rPr>
          <w:rStyle w:val="10"/>
          <w:rFonts w:hint="eastAsia"/>
          <w:b/>
          <w:bCs/>
          <w:lang/>
        </w:rPr>
        <w:t>报告期内本基金托管人遵规守信情况声明</w:t>
      </w:r>
      <w:r>
        <w:rPr>
          <w:lang/>
        </w:rPr>
        <w:tab/>
      </w:r>
      <w:r>
        <w:rPr>
          <w:lang/>
        </w:rPr>
        <w:fldChar w:fldCharType="begin"/>
      </w:r>
      <w:r>
        <w:rPr>
          <w:lang/>
        </w:rPr>
        <w:instrText xml:space="preserve"> PAGEREF _Toc510107628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"_Toc510107629"</w:instrText>
      </w:r>
      <w:r>
        <w:rPr>
          <w:rStyle w:val="10"/>
          <w:lang/>
        </w:rPr>
        <w:instrText xml:space="preserve"> </w:instrText>
      </w:r>
      <w:r>
        <w:rPr>
          <w:rStyle w:val="10"/>
          <w:lang/>
        </w:rPr>
        <w:fldChar w:fldCharType="separate"/>
      </w:r>
      <w:r>
        <w:rPr>
          <w:rStyle w:val="10"/>
          <w:b/>
          <w:bCs/>
          <w:lang/>
        </w:rPr>
        <w:t xml:space="preserve">5.2 </w:t>
      </w:r>
      <w:r>
        <w:rPr>
          <w:rStyle w:val="10"/>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_Toc510107629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"_Toc510107630"</w:instrText>
      </w:r>
      <w:r>
        <w:rPr>
          <w:rStyle w:val="10"/>
          <w:lang/>
        </w:rPr>
        <w:instrText xml:space="preserve"> </w:instrText>
      </w:r>
      <w:r>
        <w:rPr>
          <w:rStyle w:val="10"/>
          <w:lang/>
        </w:rPr>
        <w:fldChar w:fldCharType="separate"/>
      </w:r>
      <w:r>
        <w:rPr>
          <w:rStyle w:val="10"/>
          <w:b/>
          <w:bCs/>
          <w:lang/>
        </w:rPr>
        <w:t xml:space="preserve">5.3 </w:t>
      </w:r>
      <w:r>
        <w:rPr>
          <w:rStyle w:val="10"/>
          <w:rFonts w:hint="eastAsia"/>
          <w:b/>
          <w:bCs/>
          <w:lang/>
        </w:rPr>
        <w:t>托管人对本年度报告中财务信息等内容的真实、准确和完整发表意见</w:t>
      </w:r>
      <w:r>
        <w:rPr>
          <w:lang/>
        </w:rPr>
        <w:tab/>
      </w:r>
      <w:r>
        <w:rPr>
          <w:lang/>
        </w:rPr>
        <w:fldChar w:fldCharType="begin"/>
      </w:r>
      <w:r>
        <w:rPr>
          <w:lang/>
        </w:rPr>
        <w:instrText xml:space="preserve"> PAGEREF _Toc510107630 \h </w:instrText>
      </w:r>
      <w:r>
        <w:rPr>
          <w:lang/>
        </w:rPr>
        <w:fldChar w:fldCharType="separate"/>
      </w:r>
      <w:r>
        <w:rPr>
          <w:lang/>
        </w:rPr>
        <w:t>14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"_Toc510107631"</w:instrText>
      </w:r>
      <w:r>
        <w:rPr>
          <w:rStyle w:val="10"/>
          <w:lang/>
        </w:rPr>
        <w:instrText xml:space="preserve"> </w:instrText>
      </w:r>
      <w:r>
        <w:rPr>
          <w:rStyle w:val="10"/>
          <w:lang/>
        </w:rPr>
        <w:fldChar w:fldCharType="separate"/>
      </w:r>
      <w:r>
        <w:rPr>
          <w:rStyle w:val="10"/>
          <w:b/>
          <w:lang/>
        </w:rPr>
        <w:t xml:space="preserve">§6  </w:t>
      </w:r>
      <w:r>
        <w:rPr>
          <w:rStyle w:val="10"/>
          <w:rFonts w:hint="eastAsia"/>
          <w:b/>
          <w:lang/>
        </w:rPr>
        <w:t>审计报告</w:t>
      </w:r>
      <w:r>
        <w:rPr>
          <w:lang/>
        </w:rPr>
        <w:tab/>
      </w:r>
      <w:r>
        <w:rPr>
          <w:lang/>
        </w:rPr>
        <w:fldChar w:fldCharType="begin"/>
      </w:r>
      <w:r>
        <w:rPr>
          <w:lang/>
        </w:rPr>
        <w:instrText xml:space="preserve"> PAGEREF _Toc510107631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"_Toc510107632"</w:instrText>
      </w:r>
      <w:r>
        <w:rPr>
          <w:rStyle w:val="10"/>
          <w:lang/>
        </w:rPr>
        <w:instrText xml:space="preserve"> </w:instrText>
      </w:r>
      <w:r>
        <w:rPr>
          <w:rStyle w:val="10"/>
          <w:lang/>
        </w:rPr>
        <w:fldChar w:fldCharType="separate"/>
      </w:r>
      <w:r>
        <w:rPr>
          <w:rStyle w:val="10"/>
          <w:b/>
          <w:bCs/>
          <w:lang/>
        </w:rPr>
        <w:t xml:space="preserve">6.1 </w:t>
      </w:r>
      <w:r>
        <w:rPr>
          <w:rStyle w:val="10"/>
          <w:rFonts w:hint="eastAsia"/>
          <w:b/>
          <w:bCs/>
          <w:lang/>
        </w:rPr>
        <w:t>审计报告基本信息</w:t>
      </w:r>
      <w:r>
        <w:rPr>
          <w:lang/>
        </w:rPr>
        <w:tab/>
      </w:r>
      <w:r>
        <w:rPr>
          <w:lang/>
        </w:rPr>
        <w:fldChar w:fldCharType="begin"/>
      </w:r>
      <w:r>
        <w:rPr>
          <w:lang/>
        </w:rPr>
        <w:instrText xml:space="preserve"> PAGEREF _Toc510107632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"_Toc510107633"</w:instrText>
      </w:r>
      <w:r>
        <w:rPr>
          <w:rStyle w:val="10"/>
          <w:lang/>
        </w:rPr>
        <w:instrText xml:space="preserve"> </w:instrText>
      </w:r>
      <w:r>
        <w:rPr>
          <w:rStyle w:val="10"/>
          <w:lang/>
        </w:rPr>
        <w:fldChar w:fldCharType="separate"/>
      </w:r>
      <w:r>
        <w:rPr>
          <w:rStyle w:val="10"/>
          <w:b/>
          <w:bCs/>
          <w:lang/>
        </w:rPr>
        <w:t xml:space="preserve">6.2 </w:t>
      </w:r>
      <w:r>
        <w:rPr>
          <w:rStyle w:val="10"/>
          <w:rFonts w:hint="eastAsia"/>
          <w:b/>
          <w:bCs/>
          <w:lang/>
        </w:rPr>
        <w:t>审计报告的基本内容</w:t>
      </w:r>
      <w:r>
        <w:rPr>
          <w:lang/>
        </w:rPr>
        <w:tab/>
      </w:r>
      <w:r>
        <w:rPr>
          <w:lang/>
        </w:rPr>
        <w:fldChar w:fldCharType="begin"/>
      </w:r>
      <w:r>
        <w:rPr>
          <w:lang/>
        </w:rPr>
        <w:instrText xml:space="preserve"> PAGEREF _Toc510107633 \h </w:instrText>
      </w:r>
      <w:r>
        <w:rPr>
          <w:lang/>
        </w:rPr>
        <w:fldChar w:fldCharType="separate"/>
      </w:r>
      <w:r>
        <w:rPr>
          <w:lang/>
        </w:rPr>
        <w:t>14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"_Toc510107634"</w:instrText>
      </w:r>
      <w:r>
        <w:rPr>
          <w:rStyle w:val="10"/>
          <w:lang/>
        </w:rPr>
        <w:instrText xml:space="preserve"> </w:instrText>
      </w:r>
      <w:r>
        <w:rPr>
          <w:rStyle w:val="10"/>
          <w:lang/>
        </w:rPr>
        <w:fldChar w:fldCharType="separate"/>
      </w:r>
      <w:r>
        <w:rPr>
          <w:rStyle w:val="10"/>
          <w:b/>
          <w:lang/>
        </w:rPr>
        <w:t xml:space="preserve">§7  </w:t>
      </w:r>
      <w:r>
        <w:rPr>
          <w:rStyle w:val="10"/>
          <w:rFonts w:hint="eastAsia"/>
          <w:b/>
          <w:lang/>
        </w:rPr>
        <w:t>年度财务报表</w:t>
      </w:r>
      <w:r>
        <w:rPr>
          <w:lang/>
        </w:rPr>
        <w:tab/>
      </w:r>
      <w:r>
        <w:rPr>
          <w:lang/>
        </w:rPr>
        <w:fldChar w:fldCharType="begin"/>
      </w:r>
      <w:r>
        <w:rPr>
          <w:lang/>
        </w:rPr>
        <w:instrText xml:space="preserve"> PAGEREF _Toc510107634 \h </w:instrText>
      </w:r>
      <w:r>
        <w:rPr>
          <w:lang/>
        </w:rPr>
        <w:fldChar w:fldCharType="separate"/>
      </w:r>
      <w:r>
        <w:rPr>
          <w:lang/>
        </w:rPr>
        <w:t>17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"_Toc510107635"</w:instrText>
      </w:r>
      <w:r>
        <w:rPr>
          <w:rStyle w:val="10"/>
          <w:lang/>
        </w:rPr>
        <w:instrText xml:space="preserve"> </w:instrText>
      </w:r>
      <w:r>
        <w:rPr>
          <w:rStyle w:val="10"/>
          <w:lang/>
        </w:rPr>
        <w:fldChar w:fldCharType="separate"/>
      </w:r>
      <w:r>
        <w:rPr>
          <w:rStyle w:val="10"/>
          <w:b/>
          <w:bCs/>
          <w:lang/>
        </w:rPr>
        <w:t xml:space="preserve">7.1 </w:t>
      </w:r>
      <w:r>
        <w:rPr>
          <w:rStyle w:val="10"/>
          <w:rFonts w:hint="eastAsia"/>
          <w:b/>
          <w:bCs/>
          <w:lang/>
        </w:rPr>
        <w:t>资产负债表</w:t>
      </w:r>
      <w:r>
        <w:rPr>
          <w:lang/>
        </w:rPr>
        <w:tab/>
      </w:r>
      <w:r>
        <w:rPr>
          <w:lang/>
        </w:rPr>
        <w:fldChar w:fldCharType="begin"/>
      </w:r>
      <w:r>
        <w:rPr>
          <w:lang/>
        </w:rPr>
        <w:instrText xml:space="preserve"> PAGEREF _Toc510107635 \h </w:instrText>
      </w:r>
      <w:r>
        <w:rPr>
          <w:lang/>
        </w:rPr>
        <w:fldChar w:fldCharType="separate"/>
      </w:r>
      <w:r>
        <w:rPr>
          <w:lang/>
        </w:rPr>
        <w:t>17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"_Toc510107636"</w:instrText>
      </w:r>
      <w:r>
        <w:rPr>
          <w:rStyle w:val="10"/>
          <w:lang/>
        </w:rPr>
        <w:instrText xml:space="preserve"> </w:instrText>
      </w:r>
      <w:r>
        <w:rPr>
          <w:rStyle w:val="10"/>
          <w:lang/>
        </w:rPr>
        <w:fldChar w:fldCharType="separate"/>
      </w:r>
      <w:r>
        <w:rPr>
          <w:rStyle w:val="10"/>
          <w:b/>
          <w:bCs/>
          <w:lang/>
        </w:rPr>
        <w:t xml:space="preserve">7.2 </w:t>
      </w:r>
      <w:r>
        <w:rPr>
          <w:rStyle w:val="10"/>
          <w:rFonts w:hint="eastAsia"/>
          <w:b/>
          <w:bCs/>
          <w:lang/>
        </w:rPr>
        <w:t>利润表</w:t>
      </w:r>
      <w:r>
        <w:rPr>
          <w:lang/>
        </w:rPr>
        <w:tab/>
      </w:r>
      <w:r>
        <w:rPr>
          <w:lang/>
        </w:rPr>
        <w:fldChar w:fldCharType="begin"/>
      </w:r>
      <w:r>
        <w:rPr>
          <w:lang/>
        </w:rPr>
        <w:instrText xml:space="preserve"> PAGEREF _Toc510107636 \h </w:instrText>
      </w:r>
      <w:r>
        <w:rPr>
          <w:lang/>
        </w:rPr>
        <w:fldChar w:fldCharType="separate"/>
      </w:r>
      <w:r>
        <w:rPr>
          <w:lang/>
        </w:rPr>
        <w:t>19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"_Toc510107637"</w:instrText>
      </w:r>
      <w:r>
        <w:rPr>
          <w:rStyle w:val="10"/>
          <w:lang/>
        </w:rPr>
        <w:instrText xml:space="preserve"> </w:instrText>
      </w:r>
      <w:r>
        <w:rPr>
          <w:rStyle w:val="10"/>
          <w:lang/>
        </w:rPr>
        <w:fldChar w:fldCharType="separate"/>
      </w:r>
      <w:r>
        <w:rPr>
          <w:rStyle w:val="10"/>
          <w:b/>
          <w:bCs/>
          <w:lang/>
        </w:rPr>
        <w:t xml:space="preserve">7.3 </w:t>
      </w:r>
      <w:r>
        <w:rPr>
          <w:rStyle w:val="10"/>
          <w:rFonts w:hint="eastAsia"/>
          <w:b/>
          <w:bCs/>
          <w:lang/>
        </w:rPr>
        <w:t>所有者权益（基金净值）变动表</w:t>
      </w:r>
      <w:r>
        <w:rPr>
          <w:lang/>
        </w:rPr>
        <w:tab/>
      </w:r>
      <w:r>
        <w:rPr>
          <w:lang/>
        </w:rPr>
        <w:fldChar w:fldCharType="begin"/>
      </w:r>
      <w:r>
        <w:rPr>
          <w:lang/>
        </w:rPr>
        <w:instrText xml:space="preserve"> PAGEREF _Toc510107637 \h </w:instrText>
      </w:r>
      <w:r>
        <w:rPr>
          <w:lang/>
        </w:rPr>
        <w:fldChar w:fldCharType="separate"/>
      </w:r>
      <w:r>
        <w:rPr>
          <w:lang/>
        </w:rPr>
        <w:t>21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"_Toc510107638"</w:instrText>
      </w:r>
      <w:r>
        <w:rPr>
          <w:rStyle w:val="10"/>
          <w:lang/>
        </w:rPr>
        <w:instrText xml:space="preserve"> </w:instrText>
      </w:r>
      <w:r>
        <w:rPr>
          <w:rStyle w:val="10"/>
          <w:lang/>
        </w:rPr>
        <w:fldChar w:fldCharType="separate"/>
      </w:r>
      <w:r>
        <w:rPr>
          <w:rStyle w:val="10"/>
          <w:b/>
          <w:bCs/>
          <w:lang/>
        </w:rPr>
        <w:t xml:space="preserve">7.4 </w:t>
      </w:r>
      <w:r>
        <w:rPr>
          <w:rStyle w:val="10"/>
          <w:rFonts w:hint="eastAsia"/>
          <w:b/>
          <w:bCs/>
          <w:lang/>
        </w:rPr>
        <w:t>报表附注</w:t>
      </w:r>
      <w:r>
        <w:rPr>
          <w:lang/>
        </w:rPr>
        <w:tab/>
      </w:r>
      <w:r>
        <w:rPr>
          <w:lang/>
        </w:rPr>
        <w:fldChar w:fldCharType="begin"/>
      </w:r>
      <w:r>
        <w:rPr>
          <w:lang/>
        </w:rPr>
        <w:instrText xml:space="preserve"> PAGEREF _Toc510107638 \h </w:instrText>
      </w:r>
      <w:r>
        <w:rPr>
          <w:lang/>
        </w:rPr>
        <w:fldChar w:fldCharType="separate"/>
      </w:r>
      <w:r>
        <w:rPr>
          <w:lang/>
        </w:rPr>
        <w:t>22</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"_Toc510107639"</w:instrText>
      </w:r>
      <w:r>
        <w:rPr>
          <w:rStyle w:val="10"/>
          <w:lang/>
        </w:rPr>
        <w:instrText xml:space="preserve"> </w:instrText>
      </w:r>
      <w:r>
        <w:rPr>
          <w:rStyle w:val="10"/>
          <w:lang/>
        </w:rPr>
        <w:fldChar w:fldCharType="separate"/>
      </w:r>
      <w:r>
        <w:rPr>
          <w:rStyle w:val="10"/>
          <w:b/>
          <w:lang/>
        </w:rPr>
        <w:t xml:space="preserve">§8 </w:t>
      </w:r>
      <w:r>
        <w:rPr>
          <w:rStyle w:val="10"/>
          <w:rFonts w:hint="eastAsia"/>
          <w:b/>
          <w:lang/>
        </w:rPr>
        <w:t>投资组合报告</w:t>
      </w:r>
      <w:r>
        <w:rPr>
          <w:lang/>
        </w:rPr>
        <w:tab/>
      </w:r>
      <w:r>
        <w:rPr>
          <w:lang/>
        </w:rPr>
        <w:fldChar w:fldCharType="begin"/>
      </w:r>
      <w:r>
        <w:rPr>
          <w:lang/>
        </w:rPr>
        <w:instrText xml:space="preserve"> PAGEREF _Toc510107639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"_Toc510107640"</w:instrText>
      </w:r>
      <w:r>
        <w:rPr>
          <w:rStyle w:val="10"/>
          <w:lang/>
        </w:rPr>
        <w:instrText xml:space="preserve"> </w:instrText>
      </w:r>
      <w:r>
        <w:rPr>
          <w:rStyle w:val="10"/>
          <w:lang/>
        </w:rPr>
        <w:fldChar w:fldCharType="separate"/>
      </w:r>
      <w:r>
        <w:rPr>
          <w:rStyle w:val="10"/>
          <w:b/>
          <w:bCs/>
          <w:lang/>
        </w:rPr>
        <w:t xml:space="preserve">8.1 </w:t>
      </w:r>
      <w:r>
        <w:rPr>
          <w:rStyle w:val="10"/>
          <w:rFonts w:hint="eastAsia"/>
          <w:b/>
          <w:bCs/>
          <w:lang/>
        </w:rPr>
        <w:t>期末基金资产组合情况</w:t>
      </w:r>
      <w:r>
        <w:rPr>
          <w:lang/>
        </w:rPr>
        <w:tab/>
      </w:r>
      <w:r>
        <w:rPr>
          <w:lang/>
        </w:rPr>
        <w:fldChar w:fldCharType="begin"/>
      </w:r>
      <w:r>
        <w:rPr>
          <w:lang/>
        </w:rPr>
        <w:instrText xml:space="preserve"> PAGEREF _Toc510107640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"_Toc510107641"</w:instrText>
      </w:r>
      <w:r>
        <w:rPr>
          <w:rStyle w:val="10"/>
          <w:lang/>
        </w:rPr>
        <w:instrText xml:space="preserve"> </w:instrText>
      </w:r>
      <w:r>
        <w:rPr>
          <w:rStyle w:val="10"/>
          <w:lang/>
        </w:rPr>
        <w:fldChar w:fldCharType="separate"/>
      </w:r>
      <w:r>
        <w:rPr>
          <w:rStyle w:val="10"/>
          <w:b/>
          <w:bCs/>
          <w:lang/>
        </w:rPr>
        <w:t xml:space="preserve">8.2 </w:t>
      </w:r>
      <w:r>
        <w:rPr>
          <w:rStyle w:val="10"/>
          <w:rFonts w:hint="eastAsia"/>
          <w:b/>
          <w:bCs/>
          <w:lang/>
        </w:rPr>
        <w:t>报告期末按行业分类的股票投资组合</w:t>
      </w:r>
      <w:r>
        <w:rPr>
          <w:lang/>
        </w:rPr>
        <w:tab/>
      </w:r>
      <w:r>
        <w:rPr>
          <w:lang/>
        </w:rPr>
        <w:fldChar w:fldCharType="begin"/>
      </w:r>
      <w:r>
        <w:rPr>
          <w:lang/>
        </w:rPr>
        <w:instrText xml:space="preserve"> PAGEREF _Toc510107641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"_Toc510107642"</w:instrText>
      </w:r>
      <w:r>
        <w:rPr>
          <w:rStyle w:val="10"/>
          <w:lang/>
        </w:rPr>
        <w:instrText xml:space="preserve"> </w:instrText>
      </w:r>
      <w:r>
        <w:rPr>
          <w:rStyle w:val="10"/>
          <w:lang/>
        </w:rPr>
        <w:fldChar w:fldCharType="separate"/>
      </w:r>
      <w:r>
        <w:rPr>
          <w:rStyle w:val="10"/>
          <w:b/>
          <w:bCs/>
          <w:lang/>
        </w:rPr>
        <w:t xml:space="preserve">8.3 </w:t>
      </w:r>
      <w:r>
        <w:rPr>
          <w:rStyle w:val="10"/>
          <w:rFonts w:hint="eastAsia"/>
          <w:b/>
          <w:bCs/>
          <w:lang/>
        </w:rPr>
        <w:t>期末按公允价值占基金资产净值比例大小排序的所有股票投资明细</w:t>
      </w:r>
      <w:r>
        <w:rPr>
          <w:lang/>
        </w:rPr>
        <w:tab/>
      </w:r>
      <w:r>
        <w:rPr>
          <w:lang/>
        </w:rPr>
        <w:fldChar w:fldCharType="begin"/>
      </w:r>
      <w:r>
        <w:rPr>
          <w:lang/>
        </w:rPr>
        <w:instrText xml:space="preserve"> PAGEREF _Toc510107642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"_Toc510107643"</w:instrText>
      </w:r>
      <w:r>
        <w:rPr>
          <w:rStyle w:val="10"/>
          <w:lang/>
        </w:rPr>
        <w:instrText xml:space="preserve"> </w:instrText>
      </w:r>
      <w:r>
        <w:rPr>
          <w:rStyle w:val="10"/>
          <w:lang/>
        </w:rPr>
        <w:fldChar w:fldCharType="separate"/>
      </w:r>
      <w:r>
        <w:rPr>
          <w:rStyle w:val="10"/>
          <w:b/>
          <w:bCs/>
          <w:lang/>
        </w:rPr>
        <w:t xml:space="preserve">8.4 </w:t>
      </w:r>
      <w:r>
        <w:rPr>
          <w:rStyle w:val="10"/>
          <w:rFonts w:hint="eastAsia"/>
          <w:b/>
          <w:bCs/>
          <w:lang/>
        </w:rPr>
        <w:t>报告期内股票投资组合的重大变动</w:t>
      </w:r>
      <w:r>
        <w:rPr>
          <w:lang/>
        </w:rPr>
        <w:tab/>
      </w:r>
      <w:r>
        <w:rPr>
          <w:lang/>
        </w:rPr>
        <w:fldChar w:fldCharType="begin"/>
      </w:r>
      <w:r>
        <w:rPr>
          <w:lang/>
        </w:rPr>
        <w:instrText xml:space="preserve"> PAGEREF _Toc510107643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"_Toc510107644"</w:instrText>
      </w:r>
      <w:r>
        <w:rPr>
          <w:rStyle w:val="10"/>
          <w:lang/>
        </w:rPr>
        <w:instrText xml:space="preserve"> </w:instrText>
      </w:r>
      <w:r>
        <w:rPr>
          <w:rStyle w:val="10"/>
          <w:lang/>
        </w:rPr>
        <w:fldChar w:fldCharType="separate"/>
      </w:r>
      <w:r>
        <w:rPr>
          <w:rStyle w:val="10"/>
          <w:b/>
          <w:bCs/>
          <w:lang/>
        </w:rPr>
        <w:t xml:space="preserve">8.5 </w:t>
      </w:r>
      <w:r>
        <w:rPr>
          <w:rStyle w:val="10"/>
          <w:rFonts w:hint="eastAsia"/>
          <w:b/>
          <w:bCs/>
          <w:lang/>
        </w:rPr>
        <w:t>期末按债券品种分类的债券投资组合</w:t>
      </w:r>
      <w:r>
        <w:rPr>
          <w:lang/>
        </w:rPr>
        <w:tab/>
      </w:r>
      <w:r>
        <w:rPr>
          <w:lang/>
        </w:rPr>
        <w:fldChar w:fldCharType="begin"/>
      </w:r>
      <w:r>
        <w:rPr>
          <w:lang/>
        </w:rPr>
        <w:instrText xml:space="preserve"> PAGEREF _Toc510107644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"_Toc510107645"</w:instrText>
      </w:r>
      <w:r>
        <w:rPr>
          <w:rStyle w:val="10"/>
          <w:lang/>
        </w:rPr>
        <w:instrText xml:space="preserve"> </w:instrText>
      </w:r>
      <w:r>
        <w:rPr>
          <w:rStyle w:val="10"/>
          <w:lang/>
        </w:rPr>
        <w:fldChar w:fldCharType="separate"/>
      </w:r>
      <w:r>
        <w:rPr>
          <w:rStyle w:val="10"/>
          <w:b/>
          <w:bCs/>
          <w:lang/>
        </w:rPr>
        <w:t xml:space="preserve">8.6 </w:t>
      </w:r>
      <w:r>
        <w:rPr>
          <w:rStyle w:val="10"/>
          <w:rFonts w:hint="eastAsia"/>
          <w:b/>
          <w:bCs/>
          <w:lang/>
        </w:rPr>
        <w:t>期末按公允价值占基金资产净值比例大小排序的前五名债券投资明细</w:t>
      </w:r>
      <w:r>
        <w:rPr>
          <w:lang/>
        </w:rPr>
        <w:tab/>
      </w:r>
      <w:r>
        <w:rPr>
          <w:lang/>
        </w:rPr>
        <w:fldChar w:fldCharType="begin"/>
      </w:r>
      <w:r>
        <w:rPr>
          <w:lang/>
        </w:rPr>
        <w:instrText xml:space="preserve"> PAGEREF _Toc510107645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"_Toc510107646"</w:instrText>
      </w:r>
      <w:r>
        <w:rPr>
          <w:rStyle w:val="10"/>
          <w:lang/>
        </w:rPr>
        <w:instrText xml:space="preserve"> </w:instrText>
      </w:r>
      <w:r>
        <w:rPr>
          <w:rStyle w:val="10"/>
          <w:lang/>
        </w:rPr>
        <w:fldChar w:fldCharType="separate"/>
      </w:r>
      <w:r>
        <w:rPr>
          <w:rStyle w:val="10"/>
          <w:b/>
          <w:bCs/>
          <w:lang/>
        </w:rPr>
        <w:t xml:space="preserve">8.7 </w:t>
      </w:r>
      <w:r>
        <w:rPr>
          <w:rStyle w:val="10"/>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_Toc510107646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"_Toc510107647"</w:instrText>
      </w:r>
      <w:r>
        <w:rPr>
          <w:rStyle w:val="10"/>
          <w:lang/>
        </w:rPr>
        <w:instrText xml:space="preserve"> </w:instrText>
      </w:r>
      <w:r>
        <w:rPr>
          <w:rStyle w:val="10"/>
          <w:lang/>
        </w:rPr>
        <w:fldChar w:fldCharType="separate"/>
      </w:r>
      <w:r>
        <w:rPr>
          <w:rStyle w:val="10"/>
          <w:b/>
          <w:bCs/>
          <w:lang/>
        </w:rPr>
        <w:t xml:space="preserve">8.8 </w:t>
      </w:r>
      <w:r>
        <w:rPr>
          <w:rStyle w:val="10"/>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_Toc510107647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"_Toc510107648"</w:instrText>
      </w:r>
      <w:r>
        <w:rPr>
          <w:rStyle w:val="10"/>
          <w:lang/>
        </w:rPr>
        <w:instrText xml:space="preserve"> </w:instrText>
      </w:r>
      <w:r>
        <w:rPr>
          <w:rStyle w:val="10"/>
          <w:lang/>
        </w:rPr>
        <w:fldChar w:fldCharType="separate"/>
      </w:r>
      <w:r>
        <w:rPr>
          <w:rStyle w:val="10"/>
          <w:b/>
          <w:bCs/>
          <w:lang/>
        </w:rPr>
        <w:t xml:space="preserve">8.9 </w:t>
      </w:r>
      <w:r>
        <w:rPr>
          <w:rStyle w:val="10"/>
          <w:rFonts w:hint="eastAsia"/>
          <w:b/>
          <w:bCs/>
          <w:lang/>
        </w:rPr>
        <w:t>期末按公允价值占基金资产净值比例大小排序的前五名权证投资明细</w:t>
      </w:r>
      <w:r>
        <w:rPr>
          <w:lang/>
        </w:rPr>
        <w:tab/>
      </w:r>
      <w:r>
        <w:rPr>
          <w:lang/>
        </w:rPr>
        <w:fldChar w:fldCharType="begin"/>
      </w:r>
      <w:r>
        <w:rPr>
          <w:lang/>
        </w:rPr>
        <w:instrText xml:space="preserve"> PAGEREF _Toc510107648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"_Toc510107649"</w:instrText>
      </w:r>
      <w:r>
        <w:rPr>
          <w:rStyle w:val="10"/>
          <w:lang/>
        </w:rPr>
        <w:instrText xml:space="preserve"> </w:instrText>
      </w:r>
      <w:r>
        <w:rPr>
          <w:rStyle w:val="10"/>
          <w:lang/>
        </w:rPr>
        <w:fldChar w:fldCharType="separate"/>
      </w:r>
      <w:r>
        <w:rPr>
          <w:rStyle w:val="10"/>
          <w:b/>
          <w:bCs/>
          <w:lang/>
        </w:rPr>
        <w:t xml:space="preserve">8.10 </w:t>
      </w:r>
      <w:r>
        <w:rPr>
          <w:rStyle w:val="10"/>
          <w:rFonts w:hint="eastAsia"/>
          <w:b/>
          <w:bCs/>
          <w:lang/>
        </w:rPr>
        <w:t>报告期末本基金投资的股指期货交易情况说明</w:t>
      </w:r>
      <w:r>
        <w:rPr>
          <w:lang/>
        </w:rPr>
        <w:tab/>
      </w:r>
      <w:r>
        <w:rPr>
          <w:lang/>
        </w:rPr>
        <w:fldChar w:fldCharType="begin"/>
      </w:r>
      <w:r>
        <w:rPr>
          <w:lang/>
        </w:rPr>
        <w:instrText xml:space="preserve"> PAGEREF _Toc510107649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"_Toc510107650"</w:instrText>
      </w:r>
      <w:r>
        <w:rPr>
          <w:rStyle w:val="10"/>
          <w:lang/>
        </w:rPr>
        <w:instrText xml:space="preserve"> </w:instrText>
      </w:r>
      <w:r>
        <w:rPr>
          <w:rStyle w:val="10"/>
          <w:lang/>
        </w:rPr>
        <w:fldChar w:fldCharType="separate"/>
      </w:r>
      <w:r>
        <w:rPr>
          <w:rStyle w:val="10"/>
          <w:b/>
          <w:bCs/>
          <w:lang/>
        </w:rPr>
        <w:t xml:space="preserve">8.11 </w:t>
      </w:r>
      <w:r>
        <w:rPr>
          <w:rStyle w:val="10"/>
          <w:rFonts w:hint="eastAsia"/>
          <w:b/>
          <w:bCs/>
          <w:lang/>
        </w:rPr>
        <w:t>报告期末本基金投资的国债期货交易情况说明</w:t>
      </w:r>
      <w:r>
        <w:rPr>
          <w:lang/>
        </w:rPr>
        <w:tab/>
      </w:r>
      <w:r>
        <w:rPr>
          <w:lang/>
        </w:rPr>
        <w:fldChar w:fldCharType="begin"/>
      </w:r>
      <w:r>
        <w:rPr>
          <w:lang/>
        </w:rPr>
        <w:instrText xml:space="preserve"> PAGEREF _Toc510107650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"_Toc510107651"</w:instrText>
      </w:r>
      <w:r>
        <w:rPr>
          <w:rStyle w:val="10"/>
          <w:lang/>
        </w:rPr>
        <w:instrText xml:space="preserve"> </w:instrText>
      </w:r>
      <w:r>
        <w:rPr>
          <w:rStyle w:val="10"/>
          <w:lang/>
        </w:rPr>
        <w:fldChar w:fldCharType="separate"/>
      </w:r>
      <w:r>
        <w:rPr>
          <w:rStyle w:val="10"/>
          <w:b/>
          <w:bCs/>
          <w:lang/>
        </w:rPr>
        <w:t xml:space="preserve">8.12 </w:t>
      </w:r>
      <w:r>
        <w:rPr>
          <w:rStyle w:val="10"/>
          <w:rFonts w:hint="eastAsia"/>
          <w:b/>
          <w:bCs/>
          <w:lang/>
        </w:rPr>
        <w:t>投资组合报告附注</w:t>
      </w:r>
      <w:r>
        <w:rPr>
          <w:lang/>
        </w:rPr>
        <w:tab/>
      </w:r>
      <w:r>
        <w:rPr>
          <w:lang/>
        </w:rPr>
        <w:fldChar w:fldCharType="begin"/>
      </w:r>
      <w:r>
        <w:rPr>
          <w:lang/>
        </w:rPr>
        <w:instrText xml:space="preserve"> PAGEREF _Toc510107651 \h </w:instrText>
      </w:r>
      <w:r>
        <w:rPr>
          <w:lang/>
        </w:rPr>
        <w:fldChar w:fldCharType="separate"/>
      </w:r>
      <w:r>
        <w:rPr>
          <w:lang/>
        </w:rPr>
        <w:t>50</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"_Toc510107652"</w:instrText>
      </w:r>
      <w:r>
        <w:rPr>
          <w:rStyle w:val="10"/>
          <w:lang/>
        </w:rPr>
        <w:instrText xml:space="preserve"> </w:instrText>
      </w:r>
      <w:r>
        <w:rPr>
          <w:rStyle w:val="10"/>
          <w:lang/>
        </w:rPr>
        <w:fldChar w:fldCharType="separate"/>
      </w:r>
      <w:r>
        <w:rPr>
          <w:rStyle w:val="10"/>
          <w:b/>
          <w:lang/>
        </w:rPr>
        <w:t xml:space="preserve">§9  </w:t>
      </w:r>
      <w:r>
        <w:rPr>
          <w:rStyle w:val="10"/>
          <w:rFonts w:hint="eastAsia"/>
          <w:b/>
          <w:lang/>
        </w:rPr>
        <w:t>基金份额持有人信息</w:t>
      </w:r>
      <w:r>
        <w:rPr>
          <w:lang/>
        </w:rPr>
        <w:tab/>
      </w:r>
      <w:r>
        <w:rPr>
          <w:lang/>
        </w:rPr>
        <w:fldChar w:fldCharType="begin"/>
      </w:r>
      <w:r>
        <w:rPr>
          <w:lang/>
        </w:rPr>
        <w:instrText xml:space="preserve"> PAGEREF _Toc510107652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"_Toc510107653"</w:instrText>
      </w:r>
      <w:r>
        <w:rPr>
          <w:rStyle w:val="10"/>
          <w:lang/>
        </w:rPr>
        <w:instrText xml:space="preserve"> </w:instrText>
      </w:r>
      <w:r>
        <w:rPr>
          <w:rStyle w:val="10"/>
          <w:lang/>
        </w:rPr>
        <w:fldChar w:fldCharType="separate"/>
      </w:r>
      <w:r>
        <w:rPr>
          <w:rStyle w:val="10"/>
          <w:b/>
          <w:bCs/>
          <w:lang/>
        </w:rPr>
        <w:t xml:space="preserve">9.1 </w:t>
      </w:r>
      <w:r>
        <w:rPr>
          <w:rStyle w:val="10"/>
          <w:rFonts w:hint="eastAsia"/>
          <w:b/>
          <w:bCs/>
          <w:lang/>
        </w:rPr>
        <w:t>期末基金份额持有人户数及持有人结构</w:t>
      </w:r>
      <w:r>
        <w:rPr>
          <w:lang/>
        </w:rPr>
        <w:tab/>
      </w:r>
      <w:r>
        <w:rPr>
          <w:lang/>
        </w:rPr>
        <w:fldChar w:fldCharType="begin"/>
      </w:r>
      <w:r>
        <w:rPr>
          <w:lang/>
        </w:rPr>
        <w:instrText xml:space="preserve"> PAGEREF _Toc510107653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"_Toc510107654"</w:instrText>
      </w:r>
      <w:r>
        <w:rPr>
          <w:rStyle w:val="10"/>
          <w:lang/>
        </w:rPr>
        <w:instrText xml:space="preserve"> </w:instrText>
      </w:r>
      <w:r>
        <w:rPr>
          <w:rStyle w:val="10"/>
          <w:lang/>
        </w:rPr>
        <w:fldChar w:fldCharType="separate"/>
      </w:r>
      <w:r>
        <w:rPr>
          <w:rStyle w:val="10"/>
          <w:b/>
          <w:lang/>
        </w:rPr>
        <w:t>9.2</w:t>
      </w:r>
      <w:r>
        <w:rPr>
          <w:rStyle w:val="10"/>
          <w:rFonts w:hint="eastAsia"/>
          <w:b/>
          <w:lang/>
        </w:rPr>
        <w:t>期末基金管理人的从业人员持有本基金的情况</w:t>
      </w:r>
      <w:r>
        <w:rPr>
          <w:lang/>
        </w:rPr>
        <w:tab/>
      </w:r>
      <w:r>
        <w:rPr>
          <w:lang/>
        </w:rPr>
        <w:fldChar w:fldCharType="begin"/>
      </w:r>
      <w:r>
        <w:rPr>
          <w:lang/>
        </w:rPr>
        <w:instrText xml:space="preserve"> PAGEREF _Toc510107654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"_Toc510107655"</w:instrText>
      </w:r>
      <w:r>
        <w:rPr>
          <w:rStyle w:val="10"/>
          <w:lang/>
        </w:rPr>
        <w:instrText xml:space="preserve"> </w:instrText>
      </w:r>
      <w:r>
        <w:rPr>
          <w:rStyle w:val="10"/>
          <w:lang/>
        </w:rPr>
        <w:fldChar w:fldCharType="separate"/>
      </w:r>
      <w:r>
        <w:rPr>
          <w:rStyle w:val="10"/>
          <w:b/>
          <w:bCs/>
          <w:lang/>
        </w:rPr>
        <w:t>9.3</w:t>
      </w:r>
      <w:r>
        <w:rPr>
          <w:rStyle w:val="10"/>
          <w:rFonts w:hint="eastAsia"/>
          <w:b/>
          <w:bCs/>
          <w:lang/>
        </w:rPr>
        <w:t>期末基金管理人的从业人员持有本开放式基金份额总量区间情况</w:t>
      </w:r>
      <w:r>
        <w:rPr>
          <w:lang/>
        </w:rPr>
        <w:tab/>
      </w:r>
      <w:r>
        <w:rPr>
          <w:lang/>
        </w:rPr>
        <w:fldChar w:fldCharType="begin"/>
      </w:r>
      <w:r>
        <w:rPr>
          <w:lang/>
        </w:rPr>
        <w:instrText xml:space="preserve"> PAGEREF _Toc510107655 \h </w:instrText>
      </w:r>
      <w:r>
        <w:rPr>
          <w:lang/>
        </w:rPr>
        <w:fldChar w:fldCharType="separate"/>
      </w:r>
      <w:r>
        <w:rPr>
          <w:lang/>
        </w:rPr>
        <w:t>51</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"_Toc510107656"</w:instrText>
      </w:r>
      <w:r>
        <w:rPr>
          <w:rStyle w:val="10"/>
          <w:lang/>
        </w:rPr>
        <w:instrText xml:space="preserve"> </w:instrText>
      </w:r>
      <w:r>
        <w:rPr>
          <w:rStyle w:val="10"/>
          <w:lang/>
        </w:rPr>
        <w:fldChar w:fldCharType="separate"/>
      </w:r>
      <w:r>
        <w:rPr>
          <w:rStyle w:val="10"/>
          <w:b/>
          <w:lang/>
        </w:rPr>
        <w:t xml:space="preserve">§10  </w:t>
      </w:r>
      <w:r>
        <w:rPr>
          <w:rStyle w:val="10"/>
          <w:rFonts w:hint="eastAsia"/>
          <w:b/>
          <w:lang/>
        </w:rPr>
        <w:t>开放式基金份额变动</w:t>
      </w:r>
      <w:r>
        <w:rPr>
          <w:lang/>
        </w:rPr>
        <w:tab/>
      </w:r>
      <w:r>
        <w:rPr>
          <w:lang/>
        </w:rPr>
        <w:fldChar w:fldCharType="begin"/>
      </w:r>
      <w:r>
        <w:rPr>
          <w:lang/>
        </w:rPr>
        <w:instrText xml:space="preserve"> PAGEREF _Toc510107656 \h </w:instrText>
      </w:r>
      <w:r>
        <w:rPr>
          <w:lang/>
        </w:rPr>
        <w:fldChar w:fldCharType="separate"/>
      </w:r>
      <w:r>
        <w:rPr>
          <w:lang/>
        </w:rPr>
        <w:t>52</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"_Toc510107657"</w:instrText>
      </w:r>
      <w:r>
        <w:rPr>
          <w:rStyle w:val="10"/>
          <w:lang/>
        </w:rPr>
        <w:instrText xml:space="preserve"> </w:instrText>
      </w:r>
      <w:r>
        <w:rPr>
          <w:rStyle w:val="10"/>
          <w:lang/>
        </w:rPr>
        <w:fldChar w:fldCharType="separate"/>
      </w:r>
      <w:r>
        <w:rPr>
          <w:rStyle w:val="10"/>
          <w:b/>
          <w:lang/>
        </w:rPr>
        <w:t xml:space="preserve">§11  </w:t>
      </w:r>
      <w:r>
        <w:rPr>
          <w:rStyle w:val="10"/>
          <w:rFonts w:hint="eastAsia"/>
          <w:b/>
          <w:lang/>
        </w:rPr>
        <w:t>重大事件揭示</w:t>
      </w:r>
      <w:r>
        <w:rPr>
          <w:lang/>
        </w:rPr>
        <w:tab/>
      </w:r>
      <w:r>
        <w:rPr>
          <w:lang/>
        </w:rPr>
        <w:fldChar w:fldCharType="begin"/>
      </w:r>
      <w:r>
        <w:rPr>
          <w:lang/>
        </w:rPr>
        <w:instrText xml:space="preserve"> PAGEREF _Toc510107657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"_Toc510107658"</w:instrText>
      </w:r>
      <w:r>
        <w:rPr>
          <w:rStyle w:val="10"/>
          <w:lang/>
        </w:rPr>
        <w:instrText xml:space="preserve"> </w:instrText>
      </w:r>
      <w:r>
        <w:rPr>
          <w:rStyle w:val="10"/>
          <w:lang/>
        </w:rPr>
        <w:fldChar w:fldCharType="separate"/>
      </w:r>
      <w:r>
        <w:rPr>
          <w:rStyle w:val="10"/>
          <w:b/>
          <w:bCs/>
          <w:lang/>
        </w:rPr>
        <w:t xml:space="preserve">11.1 </w:t>
      </w:r>
      <w:r>
        <w:rPr>
          <w:rStyle w:val="10"/>
          <w:rFonts w:hint="eastAsia"/>
          <w:b/>
          <w:bCs/>
          <w:lang/>
        </w:rPr>
        <w:t>基金份额持有人大会决议</w:t>
      </w:r>
      <w:r>
        <w:rPr>
          <w:lang/>
        </w:rPr>
        <w:tab/>
      </w:r>
      <w:r>
        <w:rPr>
          <w:lang/>
        </w:rPr>
        <w:fldChar w:fldCharType="begin"/>
      </w:r>
      <w:r>
        <w:rPr>
          <w:lang/>
        </w:rPr>
        <w:instrText xml:space="preserve"> PAGEREF _Toc510107658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"_Toc510107659"</w:instrText>
      </w:r>
      <w:r>
        <w:rPr>
          <w:rStyle w:val="10"/>
          <w:lang/>
        </w:rPr>
        <w:instrText xml:space="preserve"> </w:instrText>
      </w:r>
      <w:r>
        <w:rPr>
          <w:rStyle w:val="10"/>
          <w:lang/>
        </w:rPr>
        <w:fldChar w:fldCharType="separate"/>
      </w:r>
      <w:r>
        <w:rPr>
          <w:rStyle w:val="10"/>
          <w:b/>
          <w:bCs/>
          <w:lang/>
        </w:rPr>
        <w:t xml:space="preserve">11.2 </w:t>
      </w:r>
      <w:r>
        <w:rPr>
          <w:rStyle w:val="10"/>
          <w:rFonts w:hint="eastAsia"/>
          <w:b/>
          <w:bCs/>
          <w:lang/>
        </w:rPr>
        <w:t>基金管理人、基金托管人的专门基金托管部门的重大人事变动</w:t>
      </w:r>
      <w:r>
        <w:rPr>
          <w:lang/>
        </w:rPr>
        <w:tab/>
      </w:r>
      <w:r>
        <w:rPr>
          <w:lang/>
        </w:rPr>
        <w:fldChar w:fldCharType="begin"/>
      </w:r>
      <w:r>
        <w:rPr>
          <w:lang/>
        </w:rPr>
        <w:instrText xml:space="preserve"> PAGEREF _Toc510107659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"_Toc510107660"</w:instrText>
      </w:r>
      <w:r>
        <w:rPr>
          <w:rStyle w:val="10"/>
          <w:lang/>
        </w:rPr>
        <w:instrText xml:space="preserve"> </w:instrText>
      </w:r>
      <w:r>
        <w:rPr>
          <w:rStyle w:val="10"/>
          <w:lang/>
        </w:rPr>
        <w:fldChar w:fldCharType="separate"/>
      </w:r>
      <w:r>
        <w:rPr>
          <w:rStyle w:val="10"/>
          <w:b/>
          <w:bCs/>
          <w:lang/>
        </w:rPr>
        <w:t xml:space="preserve">11.3 </w:t>
      </w:r>
      <w:r>
        <w:rPr>
          <w:rStyle w:val="10"/>
          <w:rFonts w:hint="eastAsia"/>
          <w:b/>
          <w:bCs/>
          <w:lang/>
        </w:rPr>
        <w:t>涉及基金管理人、基金财产、基金托管业务的诉讼</w:t>
      </w:r>
      <w:r>
        <w:rPr>
          <w:lang/>
        </w:rPr>
        <w:tab/>
      </w:r>
      <w:r>
        <w:rPr>
          <w:lang/>
        </w:rPr>
        <w:fldChar w:fldCharType="begin"/>
      </w:r>
      <w:r>
        <w:rPr>
          <w:lang/>
        </w:rPr>
        <w:instrText xml:space="preserve"> PAGEREF _Toc510107660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"_Toc510107661"</w:instrText>
      </w:r>
      <w:r>
        <w:rPr>
          <w:rStyle w:val="10"/>
          <w:lang/>
        </w:rPr>
        <w:instrText xml:space="preserve"> </w:instrText>
      </w:r>
      <w:r>
        <w:rPr>
          <w:rStyle w:val="10"/>
          <w:lang/>
        </w:rPr>
        <w:fldChar w:fldCharType="separate"/>
      </w:r>
      <w:r>
        <w:rPr>
          <w:rStyle w:val="10"/>
          <w:b/>
          <w:bCs/>
          <w:lang/>
        </w:rPr>
        <w:t xml:space="preserve">11.4 </w:t>
      </w:r>
      <w:r>
        <w:rPr>
          <w:rStyle w:val="10"/>
          <w:rFonts w:hint="eastAsia"/>
          <w:b/>
          <w:bCs/>
          <w:lang/>
        </w:rPr>
        <w:t>基金投资策略的改变</w:t>
      </w:r>
      <w:r>
        <w:rPr>
          <w:lang/>
        </w:rPr>
        <w:tab/>
      </w:r>
      <w:r>
        <w:rPr>
          <w:lang/>
        </w:rPr>
        <w:fldChar w:fldCharType="begin"/>
      </w:r>
      <w:r>
        <w:rPr>
          <w:lang/>
        </w:rPr>
        <w:instrText xml:space="preserve"> PAGEREF _Toc510107661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"_Toc510107662"</w:instrText>
      </w:r>
      <w:r>
        <w:rPr>
          <w:rStyle w:val="10"/>
          <w:lang/>
        </w:rPr>
        <w:instrText xml:space="preserve"> </w:instrText>
      </w:r>
      <w:r>
        <w:rPr>
          <w:rStyle w:val="10"/>
          <w:lang/>
        </w:rPr>
        <w:fldChar w:fldCharType="separate"/>
      </w:r>
      <w:r>
        <w:rPr>
          <w:rStyle w:val="10"/>
          <w:b/>
          <w:bCs/>
          <w:lang/>
        </w:rPr>
        <w:t xml:space="preserve">11.5 </w:t>
      </w:r>
      <w:r>
        <w:rPr>
          <w:rStyle w:val="10"/>
          <w:rFonts w:hint="eastAsia"/>
          <w:b/>
          <w:bCs/>
          <w:lang/>
        </w:rPr>
        <w:t>为基金进行审计的会计师事务所情况</w:t>
      </w:r>
      <w:r>
        <w:rPr>
          <w:lang/>
        </w:rPr>
        <w:tab/>
      </w:r>
      <w:r>
        <w:rPr>
          <w:lang/>
        </w:rPr>
        <w:fldChar w:fldCharType="begin"/>
      </w:r>
      <w:r>
        <w:rPr>
          <w:lang/>
        </w:rPr>
        <w:instrText xml:space="preserve"> PAGEREF _Toc510107662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"_Toc510107663"</w:instrText>
      </w:r>
      <w:r>
        <w:rPr>
          <w:rStyle w:val="10"/>
          <w:lang/>
        </w:rPr>
        <w:instrText xml:space="preserve"> </w:instrText>
      </w:r>
      <w:r>
        <w:rPr>
          <w:rStyle w:val="10"/>
          <w:lang/>
        </w:rPr>
        <w:fldChar w:fldCharType="separate"/>
      </w:r>
      <w:r>
        <w:rPr>
          <w:rStyle w:val="10"/>
          <w:b/>
          <w:bCs/>
          <w:lang/>
        </w:rPr>
        <w:t xml:space="preserve">11.6 </w:t>
      </w:r>
      <w:r>
        <w:rPr>
          <w:rStyle w:val="10"/>
          <w:rFonts w:hint="eastAsia"/>
          <w:b/>
          <w:bCs/>
          <w:lang/>
        </w:rPr>
        <w:t>管理人、托管人及其高级管理人员受稽查或处罚等情况</w:t>
      </w:r>
      <w:r>
        <w:rPr>
          <w:lang/>
        </w:rPr>
        <w:tab/>
      </w:r>
      <w:r>
        <w:rPr>
          <w:lang/>
        </w:rPr>
        <w:fldChar w:fldCharType="begin"/>
      </w:r>
      <w:r>
        <w:rPr>
          <w:lang/>
        </w:rPr>
        <w:instrText xml:space="preserve"> PAGEREF _Toc510107663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"_Toc510107664"</w:instrText>
      </w:r>
      <w:r>
        <w:rPr>
          <w:rStyle w:val="10"/>
          <w:lang/>
        </w:rPr>
        <w:instrText xml:space="preserve"> </w:instrText>
      </w:r>
      <w:r>
        <w:rPr>
          <w:rStyle w:val="10"/>
          <w:lang/>
        </w:rPr>
        <w:fldChar w:fldCharType="separate"/>
      </w:r>
      <w:r>
        <w:rPr>
          <w:rStyle w:val="10"/>
          <w:b/>
          <w:bCs/>
          <w:lang/>
        </w:rPr>
        <w:t xml:space="preserve">11.7 </w:t>
      </w:r>
      <w:r>
        <w:rPr>
          <w:rStyle w:val="10"/>
          <w:rFonts w:hint="eastAsia"/>
          <w:b/>
          <w:bCs/>
          <w:lang/>
        </w:rPr>
        <w:t>基金租用证券公司交易单元的有关情况</w:t>
      </w:r>
      <w:r>
        <w:rPr>
          <w:lang/>
        </w:rPr>
        <w:tab/>
      </w:r>
      <w:r>
        <w:rPr>
          <w:lang/>
        </w:rPr>
        <w:fldChar w:fldCharType="begin"/>
      </w:r>
      <w:r>
        <w:rPr>
          <w:lang/>
        </w:rPr>
        <w:instrText xml:space="preserve"> PAGEREF _Toc510107664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"_Toc510107665"</w:instrText>
      </w:r>
      <w:r>
        <w:rPr>
          <w:rStyle w:val="10"/>
          <w:lang/>
        </w:rPr>
        <w:instrText xml:space="preserve"> </w:instrText>
      </w:r>
      <w:r>
        <w:rPr>
          <w:rStyle w:val="10"/>
          <w:lang/>
        </w:rPr>
        <w:fldChar w:fldCharType="separate"/>
      </w:r>
      <w:r>
        <w:rPr>
          <w:rStyle w:val="10"/>
          <w:b/>
          <w:bCs/>
          <w:lang/>
        </w:rPr>
        <w:t xml:space="preserve">11.8 </w:t>
      </w:r>
      <w:r>
        <w:rPr>
          <w:rStyle w:val="10"/>
          <w:rFonts w:hint="eastAsia"/>
          <w:b/>
          <w:bCs/>
          <w:lang/>
        </w:rPr>
        <w:t>其他重大事件</w:t>
      </w:r>
      <w:r>
        <w:rPr>
          <w:lang/>
        </w:rPr>
        <w:tab/>
      </w:r>
      <w:r>
        <w:rPr>
          <w:lang/>
        </w:rPr>
        <w:fldChar w:fldCharType="begin"/>
      </w:r>
      <w:r>
        <w:rPr>
          <w:lang/>
        </w:rPr>
        <w:instrText xml:space="preserve"> PAGEREF _Toc510107665 \h </w:instrText>
      </w:r>
      <w:r>
        <w:rPr>
          <w:lang/>
        </w:rPr>
        <w:fldChar w:fldCharType="separate"/>
      </w:r>
      <w:r>
        <w:rPr>
          <w:lang/>
        </w:rPr>
        <w:t>53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"_Toc510107666"</w:instrText>
      </w:r>
      <w:r>
        <w:rPr>
          <w:rStyle w:val="10"/>
          <w:lang/>
        </w:rPr>
        <w:instrText xml:space="preserve"> </w:instrText>
      </w:r>
      <w:r>
        <w:rPr>
          <w:rStyle w:val="10"/>
          <w:lang/>
        </w:rPr>
        <w:fldChar w:fldCharType="separate"/>
      </w:r>
      <w:r>
        <w:rPr>
          <w:rStyle w:val="10"/>
          <w:b/>
          <w:lang/>
        </w:rPr>
        <w:t xml:space="preserve">§12  </w:t>
      </w:r>
      <w:r>
        <w:rPr>
          <w:rStyle w:val="10"/>
          <w:rFonts w:hint="eastAsia"/>
          <w:b/>
          <w:lang/>
        </w:rPr>
        <w:t>影响投资者决策的其他重要信息</w:t>
      </w:r>
      <w:r>
        <w:rPr>
          <w:lang/>
        </w:rPr>
        <w:tab/>
      </w:r>
      <w:r>
        <w:rPr>
          <w:lang/>
        </w:rPr>
        <w:fldChar w:fldCharType="begin"/>
      </w:r>
      <w:r>
        <w:rPr>
          <w:lang/>
        </w:rPr>
        <w:instrText xml:space="preserve"> PAGEREF _Toc510107666 \h </w:instrText>
      </w:r>
      <w:r>
        <w:rPr>
          <w:lang/>
        </w:rPr>
        <w:fldChar w:fldCharType="separate"/>
      </w:r>
      <w:r>
        <w:rPr>
          <w:lang/>
        </w:rPr>
        <w:t>55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"_Toc510107667"</w:instrText>
      </w:r>
      <w:r>
        <w:rPr>
          <w:rStyle w:val="10"/>
          <w:lang/>
        </w:rPr>
        <w:instrText xml:space="preserve"> </w:instrText>
      </w:r>
      <w:r>
        <w:rPr>
          <w:rStyle w:val="10"/>
          <w:lang/>
        </w:rPr>
        <w:fldChar w:fldCharType="separate"/>
      </w:r>
      <w:r>
        <w:rPr>
          <w:rStyle w:val="10"/>
          <w:b/>
          <w:bCs/>
          <w:lang/>
        </w:rPr>
        <w:t xml:space="preserve">12.1 </w:t>
      </w:r>
      <w:r>
        <w:rPr>
          <w:rStyle w:val="10"/>
          <w:rFonts w:hint="eastAsia"/>
          <w:b/>
          <w:bCs/>
          <w:lang/>
        </w:rPr>
        <w:t>报告期内单一投资者持有基金份额比例达到或超过</w:t>
      </w:r>
      <w:r>
        <w:rPr>
          <w:rStyle w:val="10"/>
          <w:b/>
          <w:bCs/>
          <w:lang/>
        </w:rPr>
        <w:t>20%</w:t>
      </w:r>
      <w:r>
        <w:rPr>
          <w:rStyle w:val="10"/>
          <w:rFonts w:hint="eastAsia"/>
          <w:b/>
          <w:bCs/>
          <w:lang/>
        </w:rPr>
        <w:t>的情况</w:t>
      </w:r>
      <w:r>
        <w:rPr>
          <w:lang/>
        </w:rPr>
        <w:tab/>
      </w:r>
      <w:r>
        <w:rPr>
          <w:lang/>
        </w:rPr>
        <w:fldChar w:fldCharType="begin"/>
      </w:r>
      <w:r>
        <w:rPr>
          <w:lang/>
        </w:rPr>
        <w:instrText xml:space="preserve"> PAGEREF _Toc510107667 \h </w:instrText>
      </w:r>
      <w:r>
        <w:rPr>
          <w:lang/>
        </w:rPr>
        <w:fldChar w:fldCharType="separate"/>
      </w:r>
      <w:r>
        <w:rPr>
          <w:lang/>
        </w:rPr>
        <w:t>55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"_Toc510107668"</w:instrText>
      </w:r>
      <w:r>
        <w:rPr>
          <w:rStyle w:val="10"/>
          <w:lang/>
        </w:rPr>
        <w:instrText xml:space="preserve"> </w:instrText>
      </w:r>
      <w:r>
        <w:rPr>
          <w:rStyle w:val="10"/>
          <w:lang/>
        </w:rPr>
        <w:fldChar w:fldCharType="separate"/>
      </w:r>
      <w:r>
        <w:rPr>
          <w:rStyle w:val="10"/>
          <w:b/>
          <w:bCs/>
          <w:lang/>
        </w:rPr>
        <w:t xml:space="preserve">12.2 </w:t>
      </w:r>
      <w:r>
        <w:rPr>
          <w:rStyle w:val="10"/>
          <w:rFonts w:hint="eastAsia"/>
          <w:b/>
          <w:bCs/>
          <w:lang/>
        </w:rPr>
        <w:t>影响投资者决策的其他重要信息</w:t>
      </w:r>
      <w:r>
        <w:rPr>
          <w:lang/>
        </w:rPr>
        <w:tab/>
      </w:r>
      <w:r>
        <w:rPr>
          <w:lang/>
        </w:rPr>
        <w:fldChar w:fldCharType="begin"/>
      </w:r>
      <w:r>
        <w:rPr>
          <w:lang/>
        </w:rPr>
        <w:instrText xml:space="preserve"> PAGEREF _Toc510107668 \h </w:instrText>
      </w:r>
      <w:r>
        <w:rPr>
          <w:lang/>
        </w:rPr>
        <w:fldChar w:fldCharType="separate"/>
      </w:r>
      <w:r>
        <w:rPr>
          <w:lang/>
        </w:rPr>
        <w:t>56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"_Toc510107669"</w:instrText>
      </w:r>
      <w:r>
        <w:rPr>
          <w:rStyle w:val="10"/>
          <w:lang/>
        </w:rPr>
        <w:instrText xml:space="preserve"> </w:instrText>
      </w:r>
      <w:r>
        <w:rPr>
          <w:rStyle w:val="10"/>
          <w:lang/>
        </w:rPr>
        <w:fldChar w:fldCharType="separate"/>
      </w:r>
      <w:r>
        <w:rPr>
          <w:rStyle w:val="10"/>
          <w:b/>
          <w:lang/>
        </w:rPr>
        <w:t xml:space="preserve">§13  </w:t>
      </w:r>
      <w:r>
        <w:rPr>
          <w:rStyle w:val="10"/>
          <w:rFonts w:hint="eastAsia"/>
          <w:b/>
          <w:lang/>
        </w:rPr>
        <w:t>备查文件目录</w:t>
      </w:r>
      <w:r>
        <w:rPr>
          <w:lang/>
        </w:rPr>
        <w:tab/>
      </w:r>
      <w:r>
        <w:rPr>
          <w:lang/>
        </w:rPr>
        <w:fldChar w:fldCharType="begin"/>
      </w:r>
      <w:r>
        <w:rPr>
          <w:lang/>
        </w:rPr>
        <w:instrText xml:space="preserve"> PAGEREF _Toc510107669 \h </w:instrText>
      </w:r>
      <w:r>
        <w:rPr>
          <w:lang/>
        </w:rPr>
        <w:fldChar w:fldCharType="separate"/>
      </w:r>
      <w:r>
        <w:rPr>
          <w:lang/>
        </w:rPr>
        <w:t>56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"_Toc510107670"</w:instrText>
      </w:r>
      <w:r>
        <w:rPr>
          <w:rStyle w:val="10"/>
          <w:lang/>
        </w:rPr>
        <w:instrText xml:space="preserve"> </w:instrText>
      </w:r>
      <w:r>
        <w:rPr>
          <w:rStyle w:val="10"/>
          <w:lang/>
        </w:rPr>
        <w:fldChar w:fldCharType="separate"/>
      </w:r>
      <w:r>
        <w:rPr>
          <w:rStyle w:val="10"/>
          <w:b/>
          <w:bCs/>
          <w:lang/>
        </w:rPr>
        <w:t xml:space="preserve">13.1 </w:t>
      </w:r>
      <w:r>
        <w:rPr>
          <w:rStyle w:val="10"/>
          <w:rFonts w:hint="eastAsia"/>
          <w:b/>
          <w:bCs/>
          <w:lang/>
        </w:rPr>
        <w:t>备查文件目录</w:t>
      </w:r>
      <w:r>
        <w:rPr>
          <w:rStyle w:val="10"/>
          <w:lang/>
        </w:rPr>
        <w:t>.</w:t>
      </w:r>
      <w:r>
        <w:rPr>
          <w:lang/>
        </w:rPr>
        <w:tab/>
      </w:r>
      <w:r>
        <w:rPr>
          <w:lang/>
        </w:rPr>
        <w:fldChar w:fldCharType="begin"/>
      </w:r>
      <w:r>
        <w:rPr>
          <w:lang/>
        </w:rPr>
        <w:instrText xml:space="preserve"> PAGEREF _Toc510107670 \h </w:instrText>
      </w:r>
      <w:r>
        <w:rPr>
          <w:lang/>
        </w:rPr>
        <w:fldChar w:fldCharType="separate"/>
      </w:r>
      <w:r>
        <w:rPr>
          <w:lang/>
        </w:rPr>
        <w:t>56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"_Toc510107671"</w:instrText>
      </w:r>
      <w:r>
        <w:rPr>
          <w:rStyle w:val="10"/>
          <w:lang/>
        </w:rPr>
        <w:instrText xml:space="preserve"> </w:instrText>
      </w:r>
      <w:r>
        <w:rPr>
          <w:rStyle w:val="10"/>
          <w:lang/>
        </w:rPr>
        <w:fldChar w:fldCharType="separate"/>
      </w:r>
      <w:r>
        <w:rPr>
          <w:rStyle w:val="10"/>
          <w:b/>
          <w:bCs/>
          <w:lang/>
        </w:rPr>
        <w:t xml:space="preserve">13.2 </w:t>
      </w:r>
      <w:r>
        <w:rPr>
          <w:rStyle w:val="10"/>
          <w:rFonts w:hint="eastAsia"/>
          <w:b/>
          <w:bCs/>
          <w:lang/>
        </w:rPr>
        <w:t>存放地点</w:t>
      </w:r>
      <w:r>
        <w:rPr>
          <w:lang/>
        </w:rPr>
        <w:tab/>
      </w:r>
      <w:r>
        <w:rPr>
          <w:lang/>
        </w:rPr>
        <w:fldChar w:fldCharType="begin"/>
      </w:r>
      <w:r>
        <w:rPr>
          <w:lang/>
        </w:rPr>
        <w:instrText xml:space="preserve"> PAGEREF _Toc510107671 \h </w:instrText>
      </w:r>
      <w:r>
        <w:rPr>
          <w:lang/>
        </w:rPr>
        <w:fldChar w:fldCharType="separate"/>
      </w:r>
      <w:r>
        <w:rPr>
          <w:lang/>
        </w:rPr>
        <w:t>56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"_Toc510107672"</w:instrText>
      </w:r>
      <w:r>
        <w:rPr>
          <w:rStyle w:val="10"/>
          <w:lang/>
        </w:rPr>
        <w:instrText xml:space="preserve"> </w:instrText>
      </w:r>
      <w:r>
        <w:rPr>
          <w:rStyle w:val="10"/>
          <w:lang/>
        </w:rPr>
        <w:fldChar w:fldCharType="separate"/>
      </w:r>
      <w:r>
        <w:rPr>
          <w:rStyle w:val="10"/>
          <w:b/>
          <w:bCs/>
          <w:lang/>
        </w:rPr>
        <w:t xml:space="preserve">13.3 </w:t>
      </w:r>
      <w:r>
        <w:rPr>
          <w:rStyle w:val="10"/>
          <w:rFonts w:hint="eastAsia"/>
          <w:b/>
          <w:bCs/>
          <w:lang/>
        </w:rPr>
        <w:t>查阅方式</w:t>
      </w:r>
      <w:r>
        <w:rPr>
          <w:lang/>
        </w:rPr>
        <w:tab/>
      </w:r>
      <w:r>
        <w:rPr>
          <w:lang/>
        </w:rPr>
        <w:fldChar w:fldCharType="begin"/>
      </w:r>
      <w:r>
        <w:rPr>
          <w:lang/>
        </w:rPr>
        <w:instrText xml:space="preserve"> PAGEREF _Toc510107672 \h </w:instrText>
      </w:r>
      <w:r>
        <w:rPr>
          <w:lang/>
        </w:rPr>
        <w:fldChar w:fldCharType="separate"/>
      </w:r>
      <w:r>
        <w:rPr>
          <w:lang/>
        </w:rPr>
        <w:t>56</w:t>
      </w:r>
      <w:r>
        <w:rPr>
          <w:lang/>
        </w:rPr>
        <w:fldChar w:fldCharType="end"/>
      </w:r>
      <w:r>
        <w:rPr>
          <w:rStyle w:val="10"/>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2"/>
        <w:rPr>
          <w:rFonts w:hint="eastAsia"/>
        </w:rPr>
      </w:pPr>
      <w:bookmarkStart w:id="3" w:name="_Toc510107607"/>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3"/>
        <w:rPr>
          <w:rFonts w:hint="eastAsia"/>
        </w:rPr>
      </w:pPr>
      <w:bookmarkStart w:id="4" w:name="_Toc510107608"/>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3249"/>
        <w:gridCol w:w="5871"/>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创金合信尊盛纯债债券型证券投资基金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创金合信尊盛纯债债券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基金主代码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002438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基金运作方式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2016年02月26日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基金托管人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报告期末基金份额总额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1,379,882,414.83份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基金合同存续期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r>
    </w:tbl>
    <w:p>
      <w:pPr>
        <w:pStyle w:val="13"/>
      </w:pPr>
      <w:bookmarkStart w:id="5" w:name="_Toc510107609"/>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在严格控制风险的前提下，追求当期收入和投资总回报最大化。</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本基金通过对宏观经济形势的持续跟踪，基于对利率、信用等市场的分析和预测，综合运用久期配置策略、跨市场套利、杠杆放大等策略，力争实现基金资产的稳健增值。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中债综合（全价）指数收益率</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本基金为债券型基金，长期来看，其预期风险和预期收益水平低于股票型基金、混合型基金，高于货币市场基金。</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3"/>
      </w:pPr>
      <w:bookmarkStart w:id="6" w:name="_Toc510107610"/>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3"/>
        <w:rPr>
          <w:rFonts w:hint="eastAsia"/>
        </w:rPr>
      </w:pPr>
      <w:bookmarkStart w:id="7" w:name="_Toc510107611"/>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bl>
    <w:p>
      <w:pPr>
        <w:pStyle w:val="13"/>
        <w:rPr>
          <w:rFonts w:hint="eastAsia"/>
        </w:rPr>
      </w:pPr>
      <w:bookmarkStart w:id="8" w:name="_Toc510107612"/>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毕马威华振会计师事务所（特殊普通合伙）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北京市东城区东长安街1号东方广场东2座办公楼8层</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2"/>
      </w:pPr>
      <w:bookmarkStart w:id="9" w:name="_Toc510107613"/>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3"/>
        <w:rPr>
          <w:rFonts w:hint="eastAsia"/>
        </w:rPr>
      </w:pPr>
      <w:bookmarkStart w:id="10" w:name="_Toc510107614"/>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659"/>
        <w:gridCol w:w="4275"/>
      </w:tblGrid>
      <w:tr>
        <w:tblPrEx>
          <w:tblCellMar>
            <w:top w:w="0" w:type="dxa"/>
            <w:left w:w="108" w:type="dxa"/>
            <w:bottom w:w="0" w:type="dxa"/>
            <w:right w:w="108" w:type="dxa"/>
          </w:tblCellMar>
        </w:tblPrEx>
        <w:trPr>
          <w:wBefore w:w="0" w:type="auto"/>
        </w:trPr>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3.1.1 期间数据和指标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2016年2月26日（基金合同生效日）-2016年12月31日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52,594,363.62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17,241,205.09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44,564,774.79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11,451,510.54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3.1.2 期末数据和指标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3,040,249.51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11,548,189.41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1,382,922,664.34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551,479,904.89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3.1.3 累计期末指标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w:t>
            </w:r>
          </w:p>
        </w:tc>
      </w:tr>
    </w:tbl>
    <w:p>
      <w:pPr>
        <w:pStyle w:val="19"/>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4.本基金合同生效日为2016年2月26日，上年度可比期间的相关数据和指标按实际存续期计算。</w:t>
      </w:r>
    </w:p>
    <w:p>
      <w:pPr>
        <w:pStyle w:val="13"/>
        <w:rPr>
          <w:rFonts w:hint="eastAsia"/>
        </w:rPr>
      </w:pPr>
      <w:bookmarkStart w:id="11" w:name="_Toc510107615"/>
      <w:r>
        <w:rPr>
          <w:rFonts w:hint="eastAsia"/>
          <w:b/>
          <w:bCs/>
        </w:rPr>
        <w:t>3.2 基金净值表现</w:t>
      </w:r>
      <w:bookmarkEnd w:id="11"/>
    </w:p>
    <w:p>
      <w:pPr>
        <w:pStyle w:val="14"/>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1464"/>
        <w:gridCol w:w="1289"/>
        <w:gridCol w:w="1289"/>
        <w:gridCol w:w="1289"/>
        <w:gridCol w:w="1289"/>
        <w:gridCol w:w="1289"/>
        <w:gridCol w:w="1289"/>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阶段</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业绩比较基准收益率③</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业绩比较基准收益率标准差④</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①-③</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bl>
    <w:p>
      <w:pPr>
        <w:pStyle w:val="14"/>
        <w:rPr>
          <w:rFonts w:hint="eastAsia"/>
        </w:rPr>
      </w:pPr>
      <w:r>
        <w:rPr>
          <w:rFonts w:hint="eastAsia"/>
          <w:b/>
          <w:bCs/>
        </w:rPr>
        <w:t>3.2.2 自基金合同生效以来基金份额累计净值增长率变动及其与同期业绩比较基准收益率变动的比较</w:t>
      </w:r>
    </w:p>
    <w:p>
      <w:pPr>
        <w:pStyle w:val="16"/>
        <w:rPr>
          <w:rFonts w:hint="eastAsia"/>
        </w:rPr>
      </w:pPr>
      <w:r>
        <w:rPr>
          <w:rFonts w:hAnsi="Calibri"/>
          <w:color w:val="000000"/>
          <w:lang/>
        </w:rPr>
        <w:pict>
          <v:shape id="_x0000_i1025" o:spt="75" alt="D:\恒生系统安装\B13\Bin\MOD\TMP\CN_50990000_002438_FB010010_20180002_1.jpg" type="#_x0000_t75" style="height:286.2pt;width:441pt;" filled="f" stroked="f" coordsize="21600,21600">
            <v:path/>
            <v:fill on="f" focussize="0,0"/>
            <v:stroke on="f"/>
            <v:imagedata r:id="rId10" grayscale="f" bilevel="f" o:title="CN_50990000_002438_FB010010_20180002_1"/>
            <o:lock v:ext="edit" grouping="f" rotation="f" aspectratio="t"/>
            <w10:wrap type="none"/>
            <w10:anchorlock/>
          </v:shape>
        </w:pict>
      </w:r>
    </w:p>
    <w:p>
      <w:pPr>
        <w:pStyle w:val="14"/>
        <w:rPr>
          <w:rFonts w:hint="eastAsia"/>
        </w:rPr>
      </w:pPr>
      <w:r>
        <w:rPr>
          <w:rFonts w:hint="eastAsia"/>
          <w:b/>
          <w:bCs/>
        </w:rPr>
        <w:t>3.2.3 自基金合同生效以来基金每年净值增长率及其与同期业绩比较基准收益率的比较</w:t>
      </w:r>
    </w:p>
    <w:p>
      <w:pPr>
        <w:pStyle w:val="16"/>
        <w:rPr>
          <w:rFonts w:hint="eastAsia"/>
        </w:rPr>
      </w:pPr>
      <w:r>
        <w:rPr>
          <w:rFonts w:hAnsi="Calibri"/>
          <w:color w:val="000000"/>
          <w:lang/>
        </w:rPr>
        <w:pict>
          <v:shape id="_x0000_i1026" o:spt="75" alt="D:\恒生系统安装\B13\Bin\MOD\TMP\CN_50990000_002438_FB010010_20180002_2.jpg" type="#_x0000_t75" style="height:285.95pt;width:440.6pt;" filled="f" stroked="f" coordsize="21600,21600">
            <v:path/>
            <v:fill on="f" focussize="0,0"/>
            <v:stroke on="f"/>
            <v:imagedata r:id="rId11" grayscale="f" bilevel="f" o:title="CN_50990000_002438_FB010010_20180002_2"/>
            <o:lock v:ext="edit" grouping="f" rotation="f" aspectratio="t"/>
            <w10:wrap type="none"/>
            <w10:anchorlock/>
          </v:shape>
        </w:pict>
      </w:r>
    </w:p>
    <w:p>
      <w:pPr>
        <w:pStyle w:val="13"/>
        <w:rPr>
          <w:rFonts w:hint="eastAsia"/>
        </w:rPr>
      </w:pPr>
      <w:bookmarkStart w:id="12" w:name="_Toc510107616"/>
      <w:r>
        <w:rPr>
          <w:rFonts w:hint="eastAsia" w:hAnsi="Calibri"/>
          <w:b/>
          <w:color w:val="000000"/>
        </w:rPr>
        <w:t>3.3 过去三年基金的利润分配情况</w:t>
      </w:r>
      <w:bookmarkEnd w:id="12"/>
    </w:p>
    <w:p>
      <w:pPr>
        <w:pStyle w:val="21"/>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1508"/>
        <w:gridCol w:w="1508"/>
        <w:gridCol w:w="1508"/>
        <w:gridCol w:w="1507"/>
        <w:gridCol w:w="1507"/>
        <w:gridCol w:w="150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年度</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每10份基金份额分红数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现金形式发放总额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再投资形式发放总额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年度利润分配合计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2017年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73,133,141.48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73,133,178.21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73,133,141.48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73,133,178.21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2"/>
        <w:rPr>
          <w:rFonts w:hint="eastAsia"/>
        </w:rPr>
      </w:pPr>
      <w:bookmarkStart w:id="13" w:name="_Toc510107617"/>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3"/>
        <w:rPr>
          <w:rFonts w:hint="eastAsia"/>
        </w:rPr>
      </w:pPr>
      <w:bookmarkStart w:id="14" w:name="_Toc510107618"/>
      <w:r>
        <w:rPr>
          <w:rFonts w:hint="eastAsia"/>
          <w:b/>
          <w:bCs/>
        </w:rPr>
        <w:t>4.1 基金管理人及基金经理情况</w:t>
      </w:r>
      <w:bookmarkEnd w:id="14"/>
    </w:p>
    <w:p>
      <w:pPr>
        <w:pStyle w:val="14"/>
        <w:rPr>
          <w:rFonts w:hint="eastAsia"/>
        </w:rPr>
      </w:pPr>
      <w:r>
        <w:rPr>
          <w:rFonts w:hint="eastAsia"/>
          <w:b/>
          <w:bCs/>
        </w:rPr>
        <w:t>4.1.1 基金管理人及其管理基金的经验</w:t>
      </w:r>
    </w:p>
    <w:p>
      <w:pPr>
        <w:pStyle w:val="19"/>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4"/>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郑振源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2016-02-26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郑振源先生，中国国籍，中国人民银行研究生部经济学硕士。2009年7月加入第一创业证券研究所，担任宏观债券研究员。2012年7月加入第一创业证券资产管理部，先后担任宏观债券研究员、投资主办等职务。2014年8月加入创金合信基金管理有限公司，现任基金经理。</w:t>
            </w:r>
          </w:p>
        </w:tc>
      </w:tr>
    </w:tbl>
    <w:p>
      <w:pPr>
        <w:pStyle w:val="19"/>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3"/>
        <w:rPr>
          <w:rFonts w:hint="eastAsia"/>
        </w:rPr>
      </w:pPr>
      <w:bookmarkStart w:id="15" w:name="_Toc510107619"/>
      <w:r>
        <w:rPr>
          <w:rFonts w:hint="eastAsia"/>
          <w:b/>
          <w:bCs/>
        </w:rPr>
        <w:t>4.2 管理人对报告期内本基金运作遵规守信情况的说明</w:t>
      </w:r>
      <w:bookmarkEnd w:id="15"/>
    </w:p>
    <w:p>
      <w:pPr>
        <w:pStyle w:val="19"/>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3"/>
        <w:rPr>
          <w:rFonts w:hint="eastAsia"/>
        </w:rPr>
      </w:pPr>
      <w:bookmarkStart w:id="16" w:name="_Toc510107620"/>
      <w:r>
        <w:rPr>
          <w:rFonts w:hint="eastAsia"/>
          <w:b/>
          <w:bCs/>
        </w:rPr>
        <w:t>4.3 管理人对报告期内公平交易情况的专项说明</w:t>
      </w:r>
      <w:bookmarkEnd w:id="16"/>
    </w:p>
    <w:p>
      <w:pPr>
        <w:pStyle w:val="14"/>
        <w:rPr>
          <w:rFonts w:hint="eastAsia"/>
        </w:rPr>
      </w:pPr>
      <w:r>
        <w:rPr>
          <w:rFonts w:hint="eastAsia"/>
          <w:b/>
          <w:bCs/>
        </w:rPr>
        <w:t>4.3.1 公平交易制度和控制方法</w:t>
      </w:r>
    </w:p>
    <w:p>
      <w:pPr>
        <w:pStyle w:val="19"/>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4"/>
        <w:rPr>
          <w:rFonts w:hint="eastAsia"/>
        </w:rPr>
      </w:pPr>
      <w:r>
        <w:rPr>
          <w:rFonts w:hint="eastAsia"/>
          <w:b/>
          <w:bCs/>
        </w:rPr>
        <w:t>4.3.2 公平交易制度的执行情况</w:t>
      </w:r>
    </w:p>
    <w:p>
      <w:pPr>
        <w:pStyle w:val="19"/>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4"/>
        <w:rPr>
          <w:rFonts w:hint="eastAsia"/>
        </w:rPr>
      </w:pPr>
      <w:r>
        <w:rPr>
          <w:rFonts w:hint="eastAsia"/>
          <w:b/>
          <w:bCs/>
        </w:rPr>
        <w:t>4.3.3 异常交易行为的专项说明</w:t>
      </w:r>
    </w:p>
    <w:p>
      <w:pPr>
        <w:pStyle w:val="19"/>
        <w:rPr>
          <w:rFonts w:hint="eastAsia"/>
        </w:rPr>
      </w:pP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3"/>
        <w:rPr>
          <w:rFonts w:hint="eastAsia"/>
        </w:rPr>
      </w:pPr>
      <w:bookmarkStart w:id="17" w:name="_Toc510107621"/>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4"/>
        <w:rPr>
          <w:rFonts w:hint="eastAsia"/>
        </w:rPr>
      </w:pPr>
      <w:r>
        <w:rPr>
          <w:rFonts w:hint="eastAsia"/>
          <w:b/>
          <w:bCs/>
        </w:rPr>
        <w:t>4.4.1 报告期内基金投资策略和运作分析</w:t>
      </w:r>
    </w:p>
    <w:p>
      <w:pPr>
        <w:pStyle w:val="19"/>
        <w:rPr>
          <w:rFonts w:hint="eastAsia"/>
        </w:rPr>
      </w:pPr>
      <w:r>
        <w:rPr>
          <w:rFonts w:hint="eastAsia"/>
        </w:rPr>
        <w:t>  回顾2017年全年，经济整体运行稳中向好，顺利实现全年GDP增速6.9%的增长目标。全年来看，基建投资和房地产投资保持平稳，民间投资和制造业投资经过前期连续下滑开始企稳；工业生产量稳价升带动企业盈利改善明显；消费总体保持稳定较快的增长，已成为经济增长的主要驱动力。伴随着经济的企稳向好，金融去杠杆仍在进行时。为了配合金融去杠杆的金融环境，2017年央行通过加大MLF操作力度、拉长期限、缩短放长的形式提高资金成本，货币政策全年保持稳健中性的基调，对于央行去杠杆和防范金融资产价格泡沫的决心，市场已形成了较为一致的预期。债券市场方面，在去杠杆的大背景下，债券全年继续震荡上行，十年国债收益债从年初的3.10%上行至年末的3.95%左右。去年市场有两次快速的调整，一次是3月底由于委外监管政策出台，引发机构赎回，触发了市场抛压；另一次是10月份开始机构对于四季度经济向下悲观预期的修正，引发市场收益剧烈的调整；叠加美国税改和加息周期，债券收益率快速上行。在操作方面，组合采用较为稳健的操作策略，以中高等级信用债作为主要配置标的并严格控制组合久期。四季度面临市场剧烈调整的压力，采取了稳健偏防守的策略，一定程度上控制了组合的回撤。</w:t>
      </w:r>
    </w:p>
    <w:p>
      <w:pPr>
        <w:widowControl/>
        <w:jc w:val="left"/>
        <w:rPr>
          <w:rFonts w:hint="eastAsia" w:ascii="宋体" w:hAnsi="宋体" w:cs="宋体"/>
          <w:kern w:val="0"/>
          <w:sz w:val="24"/>
          <w:szCs w:val="24"/>
        </w:rPr>
      </w:pPr>
    </w:p>
    <w:p>
      <w:pPr>
        <w:pStyle w:val="14"/>
        <w:rPr>
          <w:rFonts w:hint="eastAsia"/>
        </w:rPr>
      </w:pPr>
      <w:r>
        <w:rPr>
          <w:rFonts w:hint="eastAsia"/>
          <w:b/>
          <w:bCs/>
        </w:rPr>
        <w:t>4.4.2 报告期内基金的业绩表现</w:t>
      </w:r>
    </w:p>
    <w:p>
      <w:pPr>
        <w:pStyle w:val="19"/>
        <w:rPr>
          <w:rFonts w:hint="eastAsia"/>
        </w:rPr>
      </w:pPr>
      <w:r>
        <w:rPr>
          <w:rFonts w:hint="eastAsia"/>
        </w:rPr>
        <w:t>  截至报告期末创金合信尊盛纯债债券基金份额净值为1.002元;本报告期内，基金份额净值增长率为3.42%，同期业绩比较基准收益率为-3.38%。</w:t>
      </w:r>
    </w:p>
    <w:p>
      <w:pPr>
        <w:widowControl/>
        <w:jc w:val="left"/>
        <w:rPr>
          <w:rFonts w:hint="eastAsia" w:ascii="宋体" w:hAnsi="宋体" w:cs="宋体"/>
          <w:kern w:val="0"/>
          <w:sz w:val="24"/>
          <w:szCs w:val="24"/>
        </w:rPr>
      </w:pPr>
    </w:p>
    <w:p>
      <w:pPr>
        <w:pStyle w:val="13"/>
        <w:rPr>
          <w:rFonts w:hint="eastAsia"/>
        </w:rPr>
      </w:pPr>
      <w:bookmarkStart w:id="18" w:name="_Toc510107622"/>
      <w:r>
        <w:rPr>
          <w:rFonts w:hint="eastAsia"/>
          <w:b/>
          <w:bCs/>
        </w:rPr>
        <w:t>4.5 管理人对宏观经济、证券市场及行业走势的简要展望</w:t>
      </w:r>
      <w:bookmarkEnd w:id="18"/>
    </w:p>
    <w:p>
      <w:pPr>
        <w:pStyle w:val="19"/>
        <w:rPr>
          <w:rFonts w:hint="eastAsia"/>
        </w:rPr>
      </w:pPr>
      <w:r>
        <w:rPr>
          <w:rFonts w:hint="eastAsia"/>
        </w:rPr>
        <w:t>  展望未来，供给侧改革仍为主线，2018年要打好防范化解重大风险、精准脱贫、污染防治三大攻坚战。当前经济有韧性，从高速转向高质，未来一段时间内经济向上动能仍然存在；政策基调近期仍以去杠杆、防风险为主，货币政策预计仍将维持中性偏紧状态。在上述基本面和政策面组合下，我们认为周期性行业龙头获利明显，权益市场机会大于债券市场，债券市场难有确定性的反转机会，应当以防御为主。我们会采取相对谨慎的操作策略，严格控制组合杠杆和久期，积极挖掘短久期、高票息的债券，在久期风险可控的情况下力求提高组合静态收益。除此之外，我们还会密切跟踪市场，关注行业安全边际较高的偏股型转债，择机参与波段交易以增厚组合收益。</w:t>
      </w:r>
    </w:p>
    <w:p>
      <w:pPr>
        <w:widowControl/>
        <w:jc w:val="left"/>
        <w:rPr>
          <w:rFonts w:hint="eastAsia" w:ascii="宋体" w:hAnsi="宋体" w:cs="宋体"/>
          <w:kern w:val="0"/>
          <w:sz w:val="24"/>
          <w:szCs w:val="24"/>
        </w:rPr>
      </w:pPr>
    </w:p>
    <w:p>
      <w:pPr>
        <w:pStyle w:val="13"/>
        <w:rPr>
          <w:rFonts w:hint="eastAsia"/>
        </w:rPr>
      </w:pPr>
      <w:bookmarkStart w:id="19" w:name="_Toc510107623"/>
      <w:r>
        <w:rPr>
          <w:rFonts w:hint="eastAsia"/>
          <w:b/>
          <w:bCs/>
        </w:rPr>
        <w:t>4.6 管理人内部有关本基金的监察稽核工作情况</w:t>
      </w:r>
      <w:bookmarkEnd w:id="19"/>
    </w:p>
    <w:p>
      <w:pPr>
        <w:pStyle w:val="19"/>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3"/>
        <w:rPr>
          <w:rFonts w:hint="eastAsia"/>
        </w:rPr>
      </w:pPr>
      <w:bookmarkStart w:id="20" w:name="_Toc510107624"/>
      <w:r>
        <w:rPr>
          <w:rFonts w:hint="eastAsia"/>
          <w:b/>
          <w:bCs/>
        </w:rPr>
        <w:t>4.7 管理人对报告期内基金估值程序等事项的说明</w:t>
      </w:r>
      <w:bookmarkEnd w:id="20"/>
    </w:p>
    <w:p>
      <w:pPr>
        <w:pStyle w:val="19"/>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3"/>
        <w:rPr>
          <w:rFonts w:hint="eastAsia"/>
        </w:rPr>
      </w:pPr>
      <w:bookmarkStart w:id="21" w:name="_Toc510107625"/>
      <w:r>
        <w:rPr>
          <w:rFonts w:hint="eastAsia"/>
          <w:b/>
          <w:bCs/>
        </w:rPr>
        <w:t>4.8 管理人对报告期内基金利润分配情况的说明</w:t>
      </w:r>
      <w:bookmarkEnd w:id="21"/>
    </w:p>
    <w:p>
      <w:pPr>
        <w:pStyle w:val="19"/>
        <w:rPr>
          <w:rFonts w:hint="eastAsia"/>
        </w:rPr>
      </w:pPr>
      <w:r>
        <w:rPr>
          <w:rFonts w:hint="eastAsia"/>
        </w:rPr>
        <w:t>  本报告期内，本基金实施利润分配73,133,178.21元，符合合同约定。</w:t>
      </w:r>
    </w:p>
    <w:p>
      <w:pPr>
        <w:widowControl/>
        <w:jc w:val="left"/>
        <w:rPr>
          <w:rFonts w:hint="eastAsia" w:ascii="宋体" w:hAnsi="宋体" w:cs="宋体"/>
          <w:kern w:val="0"/>
          <w:sz w:val="24"/>
          <w:szCs w:val="24"/>
        </w:rPr>
      </w:pPr>
    </w:p>
    <w:p>
      <w:pPr>
        <w:pStyle w:val="13"/>
        <w:rPr>
          <w:rFonts w:hint="eastAsia"/>
        </w:rPr>
      </w:pPr>
      <w:bookmarkStart w:id="22" w:name="_Toc510107626"/>
      <w:r>
        <w:rPr>
          <w:rFonts w:hint="eastAsia"/>
          <w:b/>
          <w:bCs/>
        </w:rPr>
        <w:t>4.9 报告期内管理人对本基金持有人数或基金资产净值预警情形的说明</w:t>
      </w:r>
      <w:bookmarkEnd w:id="22"/>
    </w:p>
    <w:p>
      <w:pPr>
        <w:pStyle w:val="19"/>
        <w:rPr>
          <w:rFonts w:hint="eastAsia"/>
        </w:rPr>
      </w:pPr>
      <w:r>
        <w:rPr>
          <w:rFonts w:hint="eastAsia"/>
        </w:rPr>
        <w:t>  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2"/>
        <w:rPr>
          <w:rFonts w:hint="eastAsia"/>
        </w:rPr>
      </w:pPr>
      <w:bookmarkStart w:id="23" w:name="_Toc510107627"/>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3"/>
        <w:rPr>
          <w:rFonts w:hint="eastAsia"/>
        </w:rPr>
      </w:pPr>
      <w:bookmarkStart w:id="24" w:name="_Toc510107628"/>
      <w:r>
        <w:rPr>
          <w:rFonts w:hint="eastAsia"/>
          <w:b/>
          <w:bCs/>
        </w:rPr>
        <w:t>5.1 报告期内本基金托管人遵规守信情况声明</w:t>
      </w:r>
      <w:bookmarkEnd w:id="24"/>
    </w:p>
    <w:p>
      <w:pPr>
        <w:pStyle w:val="19"/>
        <w:rPr>
          <w:rFonts w:hint="eastAsia"/>
        </w:rPr>
      </w:pPr>
      <w:r>
        <w:rPr>
          <w:rFonts w:hint="eastAsia"/>
        </w:rPr>
        <w:t>  托管人声明，在本报告期内，基金托管人--招商银行股份有限公司不存在任何损害基金份额持有人利益的行为，严格遵守了《中华人民共和国证券投资基金法》及其他有关法律法规、基金合同，完全尽职尽责地履行了应尽的义务。</w:t>
      </w:r>
    </w:p>
    <w:p>
      <w:pPr>
        <w:widowControl/>
        <w:jc w:val="left"/>
        <w:rPr>
          <w:rFonts w:hint="eastAsia" w:ascii="宋体" w:hAnsi="宋体" w:cs="宋体"/>
          <w:kern w:val="0"/>
          <w:sz w:val="24"/>
          <w:szCs w:val="24"/>
        </w:rPr>
      </w:pPr>
    </w:p>
    <w:p>
      <w:pPr>
        <w:pStyle w:val="13"/>
        <w:rPr>
          <w:rFonts w:hint="eastAsia"/>
        </w:rPr>
      </w:pPr>
      <w:bookmarkStart w:id="25" w:name="_Toc510107629"/>
      <w:r>
        <w:rPr>
          <w:rFonts w:hint="eastAsia"/>
          <w:b/>
          <w:bCs/>
        </w:rPr>
        <w:t>5.2 托管人对报告期内本基金投资运作遵规守信、净值计算、利润分配等情况的说明</w:t>
      </w:r>
      <w:bookmarkEnd w:id="25"/>
    </w:p>
    <w:p>
      <w:pPr>
        <w:pStyle w:val="19"/>
        <w:rPr>
          <w:rFonts w:hint="eastAsia"/>
        </w:rPr>
      </w:pPr>
      <w:r>
        <w:rPr>
          <w:rFonts w:hint="eastAsia"/>
        </w:rPr>
        <w:t>  本报告期内基金管理人在投资运作、基金资产净值的计算、利润分配、基金份额申购赎回价格的计算、基金费用开支等问题上，不存在任何损害基金份额持有人利益的行为，严格遵守了《中华人民共和国证券投资基金法》等有关法律法规，在各重要方面的运作严格按照基金合同的规定进行。</w:t>
      </w:r>
    </w:p>
    <w:p>
      <w:pPr>
        <w:widowControl/>
        <w:jc w:val="left"/>
        <w:rPr>
          <w:rFonts w:hint="eastAsia" w:ascii="宋体" w:hAnsi="宋体" w:cs="宋体"/>
          <w:kern w:val="0"/>
          <w:sz w:val="24"/>
          <w:szCs w:val="24"/>
        </w:rPr>
      </w:pPr>
    </w:p>
    <w:p>
      <w:pPr>
        <w:pStyle w:val="13"/>
        <w:rPr>
          <w:rFonts w:hint="eastAsia"/>
        </w:rPr>
      </w:pPr>
      <w:bookmarkStart w:id="26" w:name="_Toc510107630"/>
      <w:r>
        <w:rPr>
          <w:rFonts w:hint="eastAsia"/>
          <w:b/>
          <w:bCs/>
        </w:rPr>
        <w:t>5.3 托管人对本年度报告中财务信息等内容的真实、准确和完整发表意见</w:t>
      </w:r>
      <w:bookmarkEnd w:id="26"/>
    </w:p>
    <w:p>
      <w:pPr>
        <w:pStyle w:val="19"/>
        <w:rPr>
          <w:rFonts w:hint="eastAsia"/>
        </w:rPr>
      </w:pPr>
      <w:r>
        <w:rPr>
          <w:rFonts w:hint="eastAsia"/>
        </w:rPr>
        <w:t>  本年度报告中财务指标、净值表现、财务会计报告、利润分配、投资组合报告等内容真实、准确和完整，不存在虚假记载、误导性陈述或者重大遗漏。</w:t>
      </w:r>
    </w:p>
    <w:p>
      <w:pPr>
        <w:pStyle w:val="12"/>
        <w:rPr>
          <w:rFonts w:hint="eastAsia"/>
        </w:rPr>
      </w:pPr>
      <w:bookmarkStart w:id="27" w:name="_Toc510107631"/>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3"/>
        <w:rPr>
          <w:rFonts w:hint="eastAsia"/>
        </w:rPr>
      </w:pPr>
      <w:bookmarkStart w:id="28" w:name="_Toc510107632"/>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是</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毕马威华振审字第1801671号</w:t>
            </w:r>
          </w:p>
        </w:tc>
      </w:tr>
    </w:tbl>
    <w:p>
      <w:pPr>
        <w:widowControl/>
        <w:jc w:val="left"/>
        <w:rPr>
          <w:rFonts w:hint="eastAsia" w:ascii="宋体" w:hAnsi="宋体" w:cs="宋体"/>
          <w:kern w:val="0"/>
          <w:sz w:val="24"/>
          <w:szCs w:val="24"/>
        </w:rPr>
      </w:pPr>
    </w:p>
    <w:p>
      <w:pPr>
        <w:pStyle w:val="13"/>
        <w:rPr>
          <w:rFonts w:hint="eastAsia"/>
        </w:rPr>
      </w:pPr>
      <w:bookmarkStart w:id="29" w:name="_Toc510107633"/>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创金合信尊盛纯债债券型证券投资基金全体基金份额持有人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我们审计了后附的第1页至第36页的创金合信尊盛纯债债券型证券投资基金 (以下简称"创金合信尊盛纯债债券") 财务报表，包括2017年12月31日的资产负债表、2017年度的利润表、所有者权益 (基金净值) 变动表以及财务报表附注。 我们认为，后附的财务报表在所有重大方面按照中华人民共和国财政部颁布的企业会计准则、在财务报表附注7.4.2中所列示的中国证券监督管理委员会 (以下简称"中国证监会") 和中国证券投资基金业协会发布的有关基金行业实务操作的规定编制，公允反映了创金合信尊盛纯债债券型证券投资基金 2017年12月31日的财务状况以及2017年度的经营成果及基金净值变动情况。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我们按照中国注册会计师审计准则 (以下简称"审计准则") 的规定执行了审计工作。审计报告的"注册会计师对财务报表审计的责任"部分进一步阐述了我们在这些准则下的责任。按照中国注册会计师职业道德守则，我们独立于创金合信尊盛纯债债券型证券投资基金，并履行了职业道德方面的其他责任。我们相信，我们获取的审计证据是充分、适当的，为发表审计意见提供了基础。</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盛纯债债券型证券投资基金管理人创金合信基金管理有限公司管理层对其他信息负责。其他信息包括创金合信尊盛纯债债券型证券投资基金2017年年度报告中涵盖的信息，但不包括财务报表和我们的审计报告。 我们对财务报表发表的审计意见不涵盖其他信息，我们也不对其他信息发表任何形式的鉴证结论。 结合我们对财务报表的审计，我们的责任是阅读其他信息，在此过程中，考虑其他信息是否与财务报表或我们在审计过程中了解到的情况存在重大不一致或者似乎存在重大错报。 基于我们已执行的工作，如果我们确定其他信息存在重大错报，我们应当报告该事实。在这方面，我们无任何事项需要报告。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盛纯债债券型证券投资基金管理人创金合信基金管理有限公司管理层负责按照中华人民共和国财政部颁布的企业会计准则、中国证监会和中国证券投资基金业协会发布的有关基金行业实务操作的规定编制财务报表，使其实现公允反映，并设计、执行和维护必要的内部控制，以使财务报表不存在由于舞弊或错误导致的重大错报。 在编制财务报表时，创金合信尊盛纯债债券型证券投资基金管理人创金合信基金管理有限公司管理层负责评估创金合信尊盛纯债债券型证券投资基金的持续经营能力，披露与持续经营相关的事项 (如适用)，并运用持续经营假设，除非创金合信尊盛纯债债券型证券投资基金计划进行清算、终止运营或别无其他现实的选择。 创金合信尊盛纯债债券型证券投资基金管理人创金合信基金管理有限公司治理层负责监督创金合信尊盛纯债债券型证券投资基金的财务报告过程。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(1)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(2) 了解与审计相关的内部控制，以设计恰当的审计程序，但目的并非对内部控制的有效性发表意见。 (3) 评价创金合信尊盛纯债债券型证券投资基金管理人创金合信基金管理有限公司管理层选用会计政策的恰当性和作出会计估计及相关披露的合理性。 (4) 对创金合信尊盛纯债债券型证券投资基金管理人创金合信基金管理有限公司管理层使用持续经营假设的恰当性得出结论。同时，根据获取的审计证据，就可能导致对创金合信尊盛纯债债券型证券投资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尊盛纯债债券型证券投资基金不能持续经营。 (5) 评价财务报表的总体列报、结构和内容 (包括披露) ，并评价财务报表是否公允反映相关交易和事项。我们与创金合信尊盛纯债债券型证券投资基金管理人创金合信基金管理有限公司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毕马威华振会计师事务所（特殊普通合伙）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窦友明、王磊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北京市东城区东长安街1号东方广场东2座办公楼8层</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2018-03-27</w:t>
            </w:r>
          </w:p>
        </w:tc>
      </w:tr>
    </w:tbl>
    <w:p>
      <w:pPr>
        <w:pStyle w:val="12"/>
        <w:rPr>
          <w:rFonts w:hint="eastAsia"/>
        </w:rPr>
      </w:pPr>
      <w:bookmarkStart w:id="30" w:name="_Toc510107634"/>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3"/>
        <w:rPr>
          <w:rFonts w:hint="eastAsia"/>
        </w:rPr>
      </w:pPr>
      <w:bookmarkStart w:id="31" w:name="_Toc510107635"/>
      <w:r>
        <w:rPr>
          <w:rFonts w:hint="eastAsia"/>
          <w:b/>
          <w:bCs/>
        </w:rPr>
        <w:t>7.1 资产负债表</w:t>
      </w:r>
      <w:bookmarkEnd w:id="31"/>
    </w:p>
    <w:p>
      <w:pPr>
        <w:pStyle w:val="16"/>
        <w:rPr>
          <w:rFonts w:hint="eastAsia"/>
        </w:rPr>
      </w:pPr>
      <w:r>
        <w:rPr>
          <w:rFonts w:hint="eastAsia"/>
        </w:rPr>
        <w:t>会计主体：创金合信尊盛纯债债券型证券投资基金</w:t>
      </w:r>
    </w:p>
    <w:p>
      <w:pPr>
        <w:pStyle w:val="16"/>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 </w:t>
            </w:r>
          </w:p>
          <w:p>
            <w:pPr>
              <w:pStyle w:val="17"/>
              <w:wordWrap w:val="0"/>
              <w:rPr>
                <w:rFonts w:hint="eastAsia"/>
              </w:rPr>
            </w:pPr>
            <w:r>
              <w:rPr>
                <w:rFonts w:hint="eastAsia" w:hAnsi="Calibri"/>
                <w:color w:val="000000"/>
              </w:rPr>
              <w:t>2017年12月31日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 </w:t>
            </w:r>
          </w:p>
          <w:p>
            <w:pPr>
              <w:pStyle w:val="17"/>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4,476,587.42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14,337,418.10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1,572,714,400.00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490,531,500.00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1,547,791,900.00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465,686,500.00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24,922,500.00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24,845,000.00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40,000,180.00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22,384,223.11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6,942,194.73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1,599,575,210.53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551,811,292.83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 </w:t>
            </w:r>
          </w:p>
          <w:p>
            <w:pPr>
              <w:pStyle w:val="17"/>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 </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215,839,356.24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353,393.31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139,873.33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117,797.79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46,624.46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12,387.53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2,890.15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167,611.32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216,652,546.19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331,387.94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1,379,882,414.83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539,931,715.48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3,040,249.51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11,548,189.41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1,382,922,664.34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551,479,904.89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1,599,575,210.53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551,811,292.83</w:t>
            </w:r>
          </w:p>
        </w:tc>
      </w:tr>
    </w:tbl>
    <w:p>
      <w:pPr>
        <w:pStyle w:val="19"/>
        <w:rPr>
          <w:rFonts w:hint="eastAsia"/>
        </w:rPr>
      </w:pPr>
      <w:r>
        <w:rPr>
          <w:rFonts w:hint="eastAsia"/>
        </w:rPr>
        <w:t>注：1.报告截止日2017年12月31日,基金份额净值1.002元,基金份额总额1,379,882,414.83份。</w:t>
      </w:r>
      <w:r>
        <w:rPr>
          <w:rFonts w:hint="eastAsia"/>
        </w:rPr>
        <w:br w:type="textWrapping"/>
      </w:r>
      <w:r>
        <w:rPr>
          <w:rFonts w:hint="eastAsia"/>
        </w:rPr>
        <w:t>2.本基金合同生效日为2016年2月26日,上年度可比期间为2016年2月26日至2016年12月31日。</w:t>
      </w:r>
    </w:p>
    <w:p>
      <w:pPr>
        <w:pStyle w:val="13"/>
        <w:rPr>
          <w:rFonts w:hint="eastAsia"/>
        </w:rPr>
      </w:pPr>
      <w:bookmarkStart w:id="32" w:name="_Toc510107636"/>
      <w:r>
        <w:rPr>
          <w:rFonts w:hint="eastAsia"/>
          <w:b/>
          <w:bCs/>
        </w:rPr>
        <w:t>7.2 利润表</w:t>
      </w:r>
      <w:bookmarkEnd w:id="32"/>
    </w:p>
    <w:p>
      <w:pPr>
        <w:widowControl/>
        <w:jc w:val="left"/>
        <w:rPr>
          <w:rFonts w:hint="eastAsia" w:ascii="宋体" w:hAnsi="宋体" w:cs="宋体"/>
          <w:kern w:val="0"/>
          <w:sz w:val="24"/>
          <w:szCs w:val="24"/>
        </w:rPr>
      </w:pPr>
    </w:p>
    <w:p>
      <w:pPr>
        <w:pStyle w:val="16"/>
        <w:rPr>
          <w:rFonts w:hint="eastAsia"/>
        </w:rPr>
      </w:pPr>
      <w:r>
        <w:rPr>
          <w:rFonts w:hint="eastAsia"/>
        </w:rPr>
        <w:t>会计主体：创金合信尊盛纯债债券型证券投资基金</w:t>
      </w:r>
    </w:p>
    <w:p>
      <w:pPr>
        <w:pStyle w:val="16"/>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本期2017年01月01日至2017年12月31日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 </w:t>
            </w:r>
          </w:p>
          <w:p>
            <w:pPr>
              <w:pStyle w:val="17"/>
              <w:wordWrap w:val="0"/>
              <w:rPr>
                <w:rFonts w:hint="eastAsia"/>
              </w:rPr>
            </w:pPr>
            <w:r>
              <w:rPr>
                <w:rFonts w:hint="eastAsia"/>
              </w:rPr>
              <w:t>2016年02月26日（基金合同生效日）至2016年12月31日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50,907,910.42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14,482,597.58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55,279,385.07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20,892,805.72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71,124.86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163,534.06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52,504,406.90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19,818,064.60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2,316,939.54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486,247.47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386,913.77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424,959.59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3,658,048.27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-620,613.29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3,536,033.02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-620,613.29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xml:space="preserve">7.4.7.13.3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122,015.25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-8,029,588.83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-5,789,694.55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6,343,135.63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3,031,087.04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3,729,990.91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1,195,285.53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1,243,330.31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398,428.52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20,144.90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4,982.50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1,141,331.59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1,264,472.18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1,141,331.59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1,264,472.18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208,337.92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167,918.31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44,564,774.79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11,451,510.54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44,564,774.79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11,451,510.54</w:t>
            </w:r>
          </w:p>
        </w:tc>
      </w:tr>
    </w:tbl>
    <w:p>
      <w:pPr>
        <w:pStyle w:val="19"/>
        <w:rPr>
          <w:rFonts w:hint="eastAsia"/>
        </w:rPr>
      </w:pPr>
      <w:r>
        <w:rPr>
          <w:rFonts w:hint="eastAsia"/>
        </w:rPr>
        <w:t>注：本基金合同生效日为2016年2月26日,上年度可比期间为2016年2月26日至2016年12月31日。</w:t>
      </w:r>
    </w:p>
    <w:p>
      <w:pPr>
        <w:pStyle w:val="13"/>
        <w:rPr>
          <w:rFonts w:hint="eastAsia"/>
        </w:rPr>
      </w:pPr>
      <w:bookmarkStart w:id="33" w:name="_Toc510107637"/>
      <w:r>
        <w:rPr>
          <w:rFonts w:hint="eastAsia"/>
          <w:b/>
          <w:bCs/>
        </w:rPr>
        <w:t>7.3 所有者权益（基金净值）变动表</w:t>
      </w:r>
      <w:bookmarkEnd w:id="33"/>
    </w:p>
    <w:p>
      <w:pPr>
        <w:pStyle w:val="16"/>
        <w:rPr>
          <w:rFonts w:hint="eastAsia"/>
        </w:rPr>
      </w:pPr>
      <w:r>
        <w:rPr>
          <w:rFonts w:hint="eastAsia"/>
        </w:rPr>
        <w:t>会计主体：创金合信尊盛纯债债券型证券投资基金</w:t>
      </w:r>
    </w:p>
    <w:p>
      <w:pPr>
        <w:pStyle w:val="16"/>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 </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539,931,715.48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11,548,189.41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551,479,904.89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44,564,774.79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44,564,774.79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839,950,699.35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20,060,463.52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860,011,162.87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840,096,648.28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20,063,819.69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860,160,467.97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-145,948.93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-3,356.17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-149,305.10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-73,133,178.21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-73,133,178.21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1,379,882,414.83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3,040,249.51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1,382,922,664.34</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 </w:t>
            </w:r>
          </w:p>
          <w:p>
            <w:pPr>
              <w:pStyle w:val="17"/>
              <w:wordWrap w:val="0"/>
              <w:rPr>
                <w:rFonts w:hint="eastAsia"/>
              </w:rPr>
            </w:pPr>
            <w:r>
              <w:rPr>
                <w:rFonts w:hint="eastAsia"/>
              </w:rPr>
              <w:t>2016年02月26日（基金合同生效日）至2016年12月31日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200,164,018.44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200,164,018.44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11,451,510.54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11,451,510.54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339,767,697.04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96,678.87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339,864,375.91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340,016,378.76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101,801.59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340,118,180.35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-248,681.72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-5,122.72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-253,804.44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539,931,715.48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11,548,189.41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551,479,904.89</w:t>
            </w:r>
          </w:p>
        </w:tc>
      </w:tr>
    </w:tbl>
    <w:p>
      <w:pPr>
        <w:pStyle w:val="19"/>
        <w:rPr>
          <w:rFonts w:hint="eastAsia"/>
        </w:rPr>
      </w:pPr>
      <w:r>
        <w:rPr>
          <w:rFonts w:hint="eastAsia"/>
        </w:rPr>
        <w:t>注：本基金合同生效日为2016年2月26日,上年度可比期间为2016年2月26日至2016年12月31日。</w:t>
      </w:r>
    </w:p>
    <w:p>
      <w:pPr>
        <w:pStyle w:val="16"/>
        <w:rPr>
          <w:rFonts w:hint="eastAsia"/>
        </w:rPr>
      </w:pPr>
      <w:r>
        <w:rPr>
          <w:rFonts w:hint="eastAsia"/>
        </w:rPr>
        <w:t>报表附注为财务报表的组成部分。</w:t>
      </w:r>
    </w:p>
    <w:p>
      <w:pPr>
        <w:pStyle w:val="16"/>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6"/>
              <w:wordWrap w:val="0"/>
              <w:rPr>
                <w:rFonts w:hint="eastAsia"/>
              </w:rPr>
            </w:pPr>
            <w:r>
              <w:rPr>
                <w:rFonts w:hint="eastAsia" w:hAnsi="Calibri"/>
                <w:color w:val="000000"/>
              </w:rPr>
              <w:t>苏彦祝</w:t>
            </w:r>
          </w:p>
          <w:p>
            <w:pPr>
              <w:pStyle w:val="16"/>
              <w:wordWrap w:val="0"/>
              <w:rPr>
                <w:rFonts w:hint="eastAsia"/>
              </w:rPr>
            </w:pPr>
            <w:r>
              <w:rPr>
                <w:rFonts w:hint="eastAsia"/>
              </w:rPr>
              <w:t>—————————</w:t>
            </w:r>
          </w:p>
          <w:p>
            <w:pPr>
              <w:pStyle w:val="16"/>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6"/>
              <w:wordWrap w:val="0"/>
              <w:rPr>
                <w:rFonts w:hint="eastAsia"/>
              </w:rPr>
            </w:pPr>
            <w:r>
              <w:rPr>
                <w:rFonts w:hint="eastAsia"/>
              </w:rPr>
              <w:t>黄越岷</w:t>
            </w:r>
          </w:p>
          <w:p>
            <w:pPr>
              <w:pStyle w:val="16"/>
              <w:wordWrap w:val="0"/>
              <w:rPr>
                <w:rFonts w:hint="eastAsia"/>
              </w:rPr>
            </w:pPr>
            <w:r>
              <w:rPr>
                <w:rFonts w:hint="eastAsia"/>
              </w:rPr>
              <w:t>—————————</w:t>
            </w:r>
          </w:p>
          <w:p>
            <w:pPr>
              <w:pStyle w:val="16"/>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6"/>
              <w:wordWrap w:val="0"/>
              <w:rPr>
                <w:rFonts w:hint="eastAsia"/>
              </w:rPr>
            </w:pPr>
            <w:r>
              <w:rPr>
                <w:rFonts w:hint="eastAsia"/>
              </w:rPr>
              <w:t>安兆国</w:t>
            </w:r>
          </w:p>
          <w:p>
            <w:pPr>
              <w:pStyle w:val="16"/>
              <w:wordWrap w:val="0"/>
              <w:rPr>
                <w:rFonts w:hint="eastAsia"/>
              </w:rPr>
            </w:pPr>
            <w:r>
              <w:rPr>
                <w:rFonts w:hint="eastAsia"/>
              </w:rPr>
              <w:t>—————————</w:t>
            </w:r>
          </w:p>
          <w:p>
            <w:pPr>
              <w:pStyle w:val="16"/>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3"/>
        <w:rPr>
          <w:rFonts w:hint="eastAsia"/>
        </w:rPr>
      </w:pPr>
      <w:bookmarkStart w:id="34" w:name="_Toc510107638"/>
      <w:r>
        <w:rPr>
          <w:rFonts w:hint="eastAsia"/>
          <w:b/>
          <w:bCs/>
        </w:rPr>
        <w:t>7.4 报表附注</w:t>
      </w:r>
      <w:bookmarkEnd w:id="34"/>
    </w:p>
    <w:p>
      <w:pPr>
        <w:pStyle w:val="14"/>
        <w:rPr>
          <w:rFonts w:hint="eastAsia"/>
        </w:rPr>
      </w:pPr>
      <w:r>
        <w:rPr>
          <w:rFonts w:hint="eastAsia"/>
          <w:b/>
          <w:bCs/>
        </w:rPr>
        <w:t>7.4.1 基金基本情况</w:t>
      </w:r>
    </w:p>
    <w:p>
      <w:pPr>
        <w:pStyle w:val="19"/>
        <w:rPr>
          <w:rFonts w:hint="eastAsia"/>
        </w:rPr>
      </w:pPr>
      <w:r>
        <w:rPr>
          <w:rFonts w:hint="eastAsia"/>
        </w:rPr>
        <w:t>  创金合信尊盛纯债债券型证券投资基金 (以下简称 "本基金") 经中国证券监督管理委员会 (以下简称"中国证监会")《关于准予创金合信尊盛纯债债券型证券投资基金注册的批复》(证监许可 [2016] 195号文) 批准，由创金合信基金管理有限公司依照《中华人民共和国证券投资基金法》及其配套规则和《创金合信尊盛纯债债券型证券投资基金基金合同》发售，基金合同于2016年2月26日生效。本基金为契约型开放式，存续期限不定，首次设立募集规模为200,164,018.44份基金份额。本基金的基金管理人为创金合信基金管理有限公司，基金托管人为招商银行股份有限公司 (以下简称"招商银行") 。</w:t>
      </w:r>
      <w:r>
        <w:rPr>
          <w:rFonts w:hint="eastAsia"/>
        </w:rPr>
        <w:br w:type="textWrapping"/>
      </w:r>
      <w:r>
        <w:rPr>
          <w:rFonts w:hint="eastAsia"/>
        </w:rPr>
        <w:t>  本基金于2016年2月22日至2016年2月23日募集，募集期间净认购资金人民币200,162,350.80元，认购资金在募集期间产生的利息人民币1,667.64元，募集的有效认购份额及利息结转的基金份额合计200,164,018.44份。上述募集资金已由毕马威华振会计师事务所 (特殊普通合伙) 验证，并出具了毕马威华振验字第1600198号验资报告。</w:t>
      </w:r>
      <w:r>
        <w:rPr>
          <w:rFonts w:hint="eastAsia"/>
        </w:rPr>
        <w:br w:type="textWrapping"/>
      </w:r>
      <w:r>
        <w:rPr>
          <w:rFonts w:hint="eastAsia"/>
        </w:rPr>
        <w:t>  根据《中华人民共和国证券投资基金法》及其配套规则、《创金合信尊盛纯债债券型证券投资基金基金合同》和截至报告期末最新公告的《创金合信尊盛纯债债券型证券投资基金招募说明书》的有关规定，本基金主要投资于固定收益类品种，包括国债、央行票据、地方政府债、金融债、企业债、公司债、中小企业私募债、次级债、中期票据、短期融资券、可分离交易可转债的纯债部分、资产支持证券、债券回购、银行存款等。本基金不投资股票、权证等权益类资产，可转债仅投资二级市场可分离交易可转债的纯债部分。本基金的业绩比较基准为：中债综合 (全价) 指数收益率。</w:t>
      </w:r>
    </w:p>
    <w:p>
      <w:pPr>
        <w:widowControl/>
        <w:jc w:val="left"/>
        <w:rPr>
          <w:rFonts w:hint="eastAsia" w:ascii="宋体" w:hAnsi="宋体" w:cs="宋体"/>
          <w:kern w:val="0"/>
          <w:sz w:val="24"/>
          <w:szCs w:val="24"/>
        </w:rPr>
      </w:pPr>
    </w:p>
    <w:p>
      <w:pPr>
        <w:pStyle w:val="14"/>
        <w:rPr>
          <w:rFonts w:hint="eastAsia"/>
        </w:rPr>
      </w:pPr>
      <w:r>
        <w:rPr>
          <w:rFonts w:hint="eastAsia"/>
          <w:b/>
          <w:bCs/>
        </w:rPr>
        <w:t>7.4.2 会计报表的编制基础</w:t>
      </w:r>
    </w:p>
    <w:p>
      <w:pPr>
        <w:pStyle w:val="19"/>
        <w:rPr>
          <w:rFonts w:hint="eastAsia"/>
        </w:rPr>
      </w:pPr>
      <w:r>
        <w:rPr>
          <w:rFonts w:hint="eastAsia"/>
        </w:rPr>
        <w:t>  本基金以持续经营为基础。本财务报表符合中华人民共和国财政部 (以下简称"财政部") 颁布的企业会计准则的要求，同时亦按照中国证监会颁布的《证券投资基金信息披露XBRL模板第3号&lt;年度报告和半年度报告&gt;》以及中国证券投资基金业协会于2012年11月16日颁布的《证券投资基金会计核算业务指引》编制财务报表。</w:t>
      </w:r>
    </w:p>
    <w:p>
      <w:pPr>
        <w:widowControl/>
        <w:jc w:val="left"/>
        <w:rPr>
          <w:rFonts w:hint="eastAsia" w:ascii="宋体" w:hAnsi="宋体" w:cs="宋体"/>
          <w:kern w:val="0"/>
          <w:sz w:val="24"/>
          <w:szCs w:val="24"/>
        </w:rPr>
      </w:pPr>
    </w:p>
    <w:p>
      <w:pPr>
        <w:pStyle w:val="14"/>
        <w:rPr>
          <w:rFonts w:hint="eastAsia"/>
        </w:rPr>
      </w:pPr>
      <w:r>
        <w:rPr>
          <w:rFonts w:hint="eastAsia"/>
          <w:b/>
          <w:bCs/>
        </w:rPr>
        <w:t>7.4.3 遵循企业会计准则及其他有关规定的声明</w:t>
      </w:r>
    </w:p>
    <w:p>
      <w:pPr>
        <w:pStyle w:val="19"/>
        <w:rPr>
          <w:rFonts w:hint="eastAsia"/>
        </w:rPr>
      </w:pPr>
      <w:r>
        <w:rPr>
          <w:rFonts w:hint="eastAsia"/>
        </w:rPr>
        <w:t>  本财务报表符合财政部颁布的企业会计准则的要求，真实、完整地反映了本基金2017年12月31日的财务状况、2017年度的经营成果和基金净值变动情况。</w:t>
      </w:r>
    </w:p>
    <w:p>
      <w:pPr>
        <w:widowControl/>
        <w:jc w:val="left"/>
        <w:rPr>
          <w:rFonts w:hint="eastAsia" w:ascii="宋体" w:hAnsi="宋体" w:cs="宋体"/>
          <w:kern w:val="0"/>
          <w:sz w:val="24"/>
          <w:szCs w:val="24"/>
        </w:rPr>
      </w:pPr>
    </w:p>
    <w:p>
      <w:pPr>
        <w:pStyle w:val="14"/>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4"/>
        <w:rPr>
          <w:rFonts w:hint="eastAsia"/>
        </w:rPr>
      </w:pPr>
      <w:r>
        <w:rPr>
          <w:rFonts w:hint="eastAsia"/>
          <w:b/>
          <w:bCs/>
        </w:rPr>
        <w:t>7.4.4.1 会计年度</w:t>
      </w:r>
    </w:p>
    <w:p>
      <w:pPr>
        <w:pStyle w:val="19"/>
        <w:rPr>
          <w:rFonts w:hint="eastAsia"/>
        </w:rPr>
      </w:pPr>
      <w:r>
        <w:rPr>
          <w:rFonts w:hint="eastAsia"/>
        </w:rPr>
        <w:t>  本基金的会计年度自公历1月1日起至12月31日止。</w:t>
      </w:r>
    </w:p>
    <w:p>
      <w:pPr>
        <w:widowControl/>
        <w:jc w:val="left"/>
        <w:rPr>
          <w:rFonts w:hint="eastAsia" w:ascii="宋体" w:hAnsi="宋体" w:cs="宋体"/>
          <w:kern w:val="0"/>
          <w:sz w:val="24"/>
          <w:szCs w:val="24"/>
        </w:rPr>
      </w:pPr>
    </w:p>
    <w:p>
      <w:pPr>
        <w:pStyle w:val="14"/>
        <w:rPr>
          <w:rFonts w:hint="eastAsia"/>
        </w:rPr>
      </w:pPr>
      <w:r>
        <w:rPr>
          <w:rFonts w:hint="eastAsia"/>
          <w:b/>
          <w:bCs/>
        </w:rPr>
        <w:t>7.4.4.2 记账本位币</w:t>
      </w:r>
    </w:p>
    <w:p>
      <w:pPr>
        <w:pStyle w:val="19"/>
        <w:rPr>
          <w:rFonts w:hint="eastAsia"/>
        </w:rPr>
      </w:pPr>
      <w:r>
        <w:rPr>
          <w:rFonts w:hint="eastAsia"/>
        </w:rPr>
        <w:t>  本基金的记账本位币为人民币，编制财务报表采用的货币为人民币。本基金选定记账本位币的依据是主要业务收支的计价和结算币种。</w:t>
      </w:r>
    </w:p>
    <w:p>
      <w:pPr>
        <w:widowControl/>
        <w:jc w:val="left"/>
        <w:rPr>
          <w:rFonts w:hint="eastAsia" w:ascii="宋体" w:hAnsi="宋体" w:cs="宋体"/>
          <w:kern w:val="0"/>
          <w:sz w:val="24"/>
          <w:szCs w:val="24"/>
        </w:rPr>
      </w:pPr>
    </w:p>
    <w:p>
      <w:pPr>
        <w:pStyle w:val="14"/>
        <w:rPr>
          <w:rFonts w:hint="eastAsia"/>
        </w:rPr>
      </w:pPr>
      <w:r>
        <w:rPr>
          <w:rFonts w:hint="eastAsia"/>
          <w:b/>
          <w:bCs/>
        </w:rPr>
        <w:t>7.4.4.3 金融资产和金融负债的分类</w:t>
      </w:r>
    </w:p>
    <w:p>
      <w:pPr>
        <w:pStyle w:val="19"/>
        <w:rPr>
          <w:rFonts w:hint="eastAsia"/>
        </w:rPr>
      </w:pPr>
      <w:r>
        <w:rPr>
          <w:rFonts w:hint="eastAsia"/>
        </w:rPr>
        <w:t>  本基金在初始确认时按取得资产或承担负债的目的，把金融资产和金融负债分为不同类别：以公允价值计量且其变动计入当期损益的金融资产和金融负债、应收款项、持有至到期投资、可供出售金融资产和其他金融负债。本基金现无金融资产分类为持有至到期投资和可供出售金融资产。本基金现无金融负债分类为以公允价值计量且其变动计入当期损益的金融负债。</w:t>
      </w:r>
      <w:r>
        <w:rPr>
          <w:rFonts w:hint="eastAsia"/>
        </w:rPr>
        <w:br w:type="textWrapping"/>
      </w:r>
      <w:r>
        <w:rPr>
          <w:rFonts w:hint="eastAsia"/>
        </w:rPr>
        <w:t>  本基金目前持有的债券投资分类为以公允价值计量且其变动计入当期损益的金融资产。以公允价值计量且其变动计入当期损益的金融资产在资产负债表中以交易性金融资产列示。</w:t>
      </w:r>
    </w:p>
    <w:p>
      <w:pPr>
        <w:widowControl/>
        <w:jc w:val="left"/>
        <w:rPr>
          <w:rFonts w:hint="eastAsia" w:ascii="宋体" w:hAnsi="宋体" w:cs="宋体"/>
          <w:kern w:val="0"/>
          <w:sz w:val="24"/>
          <w:szCs w:val="24"/>
        </w:rPr>
      </w:pPr>
    </w:p>
    <w:p>
      <w:pPr>
        <w:pStyle w:val="14"/>
        <w:rPr>
          <w:rFonts w:hint="eastAsia"/>
        </w:rPr>
      </w:pPr>
      <w:r>
        <w:rPr>
          <w:rFonts w:hint="eastAsia"/>
          <w:b/>
          <w:bCs/>
        </w:rPr>
        <w:t>7.4.4.4 金融资产和金融负债的初始确认、后续计量和终止确认</w:t>
      </w:r>
    </w:p>
    <w:p>
      <w:pPr>
        <w:pStyle w:val="19"/>
        <w:rPr>
          <w:rFonts w:hint="eastAsia"/>
        </w:rPr>
      </w:pPr>
      <w:r>
        <w:rPr>
          <w:rFonts w:hint="eastAsia"/>
        </w:rPr>
        <w:t>  金融资产和金融负债在本基金成为相关金融工具合同条款的一方时，于资产负债表内确认。</w:t>
      </w:r>
      <w:r>
        <w:rPr>
          <w:rFonts w:hint="eastAsia"/>
        </w:rPr>
        <w:br w:type="textWrapping"/>
      </w:r>
      <w:r>
        <w:rPr>
          <w:rFonts w:hint="eastAsia"/>
        </w:rPr>
        <w:t>  在初始确认时，金融资产及金融负债均以公允价值计量。对于以公允价值计量且其变动计入当期损益的金融资产或金融负债，相关交易费用直接计入当期损益；对于其他类别的金融资产或金融负债，相关交易费用计入初始确认金额。</w:t>
      </w:r>
      <w:r>
        <w:rPr>
          <w:rFonts w:hint="eastAsia"/>
        </w:rPr>
        <w:br w:type="textWrapping"/>
      </w:r>
      <w:r>
        <w:rPr>
          <w:rFonts w:hint="eastAsia"/>
        </w:rPr>
        <w:t>  初始确认后，金融资产和金融负债的后续计量如下：</w:t>
      </w:r>
      <w:r>
        <w:rPr>
          <w:rFonts w:hint="eastAsia"/>
        </w:rPr>
        <w:br w:type="textWrapping"/>
      </w:r>
      <w:r>
        <w:rPr>
          <w:rFonts w:hint="eastAsia"/>
        </w:rPr>
        <w:t>  -以公允价值计量且其变动计入当期损益的金融资产和金融负债以公允价值计量，公允价值变动形成的利得或损失计入当期损益。</w:t>
      </w:r>
      <w:r>
        <w:rPr>
          <w:rFonts w:hint="eastAsia"/>
        </w:rPr>
        <w:br w:type="textWrapping"/>
      </w:r>
      <w:r>
        <w:rPr>
          <w:rFonts w:hint="eastAsia"/>
        </w:rPr>
        <w:t>  -应收款项以实际利率法按摊余成本计量。</w:t>
      </w:r>
      <w:r>
        <w:rPr>
          <w:rFonts w:hint="eastAsia"/>
        </w:rPr>
        <w:br w:type="textWrapping"/>
      </w:r>
      <w:r>
        <w:rPr>
          <w:rFonts w:hint="eastAsia"/>
        </w:rPr>
        <w:t>  -除以公允价值计量且其变动计入当期损益的金融负债以外的金融负债采用实际利率法按摊余成本进行后续计量。 </w:t>
      </w:r>
      <w:r>
        <w:rPr>
          <w:rFonts w:hint="eastAsia"/>
        </w:rPr>
        <w:br w:type="textWrapping"/>
      </w:r>
      <w:r>
        <w:rPr>
          <w:rFonts w:hint="eastAsia"/>
        </w:rPr>
        <w:t>  满足下列条件之一时，本基金终止确认该金融资产：</w:t>
      </w:r>
      <w:r>
        <w:rPr>
          <w:rFonts w:hint="eastAsia"/>
        </w:rPr>
        <w:br w:type="textWrapping"/>
      </w:r>
      <w:r>
        <w:rPr>
          <w:rFonts w:hint="eastAsia"/>
        </w:rPr>
        <w:t>  -收取该金融资产现金流量的合同权利终止；</w:t>
      </w:r>
      <w:r>
        <w:rPr>
          <w:rFonts w:hint="eastAsia"/>
        </w:rPr>
        <w:br w:type="textWrapping"/>
      </w:r>
      <w:r>
        <w:rPr>
          <w:rFonts w:hint="eastAsia"/>
        </w:rPr>
        <w:t>  -该金融资产已转移，且本基金将金融资产所有权上几乎所有的风险和报酬转移给转入方；</w:t>
      </w:r>
      <w:r>
        <w:rPr>
          <w:rFonts w:hint="eastAsia"/>
        </w:rPr>
        <w:br w:type="textWrapping"/>
      </w:r>
      <w:r>
        <w:rPr>
          <w:rFonts w:hint="eastAsia"/>
        </w:rPr>
        <w:t>  -该金融资产已转移，虽然本基金既没有转移也没有保留金融资产所有权上几乎所有的风险和报酬，但是放弃了对该金融资产控制。</w:t>
      </w:r>
      <w:r>
        <w:rPr>
          <w:rFonts w:hint="eastAsia"/>
        </w:rPr>
        <w:br w:type="textWrapping"/>
      </w:r>
      <w:r>
        <w:rPr>
          <w:rFonts w:hint="eastAsia"/>
        </w:rPr>
        <w:t>  金融资产整体转移满足终止确认条件的，本基金将下列两项金额的差额计入当期损益：</w:t>
      </w:r>
      <w:r>
        <w:rPr>
          <w:rFonts w:hint="eastAsia"/>
        </w:rPr>
        <w:br w:type="textWrapping"/>
      </w:r>
      <w:r>
        <w:rPr>
          <w:rFonts w:hint="eastAsia"/>
        </w:rPr>
        <w:t>  -所转移金融资产的账面价值</w:t>
      </w:r>
      <w:r>
        <w:rPr>
          <w:rFonts w:hint="eastAsia"/>
        </w:rPr>
        <w:br w:type="textWrapping"/>
      </w:r>
      <w:r>
        <w:rPr>
          <w:rFonts w:hint="eastAsia"/>
        </w:rPr>
        <w:t>  -因转移而收到的对价</w:t>
      </w:r>
      <w:r>
        <w:rPr>
          <w:rFonts w:hint="eastAsia"/>
        </w:rPr>
        <w:br w:type="textWrapping"/>
      </w:r>
      <w:r>
        <w:rPr>
          <w:rFonts w:hint="eastAsia"/>
        </w:rPr>
        <w:t>  金融负债的现时义务全部或部分已经解除的，本基金终止确认该金融负债或其一部分。</w:t>
      </w:r>
    </w:p>
    <w:p>
      <w:pPr>
        <w:widowControl/>
        <w:jc w:val="left"/>
        <w:rPr>
          <w:rFonts w:hint="eastAsia" w:ascii="宋体" w:hAnsi="宋体" w:cs="宋体"/>
          <w:kern w:val="0"/>
          <w:sz w:val="24"/>
          <w:szCs w:val="24"/>
        </w:rPr>
      </w:pPr>
    </w:p>
    <w:p>
      <w:pPr>
        <w:pStyle w:val="14"/>
        <w:rPr>
          <w:rFonts w:hint="eastAsia"/>
        </w:rPr>
      </w:pPr>
      <w:r>
        <w:rPr>
          <w:rFonts w:hint="eastAsia"/>
          <w:b/>
          <w:bCs/>
        </w:rPr>
        <w:t>7.4.4.5 金融资产和金融负债的估值原则</w:t>
      </w:r>
    </w:p>
    <w:p>
      <w:pPr>
        <w:pStyle w:val="19"/>
        <w:rPr>
          <w:rFonts w:hint="eastAsia"/>
        </w:rPr>
      </w:pPr>
      <w:r>
        <w:rPr>
          <w:rFonts w:hint="eastAsia"/>
        </w:rPr>
        <w:t>  除特别声明外，本基金按下述原则计量公允价值：</w:t>
      </w:r>
      <w:r>
        <w:rPr>
          <w:rFonts w:hint="eastAsia"/>
        </w:rPr>
        <w:br w:type="textWrapping"/>
      </w:r>
      <w:r>
        <w:rPr>
          <w:rFonts w:hint="eastAsia"/>
        </w:rPr>
        <w:t>  公允价值是指市场参与者在计量日发生的有序交易中，出售一项资产所能收到或者转移一项负债所需支付的价格。</w:t>
      </w:r>
      <w:r>
        <w:rPr>
          <w:rFonts w:hint="eastAsia"/>
        </w:rPr>
        <w:br w:type="textWrapping"/>
      </w:r>
      <w:r>
        <w:rPr>
          <w:rFonts w:hint="eastAsia"/>
        </w:rPr>
        <w:t>  本基金在确定相关金融资产和金融负债的公允价值时，根据《企业会计准则》的规定采用在当前情况下适用并且有足够可利用数据和其他信息支持的估值技术。</w:t>
      </w:r>
      <w:r>
        <w:rPr>
          <w:rFonts w:hint="eastAsia"/>
        </w:rPr>
        <w:br w:type="textWrapping"/>
      </w:r>
      <w:r>
        <w:rPr>
          <w:rFonts w:hint="eastAsia"/>
        </w:rPr>
        <w:t>  存在活跃市场且能够获取相同资产或负债报价的金融工具，在估值日有报价的，除会计准则规定的情况外，将该报价不加调整地应用于该资产或负债的公允价值计量；估值日无报价且最近交易日后未发生影响公允价值计量的重大事件的，采用最近交易日的报价确定公允价值。有充足证据表明估值日或最近交易日的报价不能真实反映公允价值的，对报价进行调整，确定公允价值。与上述金融工具相同，但具有不同特征的，以相同资产或负债的公允价值为基础，并在估值技术中考虑不同特征因素的影响。特征是指对资产出售或使用的限制等，如果该限制是针对资产持有者的，那么在估值技术中不应将该限制作为特征考虑。此外，本基金不考虑因其大量持有相关资产或负债所产生的溢价或折价。</w:t>
      </w:r>
      <w:r>
        <w:rPr>
          <w:rFonts w:hint="eastAsia"/>
        </w:rPr>
        <w:br w:type="textWrapping"/>
      </w:r>
      <w:r>
        <w:rPr>
          <w:rFonts w:hint="eastAsia"/>
        </w:rPr>
        <w:t>  对不存在活跃市场的金融工具，采用在当前情况下适用并且有足够可利用数据和其他信息支持的估值技术确定公允价值。采用估值技术确定公允价值时，优先使用可观察输入值，只有在无法取得相关资产或负债可观察输入值或取得不切实可行的情况下，才可以使用不可观察输入值。</w:t>
      </w:r>
      <w:r>
        <w:rPr>
          <w:rFonts w:hint="eastAsia"/>
        </w:rPr>
        <w:br w:type="textWrapping"/>
      </w:r>
      <w:r>
        <w:rPr>
          <w:rFonts w:hint="eastAsia"/>
        </w:rPr>
        <w:t>  如经济环境发生重大变化或证券发行人发生影响证券价格的重大事件，参考类似投资品种的现行市价及重大变化等因素，对估值进行调整并确定公允价值。</w:t>
      </w:r>
    </w:p>
    <w:p>
      <w:pPr>
        <w:widowControl/>
        <w:jc w:val="left"/>
        <w:rPr>
          <w:rFonts w:hint="eastAsia" w:ascii="宋体" w:hAnsi="宋体" w:cs="宋体"/>
          <w:kern w:val="0"/>
          <w:sz w:val="24"/>
          <w:szCs w:val="24"/>
        </w:rPr>
      </w:pPr>
    </w:p>
    <w:p>
      <w:pPr>
        <w:pStyle w:val="14"/>
        <w:rPr>
          <w:rFonts w:hint="eastAsia"/>
        </w:rPr>
      </w:pPr>
      <w:r>
        <w:rPr>
          <w:rFonts w:hint="eastAsia"/>
          <w:b/>
          <w:bCs/>
        </w:rPr>
        <w:t>7.4.4.6 金融资产和金融负债的抵销</w:t>
      </w:r>
    </w:p>
    <w:p>
      <w:pPr>
        <w:pStyle w:val="19"/>
        <w:rPr>
          <w:rFonts w:hint="eastAsia"/>
        </w:rPr>
      </w:pPr>
      <w:r>
        <w:rPr>
          <w:rFonts w:hint="eastAsia"/>
        </w:rPr>
        <w:t>  金融资产和金融负债在资产负债表内分别列示，没有相互抵销。但是，同时满足下列条件的，以相互抵销后的净额在资产负债表内列示：</w:t>
      </w:r>
      <w:r>
        <w:rPr>
          <w:rFonts w:hint="eastAsia"/>
        </w:rPr>
        <w:br w:type="textWrapping"/>
      </w:r>
      <w:r>
        <w:rPr>
          <w:rFonts w:hint="eastAsia"/>
        </w:rPr>
        <w:t>  -本基金具有抵销已确认金额的法定权利，且该种法定权利是当前可执行的；</w:t>
      </w:r>
      <w:r>
        <w:rPr>
          <w:rFonts w:hint="eastAsia"/>
        </w:rPr>
        <w:br w:type="textWrapping"/>
      </w:r>
      <w:r>
        <w:rPr>
          <w:rFonts w:hint="eastAsia"/>
        </w:rPr>
        <w:t>  -本基金计划以净额结算，或同时变现该金融资产和清偿该金融负债。</w:t>
      </w:r>
    </w:p>
    <w:p>
      <w:pPr>
        <w:widowControl/>
        <w:jc w:val="left"/>
        <w:rPr>
          <w:rFonts w:hint="eastAsia" w:ascii="宋体" w:hAnsi="宋体" w:cs="宋体"/>
          <w:kern w:val="0"/>
          <w:sz w:val="24"/>
          <w:szCs w:val="24"/>
        </w:rPr>
      </w:pPr>
    </w:p>
    <w:p>
      <w:pPr>
        <w:pStyle w:val="14"/>
        <w:rPr>
          <w:rFonts w:hint="eastAsia"/>
        </w:rPr>
      </w:pPr>
      <w:r>
        <w:rPr>
          <w:rFonts w:hint="eastAsia"/>
          <w:b/>
          <w:bCs/>
        </w:rPr>
        <w:t>7.4.4.7 实收基金</w:t>
      </w:r>
    </w:p>
    <w:p>
      <w:pPr>
        <w:pStyle w:val="19"/>
        <w:rPr>
          <w:rFonts w:hint="eastAsia"/>
        </w:rPr>
      </w:pPr>
      <w:r>
        <w:rPr>
          <w:rFonts w:hint="eastAsia"/>
        </w:rPr>
        <w:t>  实收基金为对外发行基金份额所募集的总金额在扣除损益平准金分摊部分后的余额。由于基金份额拆分引起的实收基金份额变动于基金份额拆分日根据拆分前的基金份额数及确定的拆分比例计算认列。由于申购和赎回引起的实收基金份额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4"/>
        <w:rPr>
          <w:rFonts w:hint="eastAsia"/>
        </w:rPr>
      </w:pPr>
      <w:r>
        <w:rPr>
          <w:rFonts w:hint="eastAsia"/>
          <w:b/>
          <w:bCs/>
        </w:rPr>
        <w:t>7.4.4.8 损益平准金</w:t>
      </w:r>
    </w:p>
    <w:p>
      <w:pPr>
        <w:pStyle w:val="19"/>
        <w:rPr>
          <w:rFonts w:hint="eastAsia"/>
        </w:rPr>
      </w:pPr>
      <w:r>
        <w:rPr>
          <w:rFonts w:hint="eastAsia"/>
        </w:rPr>
        <w:t>  损益平准金核算在基金份额发生变动时，申购、赎回、转入、转出及红利再投资等款项中包含的未分配利润和公允价值变动损益，包括已实现损益平准金和未实现损益平准金。已实现损益平准金指根据交易申请日申购或赎回款项中包含的按累计未分配的已实现损益占基金净值比例计算的金额。未实现损益平准金指根据交易申请日申购或赎回款项中包含的按累计未分配的未实现损益占基金净值比例计算的金额。损益平准金于基金申购确认日或基金赎回确认日进行确认和计量，并于会计期末全额转入"未分配利润 / (累计亏损)"。</w:t>
      </w:r>
    </w:p>
    <w:p>
      <w:pPr>
        <w:widowControl/>
        <w:jc w:val="left"/>
        <w:rPr>
          <w:rFonts w:hint="eastAsia" w:ascii="宋体" w:hAnsi="宋体" w:cs="宋体"/>
          <w:kern w:val="0"/>
          <w:sz w:val="24"/>
          <w:szCs w:val="24"/>
        </w:rPr>
      </w:pPr>
    </w:p>
    <w:p>
      <w:pPr>
        <w:pStyle w:val="14"/>
        <w:rPr>
          <w:rFonts w:hint="eastAsia"/>
        </w:rPr>
      </w:pPr>
      <w:r>
        <w:rPr>
          <w:rFonts w:hint="eastAsia"/>
          <w:b/>
          <w:bCs/>
        </w:rPr>
        <w:t>7.4.4.9 收入/（损失）的确认和计量</w:t>
      </w:r>
    </w:p>
    <w:p>
      <w:pPr>
        <w:pStyle w:val="19"/>
        <w:rPr>
          <w:rFonts w:hint="eastAsia"/>
        </w:rPr>
      </w:pPr>
      <w:r>
        <w:rPr>
          <w:rFonts w:hint="eastAsia"/>
        </w:rPr>
        <w:t>  债券投资收益按相关金融资产于处置日成交金额与其成本的差额确认。</w:t>
      </w:r>
      <w:r>
        <w:rPr>
          <w:rFonts w:hint="eastAsia"/>
        </w:rPr>
        <w:br w:type="textWrapping"/>
      </w:r>
      <w:r>
        <w:rPr>
          <w:rFonts w:hint="eastAsia"/>
        </w:rPr>
        <w:t>  债券利息收入按债券投资的票面价值与票面利率计算的金额扣除应由发行债券的企业代扣代缴的个人所得税 (如适用) 后的净额确认，在债券实际持有期内逐日计提。贴息债视同到期一次性还本付息的附息债，根据其发行价、到期价和发行期限按直线法推算内含票面利率后，逐日计提利息收入。如票面利率与实际利率出现重大差异，按实际利率计算利息收入。</w:t>
      </w:r>
      <w:r>
        <w:rPr>
          <w:rFonts w:hint="eastAsia"/>
        </w:rPr>
        <w:br w:type="textWrapping"/>
      </w:r>
      <w:r>
        <w:rPr>
          <w:rFonts w:hint="eastAsia"/>
        </w:rPr>
        <w:t>  利息收入是按借出货币资金的时间和实际利率计算确定。</w:t>
      </w:r>
      <w:r>
        <w:rPr>
          <w:rFonts w:hint="eastAsia"/>
        </w:rPr>
        <w:br w:type="textWrapping"/>
      </w:r>
      <w:r>
        <w:rPr>
          <w:rFonts w:hint="eastAsia"/>
        </w:rPr>
        <w:t>  买入返售金融资产收入按到期应收或实际收到的金额与初始确认金额的差额，在回购期内按实际利率法逐日确认，直线法与实际利率法确定的收入差异较小的可采用直线法。</w:t>
      </w:r>
      <w:r>
        <w:rPr>
          <w:rFonts w:hint="eastAsia"/>
        </w:rPr>
        <w:br w:type="textWrapping"/>
      </w:r>
      <w:r>
        <w:rPr>
          <w:rFonts w:hint="eastAsia"/>
        </w:rPr>
        <w:t>  公允价值变动收益 / (损失) 核算基金持有的采用公允价值模式计量的以公允价值计量且变动计入当期损益的金融资产、衍生金融资产、以公允价值计量且变动计入当期损益的金融负债等公允价值变动形成的应计入当期损益的利得或损失。</w:t>
      </w:r>
    </w:p>
    <w:p>
      <w:pPr>
        <w:widowControl/>
        <w:jc w:val="left"/>
        <w:rPr>
          <w:rFonts w:hint="eastAsia" w:ascii="宋体" w:hAnsi="宋体" w:cs="宋体"/>
          <w:kern w:val="0"/>
          <w:sz w:val="24"/>
          <w:szCs w:val="24"/>
        </w:rPr>
      </w:pPr>
    </w:p>
    <w:p>
      <w:pPr>
        <w:pStyle w:val="14"/>
        <w:rPr>
          <w:rFonts w:hint="eastAsia"/>
        </w:rPr>
      </w:pPr>
      <w:r>
        <w:rPr>
          <w:rFonts w:hint="eastAsia"/>
          <w:b/>
          <w:bCs/>
        </w:rPr>
        <w:t>7.4.4.10 费用的确认和计量</w:t>
      </w:r>
    </w:p>
    <w:p>
      <w:pPr>
        <w:pStyle w:val="19"/>
        <w:rPr>
          <w:rFonts w:hint="eastAsia"/>
        </w:rPr>
      </w:pPr>
      <w:r>
        <w:rPr>
          <w:rFonts w:hint="eastAsia"/>
        </w:rPr>
        <w:t>  本基金的管理人报酬和托管费在费用涵盖期间按基金合同约定的费率和计算方法逐日确认。</w:t>
      </w:r>
      <w:r>
        <w:rPr>
          <w:rFonts w:hint="eastAsia"/>
        </w:rPr>
        <w:br w:type="textWrapping"/>
      </w:r>
      <w:r>
        <w:rPr>
          <w:rFonts w:hint="eastAsia"/>
        </w:rPr>
        <w:t>  本基金的交易费用于进行债券交易发生时按照确定的金额确认。</w:t>
      </w:r>
      <w:r>
        <w:rPr>
          <w:rFonts w:hint="eastAsia"/>
        </w:rPr>
        <w:br w:type="textWrapping"/>
      </w:r>
      <w:r>
        <w:rPr>
          <w:rFonts w:hint="eastAsia"/>
        </w:rPr>
        <w:t>  本基金的利息支出按资金的本金和适用利率逐日计提。</w:t>
      </w:r>
      <w:r>
        <w:rPr>
          <w:rFonts w:hint="eastAsia"/>
        </w:rPr>
        <w:br w:type="textWrapping"/>
      </w:r>
      <w:r>
        <w:rPr>
          <w:rFonts w:hint="eastAsia"/>
        </w:rPr>
        <w:t>  卖出回购金融资产利息支出按到期应付或实际支付的金额与初始确认金额的差额，在回购期内以实际利率法逐日确认，直线法与实际利率法确定的支出差异较小的可采用直线法。</w:t>
      </w:r>
      <w:r>
        <w:rPr>
          <w:rFonts w:hint="eastAsia"/>
        </w:rPr>
        <w:br w:type="textWrapping"/>
      </w:r>
      <w:r>
        <w:rPr>
          <w:rFonts w:hint="eastAsia"/>
        </w:rPr>
        <w:t>  本基金的其他费用如不影响估值日基金份额净值小数点后第四位，发生时直接计入基金损益；如果影响基金份额净值小数点后第四位的，应采用待摊或预提的方法，待摊或预提计入基金损益。</w:t>
      </w:r>
    </w:p>
    <w:p>
      <w:pPr>
        <w:widowControl/>
        <w:jc w:val="left"/>
        <w:rPr>
          <w:rFonts w:hint="eastAsia" w:ascii="宋体" w:hAnsi="宋体" w:cs="宋体"/>
          <w:kern w:val="0"/>
          <w:sz w:val="24"/>
          <w:szCs w:val="24"/>
        </w:rPr>
      </w:pPr>
    </w:p>
    <w:p>
      <w:pPr>
        <w:pStyle w:val="14"/>
        <w:rPr>
          <w:rFonts w:hint="eastAsia"/>
        </w:rPr>
      </w:pPr>
      <w:r>
        <w:rPr>
          <w:rFonts w:hint="eastAsia"/>
          <w:b/>
          <w:bCs/>
        </w:rPr>
        <w:t>7.4.4.11 基金的收益分配政策</w:t>
      </w:r>
    </w:p>
    <w:p>
      <w:pPr>
        <w:pStyle w:val="19"/>
        <w:rPr>
          <w:rFonts w:hint="eastAsia"/>
        </w:rPr>
      </w:pPr>
      <w:r>
        <w:rPr>
          <w:rFonts w:hint="eastAsia"/>
        </w:rPr>
        <w:t>  本基金的收益分配政策为：</w:t>
      </w:r>
      <w:r>
        <w:rPr>
          <w:rFonts w:hint="eastAsia"/>
        </w:rPr>
        <w:br w:type="textWrapping"/>
      </w:r>
      <w:r>
        <w:rPr>
          <w:rFonts w:hint="eastAsia"/>
        </w:rPr>
        <w:t>  1、本基金收益分配方式分两种：现金分红与红利再投资，投资者可选择现金红利或将现金红利自动转为基金份额进行再投资；若投资者不选择，本基金默认的收益分配方式是现金分红；</w:t>
      </w:r>
      <w:r>
        <w:rPr>
          <w:rFonts w:hint="eastAsia"/>
        </w:rPr>
        <w:br w:type="textWrapping"/>
      </w:r>
      <w:r>
        <w:rPr>
          <w:rFonts w:hint="eastAsia"/>
        </w:rPr>
        <w:t>  2、基金收益分配后基金份额净值不能低于面值；即基金收益分配基准日的基金份额净值减去每单位基金份额收益分配金额后不能低于面值；</w:t>
      </w:r>
      <w:r>
        <w:rPr>
          <w:rFonts w:hint="eastAsia"/>
        </w:rPr>
        <w:br w:type="textWrapping"/>
      </w:r>
      <w:r>
        <w:rPr>
          <w:rFonts w:hint="eastAsia"/>
        </w:rPr>
        <w:t>  3、每一基金份额享有同等分配权；</w:t>
      </w:r>
      <w:r>
        <w:rPr>
          <w:rFonts w:hint="eastAsia"/>
        </w:rPr>
        <w:br w:type="textWrapping"/>
      </w:r>
      <w:r>
        <w:rPr>
          <w:rFonts w:hint="eastAsia"/>
        </w:rPr>
        <w:t>  4、在对基金份额持有人利益无实质不利影响的前提下，基金管理人与基金托管人协商一致后可调整基金收益的分配原则和支付方式，不需召开基金份额持有人大会审议；</w:t>
      </w:r>
      <w:r>
        <w:rPr>
          <w:rFonts w:hint="eastAsia"/>
        </w:rPr>
        <w:br w:type="textWrapping"/>
      </w:r>
      <w:r>
        <w:rPr>
          <w:rFonts w:hint="eastAsia"/>
        </w:rPr>
        <w:t>  5、法律法规或监管机关另有规定的，从其规定。</w:t>
      </w:r>
    </w:p>
    <w:p>
      <w:pPr>
        <w:widowControl/>
        <w:jc w:val="left"/>
        <w:rPr>
          <w:rFonts w:hint="eastAsia" w:ascii="宋体" w:hAnsi="宋体" w:cs="宋体"/>
          <w:kern w:val="0"/>
          <w:sz w:val="24"/>
          <w:szCs w:val="24"/>
        </w:rPr>
      </w:pPr>
    </w:p>
    <w:p>
      <w:pPr>
        <w:pStyle w:val="14"/>
        <w:rPr>
          <w:rFonts w:hint="eastAsia"/>
        </w:rPr>
      </w:pPr>
      <w:r>
        <w:rPr>
          <w:rFonts w:hint="eastAsia"/>
          <w:b/>
          <w:bCs/>
        </w:rPr>
        <w:t>7.4.4.12 分部报告</w:t>
      </w:r>
    </w:p>
    <w:p>
      <w:pPr>
        <w:pStyle w:val="19"/>
        <w:rPr>
          <w:rFonts w:hint="eastAsia"/>
        </w:rPr>
      </w:pPr>
      <w:r>
        <w:rPr>
          <w:rFonts w:hint="eastAsia"/>
        </w:rPr>
        <w:t>  本基金以内部组织结构、管理要求、内部报告制度为依据确定经营分部，以经营分部为基础确定报告分部。</w:t>
      </w:r>
      <w:r>
        <w:rPr>
          <w:rFonts w:hint="eastAsia"/>
        </w:rPr>
        <w:br w:type="textWrapping"/>
      </w:r>
      <w:r>
        <w:rPr>
          <w:rFonts w:hint="eastAsia"/>
        </w:rPr>
        <w:t>  本基金目前以一个经营分部运作，不需要进行分部报告的披露。</w:t>
      </w:r>
    </w:p>
    <w:p>
      <w:pPr>
        <w:widowControl/>
        <w:jc w:val="left"/>
        <w:rPr>
          <w:rFonts w:hint="eastAsia" w:ascii="宋体" w:hAnsi="宋体" w:cs="宋体"/>
          <w:kern w:val="0"/>
          <w:sz w:val="24"/>
          <w:szCs w:val="24"/>
        </w:rPr>
      </w:pPr>
    </w:p>
    <w:p>
      <w:pPr>
        <w:pStyle w:val="14"/>
        <w:rPr>
          <w:rFonts w:hint="eastAsia"/>
        </w:rPr>
      </w:pPr>
      <w:r>
        <w:rPr>
          <w:rFonts w:hint="eastAsia"/>
          <w:b/>
          <w:bCs/>
        </w:rPr>
        <w:t>7.4.4.13 其他重要的会计政策和会计估计</w:t>
      </w:r>
    </w:p>
    <w:p>
      <w:pPr>
        <w:pStyle w:val="19"/>
        <w:rPr>
          <w:rFonts w:hint="eastAsia"/>
        </w:rPr>
      </w:pPr>
      <w:r>
        <w:rPr>
          <w:rFonts w:hint="eastAsia"/>
        </w:rPr>
        <w:t>  对于证券交易所上市的股票，若出现重大事项停牌或交易不活跃 (包括涨跌停时的交易不活跃) 等情况，本基金根据中国证监会公告 [2017]13 号《中国证券监督管理委员会关于证券投资基金估值业务的指导意见》，根据具体情况采用《关于发布中基协 (AMAC) 基金行业股票估值指数的通知》提供的指数收益法、市盈率法、现金流量折现法等估值技术进行估值。</w:t>
      </w:r>
      <w:r>
        <w:rPr>
          <w:rFonts w:hint="eastAsia"/>
        </w:rPr>
        <w:br w:type="textWrapping"/>
      </w:r>
      <w:r>
        <w:rPr>
          <w:rFonts w:hint="eastAsia"/>
        </w:rPr>
        <w:t>  对于在发行时明确一定期限限售期的股票，包括但不限于非公开发行股票、首次公开发行股票时公司股东公开发售股份、通过大宗交易取得的带限售期的股票等，不包括停牌、新发行未上市、回购交易中的质押券等流通受限股票，根据中基协发[2017]6号《关于发布 &lt; 证券投资基金投资流通受限股票估值指引 (试行) &gt; 的通知》，在估值日按照流通受限股票计算公式确定估值日流通受限股票的价值。</w:t>
      </w:r>
      <w:r>
        <w:rPr>
          <w:rFonts w:hint="eastAsia"/>
        </w:rPr>
        <w:br w:type="textWrapping"/>
      </w:r>
      <w:r>
        <w:rPr>
          <w:rFonts w:hint="eastAsia"/>
        </w:rPr>
        <w:t>  根据《中国证券投资基金业协会估值核算工作小组关于2015年1季度固定收益品种的估值处理标准》，在上海证券交易所、深圳证券交易所及银行间同业市场上市交易或挂牌转让的固定收益品种 (估值处理标准另有规定的除外)，采用第三方估值机构提供的价格数据进行估值。</w:t>
      </w:r>
    </w:p>
    <w:p>
      <w:pPr>
        <w:widowControl/>
        <w:jc w:val="left"/>
        <w:rPr>
          <w:rFonts w:hint="eastAsia" w:ascii="宋体" w:hAnsi="宋体" w:cs="宋体"/>
          <w:kern w:val="0"/>
          <w:sz w:val="24"/>
          <w:szCs w:val="24"/>
        </w:rPr>
      </w:pPr>
    </w:p>
    <w:p>
      <w:pPr>
        <w:pStyle w:val="14"/>
        <w:rPr>
          <w:rFonts w:hint="eastAsia"/>
        </w:rPr>
      </w:pPr>
      <w:r>
        <w:rPr>
          <w:rFonts w:hint="eastAsia"/>
          <w:b/>
          <w:bCs/>
        </w:rPr>
        <w:t>7.4.5 会计政策和会计估计变更以及差错更正的说明</w:t>
      </w:r>
    </w:p>
    <w:p>
      <w:pPr>
        <w:pStyle w:val="14"/>
        <w:rPr>
          <w:rFonts w:hint="eastAsia"/>
        </w:rPr>
      </w:pPr>
      <w:r>
        <w:rPr>
          <w:rFonts w:hint="eastAsia"/>
          <w:b/>
          <w:bCs/>
        </w:rPr>
        <w:t>7.4.5.1 会计政策变更的说明</w:t>
      </w:r>
    </w:p>
    <w:p>
      <w:pPr>
        <w:pStyle w:val="19"/>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4"/>
        <w:rPr>
          <w:rFonts w:hint="eastAsia"/>
        </w:rPr>
      </w:pPr>
      <w:r>
        <w:rPr>
          <w:rFonts w:hint="eastAsia"/>
          <w:b/>
          <w:bCs/>
        </w:rPr>
        <w:t>7.4.5.2 会计估计变更的说明</w:t>
      </w:r>
    </w:p>
    <w:p>
      <w:pPr>
        <w:pStyle w:val="19"/>
        <w:rPr>
          <w:rFonts w:hint="eastAsia"/>
        </w:rPr>
      </w:pPr>
      <w:r>
        <w:rPr>
          <w:rFonts w:hint="eastAsia"/>
        </w:rPr>
        <w:t>  本基金在本报告期内未发生重大会计估计变更。</w:t>
      </w:r>
    </w:p>
    <w:p>
      <w:pPr>
        <w:widowControl/>
        <w:jc w:val="left"/>
        <w:rPr>
          <w:rFonts w:hint="eastAsia" w:ascii="宋体" w:hAnsi="宋体" w:cs="宋体"/>
          <w:kern w:val="0"/>
          <w:sz w:val="24"/>
          <w:szCs w:val="24"/>
        </w:rPr>
      </w:pPr>
    </w:p>
    <w:p>
      <w:pPr>
        <w:pStyle w:val="14"/>
        <w:rPr>
          <w:rFonts w:hint="eastAsia"/>
        </w:rPr>
      </w:pPr>
      <w:r>
        <w:rPr>
          <w:rFonts w:hint="eastAsia"/>
          <w:b/>
          <w:bCs/>
        </w:rPr>
        <w:t>7.4.5.3 差错更正的说明</w:t>
      </w:r>
    </w:p>
    <w:p>
      <w:pPr>
        <w:pStyle w:val="19"/>
        <w:rPr>
          <w:rFonts w:hint="eastAsia"/>
        </w:rPr>
      </w:pPr>
      <w:r>
        <w:rPr>
          <w:rFonts w:hint="eastAsia"/>
        </w:rPr>
        <w:t>  本基金在本报告期内未发生重大会计差错更正。</w:t>
      </w:r>
    </w:p>
    <w:p>
      <w:pPr>
        <w:widowControl/>
        <w:jc w:val="left"/>
        <w:rPr>
          <w:rFonts w:hint="eastAsia" w:ascii="宋体" w:hAnsi="宋体" w:cs="宋体"/>
          <w:kern w:val="0"/>
          <w:sz w:val="24"/>
          <w:szCs w:val="24"/>
        </w:rPr>
      </w:pPr>
    </w:p>
    <w:p>
      <w:pPr>
        <w:pStyle w:val="14"/>
        <w:rPr>
          <w:rFonts w:hint="eastAsia"/>
        </w:rPr>
      </w:pPr>
      <w:r>
        <w:rPr>
          <w:rFonts w:hint="eastAsia"/>
          <w:b/>
          <w:bCs/>
        </w:rPr>
        <w:t>7.4.6 税项</w:t>
      </w:r>
    </w:p>
    <w:p>
      <w:pPr>
        <w:pStyle w:val="19"/>
        <w:rPr>
          <w:rFonts w:hint="eastAsia"/>
        </w:rPr>
      </w:pPr>
      <w:r>
        <w:rPr>
          <w:rFonts w:hint="eastAsia"/>
        </w:rPr>
        <w:t>  根据财税[2004]78号文《关于证券投资基金税收政策的通知》、财税[2012]85号文《财政部、国家税务总局、证监会关于实施上市公司股息红利差别化个人所得税政策有关问题的通知》、财税[2015]101号《财政部 国家税务总局 证监会关于上市公司股息红利差别化个人所得税政策有关问题的通知》、财税[2005]103号文《关于股权分置试点改革有关税收政策问题的通知》、上证交字[2008]16号《关于做好调整证券交易印花税税率相关工作的通知》及深圳证券交易所于2008年9月18日发布的《深圳证券交易所关于做好证券交易印花税征收方式调整工作的通知》、财税 [2008]1号文《财政部、国家税务总局关于企业所得税若干优惠政策的通知》、财税[2016]36号文《财政部、国家税务总局关于全面推开营业税改征增值税试点的通知》、财税[2016]140号文《关于明确金融、房地产开发、教育辅助服务等增值税政策的通知》、财税[2017]2号文《关于资管产品增值税政策有关问题的补充通知》、财税[2015] 125号文《关于内地与香港基金互认有关税收政策的通知》、财税[2017] 56号《关于资管产品增值税有关问题的通知》及其他相关税务法规和实务操作，本基金适用的主要税项列示如下：</w:t>
      </w:r>
      <w:r>
        <w:rPr>
          <w:rFonts w:hint="eastAsia"/>
        </w:rPr>
        <w:br w:type="textWrapping"/>
      </w:r>
      <w:r>
        <w:rPr>
          <w:rFonts w:hint="eastAsia"/>
        </w:rPr>
        <w:t>  (a)证券投资基金管理人运用基金买卖股票、债券的差价收入暂免征收营业税和企业所得税。</w:t>
      </w:r>
      <w:r>
        <w:rPr>
          <w:rFonts w:hint="eastAsia"/>
        </w:rPr>
        <w:br w:type="textWrapping"/>
      </w:r>
      <w:r>
        <w:rPr>
          <w:rFonts w:hint="eastAsia"/>
        </w:rPr>
        <w:t xml:space="preserve">  (b)自2016年5月1日起，在全国范围内全面推开营业税改征增值税（以下称营改增）试点, 建筑业、房地产业、金融业、生活服务业等全部营业税纳税人, 纳入试点范围，由缴纳营业税改为缴纳增值税。 </w:t>
      </w:r>
      <w:r>
        <w:rPr>
          <w:rFonts w:hint="eastAsia"/>
        </w:rPr>
        <w:br w:type="textWrapping"/>
      </w:r>
      <w:r>
        <w:rPr>
          <w:rFonts w:hint="eastAsia"/>
        </w:rPr>
        <w:t>  2018年1月1日（含）以后，资管产品管理人（以下称管理人）运营基金过程中发生的增值税应税行为，以管理人为增值税纳税人，暂适用简易计税方法，按照3%的征收率缴纳增值税。对基金在2018年1月1日前运营过程中发生的增值税应税行为，未缴纳增值税的，不再缴纳；已缴纳增值税的，已纳税额从管理人以后月份的增值税应纳税额中抵减。</w:t>
      </w:r>
      <w:r>
        <w:rPr>
          <w:rFonts w:hint="eastAsia"/>
        </w:rPr>
        <w:br w:type="textWrapping"/>
      </w:r>
      <w:r>
        <w:rPr>
          <w:rFonts w:hint="eastAsia"/>
        </w:rPr>
        <w:t>  证券投资基金管理人运用基金买卖股票、债券收入免征增值税。</w:t>
      </w:r>
      <w:r>
        <w:rPr>
          <w:rFonts w:hint="eastAsia"/>
        </w:rPr>
        <w:br w:type="textWrapping"/>
      </w:r>
      <w:r>
        <w:rPr>
          <w:rFonts w:hint="eastAsia"/>
        </w:rPr>
        <w:t xml:space="preserve">  对香港市场投资者（包括单位和个人）通过基金互认买卖内地基金份额免征增值税。 </w:t>
      </w:r>
      <w:r>
        <w:rPr>
          <w:rFonts w:hint="eastAsia"/>
        </w:rPr>
        <w:br w:type="textWrapping"/>
      </w:r>
      <w:r>
        <w:rPr>
          <w:rFonts w:hint="eastAsia"/>
        </w:rPr>
        <w:t>  (c)基金作为流通股股东在股权分置改革过程中收到由非流通股股东支付的股份、现金对价，暂免征收印花税、企业所得税和个人所得税。</w:t>
      </w:r>
      <w:r>
        <w:rPr>
          <w:rFonts w:hint="eastAsia"/>
        </w:rPr>
        <w:br w:type="textWrapping"/>
      </w:r>
      <w:r>
        <w:rPr>
          <w:rFonts w:hint="eastAsia"/>
        </w:rPr>
        <w:t>  (d)对基金取得的股票的股息、红利收入，由上市公司在向基金支付上述收入时代扣代缴20%的个人所得税。自2013年1月1日起，对所取得的股息红利收入根据持股期限差别化计算个人所得税的应纳税所得额：持股期限在1个月以内（含1个月）的，其股息红利所得全额计入应纳税所得额；持股期限在1个月以上至1年（含1年）的，暂减按50%计入应纳税所得额；持股期限超过1年的，股权登记日为自2013年1月1日起至2015年9月7日期间的，暂减按25%计入应纳税所得额，股权登记日在2015年9月8日及以后的，暂免征收个人所得税。</w:t>
      </w:r>
      <w:r>
        <w:rPr>
          <w:rFonts w:hint="eastAsia"/>
        </w:rPr>
        <w:br w:type="textWrapping"/>
      </w:r>
      <w:r>
        <w:rPr>
          <w:rFonts w:hint="eastAsia"/>
        </w:rPr>
        <w:t>  (e)关于香港市场投资者通过基金互认买卖内地基金份额的所得税问题：</w:t>
      </w:r>
      <w:r>
        <w:rPr>
          <w:rFonts w:hint="eastAsia"/>
        </w:rPr>
        <w:br w:type="textWrapping"/>
      </w:r>
      <w:r>
        <w:rPr>
          <w:rFonts w:hint="eastAsia"/>
        </w:rPr>
        <w:t>  对香港市场投资者（包括企业和个人）通过基金互认买卖内地基金份额取得的转让差价所得，暂免征收所得税。</w:t>
      </w:r>
      <w:r>
        <w:rPr>
          <w:rFonts w:hint="eastAsia"/>
        </w:rPr>
        <w:br w:type="textWrapping"/>
      </w:r>
      <w:r>
        <w:rPr>
          <w:rFonts w:hint="eastAsia"/>
        </w:rPr>
        <w:t>  对香港市场投资者（包括企业和个人）通过基金互认从内地基金分配取得的收益，由内地上市公司向该内地基金分配股息红利时,对香港市场投资者按照10%的税率代扣所得税；或发行债券的企业向该内地基金分配利息时, 对香港市场投资者按照7%的税率代扣所得税，并由内地上市公司或发行债券的企业向其主管税务机关办理扣缴申报。该内地基金向投资者分配收益时,不再扣缴所得税。</w:t>
      </w:r>
      <w:r>
        <w:rPr>
          <w:rFonts w:hint="eastAsia"/>
        </w:rPr>
        <w:br w:type="textWrapping"/>
      </w:r>
      <w:r>
        <w:rPr>
          <w:rFonts w:hint="eastAsia"/>
        </w:rPr>
        <w:t>  内地基金管理人应当向相关证券登记结算机构提供内地基金的香港市场投资者的相关信息。</w:t>
      </w:r>
      <w:r>
        <w:rPr>
          <w:rFonts w:hint="eastAsia"/>
        </w:rPr>
        <w:br w:type="textWrapping"/>
      </w:r>
      <w:r>
        <w:rPr>
          <w:rFonts w:hint="eastAsia"/>
        </w:rPr>
        <w:t>  (f)基金卖出股票按0.1%的税率缴纳股票交易印花税，买入股票不征收股票交易印花税。</w:t>
      </w:r>
      <w:r>
        <w:rPr>
          <w:rFonts w:hint="eastAsia"/>
        </w:rPr>
        <w:br w:type="textWrapping"/>
      </w:r>
      <w:r>
        <w:rPr>
          <w:rFonts w:hint="eastAsia"/>
        </w:rPr>
        <w:t>  (g)对投资者(包括个人和机构投资者)从基金分配中取得的收入，暂不征收企业所得税。</w:t>
      </w:r>
    </w:p>
    <w:p>
      <w:pPr>
        <w:widowControl/>
        <w:jc w:val="left"/>
        <w:rPr>
          <w:rFonts w:hint="eastAsia" w:ascii="宋体" w:hAnsi="宋体" w:cs="宋体"/>
          <w:kern w:val="0"/>
          <w:sz w:val="24"/>
          <w:szCs w:val="24"/>
        </w:rPr>
      </w:pPr>
    </w:p>
    <w:p>
      <w:pPr>
        <w:pStyle w:val="14"/>
        <w:rPr>
          <w:rFonts w:hint="eastAsia"/>
        </w:rPr>
      </w:pPr>
      <w:r>
        <w:rPr>
          <w:rFonts w:hint="eastAsia"/>
          <w:b/>
          <w:bCs/>
        </w:rPr>
        <w:t>7.4.7 重要财务报表项目的说明</w:t>
      </w:r>
    </w:p>
    <w:p>
      <w:pPr>
        <w:pStyle w:val="14"/>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w:t>
            </w:r>
          </w:p>
          <w:p>
            <w:pPr>
              <w:pStyle w:val="17"/>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4,476,587.42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14,337,418.10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4,476,587.42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14,337,418.10</w:t>
            </w:r>
          </w:p>
        </w:tc>
      </w:tr>
    </w:tbl>
    <w:p>
      <w:pPr>
        <w:widowControl/>
        <w:jc w:val="left"/>
        <w:rPr>
          <w:rFonts w:hint="eastAsia" w:ascii="宋体" w:hAnsi="宋体" w:cs="宋体"/>
          <w:kern w:val="0"/>
          <w:sz w:val="24"/>
          <w:szCs w:val="24"/>
        </w:rPr>
      </w:pPr>
    </w:p>
    <w:p>
      <w:pPr>
        <w:pStyle w:val="14"/>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1,561,533,683.38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1,547,791,900.00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-13,741,783.38</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1,561,533,683.38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1,547,791,900.00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-13,741,783.38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25,000,000.00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24,922,500.00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-77,500.00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1,586,533,683.38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1,572,714,400.00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-13,819,283.38</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471,321,194.55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465,686,500.00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-5,634,694.55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471,321,194.55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465,686,500.00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-5,634,694.55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25,000,000.00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24,845,000.00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-155,000.00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496,321,194.55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490,531,500.00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-5,789,694.55</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7.4.7.3 衍生金融资产/负债</w:t>
      </w:r>
    </w:p>
    <w:p>
      <w:pPr>
        <w:pStyle w:val="19"/>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7.4.7.4 买入返售金融资产</w:t>
      </w:r>
    </w:p>
    <w:p>
      <w:pPr>
        <w:pStyle w:val="14"/>
        <w:rPr>
          <w:rFonts w:hint="eastAsia"/>
        </w:rPr>
      </w:pPr>
      <w:r>
        <w:rPr>
          <w:rFonts w:hint="eastAsia"/>
          <w:b/>
          <w:bCs/>
        </w:rPr>
        <w:t>7.4.7.4.1 各项买入返售金融资产期末余额</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3071"/>
        <w:gridCol w:w="4099"/>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40,000,180.00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40,000,180.00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7.4.7.4.2 期末买断式逆回购交易中取得的债券</w:t>
      </w:r>
    </w:p>
    <w:p>
      <w:pPr>
        <w:pStyle w:val="19"/>
        <w:rPr>
          <w:rFonts w:hint="eastAsia"/>
        </w:rPr>
      </w:pPr>
      <w:r>
        <w:rPr>
          <w:rFonts w:hint="eastAsia"/>
        </w:rPr>
        <w:t>本基金于本期末及上年度末均未持有买断式逆回购交易中取得的债券。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7.4.7.5 应收利息</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1,256.04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2,898.95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22,216,391.73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6,717,987.94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54,732.50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166,575.34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166,575.34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22,384,223.11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6,942,194.73</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4"/>
        <w:rPr>
          <w:rFonts w:hint="eastAsia"/>
        </w:rPr>
      </w:pPr>
      <w:r>
        <w:rPr>
          <w:rFonts w:hint="eastAsia"/>
          <w:b/>
          <w:bCs/>
        </w:rPr>
        <w:t>7.4.7.6 其他资产</w:t>
      </w:r>
    </w:p>
    <w:p>
      <w:pPr>
        <w:pStyle w:val="19"/>
        <w:rPr>
          <w:rFonts w:hint="eastAsia"/>
        </w:rPr>
      </w:pPr>
      <w:r>
        <w:rPr>
          <w:rFonts w:hint="eastAsia"/>
        </w:rPr>
        <w:t>本基金本期末及上年度末均未持有其他资产。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7.4.7.7 应付交易费用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12,387.53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2,890.15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12,387.53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2,890.15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7.4.7.8 其他负债</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142,000.00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7.4.7.9 实收基金</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539,931,715.48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539,931,715.48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840,096,648.28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840,096,648.28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-145,948.93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-145,948.93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1,379,882,414.83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1,379,882,414.83</w:t>
            </w:r>
          </w:p>
        </w:tc>
      </w:tr>
    </w:tbl>
    <w:p>
      <w:pPr>
        <w:pStyle w:val="19"/>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4"/>
        <w:rPr>
          <w:rFonts w:hint="eastAsia"/>
        </w:rPr>
      </w:pPr>
      <w:r>
        <w:rPr>
          <w:rFonts w:hint="eastAsia"/>
          <w:b/>
          <w:bCs/>
        </w:rPr>
        <w:t>7.4.7.10 未分配利润</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19,068,846.14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-7,520,656.73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11,548,189.41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52,594,363.62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-8,029,588.83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44,564,774.79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35,335,035.99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-15,274,572.47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20,060,463.52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35,340,177.44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-15,276,357.75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20,063,819.69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-5,141.45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1,785.28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-3,356.17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-73,133,178.21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-73,133,178.21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33,865,067.54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-30,824,818.03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3,040,249.51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上年度可比期间2016年02月26日（基金合同生效日）至2016年12月31日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64,321.47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153,531.77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6,803.39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71,124.86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163,534.06</w:t>
            </w:r>
          </w:p>
        </w:tc>
      </w:tr>
    </w:tbl>
    <w:p>
      <w:pPr>
        <w:widowControl/>
        <w:jc w:val="left"/>
        <w:rPr>
          <w:rFonts w:hint="eastAsia" w:ascii="宋体" w:hAnsi="宋体" w:cs="宋体"/>
          <w:kern w:val="0"/>
          <w:sz w:val="24"/>
          <w:szCs w:val="24"/>
        </w:rPr>
      </w:pPr>
    </w:p>
    <w:p>
      <w:pPr>
        <w:pStyle w:val="14"/>
        <w:rPr>
          <w:rFonts w:hint="eastAsia"/>
        </w:rPr>
      </w:pPr>
      <w:r>
        <w:rPr>
          <w:rFonts w:hint="eastAsia"/>
          <w:b/>
          <w:bCs/>
        </w:rPr>
        <w:t>7.4.7.12 股票投资收益</w:t>
      </w:r>
    </w:p>
    <w:p>
      <w:pPr>
        <w:pStyle w:val="19"/>
        <w:rPr>
          <w:rFonts w:hint="eastAsia"/>
        </w:rPr>
      </w:pPr>
      <w:r>
        <w:rPr>
          <w:rFonts w:hint="eastAsia"/>
        </w:rPr>
        <w:t>本基金本报告期内及上年度可比期间内无股票投资收益。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7.4.7.13 债券投资收益</w:t>
      </w:r>
    </w:p>
    <w:p>
      <w:pPr>
        <w:pStyle w:val="14"/>
        <w:rPr>
          <w:rFonts w:hint="eastAsia"/>
        </w:rPr>
      </w:pPr>
      <w:r>
        <w:rPr>
          <w:rFonts w:hint="eastAsia"/>
          <w:b/>
          <w:bCs/>
        </w:rPr>
        <w:t>7.4.7.13.1 债券投资收益项目构成</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2016年02月26日（基金合同生效日）至2016年12月31日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3,536,033.02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-620,613.29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3,536,033.02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-620,613.29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7.4.7.13.2 债券投资收益——买卖债券差价收入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2016年02月26日（基金合同生效日）至2016年12月31日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1,838,155,576.59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218,162,873.99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1,807,959,160.31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209,857,628.69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26,660,383.26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8,925,858.59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3,536,033.02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-620,613.29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7.4.7.13.3 资产支持证券投资收益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2016年02月26日（基金合同生效日）至2016年12月31日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卖出资产支持证券成交总额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71,200,650.05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减：卖出资产支持证券成本总额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69,959,400.00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1,119,234.80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资产支持证券投资收益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122,015.25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7.4.7.14 衍生工具收益</w:t>
      </w:r>
    </w:p>
    <w:p>
      <w:pPr>
        <w:pStyle w:val="14"/>
        <w:rPr>
          <w:rFonts w:hint="eastAsia"/>
        </w:rPr>
      </w:pPr>
      <w:r>
        <w:rPr>
          <w:rFonts w:hint="eastAsia"/>
          <w:b/>
          <w:bCs/>
        </w:rPr>
        <w:t>7.4.7.14.1 衍生工具收益——买卖权证差价收入</w:t>
      </w:r>
    </w:p>
    <w:p>
      <w:pPr>
        <w:pStyle w:val="19"/>
        <w:rPr>
          <w:rFonts w:hint="eastAsia"/>
        </w:rPr>
      </w:pPr>
      <w:r>
        <w:rPr>
          <w:rFonts w:hint="eastAsia"/>
        </w:rPr>
        <w:t>本基金于本期及上年度可比期间均未发生衍生工具收益。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7.4.7.15 股利收益</w:t>
      </w:r>
    </w:p>
    <w:p>
      <w:pPr>
        <w:pStyle w:val="19"/>
        <w:rPr>
          <w:rFonts w:hint="eastAsia"/>
        </w:rPr>
      </w:pPr>
      <w:r>
        <w:rPr>
          <w:rFonts w:hint="eastAsia"/>
        </w:rPr>
        <w:t>本基金本报告期内无股利收益。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7.4.7.16 公允价值变动收益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2016年02月26日（基金合同生效日）至2016年12月31日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-8,029,588.83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-5,789,694.55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-8,107,088.83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-5,634,694.55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-8,029,588.83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-5,789,694.55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7.4.7.17 其他收入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2016年02月26日（基金合同生效日）至2016年12月31日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99.70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7.4.7.18 交易费用</w:t>
      </w:r>
    </w:p>
    <w:p>
      <w:pPr>
        <w:pStyle w:val="18"/>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2016年02月26日（基金合同生效日）至2016年12月31日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20,144.90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4,982.50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20,144.90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4,982.50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7.4.7.19 其他费用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2016年02月26日（基金合同生效日）至2016年12月31日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18,137.92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6,918.31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208,337.92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167,918.31</w:t>
            </w:r>
          </w:p>
        </w:tc>
      </w:tr>
    </w:tbl>
    <w:p>
      <w:pPr>
        <w:widowControl/>
        <w:jc w:val="left"/>
        <w:rPr>
          <w:rFonts w:hint="eastAsia" w:ascii="宋体" w:hAnsi="宋体" w:cs="宋体"/>
          <w:kern w:val="0"/>
          <w:sz w:val="24"/>
          <w:szCs w:val="24"/>
        </w:rPr>
      </w:pPr>
    </w:p>
    <w:p>
      <w:pPr>
        <w:pStyle w:val="14"/>
        <w:rPr>
          <w:rFonts w:hint="eastAsia"/>
        </w:rPr>
      </w:pPr>
      <w:r>
        <w:rPr>
          <w:rFonts w:hint="eastAsia"/>
          <w:b/>
          <w:bCs/>
        </w:rPr>
        <w:t>7.4.8 或有事项、资产负债表日后事项的说明</w:t>
      </w:r>
    </w:p>
    <w:p>
      <w:pPr>
        <w:pStyle w:val="14"/>
        <w:rPr>
          <w:rFonts w:hint="eastAsia"/>
        </w:rPr>
      </w:pPr>
      <w:r>
        <w:rPr>
          <w:rFonts w:hint="eastAsia"/>
          <w:b/>
          <w:bCs/>
        </w:rPr>
        <w:t>7.4.8.1 或有事项</w:t>
      </w:r>
    </w:p>
    <w:p>
      <w:pPr>
        <w:pStyle w:val="19"/>
        <w:rPr>
          <w:rFonts w:hint="eastAsia"/>
        </w:rPr>
      </w:pPr>
      <w:r>
        <w:rPr>
          <w:rFonts w:hint="eastAsia"/>
        </w:rPr>
        <w:t>  截至资产负债表日，本基金无须作披露的或有事项。</w:t>
      </w:r>
    </w:p>
    <w:p>
      <w:pPr>
        <w:widowControl/>
        <w:jc w:val="left"/>
        <w:rPr>
          <w:rFonts w:hint="eastAsia" w:ascii="宋体" w:hAnsi="宋体" w:cs="宋体"/>
          <w:kern w:val="0"/>
          <w:sz w:val="24"/>
          <w:szCs w:val="24"/>
        </w:rPr>
      </w:pPr>
    </w:p>
    <w:p>
      <w:pPr>
        <w:pStyle w:val="14"/>
        <w:rPr>
          <w:rFonts w:hint="eastAsia"/>
        </w:rPr>
      </w:pPr>
      <w:r>
        <w:rPr>
          <w:rFonts w:hint="eastAsia"/>
          <w:b/>
          <w:bCs/>
        </w:rPr>
        <w:t>7.4.8.2 资产负债表日后事项</w:t>
      </w:r>
    </w:p>
    <w:p>
      <w:pPr>
        <w:pStyle w:val="19"/>
        <w:rPr>
          <w:rFonts w:hint="eastAsia"/>
        </w:rPr>
      </w:pPr>
      <w:r>
        <w:rPr>
          <w:rFonts w:hint="eastAsia"/>
        </w:rPr>
        <w:t>  截至本财务报表批准报出日，本基金无须作披露的资产负债表日后事项。</w:t>
      </w:r>
    </w:p>
    <w:p>
      <w:pPr>
        <w:widowControl/>
        <w:jc w:val="left"/>
        <w:rPr>
          <w:rFonts w:hint="eastAsia" w:ascii="宋体" w:hAnsi="宋体" w:cs="宋体"/>
          <w:kern w:val="0"/>
          <w:sz w:val="24"/>
          <w:szCs w:val="24"/>
        </w:rPr>
      </w:pPr>
    </w:p>
    <w:p>
      <w:pPr>
        <w:pStyle w:val="14"/>
        <w:rPr>
          <w:rFonts w:hint="eastAsia"/>
        </w:rPr>
      </w:pPr>
      <w:r>
        <w:rPr>
          <w:rFonts w:hint="eastAsia"/>
          <w:b/>
          <w:bCs/>
        </w:rPr>
        <w:t>7.4.9 关联方关系</w:t>
      </w:r>
    </w:p>
    <w:p>
      <w:pPr>
        <w:pStyle w:val="19"/>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4"/>
        <w:rPr>
          <w:rFonts w:hint="eastAsia"/>
        </w:rPr>
      </w:pPr>
      <w:r>
        <w:rPr>
          <w:rFonts w:hint="eastAsia"/>
          <w:b/>
          <w:bCs/>
        </w:rPr>
        <w:t>7.4.10 本报告期及上年度可比期间的关联方交易</w:t>
      </w:r>
    </w:p>
    <w:p>
      <w:pPr>
        <w:pStyle w:val="14"/>
        <w:rPr>
          <w:rFonts w:hint="eastAsia"/>
        </w:rPr>
      </w:pPr>
      <w:r>
        <w:rPr>
          <w:rFonts w:hint="eastAsia"/>
          <w:b/>
          <w:bCs/>
        </w:rPr>
        <w:t>7.4.10.1 通过关联方交易单元进行的交易</w:t>
      </w:r>
    </w:p>
    <w:p>
      <w:pPr>
        <w:pStyle w:val="14"/>
        <w:rPr>
          <w:rFonts w:hint="eastAsia"/>
        </w:rPr>
      </w:pPr>
      <w:r>
        <w:rPr>
          <w:rFonts w:hint="eastAsia"/>
          <w:b/>
          <w:bCs/>
        </w:rPr>
        <w:t>7.4.10.1.1 股票交易</w:t>
      </w:r>
    </w:p>
    <w:p>
      <w:pPr>
        <w:pStyle w:val="19"/>
        <w:rPr>
          <w:rFonts w:hint="eastAsia"/>
        </w:rPr>
      </w:pPr>
      <w:r>
        <w:rPr>
          <w:rFonts w:hint="eastAsia"/>
        </w:rPr>
        <w:t>本基金本报告期内及上年度可比期间内无通过关联方交易单元进行的股票交易。</w:t>
      </w:r>
    </w:p>
    <w:p>
      <w:pPr>
        <w:widowControl/>
        <w:jc w:val="left"/>
        <w:rPr>
          <w:rFonts w:hint="eastAsia" w:ascii="宋体" w:hAnsi="宋体" w:cs="宋体"/>
          <w:kern w:val="0"/>
          <w:sz w:val="24"/>
          <w:szCs w:val="24"/>
        </w:rPr>
      </w:pPr>
    </w:p>
    <w:p>
      <w:pPr>
        <w:pStyle w:val="14"/>
        <w:rPr>
          <w:rFonts w:hint="eastAsia"/>
        </w:rPr>
      </w:pPr>
      <w:r>
        <w:rPr>
          <w:rFonts w:hint="eastAsia"/>
          <w:b/>
          <w:bCs/>
        </w:rPr>
        <w:t>7.4.10.1.2 权证交易</w:t>
      </w:r>
    </w:p>
    <w:p>
      <w:pPr>
        <w:pStyle w:val="19"/>
        <w:rPr>
          <w:rFonts w:hint="eastAsia"/>
        </w:rPr>
      </w:pPr>
      <w:r>
        <w:rPr>
          <w:rFonts w:hint="eastAsia"/>
        </w:rPr>
        <w:t>本基金本报告期内及上年度可比期间内未通过关联方交易单元进行权证交易。</w:t>
      </w:r>
    </w:p>
    <w:p>
      <w:pPr>
        <w:widowControl/>
        <w:jc w:val="left"/>
        <w:rPr>
          <w:rFonts w:hint="eastAsia" w:ascii="宋体" w:hAnsi="宋体" w:cs="宋体"/>
          <w:kern w:val="0"/>
          <w:sz w:val="24"/>
          <w:szCs w:val="24"/>
        </w:rPr>
      </w:pPr>
    </w:p>
    <w:p>
      <w:pPr>
        <w:pStyle w:val="14"/>
        <w:rPr>
          <w:rFonts w:hint="eastAsia"/>
        </w:rPr>
      </w:pPr>
      <w:r>
        <w:rPr>
          <w:rFonts w:hint="eastAsia"/>
          <w:b/>
          <w:bCs/>
        </w:rPr>
        <w:t>7.4.10.1.3 应支付关联方的佣金</w:t>
      </w:r>
    </w:p>
    <w:p>
      <w:pPr>
        <w:pStyle w:val="19"/>
        <w:rPr>
          <w:rFonts w:hint="eastAsia"/>
        </w:rPr>
      </w:pPr>
      <w:r>
        <w:rPr>
          <w:rFonts w:hint="eastAsia"/>
        </w:rPr>
        <w:t>本基金本报告期内及上年度可比期间内无应支付关联方的佣金。</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r>
        <w:rPr>
          <w:rFonts w:hint="eastAsia"/>
          <w:b/>
          <w:bCs/>
        </w:rPr>
        <w:t>7.4.10.1.4 债券回购交易</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990"/>
        <w:gridCol w:w="1820"/>
        <w:gridCol w:w="1237"/>
        <w:gridCol w:w="1887"/>
      </w:tblGrid>
      <w:tr>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r>
              <w:rPr>
                <w:rFonts w:hint="eastAsia"/>
              </w:rPr>
              <w:br w:type="textWrapping"/>
            </w:r>
            <w:r>
              <w:rPr>
                <w:rFonts w:hint="eastAsia"/>
              </w:rPr>
              <w:t>2016年02月26日（基金合同生效日）至2016年12月31日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1,762,857,000.00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7.4.10.2 关联方报酬</w:t>
      </w:r>
    </w:p>
    <w:p>
      <w:pPr>
        <w:pStyle w:val="14"/>
        <w:rPr>
          <w:rFonts w:hint="eastAsia"/>
        </w:rPr>
      </w:pPr>
      <w:r>
        <w:rPr>
          <w:rFonts w:hint="eastAsia"/>
          <w:b/>
          <w:bCs/>
        </w:rPr>
        <w:t>7.4.10.2.1 基金管理费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2016年02月26日（基金合同生效日）至2016年12月31日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3,729,990.91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1,195,285.53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156.72</w:t>
            </w:r>
          </w:p>
        </w:tc>
      </w:tr>
    </w:tbl>
    <w:p>
      <w:pPr>
        <w:pStyle w:val="19"/>
        <w:rPr>
          <w:rFonts w:hint="eastAsia"/>
        </w:rPr>
      </w:pPr>
      <w:r>
        <w:rPr>
          <w:rFonts w:hint="eastAsia"/>
        </w:rPr>
        <w:t>注:本基金的管理费按前一日基金资产净值的0.30%年费率计提。管理费的计算方法如下：</w:t>
      </w:r>
      <w:r>
        <w:rPr>
          <w:rFonts w:hint="eastAsia"/>
        </w:rPr>
        <w:br w:type="textWrapping"/>
      </w:r>
      <w:r>
        <w:rPr>
          <w:rFonts w:hint="eastAsia"/>
        </w:rPr>
        <w:t>H＝E×0.30%÷当年天数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7.4.10.2.2 基金托管费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2016年02月26日（基金合同生效日）至2016年12月31日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1,243,330.31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398,428.52</w:t>
            </w:r>
          </w:p>
        </w:tc>
      </w:tr>
    </w:tbl>
    <w:p>
      <w:pPr>
        <w:pStyle w:val="19"/>
        <w:rPr>
          <w:rFonts w:hint="eastAsia"/>
        </w:rPr>
      </w:pPr>
      <w:r>
        <w:rPr>
          <w:rFonts w:hint="eastAsia"/>
        </w:rPr>
        <w:t>注：本基金的托管费按前一日基金资产净值的0.10%的年费率计提。托管费的计算方法如下：</w:t>
      </w:r>
      <w:r>
        <w:rPr>
          <w:rFonts w:hint="eastAsia"/>
        </w:rPr>
        <w:br w:type="textWrapping"/>
      </w:r>
      <w:r>
        <w:rPr>
          <w:rFonts w:hint="eastAsia"/>
        </w:rPr>
        <w:t>H＝E×0.10%÷当年天数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7.4.10.3 与关联方进行银行间同业市场的债券(含回购)交易</w:t>
      </w:r>
    </w:p>
    <w:p>
      <w:pPr>
        <w:pStyle w:val="19"/>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4"/>
        <w:rPr>
          <w:rFonts w:hint="eastAsia"/>
        </w:rPr>
      </w:pPr>
      <w:r>
        <w:rPr>
          <w:rFonts w:hint="eastAsia"/>
          <w:b/>
          <w:bCs/>
        </w:rPr>
        <w:t>7.4.10.4 各关联方投资本基金的情况</w:t>
      </w:r>
    </w:p>
    <w:p>
      <w:pPr>
        <w:pStyle w:val="14"/>
        <w:rPr>
          <w:rFonts w:hint="eastAsia"/>
        </w:rPr>
      </w:pPr>
      <w:r>
        <w:rPr>
          <w:rFonts w:hint="eastAsia"/>
          <w:b/>
          <w:bCs/>
        </w:rPr>
        <w:t>7.4.10.4.1 报告期内基金管理人运用固有资金投资本基金的情况</w:t>
      </w:r>
    </w:p>
    <w:p>
      <w:pPr>
        <w:pStyle w:val="19"/>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7.4.10.4.2 报告期末除基金管理人之外的其他关联方投资本基金的情况</w:t>
      </w:r>
    </w:p>
    <w:p>
      <w:pPr>
        <w:pStyle w:val="19"/>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7.4.10.5 由关联方保管的银行存款余额及当期产生的利息收入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631"/>
        <w:gridCol w:w="1252"/>
        <w:gridCol w:w="1252"/>
        <w:gridCol w:w="2016"/>
        <w:gridCol w:w="1894"/>
      </w:tblGrid>
      <w:tr>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2016年02月26日（基金合同生效日）至2016年12月31日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4,476,587.42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64,321.47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14,337,418.10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153,531.77</w:t>
            </w:r>
          </w:p>
        </w:tc>
      </w:tr>
    </w:tbl>
    <w:p>
      <w:pPr>
        <w:pStyle w:val="19"/>
        <w:rPr>
          <w:rFonts w:hint="eastAsia"/>
        </w:rPr>
      </w:pPr>
      <w:r>
        <w:rPr>
          <w:rFonts w:hint="eastAsia"/>
        </w:rPr>
        <w:t>注：本基金的银行存款由基金托管人招商银行保管,按银行同业存款利率计息。</w:t>
      </w:r>
    </w:p>
    <w:p>
      <w:pPr>
        <w:pStyle w:val="14"/>
        <w:rPr>
          <w:rFonts w:hint="eastAsia"/>
        </w:rPr>
      </w:pPr>
      <w:r>
        <w:rPr>
          <w:rFonts w:hint="eastAsia"/>
          <w:b/>
          <w:bCs/>
        </w:rPr>
        <w:t>7.4.10.6 本基金在承销期内参与关联方承销证券的情况</w:t>
      </w:r>
    </w:p>
    <w:p>
      <w:pPr>
        <w:pStyle w:val="19"/>
        <w:rPr>
          <w:rFonts w:hint="eastAsia"/>
        </w:rPr>
      </w:pPr>
      <w:r>
        <w:rPr>
          <w:rFonts w:hint="eastAsia"/>
        </w:rPr>
        <w:t>本基金本报告期及上年度可比期间均未在承销期内参与关联方承销证券。</w:t>
      </w:r>
    </w:p>
    <w:p>
      <w:pPr>
        <w:pStyle w:val="14"/>
        <w:rPr>
          <w:rFonts w:hint="eastAsia"/>
        </w:rPr>
      </w:pPr>
      <w:r>
        <w:rPr>
          <w:rFonts w:hint="eastAsia"/>
          <w:b/>
          <w:bCs/>
        </w:rPr>
        <w:t>7.4.10.7 其他关联交易事项的说明</w:t>
      </w:r>
    </w:p>
    <w:p>
      <w:pPr>
        <w:pStyle w:val="19"/>
        <w:rPr>
          <w:rFonts w:hint="eastAsia"/>
        </w:rPr>
      </w:pPr>
      <w:r>
        <w:rPr>
          <w:rFonts w:hint="eastAsia"/>
        </w:rPr>
        <w:t>  本基金本报告期及上年度可比期间无需作说明的其他关联交易事项。</w:t>
      </w:r>
    </w:p>
    <w:p>
      <w:pPr>
        <w:pStyle w:val="14"/>
        <w:rPr>
          <w:rFonts w:hint="eastAsia"/>
        </w:rPr>
      </w:pPr>
      <w:r>
        <w:rPr>
          <w:rFonts w:hint="eastAsia"/>
          <w:b/>
          <w:bCs/>
        </w:rPr>
        <w:t>7.4.11 利润分配情况--非货币市场基金</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664"/>
        <w:gridCol w:w="1213"/>
        <w:gridCol w:w="1224"/>
        <w:gridCol w:w="1224"/>
        <w:gridCol w:w="1492"/>
        <w:gridCol w:w="1224"/>
        <w:gridCol w:w="1492"/>
        <w:gridCol w:w="665"/>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权益登记日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除息日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每10份基金</w:t>
            </w:r>
          </w:p>
          <w:p>
            <w:pPr>
              <w:pStyle w:val="17"/>
              <w:wordWrap w:val="0"/>
              <w:rPr>
                <w:rFonts w:hint="eastAsia"/>
              </w:rPr>
            </w:pPr>
            <w:r>
              <w:rPr>
                <w:rFonts w:hint="eastAsia"/>
              </w:rPr>
              <w:t>份额分红数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现金形式</w:t>
            </w:r>
          </w:p>
          <w:p>
            <w:pPr>
              <w:pStyle w:val="17"/>
              <w:wordWrap w:val="0"/>
              <w:rPr>
                <w:rFonts w:hint="eastAsia"/>
              </w:rPr>
            </w:pPr>
            <w:r>
              <w:rPr>
                <w:rFonts w:hint="eastAsia"/>
              </w:rPr>
              <w:t>发放总额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再投资形式发放总额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p>
            <w:pPr>
              <w:pStyle w:val="17"/>
              <w:wordWrap w:val="0"/>
              <w:rPr>
                <w:rFonts w:hint="eastAsia"/>
              </w:rPr>
            </w:pPr>
            <w:r>
              <w:rPr>
                <w:rFonts w:hint="eastAsia"/>
              </w:rPr>
              <w:t>分配合计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2017-03-16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2017-03-16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31,737,004.41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31,737,013.56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2017-06-23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15,178,414.72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15,178,416.91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2017-10-24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2017-10-24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13,798,791.16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13,798,804.00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2017-12-14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2017-12-14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12,418,931.19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12,418,943.74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73,133,141.48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73,133,178.21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bl>
    <w:p>
      <w:pPr>
        <w:pStyle w:val="14"/>
        <w:rPr>
          <w:rFonts w:hint="eastAsia"/>
        </w:rPr>
      </w:pPr>
      <w:r>
        <w:rPr>
          <w:rFonts w:hint="eastAsia"/>
          <w:b/>
          <w:bCs/>
        </w:rPr>
        <w:t>7.4.12 期末（2017年12月31日）本基金持有的流通受限证券</w:t>
      </w:r>
    </w:p>
    <w:p>
      <w:pPr>
        <w:pStyle w:val="14"/>
        <w:rPr>
          <w:rFonts w:hint="eastAsia"/>
        </w:rPr>
      </w:pPr>
      <w:r>
        <w:rPr>
          <w:rFonts w:hint="eastAsia"/>
          <w:b/>
          <w:bCs/>
        </w:rPr>
        <w:t>7.4.12.1 因认购新发/增发证券而于期末持有的流通受限证券</w:t>
      </w:r>
    </w:p>
    <w:p>
      <w:pPr>
        <w:pStyle w:val="19"/>
        <w:rPr>
          <w:rFonts w:hint="eastAsia"/>
        </w:rPr>
      </w:pPr>
      <w:r>
        <w:rPr>
          <w:rFonts w:hint="eastAsia"/>
        </w:rPr>
        <w:t>本基金于本期末未持有因认购新发/增发证券而流通受限的证券。</w:t>
      </w:r>
    </w:p>
    <w:p>
      <w:pPr>
        <w:pStyle w:val="14"/>
        <w:rPr>
          <w:rFonts w:hint="eastAsia"/>
        </w:rPr>
      </w:pPr>
      <w:r>
        <w:rPr>
          <w:rFonts w:hint="eastAsia"/>
          <w:b/>
          <w:bCs/>
        </w:rPr>
        <w:t>7.4.12.2 期末持有的暂时停牌等流通受限股票</w:t>
      </w:r>
    </w:p>
    <w:p>
      <w:pPr>
        <w:pStyle w:val="19"/>
        <w:rPr>
          <w:rFonts w:hint="eastAsia"/>
        </w:rPr>
      </w:pPr>
      <w:r>
        <w:rPr>
          <w:rFonts w:hint="eastAsia"/>
        </w:rPr>
        <w:t>本基金本报告期末未持有股票。</w:t>
      </w:r>
    </w:p>
    <w:p>
      <w:pPr>
        <w:pStyle w:val="14"/>
        <w:rPr>
          <w:rFonts w:hint="eastAsia"/>
        </w:rPr>
      </w:pPr>
      <w:r>
        <w:rPr>
          <w:rFonts w:hint="eastAsia"/>
          <w:b/>
          <w:bCs/>
        </w:rPr>
        <w:t>7.4.12.3 期末债券正回购交易中作为抵押的债券</w:t>
      </w:r>
    </w:p>
    <w:p>
      <w:pPr>
        <w:pStyle w:val="14"/>
        <w:rPr>
          <w:rFonts w:hint="eastAsia"/>
        </w:rPr>
      </w:pPr>
      <w:r>
        <w:rPr>
          <w:rFonts w:hint="eastAsia"/>
          <w:b/>
          <w:bCs/>
        </w:rPr>
        <w:t>7.4.12.3.1 银行间市场债券正回购</w:t>
      </w:r>
    </w:p>
    <w:p>
      <w:pPr>
        <w:widowControl/>
        <w:jc w:val="left"/>
        <w:rPr>
          <w:rFonts w:hint="eastAsia" w:ascii="宋体" w:hAnsi="宋体" w:cs="宋体"/>
          <w:kern w:val="0"/>
          <w:sz w:val="24"/>
          <w:szCs w:val="24"/>
        </w:rPr>
      </w:pPr>
      <w:r>
        <w:rPr>
          <w:rFonts w:hint="eastAsia" w:ascii="宋体" w:hAnsi="宋体" w:cs="宋体"/>
          <w:kern w:val="0"/>
          <w:sz w:val="24"/>
          <w:szCs w:val="24"/>
        </w:rPr>
        <w:t xml:space="preserve">  截至本报告期末2017年12月31日止，本基金从事银行间市场债券正回购交易形成的卖出回购证券款余额215,839,356.24元，是以如下债券作为质押： </w:t>
      </w:r>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1500"/>
        <w:gridCol w:w="1499"/>
        <w:gridCol w:w="1499"/>
        <w:gridCol w:w="1499"/>
        <w:gridCol w:w="1702"/>
        <w:gridCol w:w="1499"/>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回购到期日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期末估值总额</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111795928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17晋城银行CD016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17,127,000.00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041760020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17农四师CP001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39,868,000.00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041754049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17中电熊猫CP002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49,995,000.00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111784800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17龙江银行CD213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47,450,000.00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111785535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17温州银行CD190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47,445,000.00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170204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17国开04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15,968,000.00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2,240,000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217,853,000.00</w:t>
            </w:r>
          </w:p>
        </w:tc>
      </w:tr>
    </w:tbl>
    <w:p>
      <w:pPr>
        <w:pStyle w:val="14"/>
        <w:rPr>
          <w:rFonts w:hint="eastAsia"/>
        </w:rPr>
      </w:pPr>
      <w:r>
        <w:rPr>
          <w:rFonts w:hint="eastAsia"/>
          <w:b/>
          <w:bCs/>
        </w:rPr>
        <w:t>7.4.12.3.2 交易所市场债券正回购</w:t>
      </w:r>
    </w:p>
    <w:p>
      <w:pPr>
        <w:pStyle w:val="19"/>
        <w:rPr>
          <w:rFonts w:hint="eastAsia"/>
        </w:rPr>
      </w:pPr>
      <w:r>
        <w:rPr>
          <w:rFonts w:hint="eastAsia"/>
        </w:rPr>
        <w:t>  截至本报告期末2017年12月31日止，本基金从事交易所债券正回购交易形成的卖出回购证券款余额为0，无抵押债券。</w:t>
      </w:r>
    </w:p>
    <w:p>
      <w:pPr>
        <w:pStyle w:val="14"/>
        <w:rPr>
          <w:rFonts w:hint="eastAsia"/>
        </w:rPr>
      </w:pPr>
      <w:r>
        <w:rPr>
          <w:rFonts w:hint="eastAsia"/>
          <w:b/>
          <w:bCs/>
        </w:rPr>
        <w:t>7.4.13 金融工具风险及管理</w:t>
      </w:r>
    </w:p>
    <w:p>
      <w:pPr>
        <w:pStyle w:val="14"/>
        <w:rPr>
          <w:rFonts w:hint="eastAsia"/>
        </w:rPr>
      </w:pPr>
      <w:r>
        <w:rPr>
          <w:rFonts w:hint="eastAsia"/>
          <w:b/>
          <w:bCs/>
        </w:rPr>
        <w:t>7.4.13.1 风险管理政策和组织架构</w:t>
      </w:r>
    </w:p>
    <w:p>
      <w:pPr>
        <w:pStyle w:val="19"/>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4"/>
        <w:rPr>
          <w:rFonts w:hint="eastAsia"/>
        </w:rPr>
      </w:pPr>
      <w:r>
        <w:rPr>
          <w:rFonts w:hint="eastAsia"/>
          <w:b/>
          <w:bCs/>
        </w:rPr>
        <w:t>7.4.13.2 信用风险</w:t>
      </w:r>
    </w:p>
    <w:p>
      <w:pPr>
        <w:pStyle w:val="19"/>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p>
    <w:p>
      <w:pPr>
        <w:pStyle w:val="14"/>
        <w:rPr>
          <w:rFonts w:hint="eastAsia"/>
        </w:rPr>
      </w:pPr>
      <w:r>
        <w:rPr>
          <w:rFonts w:hint="eastAsia"/>
          <w:b/>
          <w:bCs/>
        </w:rPr>
        <w:t>7.4.13.2.1 按短期信用评级列示的债券投资</w:t>
      </w:r>
    </w:p>
    <w:p>
      <w:pPr>
        <w:pStyle w:val="23"/>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200,295,000.00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981,259,800.00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29,955,000.00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1,181,554,800.00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29,955,000.00</w:t>
            </w:r>
          </w:p>
        </w:tc>
      </w:tr>
    </w:tbl>
    <w:p>
      <w:pPr>
        <w:pStyle w:val="19"/>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4"/>
        <w:rPr>
          <w:rFonts w:hint="eastAsia"/>
        </w:rPr>
      </w:pPr>
      <w:r>
        <w:rPr>
          <w:rFonts w:hint="eastAsia"/>
          <w:b/>
          <w:bCs/>
        </w:rPr>
        <w:t>7.4.13.2.2 按长期信用评级列示的债券投资</w:t>
      </w:r>
    </w:p>
    <w:p>
      <w:pPr>
        <w:pStyle w:val="24"/>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391,159,600.00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460,576,500.00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391,159,600.00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460,576,500.00</w:t>
            </w:r>
          </w:p>
        </w:tc>
      </w:tr>
    </w:tbl>
    <w:p>
      <w:pPr>
        <w:pStyle w:val="19"/>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4"/>
        <w:rPr>
          <w:rFonts w:hint="eastAsia"/>
        </w:rPr>
      </w:pPr>
      <w:r>
        <w:rPr>
          <w:rFonts w:hint="eastAsia"/>
          <w:b/>
          <w:bCs/>
        </w:rPr>
        <w:t>7.4.13.3 流动性风险</w:t>
      </w:r>
    </w:p>
    <w:p>
      <w:pPr>
        <w:pStyle w:val="19"/>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除卖出回购金融资产款余额中有215839356.24元将在1个月以内到期且计息(该利息金额不重大)外，本基金所承担的其他金融负债的合约约定到期日均为一个月以内且不计息，可赎回基金份额净值(所有者权益)无固定到期日且不计息，因此账面余额约为未折现的合约到期现金流量。</w:t>
      </w:r>
    </w:p>
    <w:p>
      <w:pPr>
        <w:pStyle w:val="14"/>
        <w:rPr>
          <w:rFonts w:hint="eastAsia"/>
        </w:rPr>
      </w:pPr>
      <w:r>
        <w:rPr>
          <w:rFonts w:hint="eastAsia"/>
          <w:b/>
          <w:bCs/>
        </w:rPr>
        <w:t>7.4.13.3.1 金融资产和金融负债的到期期限分析</w:t>
      </w:r>
    </w:p>
    <w:p>
      <w:pPr>
        <w:pStyle w:val="19"/>
        <w:rPr>
          <w:rFonts w:hint="eastAsia"/>
        </w:rPr>
      </w:pPr>
      <w:r>
        <w:rPr>
          <w:rFonts w:hint="eastAsia"/>
        </w:rPr>
        <w:t>注：无。</w:t>
      </w:r>
    </w:p>
    <w:p>
      <w:pPr>
        <w:pStyle w:val="14"/>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1574484879.15元，超过经确认的当日净赎回金额。于2017年12月31日，本基金持有的流动性受限资产的估值占基金资产净值的比例为1.80%，未超过15%。</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4"/>
        <w:rPr>
          <w:rFonts w:hint="eastAsia"/>
        </w:rPr>
      </w:pPr>
      <w:r>
        <w:rPr>
          <w:rFonts w:hint="eastAsia"/>
          <w:b/>
          <w:bCs/>
        </w:rPr>
        <w:t>7.4.13.4 市场风险</w:t>
      </w:r>
    </w:p>
    <w:p>
      <w:pPr>
        <w:pStyle w:val="19"/>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4"/>
        <w:rPr>
          <w:rFonts w:hint="eastAsia"/>
        </w:rPr>
      </w:pPr>
      <w:r>
        <w:rPr>
          <w:rFonts w:hint="eastAsia"/>
          <w:b/>
          <w:bCs/>
        </w:rPr>
        <w:t>7.4.13.4.1 利率风险</w:t>
      </w:r>
    </w:p>
    <w:p>
      <w:pPr>
        <w:pStyle w:val="19"/>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本基金主要投资于交易所及银行间市场交易的固定收益品种，因此存在相应的利率风险。</w:t>
      </w:r>
    </w:p>
    <w:p>
      <w:pPr>
        <w:pStyle w:val="14"/>
        <w:rPr>
          <w:rFonts w:hint="eastAsia"/>
        </w:rPr>
      </w:pPr>
      <w:r>
        <w:rPr>
          <w:rFonts w:hint="eastAsia"/>
          <w:b/>
          <w:bCs/>
        </w:rPr>
        <w:t>7.4.13.4.1.1 利率风险敞口</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970"/>
        <w:gridCol w:w="1520"/>
        <w:gridCol w:w="1370"/>
        <w:gridCol w:w="1370"/>
        <w:gridCol w:w="1295"/>
        <w:gridCol w:w="1520"/>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4,476,587.42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4,476,587.42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1,206,477,300.00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145,091,500.00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221,145,600.00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1,572,714,400.00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22,384,223.11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22,384,223.11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1,210,953,887.42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145,091,500.00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221,145,600.00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22,384,223.11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1,599,575,210.53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215,839,356.24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215,839,356.24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353,393.31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353,393.31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117,797.79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117,797.79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12,387.53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12,387.53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167,611.32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167,611.32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215,839,356.24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813,189.95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216,652,546.19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995,114,531.18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145,091,500.00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221,145,600.00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21,571,033.16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1,382,922,664.34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14,337,418.10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14,337,418.10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105,540,000.00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158,483,500.00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226,508,000.00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490,531,500.00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40,000,180.00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40,000,180.00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6,942,194.73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6,942,194.73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159,877,598.10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158,483,500.00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226,508,000.00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6,942,194.73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551,811,292.83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139,873.33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139,873.33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46,624.46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46,624.46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2,890.15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2,890.15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331,387.94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331,387.94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159,877,598.10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158,483,500.00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226,508,000.00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6,610,806.79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551,479,904.89</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9"/>
      </w:pPr>
      <w:r>
        <w:rPr>
          <w:rFonts w:hint="eastAsia"/>
        </w:rPr>
        <w:t>注：表中所示为本基金资产及负债的账面价值，并按照合约规定的利率重新定价日或到期日孰早者予以分类。</w:t>
      </w:r>
    </w:p>
    <w:p>
      <w:pPr>
        <w:pStyle w:val="14"/>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3"/>
        <w:gridCol w:w="3421"/>
        <w:gridCol w:w="2308"/>
        <w:gridCol w:w="2308"/>
      </w:tblGrid>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假设</w:t>
            </w:r>
          </w:p>
        </w:tc>
        <w:tc>
          <w:tcPr>
            <w:tcW w:w="7946"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除市场利率以外的其他市场变量保持不变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w:t>
            </w:r>
          </w:p>
          <w:p>
            <w:pPr>
              <w:pStyle w:val="17"/>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-3,327,771.81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-2,952,171.86</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3,348,925.16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2,983,259.29</w:t>
            </w:r>
          </w:p>
        </w:tc>
      </w:tr>
    </w:tbl>
    <w:p>
      <w:pPr>
        <w:pStyle w:val="14"/>
        <w:rPr>
          <w:rFonts w:hint="eastAsia"/>
        </w:rPr>
      </w:pPr>
      <w:r>
        <w:rPr>
          <w:rFonts w:hint="eastAsia"/>
          <w:b/>
          <w:bCs/>
        </w:rPr>
        <w:t>7.4.13.4.2 外汇风险</w:t>
      </w:r>
    </w:p>
    <w:p>
      <w:pPr>
        <w:pStyle w:val="19"/>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4"/>
        <w:rPr>
          <w:rFonts w:hint="eastAsia"/>
        </w:rPr>
      </w:pPr>
      <w:r>
        <w:rPr>
          <w:rFonts w:hint="eastAsia"/>
          <w:b/>
          <w:bCs/>
        </w:rPr>
        <w:t>7.4.13.4.2.2 外汇风险的敏感性分析</w:t>
      </w:r>
    </w:p>
    <w:p>
      <w:pPr>
        <w:pStyle w:val="19"/>
        <w:rPr>
          <w:rFonts w:hint="eastAsia"/>
        </w:rPr>
      </w:pPr>
      <w:r>
        <w:rPr>
          <w:rFonts w:hint="eastAsia"/>
        </w:rPr>
        <w:t>无</w:t>
      </w:r>
    </w:p>
    <w:p>
      <w:pPr>
        <w:widowControl/>
        <w:jc w:val="left"/>
        <w:rPr>
          <w:rFonts w:hint="eastAsia" w:ascii="宋体" w:hAnsi="宋体" w:cs="宋体"/>
          <w:kern w:val="0"/>
          <w:sz w:val="24"/>
          <w:szCs w:val="24"/>
        </w:rPr>
      </w:pPr>
    </w:p>
    <w:p>
      <w:pPr>
        <w:pStyle w:val="14"/>
        <w:rPr>
          <w:rFonts w:hint="eastAsia"/>
        </w:rPr>
      </w:pPr>
      <w:r>
        <w:rPr>
          <w:rFonts w:hint="eastAsia"/>
          <w:b/>
          <w:bCs/>
        </w:rPr>
        <w:t>7.4.13.4.3 其他价格风险</w:t>
      </w:r>
    </w:p>
    <w:p>
      <w:pPr>
        <w:pStyle w:val="19"/>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r>
        <w:rPr>
          <w:rFonts w:hint="eastAsia"/>
        </w:rPr>
        <w:br w:type="textWrapping"/>
      </w:r>
      <w:r>
        <w:rPr>
          <w:rFonts w:hint="eastAsia"/>
        </w:rPr>
        <w:t>  </w:t>
      </w:r>
    </w:p>
    <w:p>
      <w:pPr>
        <w:pStyle w:val="14"/>
        <w:rPr>
          <w:rFonts w:hint="eastAsia"/>
        </w:rPr>
      </w:pPr>
      <w:r>
        <w:rPr>
          <w:rFonts w:hint="eastAsia"/>
          <w:b/>
          <w:bCs/>
        </w:rPr>
        <w:t>7.4.13.4.3.1 其他价格风险敞口</w:t>
      </w:r>
    </w:p>
    <w:p>
      <w:pPr>
        <w:pStyle w:val="19"/>
        <w:rPr>
          <w:rFonts w:hint="eastAsia"/>
        </w:rPr>
      </w:pPr>
      <w:r>
        <w:rPr>
          <w:rFonts w:hint="eastAsia"/>
        </w:rPr>
        <w:t>本基金本报告期末未持有交易性权益类投资，因此除市场利率和外汇汇率以外的市场价格因素的变动对于本基金资产净值无重大影响。</w:t>
      </w:r>
    </w:p>
    <w:p>
      <w:pPr>
        <w:pStyle w:val="14"/>
        <w:rPr>
          <w:rFonts w:hint="eastAsia"/>
        </w:rPr>
      </w:pPr>
      <w:r>
        <w:rPr>
          <w:rFonts w:hint="eastAsia"/>
          <w:b/>
          <w:bCs/>
        </w:rPr>
        <w:t>7.4.13.4.3.2 其他价格风险的敏感性分析</w:t>
      </w:r>
    </w:p>
    <w:p>
      <w:pPr>
        <w:pStyle w:val="19"/>
        <w:rPr>
          <w:rFonts w:hint="eastAsia"/>
        </w:rPr>
      </w:pPr>
      <w:r>
        <w:rPr>
          <w:rFonts w:hint="eastAsia"/>
        </w:rPr>
        <w:t>无</w:t>
      </w:r>
    </w:p>
    <w:p>
      <w:pPr>
        <w:pStyle w:val="14"/>
        <w:rPr>
          <w:rFonts w:hint="eastAsia"/>
        </w:rPr>
      </w:pPr>
      <w:r>
        <w:rPr>
          <w:rFonts w:hint="eastAsia"/>
          <w:b/>
          <w:bCs/>
        </w:rPr>
        <w:t>7.4.14 有助于理解和分析会计报表需要说明的其他事项</w:t>
      </w:r>
    </w:p>
    <w:p>
      <w:pPr>
        <w:pStyle w:val="19"/>
        <w:rPr>
          <w:rFonts w:hint="eastAsia"/>
        </w:rPr>
      </w:pPr>
      <w:r>
        <w:rPr>
          <w:rFonts w:hint="eastAsia"/>
        </w:rPr>
        <w:t>  7.4.14.1公允价值</w:t>
      </w:r>
      <w:r>
        <w:rPr>
          <w:rFonts w:hint="eastAsia"/>
        </w:rPr>
        <w:br w:type="textWrapping"/>
      </w:r>
      <w:r>
        <w:rPr>
          <w:rFonts w:hint="eastAsia"/>
        </w:rPr>
        <w:t>  (a)以公允价值计量的资产和负债</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(i)各层次金融工具公允价值</w:t>
      </w:r>
      <w:r>
        <w:rPr>
          <w:rFonts w:hint="eastAsia"/>
        </w:rPr>
        <w:br w:type="textWrapping"/>
      </w:r>
      <w:r>
        <w:rPr>
          <w:rFonts w:hint="eastAsia"/>
        </w:rPr>
        <w:t>  于2017年12月31日，本基金持有的以公允价值计量且其变动计入当期损益的金融资产中属于第二层次的余额为1,572,714,400.00元 (2016年12月31日：490,531,500.00元)，无属于第一层次和第三层次的余额。</w:t>
      </w:r>
      <w:r>
        <w:rPr>
          <w:rFonts w:hint="eastAsia"/>
        </w:rPr>
        <w:br w:type="textWrapping"/>
      </w:r>
      <w:r>
        <w:rPr>
          <w:rFonts w:hint="eastAsia"/>
        </w:rPr>
        <w:t>  2017年，本基金上述持续以公允价值计量的资产和负债金融工具的第一层次与第二层次之间没有发生重大转换。本基金是在发生转换当年的报告期末确认各层次之间的转换。</w:t>
      </w:r>
      <w:r>
        <w:rPr>
          <w:rFonts w:hint="eastAsia"/>
        </w:rPr>
        <w:br w:type="textWrapping"/>
      </w:r>
      <w:r>
        <w:rPr>
          <w:rFonts w:hint="eastAsia"/>
        </w:rPr>
        <w:t>  (ii)第二层次的公允价值计量</w:t>
      </w:r>
      <w:r>
        <w:rPr>
          <w:rFonts w:hint="eastAsia"/>
        </w:rPr>
        <w:br w:type="textWrapping"/>
      </w:r>
      <w:r>
        <w:rPr>
          <w:rFonts w:hint="eastAsia"/>
        </w:rPr>
        <w:t>  对于本基金投资的证券交易所上市的证券，若出现重大事项停牌、交易不活跃 (包括涨跌停时的交易不活跃)、或属于非公开发行等情况时，本基金不会于停牌期间、交易不活跃期间及限售期间将相关证券的公允价值列入第一层次。本基金综合考虑估值调整中采用的不可观察输入值对于公允价值的影响程度，确定相关证券公允价值的层次。</w:t>
      </w:r>
      <w:r>
        <w:rPr>
          <w:rFonts w:hint="eastAsia"/>
        </w:rPr>
        <w:br w:type="textWrapping"/>
      </w:r>
      <w:r>
        <w:rPr>
          <w:rFonts w:hint="eastAsia"/>
        </w:rPr>
        <w:t>  (iii)非持续的以公允价值计量的金融工具</w:t>
      </w:r>
      <w:r>
        <w:rPr>
          <w:rFonts w:hint="eastAsia"/>
        </w:rPr>
        <w:br w:type="textWrapping"/>
      </w:r>
      <w:r>
        <w:rPr>
          <w:rFonts w:hint="eastAsia"/>
        </w:rPr>
        <w:t>  于2017年12月31日，本基金无非持续的以公允价值计量的金融工具 (2016年12月31日：无)。</w:t>
      </w:r>
      <w:r>
        <w:rPr>
          <w:rFonts w:hint="eastAsia"/>
        </w:rPr>
        <w:br w:type="textWrapping"/>
      </w:r>
      <w:r>
        <w:rPr>
          <w:rFonts w:hint="eastAsia"/>
        </w:rPr>
        <w:t>  (b)其他金融工具的公允价值 (年末非以公允价值计量的项目)</w:t>
      </w:r>
      <w:r>
        <w:rPr>
          <w:rFonts w:hint="eastAsia"/>
        </w:rPr>
        <w:br w:type="textWrapping"/>
      </w:r>
      <w:r>
        <w:rPr>
          <w:rFonts w:hint="eastAsia"/>
        </w:rPr>
        <w:t>  其他金融工具主要包括应收款项和其他金融负债，其账面价值与公允价值之间无重大差异。</w:t>
      </w:r>
      <w:r>
        <w:rPr>
          <w:rFonts w:hint="eastAsia"/>
        </w:rPr>
        <w:br w:type="textWrapping"/>
      </w:r>
      <w:r>
        <w:rPr>
          <w:rFonts w:hint="eastAsia"/>
        </w:rPr>
        <w:t>  7.4.14.2除公允价值外，截至资产负债表日本基金无需要说明的其他重要事项。</w:t>
      </w:r>
    </w:p>
    <w:p>
      <w:pPr>
        <w:pStyle w:val="12"/>
        <w:rPr>
          <w:rFonts w:hint="eastAsia"/>
        </w:rPr>
      </w:pPr>
      <w:bookmarkStart w:id="35" w:name="_Toc510107639"/>
      <w:r>
        <w:rPr>
          <w:rFonts w:hint="eastAsia" w:hAnsi="Calibri"/>
          <w:b/>
          <w:color w:val="000000"/>
        </w:rPr>
        <w:t>§8 投资组合报告</w:t>
      </w:r>
      <w:bookmarkEnd w:id="35"/>
    </w:p>
    <w:p>
      <w:pPr>
        <w:pStyle w:val="13"/>
        <w:rPr>
          <w:rFonts w:hint="eastAsia"/>
        </w:rPr>
      </w:pPr>
      <w:bookmarkStart w:id="36" w:name="_Toc510107640"/>
      <w:r>
        <w:rPr>
          <w:rFonts w:hint="eastAsia"/>
          <w:b/>
          <w:bCs/>
        </w:rPr>
        <w:t>8.1 期末基金资产组合情况</w:t>
      </w:r>
      <w:bookmarkEnd w:id="36"/>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1,572,714,400.00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98.32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1,547,791,900.00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96.76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24,922,500.00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4,476,587.42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22,384,223.11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1,599,575,210.53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r>
    </w:tbl>
    <w:p>
      <w:pPr>
        <w:pStyle w:val="13"/>
        <w:rPr>
          <w:rFonts w:hint="eastAsia"/>
        </w:rPr>
      </w:pPr>
      <w:bookmarkStart w:id="37" w:name="_Toc510107641"/>
      <w:r>
        <w:rPr>
          <w:rFonts w:hint="eastAsia"/>
          <w:b/>
          <w:bCs/>
        </w:rPr>
        <w:t>8.2 报告期末按行业分类的股票投资组合</w:t>
      </w:r>
      <w:bookmarkEnd w:id="37"/>
    </w:p>
    <w:p>
      <w:pPr>
        <w:pStyle w:val="14"/>
        <w:rPr>
          <w:rFonts w:hint="eastAsia"/>
        </w:rPr>
      </w:pPr>
      <w:r>
        <w:rPr>
          <w:rFonts w:hint="eastAsia"/>
          <w:b/>
          <w:bCs/>
        </w:rPr>
        <w:t>8.2.1 报告期末按行业分类的境内股票投资组合</w:t>
      </w:r>
    </w:p>
    <w:p>
      <w:pPr>
        <w:pStyle w:val="19"/>
        <w:rPr>
          <w:rFonts w:hint="eastAsia"/>
        </w:rPr>
      </w:pPr>
      <w:r>
        <w:rPr>
          <w:rFonts w:hint="eastAsia"/>
        </w:rPr>
        <w:t>本基金本报告期末未持有股票。</w:t>
      </w: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rPr>
                <w:rFonts w:hint="eastAsia"/>
              </w:rPr>
            </w:pPr>
          </w:p>
        </w:tc>
      </w:tr>
    </w:tbl>
    <w:p>
      <w:pPr>
        <w:pStyle w:val="13"/>
      </w:pPr>
      <w:bookmarkStart w:id="38" w:name="_Toc510107642"/>
      <w:r>
        <w:rPr>
          <w:rFonts w:hint="eastAsia"/>
          <w:b/>
          <w:bCs/>
        </w:rPr>
        <w:t>8.3 期末按公允价值占基金资产净值比例大小排序的所有股票投资明细</w:t>
      </w:r>
      <w:bookmarkEnd w:id="38"/>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本基金本报告期末未持有股票。</w:t>
      </w:r>
    </w:p>
    <w:p>
      <w:pPr>
        <w:pStyle w:val="13"/>
        <w:rPr>
          <w:rFonts w:hint="eastAsia"/>
        </w:rPr>
      </w:pPr>
      <w:bookmarkStart w:id="39" w:name="_Toc510107643"/>
      <w:r>
        <w:rPr>
          <w:rFonts w:hint="eastAsia"/>
          <w:b/>
          <w:bCs/>
        </w:rPr>
        <w:t>8.4 报告期内股票投资组合的重大变动</w:t>
      </w:r>
      <w:bookmarkEnd w:id="39"/>
    </w:p>
    <w:p>
      <w:pPr>
        <w:pStyle w:val="14"/>
        <w:rPr>
          <w:rFonts w:hint="eastAsia"/>
        </w:rPr>
      </w:pPr>
      <w:r>
        <w:rPr>
          <w:rFonts w:hint="eastAsia"/>
          <w:b/>
          <w:bCs/>
        </w:rPr>
        <w:t>8.4.1 累计买入金额超出期初基金资产净值2%或前20名的股票明细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本基金本报告期末未持有股票。</w:t>
      </w:r>
    </w:p>
    <w:p>
      <w:pPr>
        <w:pStyle w:val="14"/>
        <w:rPr>
          <w:rFonts w:hint="eastAsia"/>
        </w:rPr>
      </w:pPr>
      <w:r>
        <w:rPr>
          <w:rFonts w:hint="eastAsia"/>
          <w:b/>
          <w:bCs/>
        </w:rPr>
        <w:t>8.4.2 累计卖出金额超出期初基金资产净值2%或前20名的股票明细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本基金本报告期末未持有股票。</w:t>
      </w:r>
    </w:p>
    <w:p>
      <w:pPr>
        <w:pStyle w:val="14"/>
        <w:rPr>
          <w:rFonts w:hint="eastAsia"/>
        </w:rPr>
      </w:pPr>
      <w:r>
        <w:rPr>
          <w:rFonts w:hint="eastAsia"/>
          <w:b/>
          <w:bCs/>
        </w:rPr>
        <w:t>8.4.3 买入股票的成本总额及卖出股票的收入总额</w:t>
      </w:r>
    </w:p>
    <w:p>
      <w:pPr>
        <w:pStyle w:val="19"/>
        <w:rPr>
          <w:rFonts w:hint="eastAsia"/>
        </w:rPr>
      </w:pPr>
      <w:r>
        <w:rPr>
          <w:rFonts w:hint="eastAsia"/>
        </w:rPr>
        <w:t>本基金本报告期末未持有股票。</w:t>
      </w:r>
    </w:p>
    <w:p>
      <w:pPr>
        <w:pStyle w:val="13"/>
        <w:rPr>
          <w:rFonts w:hint="eastAsia"/>
        </w:rPr>
      </w:pPr>
      <w:bookmarkStart w:id="40" w:name="_Toc510107644"/>
      <w:r>
        <w:rPr>
          <w:rFonts w:hint="eastAsia"/>
          <w:b/>
          <w:bCs/>
        </w:rPr>
        <w:t>8.5 期末按债券品种分类的债券投资组合</w:t>
      </w:r>
      <w:bookmarkEnd w:id="40"/>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365,365,100.00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26.42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69,908,000.00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20,310,000.00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728,257,800.00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52.66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50,470,000.00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383,389,000.00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27.72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1,547,791,900.00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111.92</w:t>
            </w:r>
          </w:p>
        </w:tc>
      </w:tr>
    </w:tbl>
    <w:p>
      <w:pPr>
        <w:pStyle w:val="13"/>
        <w:rPr>
          <w:rFonts w:hint="eastAsia"/>
        </w:rPr>
      </w:pPr>
      <w:bookmarkStart w:id="41" w:name="_Toc510107645"/>
      <w:r>
        <w:rPr>
          <w:rFonts w:hint="eastAsia"/>
          <w:b/>
          <w:bCs/>
        </w:rPr>
        <w:t>8.6 期末按公允价值占基金资产净值比例大小排序的前五名债券投资明细</w:t>
      </w:r>
      <w:bookmarkEnd w:id="41"/>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800"/>
        <w:gridCol w:w="1634"/>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011758069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17杭金投SCP007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60,006,000.00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101683003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16红豆MTN002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50,470,000.00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041753009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17中铝CP001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50,180,000.00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011752034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17云投SCP001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50,140,000.00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011769020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17同方SCP003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50,110,000.00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3.62</w:t>
            </w:r>
          </w:p>
        </w:tc>
      </w:tr>
    </w:tbl>
    <w:p>
      <w:pPr>
        <w:pStyle w:val="13"/>
        <w:rPr>
          <w:rFonts w:hint="eastAsia"/>
        </w:rPr>
      </w:pPr>
      <w:bookmarkStart w:id="42" w:name="_Toc510107646"/>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814"/>
        <w:gridCol w:w="1617"/>
        <w:gridCol w:w="1617"/>
        <w:gridCol w:w="1788"/>
        <w:gridCol w:w="1617"/>
        <w:gridCol w:w="1745"/>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数量（份）</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1689129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16旭越2B</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24,922,500.00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r>
    </w:tbl>
    <w:p>
      <w:pPr>
        <w:pStyle w:val="13"/>
        <w:rPr>
          <w:rFonts w:hint="eastAsia"/>
        </w:rPr>
      </w:pPr>
      <w:bookmarkStart w:id="43" w:name="_Toc510107647"/>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本基金本报告期末未持有贵金属。</w:t>
      </w:r>
    </w:p>
    <w:p>
      <w:pPr>
        <w:pStyle w:val="13"/>
        <w:rPr>
          <w:rFonts w:hint="eastAsia"/>
        </w:rPr>
      </w:pPr>
      <w:bookmarkStart w:id="44" w:name="_Toc510107648"/>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本基金本报告期末未持有权证。</w:t>
      </w:r>
    </w:p>
    <w:p>
      <w:pPr>
        <w:pStyle w:val="13"/>
        <w:rPr>
          <w:rFonts w:hint="eastAsia"/>
        </w:rPr>
      </w:pPr>
      <w:bookmarkStart w:id="45" w:name="_Toc510107649"/>
      <w:r>
        <w:rPr>
          <w:rFonts w:hint="eastAsia"/>
          <w:b/>
          <w:bCs/>
        </w:rPr>
        <w:t>8.10 报告期末本基金投资的股指期货交易情况说明</w:t>
      </w:r>
      <w:bookmarkEnd w:id="45"/>
    </w:p>
    <w:p>
      <w:pPr>
        <w:pStyle w:val="14"/>
        <w:rPr>
          <w:rFonts w:hint="eastAsia"/>
        </w:rPr>
      </w:pPr>
      <w:r>
        <w:rPr>
          <w:rFonts w:hint="eastAsia"/>
          <w:b/>
          <w:bCs/>
        </w:rPr>
        <w:t>8.10.1 报告期末本基金投资的股指期货持仓和损益明细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r>
        <w:rPr>
          <w:rFonts w:hint="eastAsia"/>
          <w:b/>
          <w:bCs/>
        </w:rPr>
        <w:t>8.10.2 本基金投资股指期货的投资政策</w:t>
      </w:r>
    </w:p>
    <w:p>
      <w:pPr>
        <w:pStyle w:val="19"/>
        <w:rPr>
          <w:rFonts w:hint="eastAsia"/>
        </w:rPr>
      </w:pPr>
      <w:r>
        <w:rPr>
          <w:rFonts w:hint="eastAsia"/>
        </w:rPr>
        <w:t>  本基金投资于股指期货，均以套期保值为目的，包括多头套保和空头套保。本报告期进行了少量的多头套保。</w:t>
      </w:r>
    </w:p>
    <w:p>
      <w:pPr>
        <w:widowControl/>
        <w:jc w:val="left"/>
        <w:rPr>
          <w:rFonts w:hint="eastAsia" w:ascii="宋体" w:hAnsi="宋体" w:cs="宋体"/>
          <w:kern w:val="0"/>
          <w:sz w:val="24"/>
          <w:szCs w:val="24"/>
        </w:rPr>
      </w:pPr>
    </w:p>
    <w:p>
      <w:pPr>
        <w:pStyle w:val="13"/>
        <w:rPr>
          <w:rFonts w:hint="eastAsia"/>
        </w:rPr>
      </w:pPr>
      <w:bookmarkStart w:id="46" w:name="_Toc510107650"/>
      <w:r>
        <w:rPr>
          <w:rFonts w:hint="eastAsia"/>
          <w:b/>
          <w:bCs/>
        </w:rPr>
        <w:t>8.11 报告期末本基金投资的国债期货交易情况说明</w:t>
      </w:r>
      <w:bookmarkEnd w:id="46"/>
    </w:p>
    <w:p>
      <w:pPr>
        <w:pStyle w:val="14"/>
        <w:rPr>
          <w:rFonts w:hint="eastAsia"/>
        </w:rPr>
      </w:pPr>
      <w:r>
        <w:rPr>
          <w:rFonts w:hint="eastAsia"/>
          <w:b/>
          <w:bCs/>
        </w:rPr>
        <w:t>8.11.1 本期国债期货投资政策</w:t>
      </w:r>
    </w:p>
    <w:p>
      <w:pPr>
        <w:pStyle w:val="19"/>
        <w:rPr>
          <w:rFonts w:hint="eastAsia"/>
        </w:rPr>
      </w:pPr>
      <w:r>
        <w:rPr>
          <w:rFonts w:hint="eastAsia"/>
        </w:rPr>
        <w:t>  本基金本报告期未投资国债期货。</w:t>
      </w:r>
    </w:p>
    <w:p>
      <w:pPr>
        <w:widowControl/>
        <w:jc w:val="left"/>
        <w:rPr>
          <w:rFonts w:hint="eastAsia" w:ascii="宋体" w:hAnsi="宋体" w:cs="宋体"/>
          <w:kern w:val="0"/>
          <w:sz w:val="24"/>
          <w:szCs w:val="24"/>
        </w:rPr>
      </w:pPr>
    </w:p>
    <w:p>
      <w:pPr>
        <w:pStyle w:val="14"/>
        <w:rPr>
          <w:rFonts w:hint="eastAsia"/>
        </w:rPr>
      </w:pPr>
      <w:r>
        <w:rPr>
          <w:rFonts w:hint="eastAsia"/>
          <w:b/>
          <w:bCs/>
        </w:rPr>
        <w:t>8.11.2 报告期末本基金投资的国债期货持仓和损益明细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3"/>
        <w:rPr>
          <w:rFonts w:hint="eastAsia"/>
        </w:rPr>
      </w:pPr>
      <w:bookmarkStart w:id="47" w:name="_Toc510107651"/>
      <w:r>
        <w:rPr>
          <w:rFonts w:hint="eastAsia"/>
          <w:b/>
          <w:bCs/>
        </w:rPr>
        <w:t>8.12 投资组合报告附注</w:t>
      </w:r>
      <w:bookmarkEnd w:id="47"/>
    </w:p>
    <w:p>
      <w:pPr>
        <w:pStyle w:val="14"/>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4"/>
        <w:rPr>
          <w:rFonts w:hint="eastAsia"/>
        </w:rPr>
      </w:pPr>
      <w:r>
        <w:rPr>
          <w:rFonts w:hint="eastAsia"/>
          <w:b/>
          <w:bCs/>
        </w:rPr>
        <w:t>8.12.2 本报告期内未投资股票。</w:t>
      </w:r>
    </w:p>
    <w:p>
      <w:pPr>
        <w:widowControl/>
        <w:jc w:val="left"/>
        <w:rPr>
          <w:rFonts w:hint="eastAsia" w:ascii="宋体" w:hAnsi="宋体" w:cs="宋体"/>
          <w:kern w:val="0"/>
          <w:sz w:val="24"/>
          <w:szCs w:val="24"/>
        </w:rPr>
      </w:pPr>
    </w:p>
    <w:p>
      <w:pPr>
        <w:pStyle w:val="14"/>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22,384,223.11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22,384,223.11</w:t>
            </w:r>
          </w:p>
        </w:tc>
      </w:tr>
    </w:tbl>
    <w:p>
      <w:pPr>
        <w:widowControl/>
        <w:jc w:val="left"/>
        <w:rPr>
          <w:rFonts w:hint="eastAsia" w:ascii="宋体" w:hAnsi="宋体" w:cs="宋体"/>
          <w:kern w:val="0"/>
          <w:sz w:val="24"/>
          <w:szCs w:val="24"/>
        </w:rPr>
      </w:pPr>
    </w:p>
    <w:p>
      <w:pPr>
        <w:pStyle w:val="14"/>
        <w:rPr>
          <w:rFonts w:hint="eastAsia"/>
        </w:rPr>
      </w:pPr>
      <w:r>
        <w:rPr>
          <w:rFonts w:hint="eastAsia"/>
          <w:b/>
          <w:bCs/>
        </w:rPr>
        <w:t>8.12.4 期末持有的处于转股期的可转换债券明细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本基金本报告期末未持有处于转股期的可转换债券。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8.12.5 期末前十名股票中存在流通受限情况的说明</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本基金本报告期末未持有股票。</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2"/>
        <w:rPr>
          <w:rFonts w:hint="eastAsia"/>
        </w:rPr>
      </w:pPr>
      <w:bookmarkStart w:id="48" w:name="_Toc510107652"/>
      <w:r>
        <w:rPr>
          <w:rFonts w:hint="eastAsia" w:hAnsi="Calibri"/>
          <w:b/>
          <w:color w:val="000000"/>
        </w:rPr>
        <w:t>§9  基金份额持有人信息</w:t>
      </w:r>
      <w:bookmarkEnd w:id="48"/>
    </w:p>
    <w:p>
      <w:pPr>
        <w:pStyle w:val="13"/>
        <w:rPr>
          <w:rFonts w:hint="eastAsia"/>
        </w:rPr>
      </w:pPr>
      <w:bookmarkStart w:id="49" w:name="_Toc510107653"/>
      <w:r>
        <w:rPr>
          <w:rFonts w:hint="eastAsia"/>
          <w:b/>
          <w:bCs/>
        </w:rPr>
        <w:t>9.1 期末基金份额持有人户数及持有人结构</w:t>
      </w:r>
      <w:bookmarkEnd w:id="49"/>
    </w:p>
    <w:p>
      <w:pPr>
        <w:pStyle w:val="18"/>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1441"/>
        <w:gridCol w:w="1800"/>
        <w:gridCol w:w="2151"/>
        <w:gridCol w:w="1171"/>
        <w:gridCol w:w="1311"/>
        <w:gridCol w:w="1171"/>
      </w:tblGrid>
      <w:tr>
        <w:tblPrEx>
          <w:tblCellMar>
            <w:top w:w="0" w:type="dxa"/>
            <w:left w:w="108" w:type="dxa"/>
            <w:bottom w:w="0" w:type="dxa"/>
            <w:right w:w="108" w:type="dxa"/>
          </w:tblCellMar>
        </w:tblPrEx>
        <w:trPr>
          <w:wBefore w:w="0" w:type="auto"/>
          <w:jc w:val="center"/>
        </w:trPr>
        <w:tc>
          <w:tcPr>
            <w:tcW w:w="144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持有人户数(户)</w:t>
            </w:r>
          </w:p>
        </w:tc>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户均持有的基金份额</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机构投资者</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9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c>
          <w:tcPr>
            <w:tcW w:w="9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6,797,450.32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1,379,833,094.46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49,320.37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3"/>
        <w:rPr>
          <w:rFonts w:hint="eastAsia"/>
        </w:rPr>
      </w:pPr>
      <w:bookmarkStart w:id="50" w:name="_Toc510107654"/>
      <w:r>
        <w:rPr>
          <w:rFonts w:hint="eastAsia" w:hAnsi="Calibri"/>
          <w:b/>
          <w:color w:val="000000"/>
        </w:rPr>
        <w:t>9.2期末基金管理人的从业人员持有本基金的情况</w:t>
      </w:r>
      <w:bookmarkEnd w:id="50"/>
    </w:p>
    <w:tbl>
      <w:tblPr>
        <w:tblStyle w:val="7"/>
        <w:tblW w:w="9045" w:type="dxa"/>
        <w:jc w:val="center"/>
        <w:tblLayout w:type="autofit"/>
        <w:tblCellMar>
          <w:top w:w="0" w:type="dxa"/>
          <w:left w:w="108" w:type="dxa"/>
          <w:bottom w:w="0" w:type="dxa"/>
          <w:right w:w="108" w:type="dxa"/>
        </w:tblCellMar>
      </w:tblPr>
      <w:tblGrid>
        <w:gridCol w:w="4116"/>
        <w:gridCol w:w="2336"/>
        <w:gridCol w:w="2593"/>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12,789.45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3"/>
        <w:rPr>
          <w:rFonts w:hint="eastAsia"/>
        </w:rPr>
      </w:pPr>
      <w:bookmarkStart w:id="51" w:name="_Toc510107655"/>
      <w:r>
        <w:rPr>
          <w:rFonts w:hint="eastAsia"/>
          <w:b/>
          <w:bCs/>
        </w:rPr>
        <w:t>9.3期末基金管理人的从业人员持有本开放式基金份额总量区间情况</w:t>
      </w:r>
      <w:bookmarkEnd w:id="51"/>
    </w:p>
    <w:tbl>
      <w:tblPr>
        <w:tblStyle w:val="7"/>
        <w:tblW w:w="9045" w:type="dxa"/>
        <w:jc w:val="center"/>
        <w:tblLayout w:type="autofit"/>
        <w:tblCellMar>
          <w:top w:w="0" w:type="dxa"/>
          <w:left w:w="108" w:type="dxa"/>
          <w:bottom w:w="0" w:type="dxa"/>
          <w:right w:w="108" w:type="dxa"/>
        </w:tblCellMar>
      </w:tblPr>
      <w:tblGrid>
        <w:gridCol w:w="4522"/>
        <w:gridCol w:w="4523"/>
      </w:tblGrid>
      <w:tr>
        <w:tblPrEx>
          <w:tblCellMar>
            <w:top w:w="0" w:type="dxa"/>
            <w:left w:w="108" w:type="dxa"/>
            <w:bottom w:w="0" w:type="dxa"/>
            <w:right w:w="108" w:type="dxa"/>
          </w:tblCellMar>
        </w:tblPrEx>
        <w:trPr>
          <w:wBefore w:w="0" w:type="auto"/>
          <w:jc w:val="center"/>
        </w:trPr>
        <w:tc>
          <w:tcPr>
            <w:tcW w:w="2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bl>
    <w:p>
      <w:pPr>
        <w:pStyle w:val="12"/>
        <w:rPr>
          <w:rFonts w:hint="eastAsia"/>
        </w:rPr>
      </w:pPr>
      <w:bookmarkStart w:id="52" w:name="_Toc510107656"/>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0" w:type="auto"/>
        <w:tblInd w:w="108" w:type="dxa"/>
        <w:tblLayout w:type="autofit"/>
        <w:tblCellMar>
          <w:top w:w="0" w:type="dxa"/>
          <w:left w:w="108" w:type="dxa"/>
          <w:bottom w:w="0" w:type="dxa"/>
          <w:right w:w="108" w:type="dxa"/>
        </w:tblCellMar>
      </w:tblPr>
      <w:tblGrid>
        <w:gridCol w:w="6138"/>
        <w:gridCol w:w="2890"/>
      </w:tblGrid>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基金合同生效日(2016年02月26日)基金份额总额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200,164,018.44</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本报告期期初基金份额总额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539,931,715.48</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本报告期基金总申购份额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840,096,648.28</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减：本报告期基金总赎回份额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145,948.93</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本报告期基金拆分变动份额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本报告期期末基金份额总额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1,379,882,414.83</w:t>
            </w:r>
          </w:p>
        </w:tc>
      </w:tr>
    </w:tbl>
    <w:p>
      <w:pPr>
        <w:pStyle w:val="12"/>
        <w:rPr>
          <w:rFonts w:hint="eastAsia"/>
        </w:rPr>
      </w:pPr>
      <w:bookmarkStart w:id="53" w:name="_Toc510107657"/>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3"/>
        <w:rPr>
          <w:rFonts w:hint="eastAsia"/>
        </w:rPr>
      </w:pPr>
      <w:bookmarkStart w:id="54" w:name="_Toc510107658"/>
      <w:r>
        <w:rPr>
          <w:rFonts w:hint="eastAsia"/>
          <w:b/>
          <w:bCs/>
        </w:rPr>
        <w:t>11.1 基金份额持有人大会决议</w:t>
      </w:r>
      <w:bookmarkEnd w:id="54"/>
    </w:p>
    <w:p>
      <w:pPr>
        <w:pStyle w:val="19"/>
        <w:rPr>
          <w:rFonts w:hint="eastAsia"/>
        </w:rPr>
      </w:pPr>
      <w:r>
        <w:rPr>
          <w:rFonts w:hint="eastAsia"/>
        </w:rPr>
        <w:t>  本报告期内未召开基金份额持有人大会。</w:t>
      </w:r>
    </w:p>
    <w:p>
      <w:pPr>
        <w:pStyle w:val="13"/>
        <w:rPr>
          <w:rFonts w:hint="eastAsia"/>
        </w:rPr>
      </w:pPr>
      <w:bookmarkStart w:id="55" w:name="_Toc510107659"/>
      <w:r>
        <w:rPr>
          <w:rFonts w:hint="eastAsia"/>
          <w:b/>
          <w:bCs/>
        </w:rPr>
        <w:t>11.2 基金管理人、基金托管人的专门基金托管部门的重大人事变动</w:t>
      </w:r>
      <w:bookmarkEnd w:id="55"/>
    </w:p>
    <w:p>
      <w:pPr>
        <w:pStyle w:val="19"/>
        <w:rPr>
          <w:rFonts w:hint="eastAsia"/>
        </w:rPr>
      </w:pPr>
      <w:r>
        <w:rPr>
          <w:rFonts w:hint="eastAsia"/>
        </w:rPr>
        <w:t>  本报告期内基金管理人、基金托管人的专门基金托管部门无重大人事变动。</w:t>
      </w:r>
    </w:p>
    <w:p>
      <w:pPr>
        <w:pStyle w:val="13"/>
        <w:rPr>
          <w:rFonts w:hint="eastAsia"/>
        </w:rPr>
      </w:pPr>
      <w:bookmarkStart w:id="56" w:name="_Toc510107660"/>
      <w:r>
        <w:rPr>
          <w:rFonts w:hint="eastAsia"/>
          <w:b/>
          <w:bCs/>
        </w:rPr>
        <w:t>11.3 涉及基金管理人、基金财产、基金托管业务的诉讼</w:t>
      </w:r>
      <w:bookmarkEnd w:id="56"/>
    </w:p>
    <w:p>
      <w:pPr>
        <w:pStyle w:val="19"/>
        <w:rPr>
          <w:rFonts w:hint="eastAsia"/>
        </w:rPr>
      </w:pPr>
      <w:r>
        <w:rPr>
          <w:rFonts w:hint="eastAsia"/>
        </w:rPr>
        <w:t>  本报告期内，未出现涉及基金管理人、基金财产、基金托管业务的诉讼。</w:t>
      </w:r>
    </w:p>
    <w:p>
      <w:pPr>
        <w:pStyle w:val="13"/>
        <w:rPr>
          <w:rFonts w:hint="eastAsia"/>
        </w:rPr>
      </w:pPr>
      <w:bookmarkStart w:id="57" w:name="_Toc510107661"/>
      <w:r>
        <w:rPr>
          <w:rFonts w:hint="eastAsia"/>
          <w:b/>
          <w:bCs/>
        </w:rPr>
        <w:t>11.4 基金投资策略的改变</w:t>
      </w:r>
      <w:bookmarkEnd w:id="57"/>
    </w:p>
    <w:p>
      <w:pPr>
        <w:pStyle w:val="19"/>
        <w:rPr>
          <w:rFonts w:hint="eastAsia"/>
        </w:rPr>
      </w:pPr>
      <w:r>
        <w:rPr>
          <w:rFonts w:hint="eastAsia"/>
        </w:rPr>
        <w:t>  本报告期内基金投资策略无重大改变。</w:t>
      </w:r>
    </w:p>
    <w:p>
      <w:pPr>
        <w:pStyle w:val="13"/>
        <w:rPr>
          <w:rFonts w:hint="eastAsia"/>
        </w:rPr>
      </w:pPr>
      <w:bookmarkStart w:id="58" w:name="_Toc510107662"/>
      <w:r>
        <w:rPr>
          <w:rFonts w:hint="eastAsia"/>
          <w:b/>
          <w:bCs/>
        </w:rPr>
        <w:t>11.5 为基金进行审计的会计师事务所情况</w:t>
      </w:r>
      <w:bookmarkEnd w:id="58"/>
    </w:p>
    <w:p>
      <w:pPr>
        <w:pStyle w:val="13"/>
        <w:rPr>
          <w:rFonts w:hint="eastAsia"/>
        </w:rPr>
      </w:pPr>
      <w:bookmarkStart w:id="59" w:name="_Toc510107663"/>
      <w:r>
        <w:rPr>
          <w:rFonts w:hint="eastAsia"/>
          <w:b/>
          <w:bCs/>
        </w:rPr>
        <w:t>11.6 管理人、托管人及其高级管理人员受稽查或处罚等情况</w:t>
      </w:r>
      <w:bookmarkEnd w:id="59"/>
    </w:p>
    <w:p>
      <w:pPr>
        <w:pStyle w:val="19"/>
        <w:rPr>
          <w:rFonts w:hint="eastAsia"/>
        </w:rPr>
      </w:pPr>
      <w:r>
        <w:rPr>
          <w:rFonts w:hint="eastAsia"/>
        </w:rPr>
        <w:t>  本报告期内，未出现管理人、托管人及其高级管理人员受监管部门稽查或处罚的情况。</w:t>
      </w:r>
    </w:p>
    <w:p>
      <w:pPr>
        <w:pStyle w:val="13"/>
        <w:rPr>
          <w:rFonts w:hint="eastAsia"/>
        </w:rPr>
      </w:pPr>
      <w:bookmarkStart w:id="60" w:name="_Toc510107664"/>
      <w:r>
        <w:rPr>
          <w:rFonts w:hint="eastAsia"/>
          <w:b/>
          <w:bCs/>
        </w:rPr>
        <w:t>11.7 基金租用证券公司交易单元的有关情况</w:t>
      </w:r>
      <w:bookmarkEnd w:id="60"/>
    </w:p>
    <w:p>
      <w:pPr>
        <w:pStyle w:val="14"/>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1080"/>
        <w:gridCol w:w="1586"/>
        <w:gridCol w:w="1050"/>
        <w:gridCol w:w="1285"/>
        <w:gridCol w:w="1426"/>
        <w:gridCol w:w="947"/>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9"/>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本基金本报告期内无交易单元变更。</w:t>
      </w:r>
    </w:p>
    <w:p>
      <w:pPr>
        <w:widowControl/>
        <w:jc w:val="left"/>
        <w:rPr>
          <w:rFonts w:hint="eastAsia" w:ascii="宋体" w:hAnsi="宋体" w:cs="宋体"/>
          <w:kern w:val="0"/>
          <w:sz w:val="24"/>
          <w:szCs w:val="24"/>
        </w:rPr>
      </w:pPr>
    </w:p>
    <w:p>
      <w:pPr>
        <w:pStyle w:val="14"/>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743"/>
        <w:gridCol w:w="1050"/>
        <w:gridCol w:w="924"/>
        <w:gridCol w:w="1071"/>
        <w:gridCol w:w="743"/>
        <w:gridCol w:w="1050"/>
        <w:gridCol w:w="743"/>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9,000,000.00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1" w:name="_Toc510107665"/>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创金合信尊盛纯债债券型证券投资基金2016年第4季度报告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创金合信尊盛纯债债券型证券投资基金分红公告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创金合信尊盛纯债债券型证券投资基金2016年年度报告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创金合信尊盛纯债债券型证券投资基金2016年年度报告-摘要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2017-04-12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创金合信尊盛纯债债券型证券投资基金招募说明书（更新）摘要（2017年第1号）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2017-04-12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创金合信尊盛纯债债券型证券投资基金分红公告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2017-09-29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创金合信尊盛纯债债券型证券投资基金（2017年第2号）招募说明书（摘要）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2017-09-29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创金合信尊盛纯债债券型证券投资基金分红公告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创金合信尊盛纯债债券型证券投资基金分红公告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2"/>
        <w:rPr>
          <w:rFonts w:hint="eastAsia"/>
        </w:rPr>
      </w:pPr>
      <w:bookmarkStart w:id="62" w:name="_Toc510107666"/>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3" w:name="_Toc510107667"/>
      <w:r>
        <w:rPr>
          <w:rFonts w:hint="eastAsia"/>
          <w:b/>
          <w:bCs/>
        </w:rPr>
        <w:t>12.1 报告期内单一投资者持有基金份额比例达到或超过20%的情况</w:t>
      </w:r>
      <w:bookmarkEnd w:id="63"/>
    </w:p>
    <w:tbl>
      <w:tblPr>
        <w:tblStyle w:val="7"/>
        <w:tblW w:w="10200" w:type="dxa"/>
        <w:tblInd w:w="108" w:type="dxa"/>
        <w:tblLayout w:type="autofit"/>
        <w:tblCellMar>
          <w:top w:w="0" w:type="dxa"/>
          <w:left w:w="108" w:type="dxa"/>
          <w:bottom w:w="0" w:type="dxa"/>
          <w:right w:w="108" w:type="dxa"/>
        </w:tblCellMar>
      </w:tblPr>
      <w:tblGrid>
        <w:gridCol w:w="472"/>
        <w:gridCol w:w="549"/>
        <w:gridCol w:w="1275"/>
        <w:gridCol w:w="1808"/>
        <w:gridCol w:w="1694"/>
        <w:gridCol w:w="1694"/>
        <w:gridCol w:w="1866"/>
        <w:gridCol w:w="842"/>
      </w:tblGrid>
      <w:tr>
        <w:tblPrEx>
          <w:tblCellMar>
            <w:top w:w="0" w:type="dxa"/>
            <w:left w:w="108" w:type="dxa"/>
            <w:bottom w:w="0" w:type="dxa"/>
            <w:right w:w="108" w:type="dxa"/>
          </w:tblCellMar>
        </w:tblPrEx>
        <w:trPr>
          <w:wBefore w:w="0" w:type="auto"/>
        </w:trPr>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b/>
                <w:color w:val="000000"/>
              </w:rPr>
              <w:t>投资者类别</w:t>
            </w:r>
          </w:p>
        </w:tc>
        <w:tc>
          <w:tcPr>
            <w:tcW w:w="350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报告期内持有基金份额变化情况</w:t>
            </w:r>
          </w:p>
        </w:tc>
        <w:tc>
          <w:tcPr>
            <w:tcW w:w="13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12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持有基金份额比例达到或者超过20%的时间区间</w:t>
            </w:r>
          </w:p>
        </w:tc>
        <w:tc>
          <w:tcPr>
            <w:tcW w:w="32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期初份额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申购份额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赎回份额</w:t>
            </w:r>
          </w:p>
        </w:tc>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11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20170101-20171231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539,898,767.56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839,934,326.90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1,379,833,094.46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本基金在报告期内，存在报告期间单一投资者持有基金份额达到或超过20%的情形，可能会存在以下风险：</w:t>
            </w:r>
            <w:r>
              <w:rPr>
                <w:rFonts w:hint="eastAsia"/>
              </w:rPr>
              <w:br w:type="textWrapping"/>
            </w:r>
            <w:r>
              <w:rPr>
                <w:rFonts w:hint="eastAsia"/>
              </w:rPr>
              <w:t>  1、大额申购风险</w:t>
            </w:r>
            <w:r>
              <w:rPr>
                <w:rFonts w:hint="eastAsia"/>
              </w:rPr>
              <w:br w:type="textWrapping"/>
            </w:r>
            <w:r>
              <w:rPr>
                <w:rFonts w:hint="eastAsia"/>
              </w:rPr>
              <w:t>  在发生投资者大额申购时，若本基金所投资的标的资产未及时准备，则可能降低基金净值涨幅。</w:t>
            </w:r>
            <w:r>
              <w:rPr>
                <w:rFonts w:hint="eastAsia"/>
              </w:rPr>
              <w:br w:type="textWrapping"/>
            </w:r>
            <w:r>
              <w:rPr>
                <w:rFonts w:hint="eastAsia"/>
              </w:rPr>
              <w:t>  2、大额赎回风险</w:t>
            </w:r>
            <w:r>
              <w:rPr>
                <w:rFonts w:hint="eastAsia"/>
              </w:rPr>
              <w:br w:type="textWrapping"/>
            </w:r>
            <w:r>
              <w:rPr>
                <w:rFonts w:hint="eastAsia"/>
              </w:rPr>
              <w:t>  （1）若本基金在短时间内难以变现足够的资产予以应对，可能导致流动性风险；</w:t>
            </w:r>
            <w:r>
              <w:rPr>
                <w:rFonts w:hint="eastAsia"/>
              </w:rPr>
              <w:br w:type="textWrapping"/>
            </w:r>
            <w:r>
              <w:rPr>
                <w:rFonts w:hint="eastAsia"/>
              </w:rPr>
              <w:t>  （2）若持有基金份额比例达到或超过基金份额总额20%的单一投资者大额赎回引发巨额赎回，将可能对基金管理人的管理造成影响；</w:t>
            </w:r>
            <w:r>
              <w:rPr>
                <w:rFonts w:hint="eastAsia"/>
              </w:rPr>
              <w:br w:type="textWrapping"/>
            </w:r>
            <w:r>
              <w:rPr>
                <w:rFonts w:hint="eastAsia"/>
              </w:rPr>
              <w:t>  （3）基金管理人被迫大量卖出基金投资标的以赎回现金，可能使基金资产净值受到不利影响，影响基金的投资运作；</w:t>
            </w:r>
            <w:r>
              <w:rPr>
                <w:rFonts w:hint="eastAsia"/>
              </w:rPr>
              <w:br w:type="textWrapping"/>
            </w:r>
            <w:r>
              <w:rPr>
                <w:rFonts w:hint="eastAsia"/>
              </w:rPr>
              <w:t>  （4）因基金净值精度计算问题，可能因赎回费归入基金资产，导致基金净值有较大波动；</w:t>
            </w:r>
            <w:r>
              <w:rPr>
                <w:rFonts w:hint="eastAsia"/>
              </w:rPr>
              <w:br w:type="textWrapping"/>
            </w:r>
            <w:r>
              <w:rPr>
                <w:rFonts w:hint="eastAsia"/>
              </w:rPr>
              <w:t>  （5）大额赎回导致基金资产规模过小，不能满足存续条件，可能导致基金合同终止、清算等风险。</w:t>
            </w:r>
            <w:r>
              <w:rPr>
                <w:rFonts w:hint="eastAsia"/>
              </w:rPr>
              <w:br w:type="textWrapping"/>
            </w:r>
            <w:r>
              <w:rPr>
                <w:rFonts w:hint="eastAsia"/>
              </w:rPr>
              <w:t>  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4" w:name="_Toc510107668"/>
      <w:r>
        <w:rPr>
          <w:rFonts w:hint="eastAsia"/>
          <w:b/>
          <w:bCs/>
        </w:rPr>
        <w:t>12.2 影响投资者决策的其他重要信息</w:t>
      </w:r>
      <w:bookmarkEnd w:id="64"/>
    </w:p>
    <w:p>
      <w:pPr>
        <w:pStyle w:val="16"/>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2"/>
        <w:rPr>
          <w:rFonts w:hint="eastAsia"/>
        </w:rPr>
      </w:pPr>
      <w:bookmarkStart w:id="65" w:name="_Toc510107669"/>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3"/>
        <w:rPr>
          <w:rFonts w:hint="eastAsia"/>
        </w:rPr>
      </w:pPr>
      <w:bookmarkStart w:id="66" w:name="_Toc510107670"/>
      <w:r>
        <w:rPr>
          <w:rFonts w:hint="eastAsia"/>
          <w:b/>
          <w:bCs/>
        </w:rPr>
        <w:t>13.1 备查文件目录</w:t>
      </w:r>
      <w:r>
        <w:rPr>
          <w:rFonts w:hint="eastAsia"/>
        </w:rPr>
        <w:t>.</w:t>
      </w:r>
      <w:bookmarkEnd w:id="66"/>
    </w:p>
    <w:p>
      <w:pPr>
        <w:pStyle w:val="19"/>
        <w:rPr>
          <w:rFonts w:hint="eastAsia"/>
        </w:rPr>
      </w:pPr>
      <w:r>
        <w:rPr>
          <w:rFonts w:hint="eastAsia"/>
        </w:rPr>
        <w:t>  1、《创金合信尊盛纯债债券型证券投资基金基金合同》；</w:t>
      </w:r>
      <w:r>
        <w:rPr>
          <w:rFonts w:hint="eastAsia"/>
        </w:rPr>
        <w:br w:type="textWrapping"/>
      </w:r>
      <w:r>
        <w:rPr>
          <w:rFonts w:hint="eastAsia"/>
        </w:rPr>
        <w:t>  2、《创金合信尊盛纯债债券型证券投资基金托管协议》；</w:t>
      </w:r>
      <w:r>
        <w:rPr>
          <w:rFonts w:hint="eastAsia"/>
        </w:rPr>
        <w:br w:type="textWrapping"/>
      </w:r>
      <w:r>
        <w:rPr>
          <w:rFonts w:hint="eastAsia"/>
        </w:rPr>
        <w:t>  3、创金合信尊盛纯债债券型证券投资基金2017年年度报告</w:t>
      </w:r>
    </w:p>
    <w:p>
      <w:pPr>
        <w:pStyle w:val="13"/>
        <w:rPr>
          <w:rFonts w:hint="eastAsia"/>
        </w:rPr>
      </w:pPr>
      <w:bookmarkStart w:id="67" w:name="_Toc510107671"/>
      <w:r>
        <w:rPr>
          <w:rFonts w:hint="eastAsia"/>
          <w:b/>
          <w:bCs/>
        </w:rPr>
        <w:t>13.2 存放地点</w:t>
      </w:r>
      <w:bookmarkEnd w:id="67"/>
    </w:p>
    <w:p>
      <w:pPr>
        <w:pStyle w:val="19"/>
        <w:rPr>
          <w:rFonts w:hint="eastAsia"/>
        </w:rPr>
      </w:pPr>
      <w:r>
        <w:rPr>
          <w:rFonts w:hint="eastAsia"/>
        </w:rPr>
        <w:t>  深圳市福田中心区福华一路115号投行大厦15楼</w:t>
      </w:r>
    </w:p>
    <w:p>
      <w:pPr>
        <w:pStyle w:val="13"/>
        <w:rPr>
          <w:rFonts w:hint="eastAsia"/>
        </w:rPr>
      </w:pPr>
      <w:bookmarkStart w:id="68" w:name="_Toc510107672"/>
      <w:r>
        <w:rPr>
          <w:rFonts w:hint="eastAsia"/>
          <w:b/>
          <w:bCs/>
        </w:rPr>
        <w:t>13.3 查阅方式</w:t>
      </w:r>
      <w:bookmarkEnd w:id="68"/>
    </w:p>
    <w:p>
      <w:pPr>
        <w:pStyle w:val="19"/>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8"/>
        <w:rPr>
          <w:rFonts w:hint="eastAsia"/>
        </w:rPr>
      </w:pPr>
      <w:r>
        <w:rPr>
          <w:rFonts w:hint="eastAsia" w:hAnsi="Calibri"/>
          <w:b/>
          <w:bCs/>
          <w:color w:val="000000"/>
        </w:rPr>
        <w:t>创金合信基金管理有限公司</w:t>
      </w:r>
    </w:p>
    <w:p>
      <w:pPr>
        <w:pStyle w:val="18"/>
        <w:rPr>
          <w:rFonts w:hint="eastAsia"/>
        </w:rPr>
      </w:pPr>
      <w:r>
        <w:rPr>
          <w:rFonts w:hint="eastAsia" w:hAnsi="Calibri"/>
          <w:b/>
          <w:bCs/>
          <w:color w:val="000000"/>
        </w:rPr>
        <w:t>二〇一八年三月三十一日</w:t>
      </w:r>
    </w:p>
    <w:p>
      <w:pPr>
        <w:pStyle w:val="25"/>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lang/>
      </w:rPr>
      <w:t>5</w:t>
    </w:r>
    <w:r>
      <w:rPr>
        <w:rStyle w:val="9"/>
      </w:rPr>
      <w:fldChar w:fldCharType="end"/>
    </w:r>
  </w:p>
  <w:p>
    <w:pPr>
      <w:pStyle w:val="2"/>
      <w:jc w:val="center"/>
    </w:pPr>
    <w:r>
      <w:rPr>
        <w:rFonts w:hint="eastAsia"/>
      </w:rPr>
      <w:t xml:space="preserve">                   第       页，共58页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创金合信尊盛纯债债券型证券投资基金2017年年度报告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31B3"/>
    <w:rsid w:val="000E6964"/>
    <w:rsid w:val="00266F7D"/>
    <w:rsid w:val="00C931B3"/>
    <w:rsid w:val="00D47597"/>
    <w:rsid w:val="43A12CD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7"/>
    <w:unhideWhenUsed/>
    <w:uiPriority w:val="99"/>
    <w:pPr>
      <w:tabs>
        <w:tab w:val="center" w:pos="4153"/>
        <w:tab w:val="right" w:pos="8306"/>
      </w:tabs>
      <w:snapToGrid w:val="0"/>
      <w:jc w:val="left"/>
    </w:pPr>
    <w:rPr>
      <w:sz w:val="18"/>
      <w:szCs w:val="18"/>
    </w:rPr>
  </w:style>
  <w:style w:type="paragraph" w:styleId="3">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page number"/>
    <w:semiHidden/>
    <w:unhideWhenUsed/>
    <w:uiPriority w:val="99"/>
  </w:style>
  <w:style w:type="character" w:styleId="10">
    <w:name w:val="Hyperlink"/>
    <w:unhideWhenUsed/>
    <w:uiPriority w:val="99"/>
    <w:rPr>
      <w:color w:val="0563C1"/>
      <w:u w:val="single"/>
    </w:rPr>
  </w:style>
  <w:style w:type="paragraph" w:customStyle="1" w:styleId="11">
    <w:name w:val="msonormal1"/>
    <w:qFormat/>
    <w:uiPriority w:val="0"/>
    <w:pPr>
      <w:widowControl w:val="0"/>
      <w:jc w:val="both"/>
    </w:pPr>
    <w:rPr>
      <w:kern w:val="2"/>
      <w:sz w:val="21"/>
      <w:szCs w:val="22"/>
      <w:lang w:val="en-US" w:eastAsia="zh-CN" w:bidi="ar-SA"/>
    </w:rPr>
  </w:style>
  <w:style w:type="paragraph" w:customStyle="1" w:styleId="12">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3">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4">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5">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6">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7">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8">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19">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0">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1">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3">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4">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6">
    <w:name w:val="页眉 Char"/>
    <w:link w:val="3"/>
    <w:locked/>
    <w:uiPriority w:val="99"/>
    <w:rPr>
      <w:rFonts w:hint="default" w:ascii="Times New Roman" w:hAnsi="Times New Roman" w:cs="Times New Roman"/>
      <w:sz w:val="18"/>
      <w:szCs w:val="18"/>
    </w:rPr>
  </w:style>
  <w:style w:type="character" w:customStyle="1" w:styleId="27">
    <w:name w:val="页脚 Char"/>
    <w:link w:val="2"/>
    <w:locked/>
    <w:uiPriority w:val="99"/>
    <w:rPr>
      <w:rFonts w:hint="default" w:ascii="Times New Roman" w:hAnsi="Times New Roman" w:cs="Times New Roman"/>
      <w:sz w:val="18"/>
      <w:szCs w:val="18"/>
    </w:rPr>
  </w:style>
  <w:style w:type="character" w:customStyle="1" w:styleId="28">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57</Pages>
  <Words>6842</Words>
  <Characters>39001</Characters>
  <Lines>325</Lines>
  <Paragraphs>91</Paragraphs>
  <TotalTime>0</TotalTime>
  <ScaleCrop>false</ScaleCrop>
  <LinksUpToDate>false</LinksUpToDate>
  <CharactersWithSpaces>45752</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2018-03-29T09:22:00Z</dcterms:created>
  <dc:creator>贺祎琪</dc:creator>
  <cp:lastModifiedBy>Administrator</cp:lastModifiedBy>
  <dcterms:modified xsi:type="dcterms:W3CDTF">2019-12-26T14:06:13Z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