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b/>
          <w:color w:val="000000"/>
        </w:rPr>
      </w:pPr>
      <w:bookmarkStart w:id="69" w:name="_GoBack"/>
      <w:bookmarkEnd w:id="69"/>
    </w:p>
    <w:p>
      <w:pPr>
        <w:widowControl/>
        <w:jc w:val="left"/>
        <w:rPr>
          <w:b/>
          <w:color w:val="000000"/>
        </w:rPr>
      </w:pPr>
    </w:p>
    <w:p>
      <w:pPr>
        <w:widowControl/>
        <w:jc w:val="left"/>
        <w:rPr>
          <w:b/>
          <w:color w:val="000000"/>
        </w:rPr>
      </w:pPr>
    </w:p>
    <w:p>
      <w:pPr>
        <w:widowControl/>
        <w:spacing w:before="240" w:after="120"/>
        <w:jc w:val="center"/>
        <w:rPr>
          <w:rFonts w:ascii="黑体" w:hAnsi="黑体" w:eastAsia="黑体"/>
          <w:b/>
          <w:color w:val="000000"/>
          <w:sz w:val="36"/>
        </w:rPr>
      </w:pPr>
      <w:r>
        <w:rPr>
          <w:rFonts w:ascii="黑体" w:hAnsi="黑体" w:eastAsia="黑体"/>
          <w:b/>
          <w:color w:val="000000"/>
          <w:sz w:val="36"/>
        </w:rPr>
        <w:t>创金合信尊盛纯债债券型证券投资基金</w:t>
      </w:r>
    </w:p>
    <w:p>
      <w:pPr>
        <w:widowControl/>
        <w:spacing w:before="240" w:after="120"/>
        <w:jc w:val="center"/>
        <w:rPr>
          <w:rFonts w:ascii="宋体" w:hAnsi="宋体"/>
          <w:b/>
          <w:color w:val="000000"/>
          <w:sz w:val="36"/>
        </w:rPr>
      </w:pPr>
    </w:p>
    <w:p>
      <w:pPr>
        <w:widowControl/>
        <w:spacing w:before="240" w:after="120"/>
        <w:jc w:val="center"/>
        <w:rPr>
          <w:rFonts w:ascii="黑体" w:hAnsi="黑体" w:eastAsia="黑体"/>
          <w:b/>
          <w:color w:val="000000"/>
          <w:sz w:val="36"/>
        </w:rPr>
      </w:pPr>
      <w:r>
        <w:rPr>
          <w:rFonts w:ascii="黑体" w:hAnsi="黑体" w:eastAsia="黑体"/>
          <w:b/>
          <w:color w:val="000000"/>
          <w:sz w:val="36"/>
        </w:rPr>
        <w:t>2018年年度报告</w:t>
      </w:r>
    </w:p>
    <w:p>
      <w:pPr>
        <w:widowControl/>
        <w:spacing w:before="240" w:after="120"/>
        <w:jc w:val="center"/>
        <w:rPr>
          <w:rFonts w:ascii="宋体" w:hAnsi="宋体"/>
          <w:b/>
          <w:color w:val="000000"/>
          <w:sz w:val="24"/>
        </w:rPr>
      </w:pPr>
      <w:r>
        <w:rPr>
          <w:rFonts w:ascii="宋体" w:hAnsi="宋体"/>
          <w:b/>
          <w:color w:val="000000"/>
          <w:sz w:val="24"/>
        </w:rPr>
        <w:t>2018年12月31日</w:t>
      </w: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rFonts w:hint="eastAsia"/>
          <w:b/>
          <w:color w:val="000000"/>
          <w:sz w:val="24"/>
        </w:rPr>
      </w:pPr>
      <w:r>
        <w:rPr>
          <w:rFonts w:hint="eastAsia"/>
          <w:b/>
          <w:color w:val="000000"/>
          <w:sz w:val="24"/>
        </w:rPr>
        <w:t>基金管理人:创金合信基金管理有限公司</w:t>
      </w:r>
    </w:p>
    <w:p>
      <w:pPr>
        <w:widowControl/>
        <w:spacing w:before="240" w:after="120"/>
        <w:jc w:val="center"/>
        <w:rPr>
          <w:rFonts w:hint="eastAsia"/>
          <w:b/>
          <w:color w:val="000000"/>
          <w:sz w:val="24"/>
        </w:rPr>
      </w:pPr>
      <w:r>
        <w:rPr>
          <w:rFonts w:hint="eastAsia"/>
          <w:b/>
          <w:color w:val="000000"/>
          <w:sz w:val="24"/>
        </w:rPr>
        <w:t>基金托管人:招商银行股份有限公司</w:t>
      </w:r>
    </w:p>
    <w:p>
      <w:pPr>
        <w:widowControl/>
        <w:spacing w:before="240" w:after="120"/>
        <w:jc w:val="center"/>
        <w:rPr>
          <w:rFonts w:ascii="宋体" w:cs="宋体"/>
          <w:b/>
          <w:color w:val="000000"/>
          <w:kern w:val="0"/>
          <w:sz w:val="24"/>
          <w:szCs w:val="24"/>
        </w:rPr>
      </w:pPr>
      <w:r>
        <w:rPr>
          <w:rFonts w:hint="eastAsia"/>
          <w:b/>
          <w:color w:val="000000"/>
          <w:sz w:val="24"/>
        </w:rPr>
        <w:t>送出日期:2019年03月29日</w:t>
      </w:r>
      <w:r>
        <w:rPr>
          <w:b/>
          <w:color w:val="000000"/>
        </w:rPr>
        <w:br w:type="page"/>
      </w:r>
    </w:p>
    <w:p>
      <w:pPr>
        <w:pStyle w:val="12"/>
        <w:spacing w:before="240" w:after="120"/>
      </w:pPr>
      <w:bookmarkStart w:id="0" w:name="_Toc4487456"/>
      <w:r>
        <w:rPr>
          <w:rFonts w:hint="eastAsia" w:hAnsi="Calibri"/>
          <w:b/>
          <w:color w:val="000000"/>
        </w:rPr>
        <w:t>§1  重要提示及目录</w:t>
      </w:r>
      <w:bookmarkEnd w:id="0"/>
      <w:r>
        <w:rPr>
          <w:rFonts w:hint="eastAsia"/>
        </w:rPr>
        <w:t xml:space="preserve"> </w:t>
      </w:r>
    </w:p>
    <w:p>
      <w:pPr>
        <w:pStyle w:val="13"/>
        <w:rPr>
          <w:rFonts w:hint="eastAsia"/>
        </w:rPr>
      </w:pPr>
      <w:bookmarkStart w:id="1" w:name="_Toc4487457"/>
      <w:r>
        <w:rPr>
          <w:rFonts w:hint="eastAsia"/>
          <w:b/>
          <w:bCs/>
        </w:rPr>
        <w:t>1.1 重要提示</w:t>
      </w:r>
      <w:bookmarkEnd w:id="1"/>
    </w:p>
    <w:tbl>
      <w:tblPr>
        <w:tblStyle w:val="7"/>
        <w:tblW w:w="0" w:type="auto"/>
        <w:tblInd w:w="108" w:type="dxa"/>
        <w:tblLayout w:type="autofit"/>
        <w:tblCellMar>
          <w:top w:w="0" w:type="dxa"/>
          <w:left w:w="108" w:type="dxa"/>
          <w:bottom w:w="0" w:type="dxa"/>
          <w:right w:w="108" w:type="dxa"/>
        </w:tblCellMar>
      </w:tblPr>
      <w:tblGrid>
        <w:gridCol w:w="9030"/>
      </w:tblGrid>
      <w:tr>
        <w:tblPrEx>
          <w:tblCellMar>
            <w:top w:w="0" w:type="dxa"/>
            <w:left w:w="108" w:type="dxa"/>
            <w:bottom w:w="0" w:type="dxa"/>
            <w:right w:w="108" w:type="dxa"/>
          </w:tblCellMar>
        </w:tblPrEx>
        <w:trPr>
          <w:wBefore w:w="0" w:type="auto"/>
        </w:trPr>
        <w:tc>
          <w:tcPr>
            <w:tcW w:w="9030" w:type="dxa"/>
            <w:tcBorders>
              <w:top w:val="dashed" w:color="000000" w:sz="6" w:space="0"/>
              <w:left w:val="dashed" w:color="000000" w:sz="6" w:space="0"/>
              <w:bottom w:val="dashed" w:color="000000" w:sz="6" w:space="0"/>
              <w:right w:val="dashed" w:color="000000" w:sz="6" w:space="0"/>
            </w:tcBorders>
            <w:noWrap w:val="0"/>
            <w:vAlign w:val="center"/>
          </w:tcPr>
          <w:p>
            <w:pPr>
              <w:pStyle w:val="16"/>
              <w:wordWrap w:val="0"/>
              <w:spacing w:before="0"/>
              <w:ind w:left="0" w:firstLine="480"/>
              <w:rPr>
                <w:rFonts w:hint="eastAsia"/>
              </w:rPr>
            </w:pPr>
            <w:r>
              <w:rPr>
                <w:rFonts w:hint="eastAsia"/>
              </w:rPr>
              <w:t>基金管理人的董事会、董事保证本报告所载资料不存在虚假记载、误导性陈述或重大遗漏，并对其内容的真实性、准确性和完整性承担个别及连带的法律责任。本年度报告已经三分之二以上独立董事签字同意，并由董事长签发。</w:t>
            </w:r>
          </w:p>
          <w:p>
            <w:pPr>
              <w:pStyle w:val="19"/>
              <w:wordWrap w:val="0"/>
              <w:spacing w:before="0"/>
              <w:ind w:left="0" w:firstLine="480"/>
              <w:rPr>
                <w:rFonts w:hint="eastAsia"/>
              </w:rPr>
            </w:pPr>
            <w:r>
              <w:rPr>
                <w:rFonts w:hint="eastAsia"/>
              </w:rPr>
              <w:t>基金托管人招商银行股份有限公司根据本基金合同规定，于2019年3月27日复核了本报告中的财务指标、净值表现、利润分配情况、财务会计报告、投资组合报告等内容，保证复核内容不存在虚假记载、误导性陈述或者重大遗漏。　　</w:t>
            </w:r>
          </w:p>
          <w:p>
            <w:pPr>
              <w:pStyle w:val="19"/>
              <w:wordWrap w:val="0"/>
              <w:spacing w:before="0"/>
              <w:ind w:left="0" w:firstLine="480"/>
              <w:rPr>
                <w:rFonts w:hint="eastAsia"/>
              </w:rPr>
            </w:pPr>
            <w:r>
              <w:rPr>
                <w:rFonts w:hint="eastAsia"/>
              </w:rPr>
              <w:t>基金管理人承诺以诚实信用、勤勉尽责的原则管理和运用基金资产，但不保证基金一定盈利。</w:t>
            </w:r>
          </w:p>
          <w:p>
            <w:pPr>
              <w:pStyle w:val="19"/>
              <w:wordWrap w:val="0"/>
              <w:spacing w:before="0"/>
              <w:ind w:left="0" w:firstLine="480"/>
              <w:rPr>
                <w:rFonts w:hint="eastAsia"/>
              </w:rPr>
            </w:pPr>
            <w:r>
              <w:rPr>
                <w:rFonts w:hint="eastAsia"/>
              </w:rPr>
              <w:t>基金的过往业绩并不代表其未来表现。投资有风险，投资者在作出投资决策前应仔细阅读本基金的招募说明书及其更新。</w:t>
            </w:r>
          </w:p>
          <w:p>
            <w:pPr>
              <w:pStyle w:val="19"/>
              <w:wordWrap w:val="0"/>
              <w:spacing w:before="0"/>
              <w:ind w:left="0" w:firstLine="480"/>
              <w:rPr>
                <w:rFonts w:hint="eastAsia"/>
              </w:rPr>
            </w:pPr>
            <w:r>
              <w:rPr>
                <w:rFonts w:hint="eastAsia"/>
              </w:rPr>
              <w:t>本报告期自2018年01月01日起至2018年12月31日止。</w:t>
            </w:r>
          </w:p>
        </w:tc>
      </w:tr>
    </w:tbl>
    <w:p>
      <w:pPr>
        <w:pStyle w:val="13"/>
        <w:rPr>
          <w:rFonts w:hint="eastAsia"/>
        </w:rPr>
      </w:pPr>
      <w:r>
        <w:rPr>
          <w:rFonts w:ascii="Times New Roman" w:hAnsi="Times New Roman"/>
        </w:rPr>
        <w:br w:type="page"/>
      </w:r>
      <w:bookmarkStart w:id="2" w:name="_Toc4487458"/>
      <w:r>
        <w:rPr>
          <w:rFonts w:hint="eastAsia"/>
          <w:b/>
          <w:bCs/>
        </w:rPr>
        <w:t>1.2 目录</w:t>
      </w:r>
      <w:bookmarkEnd w:id="2"/>
    </w:p>
    <w:p>
      <w:pPr>
        <w:pStyle w:val="4"/>
        <w:tabs>
          <w:tab w:val="right" w:leader="dot" w:pos="9080"/>
        </w:tabs>
        <w:rPr>
          <w:lang/>
        </w:rPr>
      </w:pPr>
      <w:r>
        <w:rPr>
          <w:rFonts w:ascii="Times New Roman" w:hAnsi="Times New Roman"/>
        </w:rPr>
        <w:fldChar w:fldCharType="begin"/>
      </w:r>
      <w:r>
        <w:rPr>
          <w:rFonts w:ascii="Times New Roman" w:hAnsi="Times New Roman"/>
        </w:rPr>
        <w:instrText xml:space="preserve"> TOC \o "1-4" \f 1 \h \z \t "-1" </w:instrText>
      </w:r>
      <w:r>
        <w:rPr>
          <w:rFonts w:ascii="Times New Roman" w:hAnsi="Times New Roman"/>
        </w:rPr>
        <w:fldChar w:fldCharType="separate"/>
      </w:r>
      <w:r>
        <w:rPr>
          <w:rStyle w:val="10"/>
          <w:lang/>
        </w:rPr>
        <w:fldChar w:fldCharType="begin"/>
      </w:r>
      <w:r>
        <w:rPr>
          <w:rStyle w:val="10"/>
          <w:lang/>
        </w:rPr>
        <w:instrText xml:space="preserve"> </w:instrText>
      </w:r>
      <w:r>
        <w:rPr>
          <w:lang/>
        </w:rPr>
        <w:instrText xml:space="preserve">HYPERLINK \l "_Toc4487456"</w:instrText>
      </w:r>
      <w:r>
        <w:rPr>
          <w:rStyle w:val="10"/>
          <w:lang/>
        </w:rPr>
        <w:instrText xml:space="preserve"> </w:instrText>
      </w:r>
      <w:r>
        <w:rPr>
          <w:rStyle w:val="10"/>
          <w:lang/>
        </w:rPr>
        <w:fldChar w:fldCharType="separate"/>
      </w:r>
      <w:r>
        <w:rPr>
          <w:rStyle w:val="10"/>
          <w:b/>
          <w:lang/>
        </w:rPr>
        <w:t xml:space="preserve">§1  </w:t>
      </w:r>
      <w:r>
        <w:rPr>
          <w:rStyle w:val="10"/>
          <w:rFonts w:hint="eastAsia"/>
          <w:b/>
          <w:lang/>
        </w:rPr>
        <w:t>重要提示及目录</w:t>
      </w:r>
      <w:r>
        <w:rPr>
          <w:lang/>
        </w:rPr>
        <w:tab/>
      </w:r>
      <w:r>
        <w:rPr>
          <w:lang/>
        </w:rPr>
        <w:fldChar w:fldCharType="begin"/>
      </w:r>
      <w:r>
        <w:rPr>
          <w:lang/>
        </w:rPr>
        <w:instrText xml:space="preserve"> PAGEREF _Toc4487456 \h </w:instrText>
      </w:r>
      <w:r>
        <w:rPr>
          <w:lang/>
        </w:rPr>
        <w:fldChar w:fldCharType="separate"/>
      </w:r>
      <w:r>
        <w:rPr>
          <w:lang/>
        </w:rPr>
        <w:t>2</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"_Toc4487457"</w:instrText>
      </w:r>
      <w:r>
        <w:rPr>
          <w:rStyle w:val="10"/>
          <w:lang/>
        </w:rPr>
        <w:instrText xml:space="preserve"> </w:instrText>
      </w:r>
      <w:r>
        <w:rPr>
          <w:rStyle w:val="10"/>
          <w:lang/>
        </w:rPr>
        <w:fldChar w:fldCharType="separate"/>
      </w:r>
      <w:r>
        <w:rPr>
          <w:rStyle w:val="10"/>
          <w:b/>
          <w:bCs/>
          <w:lang/>
        </w:rPr>
        <w:t xml:space="preserve">1.1 </w:t>
      </w:r>
      <w:r>
        <w:rPr>
          <w:rStyle w:val="10"/>
          <w:rFonts w:hint="eastAsia"/>
          <w:b/>
          <w:bCs/>
          <w:lang/>
        </w:rPr>
        <w:t>重要提示</w:t>
      </w:r>
      <w:r>
        <w:rPr>
          <w:lang/>
        </w:rPr>
        <w:tab/>
      </w:r>
      <w:r>
        <w:rPr>
          <w:lang/>
        </w:rPr>
        <w:fldChar w:fldCharType="begin"/>
      </w:r>
      <w:r>
        <w:rPr>
          <w:lang/>
        </w:rPr>
        <w:instrText xml:space="preserve"> PAGEREF _Toc4487457 \h </w:instrText>
      </w:r>
      <w:r>
        <w:rPr>
          <w:lang/>
        </w:rPr>
        <w:fldChar w:fldCharType="separate"/>
      </w:r>
      <w:r>
        <w:rPr>
          <w:lang/>
        </w:rPr>
        <w:t>2</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"_Toc4487458"</w:instrText>
      </w:r>
      <w:r>
        <w:rPr>
          <w:rStyle w:val="10"/>
          <w:lang/>
        </w:rPr>
        <w:instrText xml:space="preserve"> </w:instrText>
      </w:r>
      <w:r>
        <w:rPr>
          <w:rStyle w:val="10"/>
          <w:lang/>
        </w:rPr>
        <w:fldChar w:fldCharType="separate"/>
      </w:r>
      <w:r>
        <w:rPr>
          <w:rStyle w:val="10"/>
          <w:b/>
          <w:bCs/>
          <w:lang/>
        </w:rPr>
        <w:t xml:space="preserve">1.2 </w:t>
      </w:r>
      <w:r>
        <w:rPr>
          <w:rStyle w:val="10"/>
          <w:rFonts w:hint="eastAsia"/>
          <w:b/>
          <w:bCs/>
          <w:lang/>
        </w:rPr>
        <w:t>目录</w:t>
      </w:r>
      <w:r>
        <w:rPr>
          <w:lang/>
        </w:rPr>
        <w:tab/>
      </w:r>
      <w:r>
        <w:rPr>
          <w:lang/>
        </w:rPr>
        <w:fldChar w:fldCharType="begin"/>
      </w:r>
      <w:r>
        <w:rPr>
          <w:lang/>
        </w:rPr>
        <w:instrText xml:space="preserve"> PAGEREF _Toc4487458 \h </w:instrText>
      </w:r>
      <w:r>
        <w:rPr>
          <w:lang/>
        </w:rPr>
        <w:fldChar w:fldCharType="separate"/>
      </w:r>
      <w:r>
        <w:rPr>
          <w:lang/>
        </w:rPr>
        <w:t>3</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"_Toc4487459"</w:instrText>
      </w:r>
      <w:r>
        <w:rPr>
          <w:rStyle w:val="10"/>
          <w:lang/>
        </w:rPr>
        <w:instrText xml:space="preserve"> </w:instrText>
      </w:r>
      <w:r>
        <w:rPr>
          <w:rStyle w:val="10"/>
          <w:lang/>
        </w:rPr>
        <w:fldChar w:fldCharType="separate"/>
      </w:r>
      <w:r>
        <w:rPr>
          <w:rStyle w:val="10"/>
          <w:b/>
          <w:lang/>
        </w:rPr>
        <w:t xml:space="preserve">§2  </w:t>
      </w:r>
      <w:r>
        <w:rPr>
          <w:rStyle w:val="10"/>
          <w:rFonts w:hint="eastAsia"/>
          <w:b/>
          <w:lang/>
        </w:rPr>
        <w:t>基金简介</w:t>
      </w:r>
      <w:r>
        <w:rPr>
          <w:lang/>
        </w:rPr>
        <w:tab/>
      </w:r>
      <w:r>
        <w:rPr>
          <w:lang/>
        </w:rPr>
        <w:fldChar w:fldCharType="begin"/>
      </w:r>
      <w:r>
        <w:rPr>
          <w:lang/>
        </w:rPr>
        <w:instrText xml:space="preserve"> PAGEREF _Toc4487459 \h </w:instrText>
      </w:r>
      <w:r>
        <w:rPr>
          <w:lang/>
        </w:rPr>
        <w:fldChar w:fldCharType="separate"/>
      </w:r>
      <w:r>
        <w:rPr>
          <w:lang/>
        </w:rPr>
        <w:t>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"_Toc4487460"</w:instrText>
      </w:r>
      <w:r>
        <w:rPr>
          <w:rStyle w:val="10"/>
          <w:lang/>
        </w:rPr>
        <w:instrText xml:space="preserve"> </w:instrText>
      </w:r>
      <w:r>
        <w:rPr>
          <w:rStyle w:val="10"/>
          <w:lang/>
        </w:rPr>
        <w:fldChar w:fldCharType="separate"/>
      </w:r>
      <w:r>
        <w:rPr>
          <w:rStyle w:val="10"/>
          <w:b/>
          <w:bCs/>
          <w:lang/>
        </w:rPr>
        <w:t xml:space="preserve">2.1 </w:t>
      </w:r>
      <w:r>
        <w:rPr>
          <w:rStyle w:val="10"/>
          <w:rFonts w:hint="eastAsia"/>
          <w:b/>
          <w:bCs/>
          <w:lang/>
        </w:rPr>
        <w:t>基金基本情况</w:t>
      </w:r>
      <w:r>
        <w:rPr>
          <w:lang/>
        </w:rPr>
        <w:tab/>
      </w:r>
      <w:r>
        <w:rPr>
          <w:lang/>
        </w:rPr>
        <w:fldChar w:fldCharType="begin"/>
      </w:r>
      <w:r>
        <w:rPr>
          <w:lang/>
        </w:rPr>
        <w:instrText xml:space="preserve"> PAGEREF _Toc4487460 \h </w:instrText>
      </w:r>
      <w:r>
        <w:rPr>
          <w:lang/>
        </w:rPr>
        <w:fldChar w:fldCharType="separate"/>
      </w:r>
      <w:r>
        <w:rPr>
          <w:lang/>
        </w:rPr>
        <w:t>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"_Toc4487461"</w:instrText>
      </w:r>
      <w:r>
        <w:rPr>
          <w:rStyle w:val="10"/>
          <w:lang/>
        </w:rPr>
        <w:instrText xml:space="preserve"> </w:instrText>
      </w:r>
      <w:r>
        <w:rPr>
          <w:rStyle w:val="10"/>
          <w:lang/>
        </w:rPr>
        <w:fldChar w:fldCharType="separate"/>
      </w:r>
      <w:r>
        <w:rPr>
          <w:rStyle w:val="10"/>
          <w:b/>
          <w:bCs/>
          <w:lang/>
        </w:rPr>
        <w:t xml:space="preserve">2.2 </w:t>
      </w:r>
      <w:r>
        <w:rPr>
          <w:rStyle w:val="10"/>
          <w:rFonts w:hint="eastAsia"/>
          <w:b/>
          <w:bCs/>
          <w:lang/>
        </w:rPr>
        <w:t>基金产品说明</w:t>
      </w:r>
      <w:r>
        <w:rPr>
          <w:lang/>
        </w:rPr>
        <w:tab/>
      </w:r>
      <w:r>
        <w:rPr>
          <w:lang/>
        </w:rPr>
        <w:fldChar w:fldCharType="begin"/>
      </w:r>
      <w:r>
        <w:rPr>
          <w:lang/>
        </w:rPr>
        <w:instrText xml:space="preserve"> PAGEREF _Toc4487461 \h </w:instrText>
      </w:r>
      <w:r>
        <w:rPr>
          <w:lang/>
        </w:rPr>
        <w:fldChar w:fldCharType="separate"/>
      </w:r>
      <w:r>
        <w:rPr>
          <w:lang/>
        </w:rPr>
        <w:t>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"_Toc4487462"</w:instrText>
      </w:r>
      <w:r>
        <w:rPr>
          <w:rStyle w:val="10"/>
          <w:lang/>
        </w:rPr>
        <w:instrText xml:space="preserve"> </w:instrText>
      </w:r>
      <w:r>
        <w:rPr>
          <w:rStyle w:val="10"/>
          <w:lang/>
        </w:rPr>
        <w:fldChar w:fldCharType="separate"/>
      </w:r>
      <w:r>
        <w:rPr>
          <w:rStyle w:val="10"/>
          <w:b/>
          <w:bCs/>
          <w:lang/>
        </w:rPr>
        <w:t xml:space="preserve">2.3 </w:t>
      </w:r>
      <w:r>
        <w:rPr>
          <w:rStyle w:val="10"/>
          <w:rFonts w:hint="eastAsia"/>
          <w:b/>
          <w:bCs/>
          <w:lang/>
        </w:rPr>
        <w:t>基金管理人和基金托管人</w:t>
      </w:r>
      <w:r>
        <w:rPr>
          <w:lang/>
        </w:rPr>
        <w:tab/>
      </w:r>
      <w:r>
        <w:rPr>
          <w:lang/>
        </w:rPr>
        <w:fldChar w:fldCharType="begin"/>
      </w:r>
      <w:r>
        <w:rPr>
          <w:lang/>
        </w:rPr>
        <w:instrText xml:space="preserve"> PAGEREF _Toc4487462 \h </w:instrText>
      </w:r>
      <w:r>
        <w:rPr>
          <w:lang/>
        </w:rPr>
        <w:fldChar w:fldCharType="separate"/>
      </w:r>
      <w:r>
        <w:rPr>
          <w:lang/>
        </w:rPr>
        <w:t>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"_Toc4487463"</w:instrText>
      </w:r>
      <w:r>
        <w:rPr>
          <w:rStyle w:val="10"/>
          <w:lang/>
        </w:rPr>
        <w:instrText xml:space="preserve"> </w:instrText>
      </w:r>
      <w:r>
        <w:rPr>
          <w:rStyle w:val="10"/>
          <w:lang/>
        </w:rPr>
        <w:fldChar w:fldCharType="separate"/>
      </w:r>
      <w:r>
        <w:rPr>
          <w:rStyle w:val="10"/>
          <w:b/>
          <w:bCs/>
          <w:lang/>
        </w:rPr>
        <w:t xml:space="preserve">2.4 </w:t>
      </w:r>
      <w:r>
        <w:rPr>
          <w:rStyle w:val="10"/>
          <w:rFonts w:hint="eastAsia"/>
          <w:b/>
          <w:bCs/>
          <w:lang/>
        </w:rPr>
        <w:t>信息披露方式</w:t>
      </w:r>
      <w:r>
        <w:rPr>
          <w:lang/>
        </w:rPr>
        <w:tab/>
      </w:r>
      <w:r>
        <w:rPr>
          <w:lang/>
        </w:rPr>
        <w:fldChar w:fldCharType="begin"/>
      </w:r>
      <w:r>
        <w:rPr>
          <w:lang/>
        </w:rPr>
        <w:instrText xml:space="preserve"> PAGEREF _Toc4487463 \h </w:instrText>
      </w:r>
      <w:r>
        <w:rPr>
          <w:lang/>
        </w:rPr>
        <w:fldChar w:fldCharType="separate"/>
      </w:r>
      <w:r>
        <w:rPr>
          <w:lang/>
        </w:rPr>
        <w:t>6</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"_Toc4487464"</w:instrText>
      </w:r>
      <w:r>
        <w:rPr>
          <w:rStyle w:val="10"/>
          <w:lang/>
        </w:rPr>
        <w:instrText xml:space="preserve"> </w:instrText>
      </w:r>
      <w:r>
        <w:rPr>
          <w:rStyle w:val="10"/>
          <w:lang/>
        </w:rPr>
        <w:fldChar w:fldCharType="separate"/>
      </w:r>
      <w:r>
        <w:rPr>
          <w:rStyle w:val="10"/>
          <w:b/>
          <w:bCs/>
          <w:lang/>
        </w:rPr>
        <w:t xml:space="preserve">2.5 </w:t>
      </w:r>
      <w:r>
        <w:rPr>
          <w:rStyle w:val="10"/>
          <w:rFonts w:hint="eastAsia"/>
          <w:b/>
          <w:bCs/>
          <w:lang/>
        </w:rPr>
        <w:t>其他相关资料</w:t>
      </w:r>
      <w:r>
        <w:rPr>
          <w:lang/>
        </w:rPr>
        <w:tab/>
      </w:r>
      <w:r>
        <w:rPr>
          <w:lang/>
        </w:rPr>
        <w:fldChar w:fldCharType="begin"/>
      </w:r>
      <w:r>
        <w:rPr>
          <w:lang/>
        </w:rPr>
        <w:instrText xml:space="preserve"> PAGEREF _Toc4487464 \h </w:instrText>
      </w:r>
      <w:r>
        <w:rPr>
          <w:lang/>
        </w:rPr>
        <w:fldChar w:fldCharType="separate"/>
      </w:r>
      <w:r>
        <w:rPr>
          <w:lang/>
        </w:rPr>
        <w:t>6</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"_Toc4487465"</w:instrText>
      </w:r>
      <w:r>
        <w:rPr>
          <w:rStyle w:val="10"/>
          <w:lang/>
        </w:rPr>
        <w:instrText xml:space="preserve"> </w:instrText>
      </w:r>
      <w:r>
        <w:rPr>
          <w:rStyle w:val="10"/>
          <w:lang/>
        </w:rPr>
        <w:fldChar w:fldCharType="separate"/>
      </w:r>
      <w:r>
        <w:rPr>
          <w:rStyle w:val="10"/>
          <w:b/>
          <w:lang/>
        </w:rPr>
        <w:t xml:space="preserve">§3  </w:t>
      </w:r>
      <w:r>
        <w:rPr>
          <w:rStyle w:val="10"/>
          <w:rFonts w:hint="eastAsia"/>
          <w:b/>
          <w:lang/>
        </w:rPr>
        <w:t>主要财务指标、基金净值表现及利润分配情况</w:t>
      </w:r>
      <w:r>
        <w:rPr>
          <w:lang/>
        </w:rPr>
        <w:tab/>
      </w:r>
      <w:r>
        <w:rPr>
          <w:lang/>
        </w:rPr>
        <w:fldChar w:fldCharType="begin"/>
      </w:r>
      <w:r>
        <w:rPr>
          <w:lang/>
        </w:rPr>
        <w:instrText xml:space="preserve"> PAGEREF _Toc4487465 \h </w:instrText>
      </w:r>
      <w:r>
        <w:rPr>
          <w:lang/>
        </w:rPr>
        <w:fldChar w:fldCharType="separate"/>
      </w:r>
      <w:r>
        <w:rPr>
          <w:lang/>
        </w:rPr>
        <w:t>6</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"_Toc4487466"</w:instrText>
      </w:r>
      <w:r>
        <w:rPr>
          <w:rStyle w:val="10"/>
          <w:lang/>
        </w:rPr>
        <w:instrText xml:space="preserve"> </w:instrText>
      </w:r>
      <w:r>
        <w:rPr>
          <w:rStyle w:val="10"/>
          <w:lang/>
        </w:rPr>
        <w:fldChar w:fldCharType="separate"/>
      </w:r>
      <w:r>
        <w:rPr>
          <w:rStyle w:val="10"/>
          <w:b/>
          <w:bCs/>
          <w:lang/>
        </w:rPr>
        <w:t xml:space="preserve">3.1 </w:t>
      </w:r>
      <w:r>
        <w:rPr>
          <w:rStyle w:val="10"/>
          <w:rFonts w:hint="eastAsia"/>
          <w:b/>
          <w:bCs/>
          <w:lang/>
        </w:rPr>
        <w:t>主要会计数据和财务指标</w:t>
      </w:r>
      <w:r>
        <w:rPr>
          <w:lang/>
        </w:rPr>
        <w:tab/>
      </w:r>
      <w:r>
        <w:rPr>
          <w:lang/>
        </w:rPr>
        <w:fldChar w:fldCharType="begin"/>
      </w:r>
      <w:r>
        <w:rPr>
          <w:lang/>
        </w:rPr>
        <w:instrText xml:space="preserve"> PAGEREF _Toc4487466 \h </w:instrText>
      </w:r>
      <w:r>
        <w:rPr>
          <w:lang/>
        </w:rPr>
        <w:fldChar w:fldCharType="separate"/>
      </w:r>
      <w:r>
        <w:rPr>
          <w:lang/>
        </w:rPr>
        <w:t>6</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"_Toc4487467"</w:instrText>
      </w:r>
      <w:r>
        <w:rPr>
          <w:rStyle w:val="10"/>
          <w:lang/>
        </w:rPr>
        <w:instrText xml:space="preserve"> </w:instrText>
      </w:r>
      <w:r>
        <w:rPr>
          <w:rStyle w:val="10"/>
          <w:lang/>
        </w:rPr>
        <w:fldChar w:fldCharType="separate"/>
      </w:r>
      <w:r>
        <w:rPr>
          <w:rStyle w:val="10"/>
          <w:b/>
          <w:bCs/>
          <w:lang/>
        </w:rPr>
        <w:t xml:space="preserve">3.2 </w:t>
      </w:r>
      <w:r>
        <w:rPr>
          <w:rStyle w:val="10"/>
          <w:rFonts w:hint="eastAsia"/>
          <w:b/>
          <w:bCs/>
          <w:lang/>
        </w:rPr>
        <w:t>基金净值表现</w:t>
      </w:r>
      <w:r>
        <w:rPr>
          <w:lang/>
        </w:rPr>
        <w:tab/>
      </w:r>
      <w:r>
        <w:rPr>
          <w:lang/>
        </w:rPr>
        <w:fldChar w:fldCharType="begin"/>
      </w:r>
      <w:r>
        <w:rPr>
          <w:lang/>
        </w:rPr>
        <w:instrText xml:space="preserve"> PAGEREF _Toc4487467 \h </w:instrText>
      </w:r>
      <w:r>
        <w:rPr>
          <w:lang/>
        </w:rPr>
        <w:fldChar w:fldCharType="separate"/>
      </w:r>
      <w:r>
        <w:rPr>
          <w:lang/>
        </w:rPr>
        <w:t>7</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"_Toc4487468"</w:instrText>
      </w:r>
      <w:r>
        <w:rPr>
          <w:rStyle w:val="10"/>
          <w:lang/>
        </w:rPr>
        <w:instrText xml:space="preserve"> </w:instrText>
      </w:r>
      <w:r>
        <w:rPr>
          <w:rStyle w:val="10"/>
          <w:lang/>
        </w:rPr>
        <w:fldChar w:fldCharType="separate"/>
      </w:r>
      <w:r>
        <w:rPr>
          <w:rStyle w:val="10"/>
          <w:b/>
          <w:lang/>
        </w:rPr>
        <w:t xml:space="preserve">3.3 </w:t>
      </w:r>
      <w:r>
        <w:rPr>
          <w:rStyle w:val="10"/>
          <w:rFonts w:hint="eastAsia"/>
          <w:b/>
          <w:lang/>
        </w:rPr>
        <w:t>过去三年基金的利润分配情况</w:t>
      </w:r>
      <w:r>
        <w:rPr>
          <w:lang/>
        </w:rPr>
        <w:tab/>
      </w:r>
      <w:r>
        <w:rPr>
          <w:lang/>
        </w:rPr>
        <w:fldChar w:fldCharType="begin"/>
      </w:r>
      <w:r>
        <w:rPr>
          <w:lang/>
        </w:rPr>
        <w:instrText xml:space="preserve"> PAGEREF _Toc4487468 \h </w:instrText>
      </w:r>
      <w:r>
        <w:rPr>
          <w:lang/>
        </w:rPr>
        <w:fldChar w:fldCharType="separate"/>
      </w:r>
      <w:r>
        <w:rPr>
          <w:lang/>
        </w:rPr>
        <w:t>9</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"_Toc4487469"</w:instrText>
      </w:r>
      <w:r>
        <w:rPr>
          <w:rStyle w:val="10"/>
          <w:lang/>
        </w:rPr>
        <w:instrText xml:space="preserve"> </w:instrText>
      </w:r>
      <w:r>
        <w:rPr>
          <w:rStyle w:val="10"/>
          <w:lang/>
        </w:rPr>
        <w:fldChar w:fldCharType="separate"/>
      </w:r>
      <w:r>
        <w:rPr>
          <w:rStyle w:val="10"/>
          <w:b/>
          <w:lang/>
        </w:rPr>
        <w:t xml:space="preserve">§4  </w:t>
      </w:r>
      <w:r>
        <w:rPr>
          <w:rStyle w:val="10"/>
          <w:rFonts w:hint="eastAsia"/>
          <w:b/>
          <w:lang/>
        </w:rPr>
        <w:t>管理人报告</w:t>
      </w:r>
      <w:r>
        <w:rPr>
          <w:lang/>
        </w:rPr>
        <w:tab/>
      </w:r>
      <w:r>
        <w:rPr>
          <w:lang/>
        </w:rPr>
        <w:fldChar w:fldCharType="begin"/>
      </w:r>
      <w:r>
        <w:rPr>
          <w:lang/>
        </w:rPr>
        <w:instrText xml:space="preserve"> PAGEREF _Toc4487469 \h </w:instrText>
      </w:r>
      <w:r>
        <w:rPr>
          <w:lang/>
        </w:rPr>
        <w:fldChar w:fldCharType="separate"/>
      </w:r>
      <w:r>
        <w:rPr>
          <w:lang/>
        </w:rPr>
        <w:t>9</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"_Toc4487470"</w:instrText>
      </w:r>
      <w:r>
        <w:rPr>
          <w:rStyle w:val="10"/>
          <w:lang/>
        </w:rPr>
        <w:instrText xml:space="preserve"> </w:instrText>
      </w:r>
      <w:r>
        <w:rPr>
          <w:rStyle w:val="10"/>
          <w:lang/>
        </w:rPr>
        <w:fldChar w:fldCharType="separate"/>
      </w:r>
      <w:r>
        <w:rPr>
          <w:rStyle w:val="10"/>
          <w:b/>
          <w:bCs/>
          <w:lang/>
        </w:rPr>
        <w:t xml:space="preserve">4.1 </w:t>
      </w:r>
      <w:r>
        <w:rPr>
          <w:rStyle w:val="10"/>
          <w:rFonts w:hint="eastAsia"/>
          <w:b/>
          <w:bCs/>
          <w:lang/>
        </w:rPr>
        <w:t>基金管理人及基金经理情况</w:t>
      </w:r>
      <w:r>
        <w:rPr>
          <w:lang/>
        </w:rPr>
        <w:tab/>
      </w:r>
      <w:r>
        <w:rPr>
          <w:lang/>
        </w:rPr>
        <w:fldChar w:fldCharType="begin"/>
      </w:r>
      <w:r>
        <w:rPr>
          <w:lang/>
        </w:rPr>
        <w:instrText xml:space="preserve"> PAGEREF _Toc4487470 \h </w:instrText>
      </w:r>
      <w:r>
        <w:rPr>
          <w:lang/>
        </w:rPr>
        <w:fldChar w:fldCharType="separate"/>
      </w:r>
      <w:r>
        <w:rPr>
          <w:lang/>
        </w:rPr>
        <w:t>9</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"_Toc4487471"</w:instrText>
      </w:r>
      <w:r>
        <w:rPr>
          <w:rStyle w:val="10"/>
          <w:lang/>
        </w:rPr>
        <w:instrText xml:space="preserve"> </w:instrText>
      </w:r>
      <w:r>
        <w:rPr>
          <w:rStyle w:val="10"/>
          <w:lang/>
        </w:rPr>
        <w:fldChar w:fldCharType="separate"/>
      </w:r>
      <w:r>
        <w:rPr>
          <w:rStyle w:val="10"/>
          <w:b/>
          <w:lang/>
        </w:rPr>
        <w:t xml:space="preserve">4.2 </w:t>
      </w:r>
      <w:r>
        <w:rPr>
          <w:rStyle w:val="10"/>
          <w:rFonts w:hint="eastAsia"/>
          <w:b/>
          <w:lang/>
        </w:rPr>
        <w:t>管理人对报告期内本基金运作遵规守信情况的说明</w:t>
      </w:r>
      <w:r>
        <w:rPr>
          <w:lang/>
        </w:rPr>
        <w:tab/>
      </w:r>
      <w:r>
        <w:rPr>
          <w:lang/>
        </w:rPr>
        <w:fldChar w:fldCharType="begin"/>
      </w:r>
      <w:r>
        <w:rPr>
          <w:lang/>
        </w:rPr>
        <w:instrText xml:space="preserve"> PAGEREF _Toc4487471 \h </w:instrText>
      </w:r>
      <w:r>
        <w:rPr>
          <w:lang/>
        </w:rPr>
        <w:fldChar w:fldCharType="separate"/>
      </w:r>
      <w:r>
        <w:rPr>
          <w:lang/>
        </w:rPr>
        <w:t>10</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"_Toc4487472"</w:instrText>
      </w:r>
      <w:r>
        <w:rPr>
          <w:rStyle w:val="10"/>
          <w:lang/>
        </w:rPr>
        <w:instrText xml:space="preserve"> </w:instrText>
      </w:r>
      <w:r>
        <w:rPr>
          <w:rStyle w:val="10"/>
          <w:lang/>
        </w:rPr>
        <w:fldChar w:fldCharType="separate"/>
      </w:r>
      <w:r>
        <w:rPr>
          <w:rStyle w:val="10"/>
          <w:b/>
          <w:lang/>
        </w:rPr>
        <w:t xml:space="preserve">4.3 </w:t>
      </w:r>
      <w:r>
        <w:rPr>
          <w:rStyle w:val="10"/>
          <w:rFonts w:hint="eastAsia"/>
          <w:b/>
          <w:lang/>
        </w:rPr>
        <w:t>管理人对报告期内公平交易情况的专项说明</w:t>
      </w:r>
      <w:r>
        <w:rPr>
          <w:lang/>
        </w:rPr>
        <w:tab/>
      </w:r>
      <w:r>
        <w:rPr>
          <w:lang/>
        </w:rPr>
        <w:fldChar w:fldCharType="begin"/>
      </w:r>
      <w:r>
        <w:rPr>
          <w:lang/>
        </w:rPr>
        <w:instrText xml:space="preserve"> PAGEREF _Toc4487472 \h </w:instrText>
      </w:r>
      <w:r>
        <w:rPr>
          <w:lang/>
        </w:rPr>
        <w:fldChar w:fldCharType="separate"/>
      </w:r>
      <w:r>
        <w:rPr>
          <w:lang/>
        </w:rPr>
        <w:t>11</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"_Toc4487473"</w:instrText>
      </w:r>
      <w:r>
        <w:rPr>
          <w:rStyle w:val="10"/>
          <w:lang/>
        </w:rPr>
        <w:instrText xml:space="preserve"> </w:instrText>
      </w:r>
      <w:r>
        <w:rPr>
          <w:rStyle w:val="10"/>
          <w:lang/>
        </w:rPr>
        <w:fldChar w:fldCharType="separate"/>
      </w:r>
      <w:r>
        <w:rPr>
          <w:rStyle w:val="10"/>
          <w:b/>
          <w:lang/>
        </w:rPr>
        <w:t xml:space="preserve">4.4 </w:t>
      </w:r>
      <w:r>
        <w:rPr>
          <w:rStyle w:val="10"/>
          <w:rFonts w:hint="eastAsia"/>
          <w:b/>
          <w:lang/>
        </w:rPr>
        <w:t>管理人对报告期内基金的投资策略和业绩表现的说明</w:t>
      </w:r>
      <w:r>
        <w:rPr>
          <w:lang/>
        </w:rPr>
        <w:tab/>
      </w:r>
      <w:r>
        <w:rPr>
          <w:lang/>
        </w:rPr>
        <w:fldChar w:fldCharType="begin"/>
      </w:r>
      <w:r>
        <w:rPr>
          <w:lang/>
        </w:rPr>
        <w:instrText xml:space="preserve"> PAGEREF _Toc4487473 \h </w:instrText>
      </w:r>
      <w:r>
        <w:rPr>
          <w:lang/>
        </w:rPr>
        <w:fldChar w:fldCharType="separate"/>
      </w:r>
      <w:r>
        <w:rPr>
          <w:lang/>
        </w:rPr>
        <w:t>12</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"_Toc4487474"</w:instrText>
      </w:r>
      <w:r>
        <w:rPr>
          <w:rStyle w:val="10"/>
          <w:lang/>
        </w:rPr>
        <w:instrText xml:space="preserve"> </w:instrText>
      </w:r>
      <w:r>
        <w:rPr>
          <w:rStyle w:val="10"/>
          <w:lang/>
        </w:rPr>
        <w:fldChar w:fldCharType="separate"/>
      </w:r>
      <w:r>
        <w:rPr>
          <w:rStyle w:val="10"/>
          <w:b/>
          <w:lang/>
        </w:rPr>
        <w:t xml:space="preserve">4.5 </w:t>
      </w:r>
      <w:r>
        <w:rPr>
          <w:rStyle w:val="10"/>
          <w:rFonts w:hint="eastAsia"/>
          <w:b/>
          <w:lang/>
        </w:rPr>
        <w:t>管理人对宏观经济、证券市场及行业走势的简要展望</w:t>
      </w:r>
      <w:r>
        <w:rPr>
          <w:lang/>
        </w:rPr>
        <w:tab/>
      </w:r>
      <w:r>
        <w:rPr>
          <w:lang/>
        </w:rPr>
        <w:fldChar w:fldCharType="begin"/>
      </w:r>
      <w:r>
        <w:rPr>
          <w:lang/>
        </w:rPr>
        <w:instrText xml:space="preserve"> PAGEREF _Toc4487474 \h </w:instrText>
      </w:r>
      <w:r>
        <w:rPr>
          <w:lang/>
        </w:rPr>
        <w:fldChar w:fldCharType="separate"/>
      </w:r>
      <w:r>
        <w:rPr>
          <w:lang/>
        </w:rPr>
        <w:t>12</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"_Toc4487475"</w:instrText>
      </w:r>
      <w:r>
        <w:rPr>
          <w:rStyle w:val="10"/>
          <w:lang/>
        </w:rPr>
        <w:instrText xml:space="preserve"> </w:instrText>
      </w:r>
      <w:r>
        <w:rPr>
          <w:rStyle w:val="10"/>
          <w:lang/>
        </w:rPr>
        <w:fldChar w:fldCharType="separate"/>
      </w:r>
      <w:r>
        <w:rPr>
          <w:rStyle w:val="10"/>
          <w:b/>
          <w:lang/>
        </w:rPr>
        <w:t xml:space="preserve">4.6 </w:t>
      </w:r>
      <w:r>
        <w:rPr>
          <w:rStyle w:val="10"/>
          <w:rFonts w:hint="eastAsia"/>
          <w:b/>
          <w:lang/>
        </w:rPr>
        <w:t>管理人内部有关本基金的监察稽核工作情况</w:t>
      </w:r>
      <w:r>
        <w:rPr>
          <w:lang/>
        </w:rPr>
        <w:tab/>
      </w:r>
      <w:r>
        <w:rPr>
          <w:lang/>
        </w:rPr>
        <w:fldChar w:fldCharType="begin"/>
      </w:r>
      <w:r>
        <w:rPr>
          <w:lang/>
        </w:rPr>
        <w:instrText xml:space="preserve"> PAGEREF _Toc4487475 \h </w:instrText>
      </w:r>
      <w:r>
        <w:rPr>
          <w:lang/>
        </w:rPr>
        <w:fldChar w:fldCharType="separate"/>
      </w:r>
      <w:r>
        <w:rPr>
          <w:lang/>
        </w:rPr>
        <w:t>13</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"_Toc4487476"</w:instrText>
      </w:r>
      <w:r>
        <w:rPr>
          <w:rStyle w:val="10"/>
          <w:lang/>
        </w:rPr>
        <w:instrText xml:space="preserve"> </w:instrText>
      </w:r>
      <w:r>
        <w:rPr>
          <w:rStyle w:val="10"/>
          <w:lang/>
        </w:rPr>
        <w:fldChar w:fldCharType="separate"/>
      </w:r>
      <w:r>
        <w:rPr>
          <w:rStyle w:val="10"/>
          <w:b/>
          <w:lang/>
        </w:rPr>
        <w:t xml:space="preserve">4.7 </w:t>
      </w:r>
      <w:r>
        <w:rPr>
          <w:rStyle w:val="10"/>
          <w:rFonts w:hint="eastAsia"/>
          <w:b/>
          <w:lang/>
        </w:rPr>
        <w:t>管理人对报告期内基金估值程序等事项的说明</w:t>
      </w:r>
      <w:r>
        <w:rPr>
          <w:lang/>
        </w:rPr>
        <w:tab/>
      </w:r>
      <w:r>
        <w:rPr>
          <w:lang/>
        </w:rPr>
        <w:fldChar w:fldCharType="begin"/>
      </w:r>
      <w:r>
        <w:rPr>
          <w:lang/>
        </w:rPr>
        <w:instrText xml:space="preserve"> PAGEREF _Toc4487476 \h </w:instrText>
      </w:r>
      <w:r>
        <w:rPr>
          <w:lang/>
        </w:rPr>
        <w:fldChar w:fldCharType="separate"/>
      </w:r>
      <w:r>
        <w:rPr>
          <w:lang/>
        </w:rPr>
        <w:t>14</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"_Toc4487477"</w:instrText>
      </w:r>
      <w:r>
        <w:rPr>
          <w:rStyle w:val="10"/>
          <w:lang/>
        </w:rPr>
        <w:instrText xml:space="preserve"> </w:instrText>
      </w:r>
      <w:r>
        <w:rPr>
          <w:rStyle w:val="10"/>
          <w:lang/>
        </w:rPr>
        <w:fldChar w:fldCharType="separate"/>
      </w:r>
      <w:r>
        <w:rPr>
          <w:rStyle w:val="10"/>
          <w:b/>
          <w:bCs/>
          <w:lang/>
        </w:rPr>
        <w:t xml:space="preserve">4.8 </w:t>
      </w:r>
      <w:r>
        <w:rPr>
          <w:rStyle w:val="10"/>
          <w:rFonts w:hint="eastAsia"/>
          <w:b/>
          <w:bCs/>
          <w:lang/>
        </w:rPr>
        <w:t>管理人对报告期内基金利润分配情况的说明</w:t>
      </w:r>
      <w:r>
        <w:rPr>
          <w:lang/>
        </w:rPr>
        <w:tab/>
      </w:r>
      <w:r>
        <w:rPr>
          <w:lang/>
        </w:rPr>
        <w:fldChar w:fldCharType="begin"/>
      </w:r>
      <w:r>
        <w:rPr>
          <w:lang/>
        </w:rPr>
        <w:instrText xml:space="preserve"> PAGEREF _Toc4487477 \h </w:instrText>
      </w:r>
      <w:r>
        <w:rPr>
          <w:lang/>
        </w:rPr>
        <w:fldChar w:fldCharType="separate"/>
      </w:r>
      <w:r>
        <w:rPr>
          <w:lang/>
        </w:rPr>
        <w:t>14</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"_Toc4487478"</w:instrText>
      </w:r>
      <w:r>
        <w:rPr>
          <w:rStyle w:val="10"/>
          <w:lang/>
        </w:rPr>
        <w:instrText xml:space="preserve"> </w:instrText>
      </w:r>
      <w:r>
        <w:rPr>
          <w:rStyle w:val="10"/>
          <w:lang/>
        </w:rPr>
        <w:fldChar w:fldCharType="separate"/>
      </w:r>
      <w:r>
        <w:rPr>
          <w:rStyle w:val="10"/>
          <w:b/>
          <w:bCs/>
          <w:lang/>
        </w:rPr>
        <w:t xml:space="preserve">4.9 </w:t>
      </w:r>
      <w:r>
        <w:rPr>
          <w:rStyle w:val="10"/>
          <w:rFonts w:hint="eastAsia"/>
          <w:b/>
          <w:bCs/>
          <w:lang/>
        </w:rPr>
        <w:t>报告期内管理人对本基金持有人数或基金资产净值预警情形的说明</w:t>
      </w:r>
      <w:r>
        <w:rPr>
          <w:lang/>
        </w:rPr>
        <w:tab/>
      </w:r>
      <w:r>
        <w:rPr>
          <w:lang/>
        </w:rPr>
        <w:fldChar w:fldCharType="begin"/>
      </w:r>
      <w:r>
        <w:rPr>
          <w:lang/>
        </w:rPr>
        <w:instrText xml:space="preserve"> PAGEREF _Toc4487478 \h </w:instrText>
      </w:r>
      <w:r>
        <w:rPr>
          <w:lang/>
        </w:rPr>
        <w:fldChar w:fldCharType="separate"/>
      </w:r>
      <w:r>
        <w:rPr>
          <w:lang/>
        </w:rPr>
        <w:t>14</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"_Toc4487479"</w:instrText>
      </w:r>
      <w:r>
        <w:rPr>
          <w:rStyle w:val="10"/>
          <w:lang/>
        </w:rPr>
        <w:instrText xml:space="preserve"> </w:instrText>
      </w:r>
      <w:r>
        <w:rPr>
          <w:rStyle w:val="10"/>
          <w:lang/>
        </w:rPr>
        <w:fldChar w:fldCharType="separate"/>
      </w:r>
      <w:r>
        <w:rPr>
          <w:rStyle w:val="10"/>
          <w:b/>
          <w:lang/>
        </w:rPr>
        <w:t xml:space="preserve">§5  </w:t>
      </w:r>
      <w:r>
        <w:rPr>
          <w:rStyle w:val="10"/>
          <w:rFonts w:hint="eastAsia"/>
          <w:b/>
          <w:lang/>
        </w:rPr>
        <w:t>托管人报告</w:t>
      </w:r>
      <w:r>
        <w:rPr>
          <w:lang/>
        </w:rPr>
        <w:tab/>
      </w:r>
      <w:r>
        <w:rPr>
          <w:lang/>
        </w:rPr>
        <w:fldChar w:fldCharType="begin"/>
      </w:r>
      <w:r>
        <w:rPr>
          <w:lang/>
        </w:rPr>
        <w:instrText xml:space="preserve"> PAGEREF _Toc4487479 \h </w:instrText>
      </w:r>
      <w:r>
        <w:rPr>
          <w:lang/>
        </w:rPr>
        <w:fldChar w:fldCharType="separate"/>
      </w:r>
      <w:r>
        <w:rPr>
          <w:lang/>
        </w:rPr>
        <w:t>14</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"_Toc4487480"</w:instrText>
      </w:r>
      <w:r>
        <w:rPr>
          <w:rStyle w:val="10"/>
          <w:lang/>
        </w:rPr>
        <w:instrText xml:space="preserve"> </w:instrText>
      </w:r>
      <w:r>
        <w:rPr>
          <w:rStyle w:val="10"/>
          <w:lang/>
        </w:rPr>
        <w:fldChar w:fldCharType="separate"/>
      </w:r>
      <w:r>
        <w:rPr>
          <w:rStyle w:val="10"/>
          <w:b/>
          <w:bCs/>
          <w:lang/>
        </w:rPr>
        <w:t xml:space="preserve">5.1 </w:t>
      </w:r>
      <w:r>
        <w:rPr>
          <w:rStyle w:val="10"/>
          <w:rFonts w:hint="eastAsia"/>
          <w:b/>
          <w:bCs/>
          <w:lang/>
        </w:rPr>
        <w:t>报告期内本基金托管人遵规守信情况声明</w:t>
      </w:r>
      <w:r>
        <w:rPr>
          <w:lang/>
        </w:rPr>
        <w:tab/>
      </w:r>
      <w:r>
        <w:rPr>
          <w:lang/>
        </w:rPr>
        <w:fldChar w:fldCharType="begin"/>
      </w:r>
      <w:r>
        <w:rPr>
          <w:lang/>
        </w:rPr>
        <w:instrText xml:space="preserve"> PAGEREF _Toc4487480 \h </w:instrText>
      </w:r>
      <w:r>
        <w:rPr>
          <w:lang/>
        </w:rPr>
        <w:fldChar w:fldCharType="separate"/>
      </w:r>
      <w:r>
        <w:rPr>
          <w:lang/>
        </w:rPr>
        <w:t>14</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"_Toc4487481"</w:instrText>
      </w:r>
      <w:r>
        <w:rPr>
          <w:rStyle w:val="10"/>
          <w:lang/>
        </w:rPr>
        <w:instrText xml:space="preserve"> </w:instrText>
      </w:r>
      <w:r>
        <w:rPr>
          <w:rStyle w:val="10"/>
          <w:lang/>
        </w:rPr>
        <w:fldChar w:fldCharType="separate"/>
      </w:r>
      <w:r>
        <w:rPr>
          <w:rStyle w:val="10"/>
          <w:b/>
          <w:bCs/>
          <w:lang/>
        </w:rPr>
        <w:t xml:space="preserve">5.2 </w:t>
      </w:r>
      <w:r>
        <w:rPr>
          <w:rStyle w:val="10"/>
          <w:rFonts w:hint="eastAsia"/>
          <w:b/>
          <w:bCs/>
          <w:lang/>
        </w:rPr>
        <w:t>托管人对报告期内本基金投资运作遵规守信、净值计算、利润分配等情况的说明</w:t>
      </w:r>
      <w:r>
        <w:rPr>
          <w:lang/>
        </w:rPr>
        <w:tab/>
      </w:r>
      <w:r>
        <w:rPr>
          <w:lang/>
        </w:rPr>
        <w:fldChar w:fldCharType="begin"/>
      </w:r>
      <w:r>
        <w:rPr>
          <w:lang/>
        </w:rPr>
        <w:instrText xml:space="preserve"> PAGEREF _Toc4487481 \h </w:instrText>
      </w:r>
      <w:r>
        <w:rPr>
          <w:lang/>
        </w:rPr>
        <w:fldChar w:fldCharType="separate"/>
      </w:r>
      <w:r>
        <w:rPr>
          <w:lang/>
        </w:rPr>
        <w:t>14</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"_Toc4487482"</w:instrText>
      </w:r>
      <w:r>
        <w:rPr>
          <w:rStyle w:val="10"/>
          <w:lang/>
        </w:rPr>
        <w:instrText xml:space="preserve"> </w:instrText>
      </w:r>
      <w:r>
        <w:rPr>
          <w:rStyle w:val="10"/>
          <w:lang/>
        </w:rPr>
        <w:fldChar w:fldCharType="separate"/>
      </w:r>
      <w:r>
        <w:rPr>
          <w:rStyle w:val="10"/>
          <w:b/>
          <w:bCs/>
          <w:lang/>
        </w:rPr>
        <w:t xml:space="preserve">5.3 </w:t>
      </w:r>
      <w:r>
        <w:rPr>
          <w:rStyle w:val="10"/>
          <w:rFonts w:hint="eastAsia"/>
          <w:b/>
          <w:bCs/>
          <w:lang/>
        </w:rPr>
        <w:t>托管人对本年度报告中财务信息等内容的真实、准确和完整发表意见</w:t>
      </w:r>
      <w:r>
        <w:rPr>
          <w:lang/>
        </w:rPr>
        <w:tab/>
      </w:r>
      <w:r>
        <w:rPr>
          <w:lang/>
        </w:rPr>
        <w:fldChar w:fldCharType="begin"/>
      </w:r>
      <w:r>
        <w:rPr>
          <w:lang/>
        </w:rPr>
        <w:instrText xml:space="preserve"> PAGEREF _Toc4487482 \h </w:instrText>
      </w:r>
      <w:r>
        <w:rPr>
          <w:lang/>
        </w:rPr>
        <w:fldChar w:fldCharType="separate"/>
      </w:r>
      <w:r>
        <w:rPr>
          <w:lang/>
        </w:rPr>
        <w:t>14</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"_Toc4487483"</w:instrText>
      </w:r>
      <w:r>
        <w:rPr>
          <w:rStyle w:val="10"/>
          <w:lang/>
        </w:rPr>
        <w:instrText xml:space="preserve"> </w:instrText>
      </w:r>
      <w:r>
        <w:rPr>
          <w:rStyle w:val="10"/>
          <w:lang/>
        </w:rPr>
        <w:fldChar w:fldCharType="separate"/>
      </w:r>
      <w:r>
        <w:rPr>
          <w:rStyle w:val="10"/>
          <w:b/>
          <w:lang/>
        </w:rPr>
        <w:t xml:space="preserve">§6  </w:t>
      </w:r>
      <w:r>
        <w:rPr>
          <w:rStyle w:val="10"/>
          <w:rFonts w:hint="eastAsia"/>
          <w:b/>
          <w:lang/>
        </w:rPr>
        <w:t>审计报告</w:t>
      </w:r>
      <w:r>
        <w:rPr>
          <w:lang/>
        </w:rPr>
        <w:tab/>
      </w:r>
      <w:r>
        <w:rPr>
          <w:lang/>
        </w:rPr>
        <w:fldChar w:fldCharType="begin"/>
      </w:r>
      <w:r>
        <w:rPr>
          <w:lang/>
        </w:rPr>
        <w:instrText xml:space="preserve"> PAGEREF _Toc4487483 \h </w:instrText>
      </w:r>
      <w:r>
        <w:rPr>
          <w:lang/>
        </w:rPr>
        <w:fldChar w:fldCharType="separate"/>
      </w:r>
      <w:r>
        <w:rPr>
          <w:lang/>
        </w:rPr>
        <w:t>15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"_Toc4487484"</w:instrText>
      </w:r>
      <w:r>
        <w:rPr>
          <w:rStyle w:val="10"/>
          <w:lang/>
        </w:rPr>
        <w:instrText xml:space="preserve"> </w:instrText>
      </w:r>
      <w:r>
        <w:rPr>
          <w:rStyle w:val="10"/>
          <w:lang/>
        </w:rPr>
        <w:fldChar w:fldCharType="separate"/>
      </w:r>
      <w:r>
        <w:rPr>
          <w:rStyle w:val="10"/>
          <w:b/>
          <w:bCs/>
          <w:lang/>
        </w:rPr>
        <w:t xml:space="preserve">6.1 </w:t>
      </w:r>
      <w:r>
        <w:rPr>
          <w:rStyle w:val="10"/>
          <w:rFonts w:hint="eastAsia"/>
          <w:b/>
          <w:bCs/>
          <w:lang/>
        </w:rPr>
        <w:t>审计报告基本信息</w:t>
      </w:r>
      <w:r>
        <w:rPr>
          <w:lang/>
        </w:rPr>
        <w:tab/>
      </w:r>
      <w:r>
        <w:rPr>
          <w:lang/>
        </w:rPr>
        <w:fldChar w:fldCharType="begin"/>
      </w:r>
      <w:r>
        <w:rPr>
          <w:lang/>
        </w:rPr>
        <w:instrText xml:space="preserve"> PAGEREF _Toc4487484 \h </w:instrText>
      </w:r>
      <w:r>
        <w:rPr>
          <w:lang/>
        </w:rPr>
        <w:fldChar w:fldCharType="separate"/>
      </w:r>
      <w:r>
        <w:rPr>
          <w:lang/>
        </w:rPr>
        <w:t>15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"_Toc4487485"</w:instrText>
      </w:r>
      <w:r>
        <w:rPr>
          <w:rStyle w:val="10"/>
          <w:lang/>
        </w:rPr>
        <w:instrText xml:space="preserve"> </w:instrText>
      </w:r>
      <w:r>
        <w:rPr>
          <w:rStyle w:val="10"/>
          <w:lang/>
        </w:rPr>
        <w:fldChar w:fldCharType="separate"/>
      </w:r>
      <w:r>
        <w:rPr>
          <w:rStyle w:val="10"/>
          <w:b/>
          <w:bCs/>
          <w:lang/>
        </w:rPr>
        <w:t xml:space="preserve">6.2 </w:t>
      </w:r>
      <w:r>
        <w:rPr>
          <w:rStyle w:val="10"/>
          <w:rFonts w:hint="eastAsia"/>
          <w:b/>
          <w:bCs/>
          <w:lang/>
        </w:rPr>
        <w:t>审计报告的基本内容</w:t>
      </w:r>
      <w:r>
        <w:rPr>
          <w:lang/>
        </w:rPr>
        <w:tab/>
      </w:r>
      <w:r>
        <w:rPr>
          <w:lang/>
        </w:rPr>
        <w:fldChar w:fldCharType="begin"/>
      </w:r>
      <w:r>
        <w:rPr>
          <w:lang/>
        </w:rPr>
        <w:instrText xml:space="preserve"> PAGEREF _Toc4487485 \h </w:instrText>
      </w:r>
      <w:r>
        <w:rPr>
          <w:lang/>
        </w:rPr>
        <w:fldChar w:fldCharType="separate"/>
      </w:r>
      <w:r>
        <w:rPr>
          <w:lang/>
        </w:rPr>
        <w:t>15</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"_Toc4487486"</w:instrText>
      </w:r>
      <w:r>
        <w:rPr>
          <w:rStyle w:val="10"/>
          <w:lang/>
        </w:rPr>
        <w:instrText xml:space="preserve"> </w:instrText>
      </w:r>
      <w:r>
        <w:rPr>
          <w:rStyle w:val="10"/>
          <w:lang/>
        </w:rPr>
        <w:fldChar w:fldCharType="separate"/>
      </w:r>
      <w:r>
        <w:rPr>
          <w:rStyle w:val="10"/>
          <w:b/>
          <w:lang/>
        </w:rPr>
        <w:t xml:space="preserve">§7  </w:t>
      </w:r>
      <w:r>
        <w:rPr>
          <w:rStyle w:val="10"/>
          <w:rFonts w:hint="eastAsia"/>
          <w:b/>
          <w:lang/>
        </w:rPr>
        <w:t>年度财务报表</w:t>
      </w:r>
      <w:r>
        <w:rPr>
          <w:lang/>
        </w:rPr>
        <w:tab/>
      </w:r>
      <w:r>
        <w:rPr>
          <w:lang/>
        </w:rPr>
        <w:fldChar w:fldCharType="begin"/>
      </w:r>
      <w:r>
        <w:rPr>
          <w:lang/>
        </w:rPr>
        <w:instrText xml:space="preserve"> PAGEREF _Toc4487486 \h </w:instrText>
      </w:r>
      <w:r>
        <w:rPr>
          <w:lang/>
        </w:rPr>
        <w:fldChar w:fldCharType="separate"/>
      </w:r>
      <w:r>
        <w:rPr>
          <w:lang/>
        </w:rPr>
        <w:t>18</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"_Toc4487487"</w:instrText>
      </w:r>
      <w:r>
        <w:rPr>
          <w:rStyle w:val="10"/>
          <w:lang/>
        </w:rPr>
        <w:instrText xml:space="preserve"> </w:instrText>
      </w:r>
      <w:r>
        <w:rPr>
          <w:rStyle w:val="10"/>
          <w:lang/>
        </w:rPr>
        <w:fldChar w:fldCharType="separate"/>
      </w:r>
      <w:r>
        <w:rPr>
          <w:rStyle w:val="10"/>
          <w:b/>
          <w:bCs/>
          <w:lang/>
        </w:rPr>
        <w:t xml:space="preserve">7.1 </w:t>
      </w:r>
      <w:r>
        <w:rPr>
          <w:rStyle w:val="10"/>
          <w:rFonts w:hint="eastAsia"/>
          <w:b/>
          <w:bCs/>
          <w:lang/>
        </w:rPr>
        <w:t>资产负债表</w:t>
      </w:r>
      <w:r>
        <w:rPr>
          <w:lang/>
        </w:rPr>
        <w:tab/>
      </w:r>
      <w:r>
        <w:rPr>
          <w:lang/>
        </w:rPr>
        <w:fldChar w:fldCharType="begin"/>
      </w:r>
      <w:r>
        <w:rPr>
          <w:lang/>
        </w:rPr>
        <w:instrText xml:space="preserve"> PAGEREF _Toc4487487 \h </w:instrText>
      </w:r>
      <w:r>
        <w:rPr>
          <w:lang/>
        </w:rPr>
        <w:fldChar w:fldCharType="separate"/>
      </w:r>
      <w:r>
        <w:rPr>
          <w:lang/>
        </w:rPr>
        <w:t>18</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"_Toc4487488"</w:instrText>
      </w:r>
      <w:r>
        <w:rPr>
          <w:rStyle w:val="10"/>
          <w:lang/>
        </w:rPr>
        <w:instrText xml:space="preserve"> </w:instrText>
      </w:r>
      <w:r>
        <w:rPr>
          <w:rStyle w:val="10"/>
          <w:lang/>
        </w:rPr>
        <w:fldChar w:fldCharType="separate"/>
      </w:r>
      <w:r>
        <w:rPr>
          <w:rStyle w:val="10"/>
          <w:b/>
          <w:bCs/>
          <w:lang/>
        </w:rPr>
        <w:t xml:space="preserve">7.2 </w:t>
      </w:r>
      <w:r>
        <w:rPr>
          <w:rStyle w:val="10"/>
          <w:rFonts w:hint="eastAsia"/>
          <w:b/>
          <w:bCs/>
          <w:lang/>
        </w:rPr>
        <w:t>利润表</w:t>
      </w:r>
      <w:r>
        <w:rPr>
          <w:lang/>
        </w:rPr>
        <w:tab/>
      </w:r>
      <w:r>
        <w:rPr>
          <w:lang/>
        </w:rPr>
        <w:fldChar w:fldCharType="begin"/>
      </w:r>
      <w:r>
        <w:rPr>
          <w:lang/>
        </w:rPr>
        <w:instrText xml:space="preserve"> PAGEREF _Toc4487488 \h </w:instrText>
      </w:r>
      <w:r>
        <w:rPr>
          <w:lang/>
        </w:rPr>
        <w:fldChar w:fldCharType="separate"/>
      </w:r>
      <w:r>
        <w:rPr>
          <w:lang/>
        </w:rPr>
        <w:t>20</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"_Toc4487489"</w:instrText>
      </w:r>
      <w:r>
        <w:rPr>
          <w:rStyle w:val="10"/>
          <w:lang/>
        </w:rPr>
        <w:instrText xml:space="preserve"> </w:instrText>
      </w:r>
      <w:r>
        <w:rPr>
          <w:rStyle w:val="10"/>
          <w:lang/>
        </w:rPr>
        <w:fldChar w:fldCharType="separate"/>
      </w:r>
      <w:r>
        <w:rPr>
          <w:rStyle w:val="10"/>
          <w:b/>
          <w:bCs/>
          <w:lang/>
        </w:rPr>
        <w:t xml:space="preserve">7.3 </w:t>
      </w:r>
      <w:r>
        <w:rPr>
          <w:rStyle w:val="10"/>
          <w:rFonts w:hint="eastAsia"/>
          <w:b/>
          <w:bCs/>
          <w:lang/>
        </w:rPr>
        <w:t>所有者权益（基金净值）变动表</w:t>
      </w:r>
      <w:r>
        <w:rPr>
          <w:lang/>
        </w:rPr>
        <w:tab/>
      </w:r>
      <w:r>
        <w:rPr>
          <w:lang/>
        </w:rPr>
        <w:fldChar w:fldCharType="begin"/>
      </w:r>
      <w:r>
        <w:rPr>
          <w:lang/>
        </w:rPr>
        <w:instrText xml:space="preserve"> PAGEREF _Toc4487489 \h </w:instrText>
      </w:r>
      <w:r>
        <w:rPr>
          <w:lang/>
        </w:rPr>
        <w:fldChar w:fldCharType="separate"/>
      </w:r>
      <w:r>
        <w:rPr>
          <w:lang/>
        </w:rPr>
        <w:t>21</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"_Toc4487490"</w:instrText>
      </w:r>
      <w:r>
        <w:rPr>
          <w:rStyle w:val="10"/>
          <w:lang/>
        </w:rPr>
        <w:instrText xml:space="preserve"> </w:instrText>
      </w:r>
      <w:r>
        <w:rPr>
          <w:rStyle w:val="10"/>
          <w:lang/>
        </w:rPr>
        <w:fldChar w:fldCharType="separate"/>
      </w:r>
      <w:r>
        <w:rPr>
          <w:rStyle w:val="10"/>
          <w:b/>
          <w:bCs/>
          <w:lang/>
        </w:rPr>
        <w:t xml:space="preserve">7.4 </w:t>
      </w:r>
      <w:r>
        <w:rPr>
          <w:rStyle w:val="10"/>
          <w:rFonts w:hint="eastAsia"/>
          <w:b/>
          <w:bCs/>
          <w:lang/>
        </w:rPr>
        <w:t>报表附注</w:t>
      </w:r>
      <w:r>
        <w:rPr>
          <w:lang/>
        </w:rPr>
        <w:tab/>
      </w:r>
      <w:r>
        <w:rPr>
          <w:lang/>
        </w:rPr>
        <w:fldChar w:fldCharType="begin"/>
      </w:r>
      <w:r>
        <w:rPr>
          <w:lang/>
        </w:rPr>
        <w:instrText xml:space="preserve"> PAGEREF _Toc4487490 \h </w:instrText>
      </w:r>
      <w:r>
        <w:rPr>
          <w:lang/>
        </w:rPr>
        <w:fldChar w:fldCharType="separate"/>
      </w:r>
      <w:r>
        <w:rPr>
          <w:lang/>
        </w:rPr>
        <w:t>23</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"_Toc4487491"</w:instrText>
      </w:r>
      <w:r>
        <w:rPr>
          <w:rStyle w:val="10"/>
          <w:lang/>
        </w:rPr>
        <w:instrText xml:space="preserve"> </w:instrText>
      </w:r>
      <w:r>
        <w:rPr>
          <w:rStyle w:val="10"/>
          <w:lang/>
        </w:rPr>
        <w:fldChar w:fldCharType="separate"/>
      </w:r>
      <w:r>
        <w:rPr>
          <w:rStyle w:val="10"/>
          <w:b/>
          <w:lang/>
        </w:rPr>
        <w:t xml:space="preserve">§8 </w:t>
      </w:r>
      <w:r>
        <w:rPr>
          <w:rStyle w:val="10"/>
          <w:rFonts w:hint="eastAsia"/>
          <w:b/>
          <w:lang/>
        </w:rPr>
        <w:t>投资组合报告</w:t>
      </w:r>
      <w:r>
        <w:rPr>
          <w:lang/>
        </w:rPr>
        <w:tab/>
      </w:r>
      <w:r>
        <w:rPr>
          <w:lang/>
        </w:rPr>
        <w:fldChar w:fldCharType="begin"/>
      </w:r>
      <w:r>
        <w:rPr>
          <w:lang/>
        </w:rPr>
        <w:instrText xml:space="preserve"> PAGEREF _Toc4487491 \h </w:instrText>
      </w:r>
      <w:r>
        <w:rPr>
          <w:lang/>
        </w:rPr>
        <w:fldChar w:fldCharType="separate"/>
      </w:r>
      <w:r>
        <w:rPr>
          <w:lang/>
        </w:rPr>
        <w:t>48</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"_Toc4487492"</w:instrText>
      </w:r>
      <w:r>
        <w:rPr>
          <w:rStyle w:val="10"/>
          <w:lang/>
        </w:rPr>
        <w:instrText xml:space="preserve"> </w:instrText>
      </w:r>
      <w:r>
        <w:rPr>
          <w:rStyle w:val="10"/>
          <w:lang/>
        </w:rPr>
        <w:fldChar w:fldCharType="separate"/>
      </w:r>
      <w:r>
        <w:rPr>
          <w:rStyle w:val="10"/>
          <w:b/>
          <w:bCs/>
          <w:lang/>
        </w:rPr>
        <w:t xml:space="preserve">8.1 </w:t>
      </w:r>
      <w:r>
        <w:rPr>
          <w:rStyle w:val="10"/>
          <w:rFonts w:hint="eastAsia"/>
          <w:b/>
          <w:bCs/>
          <w:lang/>
        </w:rPr>
        <w:t>期末基金资产组合情况</w:t>
      </w:r>
      <w:r>
        <w:rPr>
          <w:lang/>
        </w:rPr>
        <w:tab/>
      </w:r>
      <w:r>
        <w:rPr>
          <w:lang/>
        </w:rPr>
        <w:fldChar w:fldCharType="begin"/>
      </w:r>
      <w:r>
        <w:rPr>
          <w:lang/>
        </w:rPr>
        <w:instrText xml:space="preserve"> PAGEREF _Toc4487492 \h </w:instrText>
      </w:r>
      <w:r>
        <w:rPr>
          <w:lang/>
        </w:rPr>
        <w:fldChar w:fldCharType="separate"/>
      </w:r>
      <w:r>
        <w:rPr>
          <w:lang/>
        </w:rPr>
        <w:t>48</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"_Toc4487493"</w:instrText>
      </w:r>
      <w:r>
        <w:rPr>
          <w:rStyle w:val="10"/>
          <w:lang/>
        </w:rPr>
        <w:instrText xml:space="preserve"> </w:instrText>
      </w:r>
      <w:r>
        <w:rPr>
          <w:rStyle w:val="10"/>
          <w:lang/>
        </w:rPr>
        <w:fldChar w:fldCharType="separate"/>
      </w:r>
      <w:r>
        <w:rPr>
          <w:rStyle w:val="10"/>
          <w:b/>
          <w:bCs/>
          <w:lang/>
        </w:rPr>
        <w:t xml:space="preserve">8.2 </w:t>
      </w:r>
      <w:r>
        <w:rPr>
          <w:rStyle w:val="10"/>
          <w:rFonts w:hint="eastAsia"/>
          <w:b/>
          <w:bCs/>
          <w:lang/>
        </w:rPr>
        <w:t>报告期末按行业分类的股票投资组合</w:t>
      </w:r>
      <w:r>
        <w:rPr>
          <w:lang/>
        </w:rPr>
        <w:tab/>
      </w:r>
      <w:r>
        <w:rPr>
          <w:lang/>
        </w:rPr>
        <w:fldChar w:fldCharType="begin"/>
      </w:r>
      <w:r>
        <w:rPr>
          <w:lang/>
        </w:rPr>
        <w:instrText xml:space="preserve"> PAGEREF _Toc4487493 \h </w:instrText>
      </w:r>
      <w:r>
        <w:rPr>
          <w:lang/>
        </w:rPr>
        <w:fldChar w:fldCharType="separate"/>
      </w:r>
      <w:r>
        <w:rPr>
          <w:lang/>
        </w:rPr>
        <w:t>49</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"_Toc4487494"</w:instrText>
      </w:r>
      <w:r>
        <w:rPr>
          <w:rStyle w:val="10"/>
          <w:lang/>
        </w:rPr>
        <w:instrText xml:space="preserve"> </w:instrText>
      </w:r>
      <w:r>
        <w:rPr>
          <w:rStyle w:val="10"/>
          <w:lang/>
        </w:rPr>
        <w:fldChar w:fldCharType="separate"/>
      </w:r>
      <w:r>
        <w:rPr>
          <w:rStyle w:val="10"/>
          <w:b/>
          <w:bCs/>
          <w:lang/>
        </w:rPr>
        <w:t xml:space="preserve">8.3 </w:t>
      </w:r>
      <w:r>
        <w:rPr>
          <w:rStyle w:val="10"/>
          <w:rFonts w:hint="eastAsia"/>
          <w:b/>
          <w:bCs/>
          <w:lang/>
        </w:rPr>
        <w:t>期末按公允价值占基金资产净值比例大小排序的所有股票投资明细</w:t>
      </w:r>
      <w:r>
        <w:rPr>
          <w:lang/>
        </w:rPr>
        <w:tab/>
      </w:r>
      <w:r>
        <w:rPr>
          <w:lang/>
        </w:rPr>
        <w:fldChar w:fldCharType="begin"/>
      </w:r>
      <w:r>
        <w:rPr>
          <w:lang/>
        </w:rPr>
        <w:instrText xml:space="preserve"> PAGEREF _Toc4487494 \h </w:instrText>
      </w:r>
      <w:r>
        <w:rPr>
          <w:lang/>
        </w:rPr>
        <w:fldChar w:fldCharType="separate"/>
      </w:r>
      <w:r>
        <w:rPr>
          <w:lang/>
        </w:rPr>
        <w:t>49</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"_Toc4487495"</w:instrText>
      </w:r>
      <w:r>
        <w:rPr>
          <w:rStyle w:val="10"/>
          <w:lang/>
        </w:rPr>
        <w:instrText xml:space="preserve"> </w:instrText>
      </w:r>
      <w:r>
        <w:rPr>
          <w:rStyle w:val="10"/>
          <w:lang/>
        </w:rPr>
        <w:fldChar w:fldCharType="separate"/>
      </w:r>
      <w:r>
        <w:rPr>
          <w:rStyle w:val="10"/>
          <w:b/>
          <w:bCs/>
          <w:lang/>
        </w:rPr>
        <w:t xml:space="preserve">8.4 </w:t>
      </w:r>
      <w:r>
        <w:rPr>
          <w:rStyle w:val="10"/>
          <w:rFonts w:hint="eastAsia"/>
          <w:b/>
          <w:bCs/>
          <w:lang/>
        </w:rPr>
        <w:t>报告期内股票投资组合的重大变动</w:t>
      </w:r>
      <w:r>
        <w:rPr>
          <w:lang/>
        </w:rPr>
        <w:tab/>
      </w:r>
      <w:r>
        <w:rPr>
          <w:lang/>
        </w:rPr>
        <w:fldChar w:fldCharType="begin"/>
      </w:r>
      <w:r>
        <w:rPr>
          <w:lang/>
        </w:rPr>
        <w:instrText xml:space="preserve"> PAGEREF _Toc4487495 \h </w:instrText>
      </w:r>
      <w:r>
        <w:rPr>
          <w:lang/>
        </w:rPr>
        <w:fldChar w:fldCharType="separate"/>
      </w:r>
      <w:r>
        <w:rPr>
          <w:lang/>
        </w:rPr>
        <w:t>49</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"_Toc4487496"</w:instrText>
      </w:r>
      <w:r>
        <w:rPr>
          <w:rStyle w:val="10"/>
          <w:lang/>
        </w:rPr>
        <w:instrText xml:space="preserve"> </w:instrText>
      </w:r>
      <w:r>
        <w:rPr>
          <w:rStyle w:val="10"/>
          <w:lang/>
        </w:rPr>
        <w:fldChar w:fldCharType="separate"/>
      </w:r>
      <w:r>
        <w:rPr>
          <w:rStyle w:val="10"/>
          <w:b/>
          <w:bCs/>
          <w:lang/>
        </w:rPr>
        <w:t xml:space="preserve">8.5 </w:t>
      </w:r>
      <w:r>
        <w:rPr>
          <w:rStyle w:val="10"/>
          <w:rFonts w:hint="eastAsia"/>
          <w:b/>
          <w:bCs/>
          <w:lang/>
        </w:rPr>
        <w:t>期末按债券品种分类的债券投资组合</w:t>
      </w:r>
      <w:r>
        <w:rPr>
          <w:lang/>
        </w:rPr>
        <w:tab/>
      </w:r>
      <w:r>
        <w:rPr>
          <w:lang/>
        </w:rPr>
        <w:fldChar w:fldCharType="begin"/>
      </w:r>
      <w:r>
        <w:rPr>
          <w:lang/>
        </w:rPr>
        <w:instrText xml:space="preserve"> PAGEREF _Toc4487496 \h </w:instrText>
      </w:r>
      <w:r>
        <w:rPr>
          <w:lang/>
        </w:rPr>
        <w:fldChar w:fldCharType="separate"/>
      </w:r>
      <w:r>
        <w:rPr>
          <w:lang/>
        </w:rPr>
        <w:t>49</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"_Toc4487497"</w:instrText>
      </w:r>
      <w:r>
        <w:rPr>
          <w:rStyle w:val="10"/>
          <w:lang/>
        </w:rPr>
        <w:instrText xml:space="preserve"> </w:instrText>
      </w:r>
      <w:r>
        <w:rPr>
          <w:rStyle w:val="10"/>
          <w:lang/>
        </w:rPr>
        <w:fldChar w:fldCharType="separate"/>
      </w:r>
      <w:r>
        <w:rPr>
          <w:rStyle w:val="10"/>
          <w:b/>
          <w:bCs/>
          <w:lang/>
        </w:rPr>
        <w:t xml:space="preserve">8.6 </w:t>
      </w:r>
      <w:r>
        <w:rPr>
          <w:rStyle w:val="10"/>
          <w:rFonts w:hint="eastAsia"/>
          <w:b/>
          <w:bCs/>
          <w:lang/>
        </w:rPr>
        <w:t>期末按公允价值占基金资产净值比例大小排序的前五名债券投资明细</w:t>
      </w:r>
      <w:r>
        <w:rPr>
          <w:lang/>
        </w:rPr>
        <w:tab/>
      </w:r>
      <w:r>
        <w:rPr>
          <w:lang/>
        </w:rPr>
        <w:fldChar w:fldCharType="begin"/>
      </w:r>
      <w:r>
        <w:rPr>
          <w:lang/>
        </w:rPr>
        <w:instrText xml:space="preserve"> PAGEREF _Toc4487497 \h </w:instrText>
      </w:r>
      <w:r>
        <w:rPr>
          <w:lang/>
        </w:rPr>
        <w:fldChar w:fldCharType="separate"/>
      </w:r>
      <w:r>
        <w:rPr>
          <w:lang/>
        </w:rPr>
        <w:t>50</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"_Toc4487498"</w:instrText>
      </w:r>
      <w:r>
        <w:rPr>
          <w:rStyle w:val="10"/>
          <w:lang/>
        </w:rPr>
        <w:instrText xml:space="preserve"> </w:instrText>
      </w:r>
      <w:r>
        <w:rPr>
          <w:rStyle w:val="10"/>
          <w:lang/>
        </w:rPr>
        <w:fldChar w:fldCharType="separate"/>
      </w:r>
      <w:r>
        <w:rPr>
          <w:rStyle w:val="10"/>
          <w:b/>
          <w:bCs/>
          <w:lang/>
        </w:rPr>
        <w:t xml:space="preserve">8.7 </w:t>
      </w:r>
      <w:r>
        <w:rPr>
          <w:rStyle w:val="10"/>
          <w:rFonts w:hint="eastAsia"/>
          <w:b/>
          <w:bCs/>
          <w:lang/>
        </w:rPr>
        <w:t>期末按公允价值占基金资产净值比例大小排序的所有资产支持证券投资明细</w:t>
      </w:r>
      <w:r>
        <w:rPr>
          <w:lang/>
        </w:rPr>
        <w:tab/>
      </w:r>
      <w:r>
        <w:rPr>
          <w:lang/>
        </w:rPr>
        <w:fldChar w:fldCharType="begin"/>
      </w:r>
      <w:r>
        <w:rPr>
          <w:lang/>
        </w:rPr>
        <w:instrText xml:space="preserve"> PAGEREF _Toc4487498 \h </w:instrText>
      </w:r>
      <w:r>
        <w:rPr>
          <w:lang/>
        </w:rPr>
        <w:fldChar w:fldCharType="separate"/>
      </w:r>
      <w:r>
        <w:rPr>
          <w:lang/>
        </w:rPr>
        <w:t>50</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"_Toc4487499"</w:instrText>
      </w:r>
      <w:r>
        <w:rPr>
          <w:rStyle w:val="10"/>
          <w:lang/>
        </w:rPr>
        <w:instrText xml:space="preserve"> </w:instrText>
      </w:r>
      <w:r>
        <w:rPr>
          <w:rStyle w:val="10"/>
          <w:lang/>
        </w:rPr>
        <w:fldChar w:fldCharType="separate"/>
      </w:r>
      <w:r>
        <w:rPr>
          <w:rStyle w:val="10"/>
          <w:b/>
          <w:bCs/>
          <w:lang/>
        </w:rPr>
        <w:t xml:space="preserve">8.8 </w:t>
      </w:r>
      <w:r>
        <w:rPr>
          <w:rStyle w:val="10"/>
          <w:rFonts w:hint="eastAsia"/>
          <w:b/>
          <w:bCs/>
          <w:lang/>
        </w:rPr>
        <w:t>报告期末按公允价值占基金资产净值比例大小排序的前五名贵金属投资明细</w:t>
      </w:r>
      <w:r>
        <w:rPr>
          <w:lang/>
        </w:rPr>
        <w:tab/>
      </w:r>
      <w:r>
        <w:rPr>
          <w:lang/>
        </w:rPr>
        <w:fldChar w:fldCharType="begin"/>
      </w:r>
      <w:r>
        <w:rPr>
          <w:lang/>
        </w:rPr>
        <w:instrText xml:space="preserve"> PAGEREF _Toc4487499 \h </w:instrText>
      </w:r>
      <w:r>
        <w:rPr>
          <w:lang/>
        </w:rPr>
        <w:fldChar w:fldCharType="separate"/>
      </w:r>
      <w:r>
        <w:rPr>
          <w:lang/>
        </w:rPr>
        <w:t>50</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"_Toc4487500"</w:instrText>
      </w:r>
      <w:r>
        <w:rPr>
          <w:rStyle w:val="10"/>
          <w:lang/>
        </w:rPr>
        <w:instrText xml:space="preserve"> </w:instrText>
      </w:r>
      <w:r>
        <w:rPr>
          <w:rStyle w:val="10"/>
          <w:lang/>
        </w:rPr>
        <w:fldChar w:fldCharType="separate"/>
      </w:r>
      <w:r>
        <w:rPr>
          <w:rStyle w:val="10"/>
          <w:b/>
          <w:bCs/>
          <w:lang/>
        </w:rPr>
        <w:t xml:space="preserve">8.9 </w:t>
      </w:r>
      <w:r>
        <w:rPr>
          <w:rStyle w:val="10"/>
          <w:rFonts w:hint="eastAsia"/>
          <w:b/>
          <w:bCs/>
          <w:lang/>
        </w:rPr>
        <w:t>期末按公允价值占基金资产净值比例大小排序的前五名权证投资明细</w:t>
      </w:r>
      <w:r>
        <w:rPr>
          <w:lang/>
        </w:rPr>
        <w:tab/>
      </w:r>
      <w:r>
        <w:rPr>
          <w:lang/>
        </w:rPr>
        <w:fldChar w:fldCharType="begin"/>
      </w:r>
      <w:r>
        <w:rPr>
          <w:lang/>
        </w:rPr>
        <w:instrText xml:space="preserve"> PAGEREF _Toc4487500 \h </w:instrText>
      </w:r>
      <w:r>
        <w:rPr>
          <w:lang/>
        </w:rPr>
        <w:fldChar w:fldCharType="separate"/>
      </w:r>
      <w:r>
        <w:rPr>
          <w:lang/>
        </w:rPr>
        <w:t>50</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"_Toc4487501"</w:instrText>
      </w:r>
      <w:r>
        <w:rPr>
          <w:rStyle w:val="10"/>
          <w:lang/>
        </w:rPr>
        <w:instrText xml:space="preserve"> </w:instrText>
      </w:r>
      <w:r>
        <w:rPr>
          <w:rStyle w:val="10"/>
          <w:lang/>
        </w:rPr>
        <w:fldChar w:fldCharType="separate"/>
      </w:r>
      <w:r>
        <w:rPr>
          <w:rStyle w:val="10"/>
          <w:b/>
          <w:bCs/>
          <w:lang/>
        </w:rPr>
        <w:t xml:space="preserve">8.10 </w:t>
      </w:r>
      <w:r>
        <w:rPr>
          <w:rStyle w:val="10"/>
          <w:rFonts w:hint="eastAsia"/>
          <w:b/>
          <w:bCs/>
          <w:lang/>
        </w:rPr>
        <w:t>报告期末本基金投资的股指期货交易情况说明</w:t>
      </w:r>
      <w:r>
        <w:rPr>
          <w:lang/>
        </w:rPr>
        <w:tab/>
      </w:r>
      <w:r>
        <w:rPr>
          <w:lang/>
        </w:rPr>
        <w:fldChar w:fldCharType="begin"/>
      </w:r>
      <w:r>
        <w:rPr>
          <w:lang/>
        </w:rPr>
        <w:instrText xml:space="preserve"> PAGEREF _Toc4487501 \h </w:instrText>
      </w:r>
      <w:r>
        <w:rPr>
          <w:lang/>
        </w:rPr>
        <w:fldChar w:fldCharType="separate"/>
      </w:r>
      <w:r>
        <w:rPr>
          <w:lang/>
        </w:rPr>
        <w:t>50</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"_Toc4487502"</w:instrText>
      </w:r>
      <w:r>
        <w:rPr>
          <w:rStyle w:val="10"/>
          <w:lang/>
        </w:rPr>
        <w:instrText xml:space="preserve"> </w:instrText>
      </w:r>
      <w:r>
        <w:rPr>
          <w:rStyle w:val="10"/>
          <w:lang/>
        </w:rPr>
        <w:fldChar w:fldCharType="separate"/>
      </w:r>
      <w:r>
        <w:rPr>
          <w:rStyle w:val="10"/>
          <w:b/>
          <w:bCs/>
          <w:lang/>
        </w:rPr>
        <w:t xml:space="preserve">8.11 </w:t>
      </w:r>
      <w:r>
        <w:rPr>
          <w:rStyle w:val="10"/>
          <w:rFonts w:hint="eastAsia"/>
          <w:b/>
          <w:bCs/>
          <w:lang/>
        </w:rPr>
        <w:t>报告期末本基金投资的国债期货交易情况说明</w:t>
      </w:r>
      <w:r>
        <w:rPr>
          <w:lang/>
        </w:rPr>
        <w:tab/>
      </w:r>
      <w:r>
        <w:rPr>
          <w:lang/>
        </w:rPr>
        <w:fldChar w:fldCharType="begin"/>
      </w:r>
      <w:r>
        <w:rPr>
          <w:lang/>
        </w:rPr>
        <w:instrText xml:space="preserve"> PAGEREF _Toc4487502 \h </w:instrText>
      </w:r>
      <w:r>
        <w:rPr>
          <w:lang/>
        </w:rPr>
        <w:fldChar w:fldCharType="separate"/>
      </w:r>
      <w:r>
        <w:rPr>
          <w:lang/>
        </w:rPr>
        <w:t>50</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"_Toc4487503"</w:instrText>
      </w:r>
      <w:r>
        <w:rPr>
          <w:rStyle w:val="10"/>
          <w:lang/>
        </w:rPr>
        <w:instrText xml:space="preserve"> </w:instrText>
      </w:r>
      <w:r>
        <w:rPr>
          <w:rStyle w:val="10"/>
          <w:lang/>
        </w:rPr>
        <w:fldChar w:fldCharType="separate"/>
      </w:r>
      <w:r>
        <w:rPr>
          <w:rStyle w:val="10"/>
          <w:b/>
          <w:bCs/>
          <w:lang/>
        </w:rPr>
        <w:t xml:space="preserve">8.12 </w:t>
      </w:r>
      <w:r>
        <w:rPr>
          <w:rStyle w:val="10"/>
          <w:rFonts w:hint="eastAsia"/>
          <w:b/>
          <w:bCs/>
          <w:lang/>
        </w:rPr>
        <w:t>投资组合报告附注</w:t>
      </w:r>
      <w:r>
        <w:rPr>
          <w:lang/>
        </w:rPr>
        <w:tab/>
      </w:r>
      <w:r>
        <w:rPr>
          <w:lang/>
        </w:rPr>
        <w:fldChar w:fldCharType="begin"/>
      </w:r>
      <w:r>
        <w:rPr>
          <w:lang/>
        </w:rPr>
        <w:instrText xml:space="preserve"> PAGEREF _Toc4487503 \h </w:instrText>
      </w:r>
      <w:r>
        <w:rPr>
          <w:lang/>
        </w:rPr>
        <w:fldChar w:fldCharType="separate"/>
      </w:r>
      <w:r>
        <w:rPr>
          <w:lang/>
        </w:rPr>
        <w:t>50</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"_Toc4487504"</w:instrText>
      </w:r>
      <w:r>
        <w:rPr>
          <w:rStyle w:val="10"/>
          <w:lang/>
        </w:rPr>
        <w:instrText xml:space="preserve"> </w:instrText>
      </w:r>
      <w:r>
        <w:rPr>
          <w:rStyle w:val="10"/>
          <w:lang/>
        </w:rPr>
        <w:fldChar w:fldCharType="separate"/>
      </w:r>
      <w:r>
        <w:rPr>
          <w:rStyle w:val="10"/>
          <w:b/>
          <w:lang/>
        </w:rPr>
        <w:t xml:space="preserve">§9  </w:t>
      </w:r>
      <w:r>
        <w:rPr>
          <w:rStyle w:val="10"/>
          <w:rFonts w:hint="eastAsia"/>
          <w:b/>
          <w:lang/>
        </w:rPr>
        <w:t>基金份额持有人信息</w:t>
      </w:r>
      <w:r>
        <w:rPr>
          <w:lang/>
        </w:rPr>
        <w:tab/>
      </w:r>
      <w:r>
        <w:rPr>
          <w:lang/>
        </w:rPr>
        <w:fldChar w:fldCharType="begin"/>
      </w:r>
      <w:r>
        <w:rPr>
          <w:lang/>
        </w:rPr>
        <w:instrText xml:space="preserve"> PAGEREF _Toc4487504 \h </w:instrText>
      </w:r>
      <w:r>
        <w:rPr>
          <w:lang/>
        </w:rPr>
        <w:fldChar w:fldCharType="separate"/>
      </w:r>
      <w:r>
        <w:rPr>
          <w:lang/>
        </w:rPr>
        <w:t>51</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"_Toc4487505"</w:instrText>
      </w:r>
      <w:r>
        <w:rPr>
          <w:rStyle w:val="10"/>
          <w:lang/>
        </w:rPr>
        <w:instrText xml:space="preserve"> </w:instrText>
      </w:r>
      <w:r>
        <w:rPr>
          <w:rStyle w:val="10"/>
          <w:lang/>
        </w:rPr>
        <w:fldChar w:fldCharType="separate"/>
      </w:r>
      <w:r>
        <w:rPr>
          <w:rStyle w:val="10"/>
          <w:b/>
          <w:bCs/>
          <w:lang/>
        </w:rPr>
        <w:t xml:space="preserve">9.1 </w:t>
      </w:r>
      <w:r>
        <w:rPr>
          <w:rStyle w:val="10"/>
          <w:rFonts w:hint="eastAsia"/>
          <w:b/>
          <w:bCs/>
          <w:lang/>
        </w:rPr>
        <w:t>期末基金份额持有人户数及持有人结构</w:t>
      </w:r>
      <w:r>
        <w:rPr>
          <w:lang/>
        </w:rPr>
        <w:tab/>
      </w:r>
      <w:r>
        <w:rPr>
          <w:lang/>
        </w:rPr>
        <w:fldChar w:fldCharType="begin"/>
      </w:r>
      <w:r>
        <w:rPr>
          <w:lang/>
        </w:rPr>
        <w:instrText xml:space="preserve"> PAGEREF _Toc4487505 \h </w:instrText>
      </w:r>
      <w:r>
        <w:rPr>
          <w:lang/>
        </w:rPr>
        <w:fldChar w:fldCharType="separate"/>
      </w:r>
      <w:r>
        <w:rPr>
          <w:lang/>
        </w:rPr>
        <w:t>51</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"_Toc4487506"</w:instrText>
      </w:r>
      <w:r>
        <w:rPr>
          <w:rStyle w:val="10"/>
          <w:lang/>
        </w:rPr>
        <w:instrText xml:space="preserve"> </w:instrText>
      </w:r>
      <w:r>
        <w:rPr>
          <w:rStyle w:val="10"/>
          <w:lang/>
        </w:rPr>
        <w:fldChar w:fldCharType="separate"/>
      </w:r>
      <w:r>
        <w:rPr>
          <w:rStyle w:val="10"/>
          <w:b/>
          <w:lang/>
        </w:rPr>
        <w:t xml:space="preserve">9.2 </w:t>
      </w:r>
      <w:r>
        <w:rPr>
          <w:rStyle w:val="10"/>
          <w:rFonts w:hint="eastAsia"/>
          <w:b/>
          <w:lang/>
        </w:rPr>
        <w:t>期末基金管理人的从业人员持有本基金的情况</w:t>
      </w:r>
      <w:r>
        <w:rPr>
          <w:lang/>
        </w:rPr>
        <w:tab/>
      </w:r>
      <w:r>
        <w:rPr>
          <w:lang/>
        </w:rPr>
        <w:fldChar w:fldCharType="begin"/>
      </w:r>
      <w:r>
        <w:rPr>
          <w:lang/>
        </w:rPr>
        <w:instrText xml:space="preserve"> PAGEREF _Toc4487506 \h </w:instrText>
      </w:r>
      <w:r>
        <w:rPr>
          <w:lang/>
        </w:rPr>
        <w:fldChar w:fldCharType="separate"/>
      </w:r>
      <w:r>
        <w:rPr>
          <w:lang/>
        </w:rPr>
        <w:t>52</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"_Toc4487507"</w:instrText>
      </w:r>
      <w:r>
        <w:rPr>
          <w:rStyle w:val="10"/>
          <w:lang/>
        </w:rPr>
        <w:instrText xml:space="preserve"> </w:instrText>
      </w:r>
      <w:r>
        <w:rPr>
          <w:rStyle w:val="10"/>
          <w:lang/>
        </w:rPr>
        <w:fldChar w:fldCharType="separate"/>
      </w:r>
      <w:r>
        <w:rPr>
          <w:rStyle w:val="10"/>
          <w:b/>
          <w:bCs/>
          <w:lang/>
        </w:rPr>
        <w:t xml:space="preserve">9.3 </w:t>
      </w:r>
      <w:r>
        <w:rPr>
          <w:rStyle w:val="10"/>
          <w:rFonts w:hint="eastAsia"/>
          <w:b/>
          <w:bCs/>
          <w:lang/>
        </w:rPr>
        <w:t>期末基金管理人的从业人员持有本开放式基金份额总量区间情况</w:t>
      </w:r>
      <w:r>
        <w:rPr>
          <w:lang/>
        </w:rPr>
        <w:tab/>
      </w:r>
      <w:r>
        <w:rPr>
          <w:lang/>
        </w:rPr>
        <w:fldChar w:fldCharType="begin"/>
      </w:r>
      <w:r>
        <w:rPr>
          <w:lang/>
        </w:rPr>
        <w:instrText xml:space="preserve"> PAGEREF _Toc4487507 \h </w:instrText>
      </w:r>
      <w:r>
        <w:rPr>
          <w:lang/>
        </w:rPr>
        <w:fldChar w:fldCharType="separate"/>
      </w:r>
      <w:r>
        <w:rPr>
          <w:lang/>
        </w:rPr>
        <w:t>52</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"_Toc4487508"</w:instrText>
      </w:r>
      <w:r>
        <w:rPr>
          <w:rStyle w:val="10"/>
          <w:lang/>
        </w:rPr>
        <w:instrText xml:space="preserve"> </w:instrText>
      </w:r>
      <w:r>
        <w:rPr>
          <w:rStyle w:val="10"/>
          <w:lang/>
        </w:rPr>
        <w:fldChar w:fldCharType="separate"/>
      </w:r>
      <w:r>
        <w:rPr>
          <w:rStyle w:val="10"/>
          <w:b/>
          <w:lang/>
        </w:rPr>
        <w:t xml:space="preserve">§10  </w:t>
      </w:r>
      <w:r>
        <w:rPr>
          <w:rStyle w:val="10"/>
          <w:rFonts w:hint="eastAsia"/>
          <w:b/>
          <w:lang/>
        </w:rPr>
        <w:t>开放式基金份额变动</w:t>
      </w:r>
      <w:r>
        <w:rPr>
          <w:lang/>
        </w:rPr>
        <w:tab/>
      </w:r>
      <w:r>
        <w:rPr>
          <w:lang/>
        </w:rPr>
        <w:fldChar w:fldCharType="begin"/>
      </w:r>
      <w:r>
        <w:rPr>
          <w:lang/>
        </w:rPr>
        <w:instrText xml:space="preserve"> PAGEREF _Toc4487508 \h </w:instrText>
      </w:r>
      <w:r>
        <w:rPr>
          <w:lang/>
        </w:rPr>
        <w:fldChar w:fldCharType="separate"/>
      </w:r>
      <w:r>
        <w:rPr>
          <w:lang/>
        </w:rPr>
        <w:t>52</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"_Toc4487509"</w:instrText>
      </w:r>
      <w:r>
        <w:rPr>
          <w:rStyle w:val="10"/>
          <w:lang/>
        </w:rPr>
        <w:instrText xml:space="preserve"> </w:instrText>
      </w:r>
      <w:r>
        <w:rPr>
          <w:rStyle w:val="10"/>
          <w:lang/>
        </w:rPr>
        <w:fldChar w:fldCharType="separate"/>
      </w:r>
      <w:r>
        <w:rPr>
          <w:rStyle w:val="10"/>
          <w:b/>
          <w:lang/>
        </w:rPr>
        <w:t xml:space="preserve">§11  </w:t>
      </w:r>
      <w:r>
        <w:rPr>
          <w:rStyle w:val="10"/>
          <w:rFonts w:hint="eastAsia"/>
          <w:b/>
          <w:lang/>
        </w:rPr>
        <w:t>重大事件揭示</w:t>
      </w:r>
      <w:r>
        <w:rPr>
          <w:lang/>
        </w:rPr>
        <w:tab/>
      </w:r>
      <w:r>
        <w:rPr>
          <w:lang/>
        </w:rPr>
        <w:fldChar w:fldCharType="begin"/>
      </w:r>
      <w:r>
        <w:rPr>
          <w:lang/>
        </w:rPr>
        <w:instrText xml:space="preserve"> PAGEREF _Toc4487509 \h </w:instrText>
      </w:r>
      <w:r>
        <w:rPr>
          <w:lang/>
        </w:rPr>
        <w:fldChar w:fldCharType="separate"/>
      </w:r>
      <w:r>
        <w:rPr>
          <w:lang/>
        </w:rPr>
        <w:t>52</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"_Toc4487510"</w:instrText>
      </w:r>
      <w:r>
        <w:rPr>
          <w:rStyle w:val="10"/>
          <w:lang/>
        </w:rPr>
        <w:instrText xml:space="preserve"> </w:instrText>
      </w:r>
      <w:r>
        <w:rPr>
          <w:rStyle w:val="10"/>
          <w:lang/>
        </w:rPr>
        <w:fldChar w:fldCharType="separate"/>
      </w:r>
      <w:r>
        <w:rPr>
          <w:rStyle w:val="10"/>
          <w:b/>
          <w:bCs/>
          <w:lang/>
        </w:rPr>
        <w:t xml:space="preserve">11.1 </w:t>
      </w:r>
      <w:r>
        <w:rPr>
          <w:rStyle w:val="10"/>
          <w:rFonts w:hint="eastAsia"/>
          <w:b/>
          <w:bCs/>
          <w:lang/>
        </w:rPr>
        <w:t>基金份额持有人大会决议</w:t>
      </w:r>
      <w:r>
        <w:rPr>
          <w:lang/>
        </w:rPr>
        <w:tab/>
      </w:r>
      <w:r>
        <w:rPr>
          <w:lang/>
        </w:rPr>
        <w:fldChar w:fldCharType="begin"/>
      </w:r>
      <w:r>
        <w:rPr>
          <w:lang/>
        </w:rPr>
        <w:instrText xml:space="preserve"> PAGEREF _Toc4487510 \h </w:instrText>
      </w:r>
      <w:r>
        <w:rPr>
          <w:lang/>
        </w:rPr>
        <w:fldChar w:fldCharType="separate"/>
      </w:r>
      <w:r>
        <w:rPr>
          <w:lang/>
        </w:rPr>
        <w:t>52</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"_Toc4487511"</w:instrText>
      </w:r>
      <w:r>
        <w:rPr>
          <w:rStyle w:val="10"/>
          <w:lang/>
        </w:rPr>
        <w:instrText xml:space="preserve"> </w:instrText>
      </w:r>
      <w:r>
        <w:rPr>
          <w:rStyle w:val="10"/>
          <w:lang/>
        </w:rPr>
        <w:fldChar w:fldCharType="separate"/>
      </w:r>
      <w:r>
        <w:rPr>
          <w:rStyle w:val="10"/>
          <w:b/>
          <w:bCs/>
          <w:lang/>
        </w:rPr>
        <w:t xml:space="preserve">11.2 </w:t>
      </w:r>
      <w:r>
        <w:rPr>
          <w:rStyle w:val="10"/>
          <w:rFonts w:hint="eastAsia"/>
          <w:b/>
          <w:bCs/>
          <w:lang/>
        </w:rPr>
        <w:t>基金管理人、基金托管人的专门基金托管部门的重大人事变动</w:t>
      </w:r>
      <w:r>
        <w:rPr>
          <w:lang/>
        </w:rPr>
        <w:tab/>
      </w:r>
      <w:r>
        <w:rPr>
          <w:lang/>
        </w:rPr>
        <w:fldChar w:fldCharType="begin"/>
      </w:r>
      <w:r>
        <w:rPr>
          <w:lang/>
        </w:rPr>
        <w:instrText xml:space="preserve"> PAGEREF _Toc4487511 \h </w:instrText>
      </w:r>
      <w:r>
        <w:rPr>
          <w:lang/>
        </w:rPr>
        <w:fldChar w:fldCharType="separate"/>
      </w:r>
      <w:r>
        <w:rPr>
          <w:lang/>
        </w:rPr>
        <w:t>52</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"_Toc4487512"</w:instrText>
      </w:r>
      <w:r>
        <w:rPr>
          <w:rStyle w:val="10"/>
          <w:lang/>
        </w:rPr>
        <w:instrText xml:space="preserve"> </w:instrText>
      </w:r>
      <w:r>
        <w:rPr>
          <w:rStyle w:val="10"/>
          <w:lang/>
        </w:rPr>
        <w:fldChar w:fldCharType="separate"/>
      </w:r>
      <w:r>
        <w:rPr>
          <w:rStyle w:val="10"/>
          <w:b/>
          <w:bCs/>
          <w:lang/>
        </w:rPr>
        <w:t xml:space="preserve">11.3 </w:t>
      </w:r>
      <w:r>
        <w:rPr>
          <w:rStyle w:val="10"/>
          <w:rFonts w:hint="eastAsia"/>
          <w:b/>
          <w:bCs/>
          <w:lang/>
        </w:rPr>
        <w:t>涉及基金管理人、基金财产、基金托管业务的诉讼</w:t>
      </w:r>
      <w:r>
        <w:rPr>
          <w:lang/>
        </w:rPr>
        <w:tab/>
      </w:r>
      <w:r>
        <w:rPr>
          <w:lang/>
        </w:rPr>
        <w:fldChar w:fldCharType="begin"/>
      </w:r>
      <w:r>
        <w:rPr>
          <w:lang/>
        </w:rPr>
        <w:instrText xml:space="preserve"> PAGEREF _Toc4487512 \h </w:instrText>
      </w:r>
      <w:r>
        <w:rPr>
          <w:lang/>
        </w:rPr>
        <w:fldChar w:fldCharType="separate"/>
      </w:r>
      <w:r>
        <w:rPr>
          <w:lang/>
        </w:rPr>
        <w:t>52</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"_Toc4487513"</w:instrText>
      </w:r>
      <w:r>
        <w:rPr>
          <w:rStyle w:val="10"/>
          <w:lang/>
        </w:rPr>
        <w:instrText xml:space="preserve"> </w:instrText>
      </w:r>
      <w:r>
        <w:rPr>
          <w:rStyle w:val="10"/>
          <w:lang/>
        </w:rPr>
        <w:fldChar w:fldCharType="separate"/>
      </w:r>
      <w:r>
        <w:rPr>
          <w:rStyle w:val="10"/>
          <w:b/>
          <w:bCs/>
          <w:lang/>
        </w:rPr>
        <w:t xml:space="preserve">11.4 </w:t>
      </w:r>
      <w:r>
        <w:rPr>
          <w:rStyle w:val="10"/>
          <w:rFonts w:hint="eastAsia"/>
          <w:b/>
          <w:bCs/>
          <w:lang/>
        </w:rPr>
        <w:t>基金投资策略的改变</w:t>
      </w:r>
      <w:r>
        <w:rPr>
          <w:lang/>
        </w:rPr>
        <w:tab/>
      </w:r>
      <w:r>
        <w:rPr>
          <w:lang/>
        </w:rPr>
        <w:fldChar w:fldCharType="begin"/>
      </w:r>
      <w:r>
        <w:rPr>
          <w:lang/>
        </w:rPr>
        <w:instrText xml:space="preserve"> PAGEREF _Toc4487513 \h </w:instrText>
      </w:r>
      <w:r>
        <w:rPr>
          <w:lang/>
        </w:rPr>
        <w:fldChar w:fldCharType="separate"/>
      </w:r>
      <w:r>
        <w:rPr>
          <w:lang/>
        </w:rPr>
        <w:t>52</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"_Toc4487514"</w:instrText>
      </w:r>
      <w:r>
        <w:rPr>
          <w:rStyle w:val="10"/>
          <w:lang/>
        </w:rPr>
        <w:instrText xml:space="preserve"> </w:instrText>
      </w:r>
      <w:r>
        <w:rPr>
          <w:rStyle w:val="10"/>
          <w:lang/>
        </w:rPr>
        <w:fldChar w:fldCharType="separate"/>
      </w:r>
      <w:r>
        <w:rPr>
          <w:rStyle w:val="10"/>
          <w:b/>
          <w:bCs/>
          <w:lang/>
        </w:rPr>
        <w:t xml:space="preserve">11.5 </w:t>
      </w:r>
      <w:r>
        <w:rPr>
          <w:rStyle w:val="10"/>
          <w:rFonts w:hint="eastAsia"/>
          <w:b/>
          <w:bCs/>
          <w:lang/>
        </w:rPr>
        <w:t>为基金进行审计的会计师事务所情况</w:t>
      </w:r>
      <w:r>
        <w:rPr>
          <w:lang/>
        </w:rPr>
        <w:tab/>
      </w:r>
      <w:r>
        <w:rPr>
          <w:lang/>
        </w:rPr>
        <w:fldChar w:fldCharType="begin"/>
      </w:r>
      <w:r>
        <w:rPr>
          <w:lang/>
        </w:rPr>
        <w:instrText xml:space="preserve"> PAGEREF _Toc4487514 \h </w:instrText>
      </w:r>
      <w:r>
        <w:rPr>
          <w:lang/>
        </w:rPr>
        <w:fldChar w:fldCharType="separate"/>
      </w:r>
      <w:r>
        <w:rPr>
          <w:lang/>
        </w:rPr>
        <w:t>53</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"_Toc4487515"</w:instrText>
      </w:r>
      <w:r>
        <w:rPr>
          <w:rStyle w:val="10"/>
          <w:lang/>
        </w:rPr>
        <w:instrText xml:space="preserve"> </w:instrText>
      </w:r>
      <w:r>
        <w:rPr>
          <w:rStyle w:val="10"/>
          <w:lang/>
        </w:rPr>
        <w:fldChar w:fldCharType="separate"/>
      </w:r>
      <w:r>
        <w:rPr>
          <w:rStyle w:val="10"/>
          <w:b/>
          <w:bCs/>
          <w:lang/>
        </w:rPr>
        <w:t xml:space="preserve">11.6 </w:t>
      </w:r>
      <w:r>
        <w:rPr>
          <w:rStyle w:val="10"/>
          <w:rFonts w:hint="eastAsia"/>
          <w:b/>
          <w:bCs/>
          <w:lang/>
        </w:rPr>
        <w:t>管理人、托管人及其高级管理人员受稽查或处罚等情况</w:t>
      </w:r>
      <w:r>
        <w:rPr>
          <w:lang/>
        </w:rPr>
        <w:tab/>
      </w:r>
      <w:r>
        <w:rPr>
          <w:lang/>
        </w:rPr>
        <w:fldChar w:fldCharType="begin"/>
      </w:r>
      <w:r>
        <w:rPr>
          <w:lang/>
        </w:rPr>
        <w:instrText xml:space="preserve"> PAGEREF _Toc4487515 \h </w:instrText>
      </w:r>
      <w:r>
        <w:rPr>
          <w:lang/>
        </w:rPr>
        <w:fldChar w:fldCharType="separate"/>
      </w:r>
      <w:r>
        <w:rPr>
          <w:lang/>
        </w:rPr>
        <w:t>53</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"_Toc4487516"</w:instrText>
      </w:r>
      <w:r>
        <w:rPr>
          <w:rStyle w:val="10"/>
          <w:lang/>
        </w:rPr>
        <w:instrText xml:space="preserve"> </w:instrText>
      </w:r>
      <w:r>
        <w:rPr>
          <w:rStyle w:val="10"/>
          <w:lang/>
        </w:rPr>
        <w:fldChar w:fldCharType="separate"/>
      </w:r>
      <w:r>
        <w:rPr>
          <w:rStyle w:val="10"/>
          <w:b/>
          <w:bCs/>
          <w:lang/>
        </w:rPr>
        <w:t xml:space="preserve">11.7 </w:t>
      </w:r>
      <w:r>
        <w:rPr>
          <w:rStyle w:val="10"/>
          <w:rFonts w:hint="eastAsia"/>
          <w:b/>
          <w:bCs/>
          <w:lang/>
        </w:rPr>
        <w:t>基金租用证券公司交易单元的有关情况</w:t>
      </w:r>
      <w:r>
        <w:rPr>
          <w:lang/>
        </w:rPr>
        <w:tab/>
      </w:r>
      <w:r>
        <w:rPr>
          <w:lang/>
        </w:rPr>
        <w:fldChar w:fldCharType="begin"/>
      </w:r>
      <w:r>
        <w:rPr>
          <w:lang/>
        </w:rPr>
        <w:instrText xml:space="preserve"> PAGEREF _Toc4487516 \h </w:instrText>
      </w:r>
      <w:r>
        <w:rPr>
          <w:lang/>
        </w:rPr>
        <w:fldChar w:fldCharType="separate"/>
      </w:r>
      <w:r>
        <w:rPr>
          <w:lang/>
        </w:rPr>
        <w:t>53</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"_Toc4487517"</w:instrText>
      </w:r>
      <w:r>
        <w:rPr>
          <w:rStyle w:val="10"/>
          <w:lang/>
        </w:rPr>
        <w:instrText xml:space="preserve"> </w:instrText>
      </w:r>
      <w:r>
        <w:rPr>
          <w:rStyle w:val="10"/>
          <w:lang/>
        </w:rPr>
        <w:fldChar w:fldCharType="separate"/>
      </w:r>
      <w:r>
        <w:rPr>
          <w:rStyle w:val="10"/>
          <w:b/>
          <w:bCs/>
          <w:lang/>
        </w:rPr>
        <w:t xml:space="preserve">11.8 </w:t>
      </w:r>
      <w:r>
        <w:rPr>
          <w:rStyle w:val="10"/>
          <w:rFonts w:hint="eastAsia"/>
          <w:b/>
          <w:bCs/>
          <w:lang/>
        </w:rPr>
        <w:t>其他重大事件</w:t>
      </w:r>
      <w:r>
        <w:rPr>
          <w:lang/>
        </w:rPr>
        <w:tab/>
      </w:r>
      <w:r>
        <w:rPr>
          <w:lang/>
        </w:rPr>
        <w:fldChar w:fldCharType="begin"/>
      </w:r>
      <w:r>
        <w:rPr>
          <w:lang/>
        </w:rPr>
        <w:instrText xml:space="preserve"> PAGEREF _Toc4487517 \h </w:instrText>
      </w:r>
      <w:r>
        <w:rPr>
          <w:lang/>
        </w:rPr>
        <w:fldChar w:fldCharType="separate"/>
      </w:r>
      <w:r>
        <w:rPr>
          <w:lang/>
        </w:rPr>
        <w:t>55</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"_Toc4487518"</w:instrText>
      </w:r>
      <w:r>
        <w:rPr>
          <w:rStyle w:val="10"/>
          <w:lang/>
        </w:rPr>
        <w:instrText xml:space="preserve"> </w:instrText>
      </w:r>
      <w:r>
        <w:rPr>
          <w:rStyle w:val="10"/>
          <w:lang/>
        </w:rPr>
        <w:fldChar w:fldCharType="separate"/>
      </w:r>
      <w:r>
        <w:rPr>
          <w:rStyle w:val="10"/>
          <w:b/>
          <w:lang/>
        </w:rPr>
        <w:t xml:space="preserve">§12  </w:t>
      </w:r>
      <w:r>
        <w:rPr>
          <w:rStyle w:val="10"/>
          <w:rFonts w:hint="eastAsia"/>
          <w:b/>
          <w:lang/>
        </w:rPr>
        <w:t>影响投资者决策的其他重要信息</w:t>
      </w:r>
      <w:r>
        <w:rPr>
          <w:lang/>
        </w:rPr>
        <w:tab/>
      </w:r>
      <w:r>
        <w:rPr>
          <w:lang/>
        </w:rPr>
        <w:fldChar w:fldCharType="begin"/>
      </w:r>
      <w:r>
        <w:rPr>
          <w:lang/>
        </w:rPr>
        <w:instrText xml:space="preserve"> PAGEREF _Toc4487518 \h </w:instrText>
      </w:r>
      <w:r>
        <w:rPr>
          <w:lang/>
        </w:rPr>
        <w:fldChar w:fldCharType="separate"/>
      </w:r>
      <w:r>
        <w:rPr>
          <w:lang/>
        </w:rPr>
        <w:t>57</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"_Toc4487519"</w:instrText>
      </w:r>
      <w:r>
        <w:rPr>
          <w:rStyle w:val="10"/>
          <w:lang/>
        </w:rPr>
        <w:instrText xml:space="preserve"> </w:instrText>
      </w:r>
      <w:r>
        <w:rPr>
          <w:rStyle w:val="10"/>
          <w:lang/>
        </w:rPr>
        <w:fldChar w:fldCharType="separate"/>
      </w:r>
      <w:r>
        <w:rPr>
          <w:rStyle w:val="10"/>
          <w:b/>
          <w:bCs/>
          <w:lang/>
        </w:rPr>
        <w:t xml:space="preserve">12.1 </w:t>
      </w:r>
      <w:r>
        <w:rPr>
          <w:rStyle w:val="10"/>
          <w:rFonts w:hint="eastAsia"/>
          <w:b/>
          <w:bCs/>
          <w:lang/>
        </w:rPr>
        <w:t>报告期内单一投资者持有基金份额比例达到或超过</w:t>
      </w:r>
      <w:r>
        <w:rPr>
          <w:rStyle w:val="10"/>
          <w:b/>
          <w:bCs/>
          <w:lang/>
        </w:rPr>
        <w:t>20%</w:t>
      </w:r>
      <w:r>
        <w:rPr>
          <w:rStyle w:val="10"/>
          <w:rFonts w:hint="eastAsia"/>
          <w:b/>
          <w:bCs/>
          <w:lang/>
        </w:rPr>
        <w:t>的情况</w:t>
      </w:r>
      <w:r>
        <w:rPr>
          <w:lang/>
        </w:rPr>
        <w:tab/>
      </w:r>
      <w:r>
        <w:rPr>
          <w:lang/>
        </w:rPr>
        <w:fldChar w:fldCharType="begin"/>
      </w:r>
      <w:r>
        <w:rPr>
          <w:lang/>
        </w:rPr>
        <w:instrText xml:space="preserve"> PAGEREF _Toc4487519 \h </w:instrText>
      </w:r>
      <w:r>
        <w:rPr>
          <w:lang/>
        </w:rPr>
        <w:fldChar w:fldCharType="separate"/>
      </w:r>
      <w:r>
        <w:rPr>
          <w:lang/>
        </w:rPr>
        <w:t>57</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"_Toc4487520"</w:instrText>
      </w:r>
      <w:r>
        <w:rPr>
          <w:rStyle w:val="10"/>
          <w:lang/>
        </w:rPr>
        <w:instrText xml:space="preserve"> </w:instrText>
      </w:r>
      <w:r>
        <w:rPr>
          <w:rStyle w:val="10"/>
          <w:lang/>
        </w:rPr>
        <w:fldChar w:fldCharType="separate"/>
      </w:r>
      <w:r>
        <w:rPr>
          <w:rStyle w:val="10"/>
          <w:b/>
          <w:bCs/>
          <w:lang/>
        </w:rPr>
        <w:t xml:space="preserve">12.2 </w:t>
      </w:r>
      <w:r>
        <w:rPr>
          <w:rStyle w:val="10"/>
          <w:rFonts w:hint="eastAsia"/>
          <w:b/>
          <w:bCs/>
          <w:lang/>
        </w:rPr>
        <w:t>影响投资者决策的其他重要信息</w:t>
      </w:r>
      <w:r>
        <w:rPr>
          <w:lang/>
        </w:rPr>
        <w:tab/>
      </w:r>
      <w:r>
        <w:rPr>
          <w:lang/>
        </w:rPr>
        <w:fldChar w:fldCharType="begin"/>
      </w:r>
      <w:r>
        <w:rPr>
          <w:lang/>
        </w:rPr>
        <w:instrText xml:space="preserve"> PAGEREF _Toc4487520 \h </w:instrText>
      </w:r>
      <w:r>
        <w:rPr>
          <w:lang/>
        </w:rPr>
        <w:fldChar w:fldCharType="separate"/>
      </w:r>
      <w:r>
        <w:rPr>
          <w:lang/>
        </w:rPr>
        <w:t>58</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"_Toc4487521"</w:instrText>
      </w:r>
      <w:r>
        <w:rPr>
          <w:rStyle w:val="10"/>
          <w:lang/>
        </w:rPr>
        <w:instrText xml:space="preserve"> </w:instrText>
      </w:r>
      <w:r>
        <w:rPr>
          <w:rStyle w:val="10"/>
          <w:lang/>
        </w:rPr>
        <w:fldChar w:fldCharType="separate"/>
      </w:r>
      <w:r>
        <w:rPr>
          <w:rStyle w:val="10"/>
          <w:b/>
          <w:lang/>
        </w:rPr>
        <w:t xml:space="preserve">§13  </w:t>
      </w:r>
      <w:r>
        <w:rPr>
          <w:rStyle w:val="10"/>
          <w:rFonts w:hint="eastAsia"/>
          <w:b/>
          <w:lang/>
        </w:rPr>
        <w:t>备查文件目录</w:t>
      </w:r>
      <w:r>
        <w:rPr>
          <w:lang/>
        </w:rPr>
        <w:tab/>
      </w:r>
      <w:r>
        <w:rPr>
          <w:lang/>
        </w:rPr>
        <w:fldChar w:fldCharType="begin"/>
      </w:r>
      <w:r>
        <w:rPr>
          <w:lang/>
        </w:rPr>
        <w:instrText xml:space="preserve"> PAGEREF _Toc4487521 \h </w:instrText>
      </w:r>
      <w:r>
        <w:rPr>
          <w:lang/>
        </w:rPr>
        <w:fldChar w:fldCharType="separate"/>
      </w:r>
      <w:r>
        <w:rPr>
          <w:lang/>
        </w:rPr>
        <w:t>58</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"_Toc4487522"</w:instrText>
      </w:r>
      <w:r>
        <w:rPr>
          <w:rStyle w:val="10"/>
          <w:lang/>
        </w:rPr>
        <w:instrText xml:space="preserve"> </w:instrText>
      </w:r>
      <w:r>
        <w:rPr>
          <w:rStyle w:val="10"/>
          <w:lang/>
        </w:rPr>
        <w:fldChar w:fldCharType="separate"/>
      </w:r>
      <w:r>
        <w:rPr>
          <w:rStyle w:val="10"/>
          <w:b/>
          <w:bCs/>
          <w:lang/>
        </w:rPr>
        <w:t xml:space="preserve">13.1 </w:t>
      </w:r>
      <w:r>
        <w:rPr>
          <w:rStyle w:val="10"/>
          <w:rFonts w:hint="eastAsia"/>
          <w:b/>
          <w:bCs/>
          <w:lang/>
        </w:rPr>
        <w:t>备查文件目录</w:t>
      </w:r>
      <w:r>
        <w:rPr>
          <w:lang/>
        </w:rPr>
        <w:tab/>
      </w:r>
      <w:r>
        <w:rPr>
          <w:lang/>
        </w:rPr>
        <w:fldChar w:fldCharType="begin"/>
      </w:r>
      <w:r>
        <w:rPr>
          <w:lang/>
        </w:rPr>
        <w:instrText xml:space="preserve"> PAGEREF _Toc4487522 \h </w:instrText>
      </w:r>
      <w:r>
        <w:rPr>
          <w:lang/>
        </w:rPr>
        <w:fldChar w:fldCharType="separate"/>
      </w:r>
      <w:r>
        <w:rPr>
          <w:lang/>
        </w:rPr>
        <w:t>58</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"_Toc4487523"</w:instrText>
      </w:r>
      <w:r>
        <w:rPr>
          <w:rStyle w:val="10"/>
          <w:lang/>
        </w:rPr>
        <w:instrText xml:space="preserve"> </w:instrText>
      </w:r>
      <w:r>
        <w:rPr>
          <w:rStyle w:val="10"/>
          <w:lang/>
        </w:rPr>
        <w:fldChar w:fldCharType="separate"/>
      </w:r>
      <w:r>
        <w:rPr>
          <w:rStyle w:val="10"/>
          <w:b/>
          <w:bCs/>
          <w:lang/>
        </w:rPr>
        <w:t xml:space="preserve">13.2 </w:t>
      </w:r>
      <w:r>
        <w:rPr>
          <w:rStyle w:val="10"/>
          <w:rFonts w:hint="eastAsia"/>
          <w:b/>
          <w:bCs/>
          <w:lang/>
        </w:rPr>
        <w:t>存放地点</w:t>
      </w:r>
      <w:r>
        <w:rPr>
          <w:lang/>
        </w:rPr>
        <w:tab/>
      </w:r>
      <w:r>
        <w:rPr>
          <w:lang/>
        </w:rPr>
        <w:fldChar w:fldCharType="begin"/>
      </w:r>
      <w:r>
        <w:rPr>
          <w:lang/>
        </w:rPr>
        <w:instrText xml:space="preserve"> PAGEREF _Toc4487523 \h </w:instrText>
      </w:r>
      <w:r>
        <w:rPr>
          <w:lang/>
        </w:rPr>
        <w:fldChar w:fldCharType="separate"/>
      </w:r>
      <w:r>
        <w:rPr>
          <w:lang/>
        </w:rPr>
        <w:t>58</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"_Toc4487524"</w:instrText>
      </w:r>
      <w:r>
        <w:rPr>
          <w:rStyle w:val="10"/>
          <w:lang/>
        </w:rPr>
        <w:instrText xml:space="preserve"> </w:instrText>
      </w:r>
      <w:r>
        <w:rPr>
          <w:rStyle w:val="10"/>
          <w:lang/>
        </w:rPr>
        <w:fldChar w:fldCharType="separate"/>
      </w:r>
      <w:r>
        <w:rPr>
          <w:rStyle w:val="10"/>
          <w:b/>
          <w:bCs/>
          <w:lang/>
        </w:rPr>
        <w:t xml:space="preserve">13.3 </w:t>
      </w:r>
      <w:r>
        <w:rPr>
          <w:rStyle w:val="10"/>
          <w:rFonts w:hint="eastAsia"/>
          <w:b/>
          <w:bCs/>
          <w:lang/>
        </w:rPr>
        <w:t>查阅方式</w:t>
      </w:r>
      <w:r>
        <w:rPr>
          <w:lang/>
        </w:rPr>
        <w:tab/>
      </w:r>
      <w:r>
        <w:rPr>
          <w:lang/>
        </w:rPr>
        <w:fldChar w:fldCharType="begin"/>
      </w:r>
      <w:r>
        <w:rPr>
          <w:lang/>
        </w:rPr>
        <w:instrText xml:space="preserve"> PAGEREF _Toc4487524 \h </w:instrText>
      </w:r>
      <w:r>
        <w:rPr>
          <w:lang/>
        </w:rPr>
        <w:fldChar w:fldCharType="separate"/>
      </w:r>
      <w:r>
        <w:rPr>
          <w:lang/>
        </w:rPr>
        <w:t>58</w:t>
      </w:r>
      <w:r>
        <w:rPr>
          <w:lang/>
        </w:rPr>
        <w:fldChar w:fldCharType="end"/>
      </w:r>
      <w:r>
        <w:rPr>
          <w:rStyle w:val="10"/>
          <w:lang/>
        </w:rPr>
        <w:fldChar w:fldCharType="end"/>
      </w:r>
    </w:p>
    <w:p>
      <w:pPr>
        <w:pStyle w:val="12"/>
        <w:rPr>
          <w:rFonts w:hint="eastAsia"/>
        </w:rPr>
      </w:pPr>
      <w:r>
        <w:rPr>
          <w:rFonts w:ascii="Times New Roman" w:hAnsi="Times New Roman"/>
        </w:rPr>
        <w:fldChar w:fldCharType="end"/>
      </w:r>
      <w:r>
        <w:rPr>
          <w:rFonts w:ascii="Times New Roman" w:hAnsi="Times New Roman"/>
        </w:rPr>
        <w:br w:type="page"/>
      </w:r>
      <w:bookmarkStart w:id="3" w:name="_Toc4487459"/>
      <w:r>
        <w:rPr>
          <w:rFonts w:hint="eastAsia" w:hAnsi="Calibri"/>
          <w:b/>
          <w:color w:val="000000"/>
        </w:rPr>
        <w:t>§2  基金简介</w:t>
      </w:r>
      <w:bookmarkEnd w:id="3"/>
    </w:p>
    <w:p>
      <w:pPr>
        <w:widowControl/>
        <w:jc w:val="left"/>
        <w:rPr>
          <w:rFonts w:hint="eastAsia" w:ascii="宋体" w:hAnsi="宋体" w:cs="宋体"/>
          <w:kern w:val="0"/>
          <w:sz w:val="24"/>
          <w:szCs w:val="24"/>
        </w:rPr>
      </w:pPr>
    </w:p>
    <w:p>
      <w:pPr>
        <w:pStyle w:val="13"/>
        <w:rPr>
          <w:rFonts w:hint="eastAsia"/>
        </w:rPr>
      </w:pPr>
      <w:bookmarkStart w:id="4" w:name="_Toc4487460"/>
      <w:r>
        <w:rPr>
          <w:rFonts w:hint="eastAsia"/>
          <w:b/>
          <w:bCs/>
        </w:rPr>
        <w:t>2.1 基金基本情况</w:t>
      </w:r>
      <w:bookmarkEnd w:id="4"/>
    </w:p>
    <w:tbl>
      <w:tblPr>
        <w:tblStyle w:val="7"/>
        <w:tblW w:w="9120" w:type="dxa"/>
        <w:tblInd w:w="108" w:type="dxa"/>
        <w:tblLayout w:type="autofit"/>
        <w:tblCellMar>
          <w:top w:w="0" w:type="dxa"/>
          <w:left w:w="108" w:type="dxa"/>
          <w:bottom w:w="0" w:type="dxa"/>
          <w:right w:w="108" w:type="dxa"/>
        </w:tblCellMar>
      </w:tblPr>
      <w:tblGrid>
        <w:gridCol w:w="3249"/>
        <w:gridCol w:w="5871"/>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创金合信尊盛纯债债券型证券投资基金</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基金简称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创金合信尊盛纯债债券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基金主代码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002438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基金运作方式</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契约型开放式</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基金合同生效日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2016年02月26日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基金管理人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创金合信基金管理有限公司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基金托管人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招商银行股份有限公司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报告期末基金份额总额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979,934,909.04份</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基金合同存续期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不定期</w:t>
            </w:r>
          </w:p>
        </w:tc>
      </w:tr>
    </w:tbl>
    <w:p>
      <w:pPr>
        <w:widowControl/>
        <w:jc w:val="left"/>
        <w:rPr>
          <w:rFonts w:hint="eastAsia" w:ascii="宋体" w:hAnsi="宋体" w:cs="宋体"/>
          <w:kern w:val="0"/>
          <w:sz w:val="24"/>
          <w:szCs w:val="24"/>
        </w:rPr>
      </w:pPr>
    </w:p>
    <w:p>
      <w:pPr>
        <w:pStyle w:val="13"/>
        <w:rPr>
          <w:rFonts w:hint="eastAsia"/>
        </w:rPr>
      </w:pPr>
      <w:bookmarkStart w:id="5" w:name="_Toc4487461"/>
      <w:r>
        <w:rPr>
          <w:rFonts w:hint="eastAsia"/>
          <w:b/>
          <w:bCs/>
        </w:rPr>
        <w:t>2.2 基金产品说明</w:t>
      </w:r>
      <w:bookmarkEnd w:id="5"/>
    </w:p>
    <w:tbl>
      <w:tblPr>
        <w:tblStyle w:val="7"/>
        <w:tblW w:w="9120" w:type="dxa"/>
        <w:tblInd w:w="108" w:type="dxa"/>
        <w:tblLayout w:type="autofit"/>
        <w:tblCellMar>
          <w:top w:w="0" w:type="dxa"/>
          <w:left w:w="108" w:type="dxa"/>
          <w:bottom w:w="0" w:type="dxa"/>
          <w:right w:w="108" w:type="dxa"/>
        </w:tblCellMar>
      </w:tblPr>
      <w:tblGrid>
        <w:gridCol w:w="3282"/>
        <w:gridCol w:w="583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投资目标</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spacing w:before="0"/>
              <w:ind w:left="0" w:firstLine="480"/>
              <w:rPr>
                <w:rFonts w:hint="eastAsia"/>
              </w:rPr>
            </w:pPr>
            <w:r>
              <w:rPr>
                <w:rFonts w:hint="eastAsia"/>
              </w:rPr>
              <w:t>在严格控制风险的前提下，追求当期收入和投资总回报最大化。</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投资策略</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spacing w:before="0"/>
              <w:ind w:left="0" w:firstLine="480"/>
              <w:rPr>
                <w:rFonts w:hint="eastAsia"/>
              </w:rPr>
            </w:pPr>
            <w:r>
              <w:rPr>
                <w:rFonts w:hint="eastAsia"/>
              </w:rPr>
              <w:t>本基金通过对宏观经济形势的持续跟踪，基于对利率、信用等市场的分析和预测，综合运用久期配置策略、跨市场套利、杠杆放大等策略，力争实现基金资产的稳健增值。</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业绩比较基准</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spacing w:before="0"/>
              <w:ind w:left="0" w:firstLine="480"/>
              <w:rPr>
                <w:rFonts w:hint="eastAsia"/>
              </w:rPr>
            </w:pPr>
            <w:r>
              <w:rPr>
                <w:rFonts w:hint="eastAsia"/>
              </w:rPr>
              <w:t>中债综合（全价）指数收益率</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风险收益特征</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spacing w:before="0"/>
              <w:ind w:left="0" w:firstLine="480"/>
              <w:rPr>
                <w:rFonts w:hint="eastAsia"/>
              </w:rPr>
            </w:pPr>
            <w:r>
              <w:rPr>
                <w:rFonts w:hint="eastAsia"/>
              </w:rPr>
              <w:t>本基金为债券型基金，长期来看，其预期风险和预期收益水平低于股票型基金、混合型基金，高于货币市场基金。</w:t>
            </w:r>
          </w:p>
        </w:tc>
      </w:tr>
    </w:tbl>
    <w:p>
      <w:pPr>
        <w:widowControl/>
        <w:jc w:val="left"/>
        <w:rPr>
          <w:rFonts w:hint="eastAsia" w:ascii="宋体" w:hAnsi="宋体" w:cs="宋体"/>
          <w:kern w:val="0"/>
          <w:sz w:val="24"/>
          <w:szCs w:val="24"/>
        </w:rPr>
      </w:pPr>
    </w:p>
    <w:p>
      <w:pPr>
        <w:pStyle w:val="13"/>
        <w:rPr>
          <w:rFonts w:hint="eastAsia"/>
        </w:rPr>
      </w:pPr>
      <w:bookmarkStart w:id="6" w:name="_Toc4487462"/>
      <w:r>
        <w:rPr>
          <w:rFonts w:hint="eastAsia"/>
          <w:b/>
          <w:bCs/>
        </w:rPr>
        <w:t>2.3 基金管理人和基金托管人</w:t>
      </w:r>
      <w:bookmarkEnd w:id="6"/>
    </w:p>
    <w:tbl>
      <w:tblPr>
        <w:tblStyle w:val="7"/>
        <w:tblW w:w="9120" w:type="dxa"/>
        <w:tblInd w:w="108" w:type="dxa"/>
        <w:tblLayout w:type="autofit"/>
        <w:tblCellMar>
          <w:top w:w="0" w:type="dxa"/>
          <w:left w:w="108" w:type="dxa"/>
          <w:bottom w:w="0" w:type="dxa"/>
          <w:right w:w="108" w:type="dxa"/>
        </w:tblCellMar>
      </w:tblPr>
      <w:tblGrid>
        <w:gridCol w:w="1093"/>
        <w:gridCol w:w="1459"/>
        <w:gridCol w:w="3284"/>
        <w:gridCol w:w="3284"/>
      </w:tblGrid>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基金托管人</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名称</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招商银行股份有限公司</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信息披露负责人</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姓名</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梁绍锋</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张燕</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联系电话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0755-23838908</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0755-83199084</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电子邮箱</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liangshaofeng@cjhxfund.com</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yan_zhang@cmbchina.com</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客户服务电话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400-868-0666</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95555</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传真</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0755-25832571</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0755-83195201</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注册地址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深圳市前海深港合作区前湾一路1号201室（入驻深圳市前海商务秘书有限公司）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深圳市深南大道7088号招商银行大厦</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办公地址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深圳市深南大道7088号招商银行大厦</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邮政编码</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518000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518040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法定代表人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刘学民</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李建红</w:t>
            </w:r>
          </w:p>
        </w:tc>
      </w:tr>
    </w:tbl>
    <w:p>
      <w:pPr>
        <w:widowControl/>
        <w:jc w:val="left"/>
        <w:rPr>
          <w:rFonts w:hint="eastAsia" w:ascii="宋体" w:hAnsi="宋体" w:cs="宋体"/>
          <w:kern w:val="0"/>
          <w:sz w:val="24"/>
          <w:szCs w:val="24"/>
        </w:rPr>
      </w:pPr>
    </w:p>
    <w:p>
      <w:pPr>
        <w:pStyle w:val="13"/>
        <w:rPr>
          <w:rFonts w:hint="eastAsia"/>
        </w:rPr>
      </w:pPr>
      <w:bookmarkStart w:id="7" w:name="_Toc4487463"/>
      <w:r>
        <w:rPr>
          <w:rFonts w:hint="eastAsia"/>
          <w:b/>
          <w:bCs/>
        </w:rPr>
        <w:t>2.4 信息披露方式</w:t>
      </w:r>
      <w:bookmarkEnd w:id="7"/>
    </w:p>
    <w:tbl>
      <w:tblPr>
        <w:tblStyle w:val="7"/>
        <w:tblW w:w="9120" w:type="dxa"/>
        <w:tblInd w:w="108" w:type="dxa"/>
        <w:tblLayout w:type="autofit"/>
        <w:tblCellMar>
          <w:top w:w="0" w:type="dxa"/>
          <w:left w:w="108" w:type="dxa"/>
          <w:bottom w:w="0" w:type="dxa"/>
          <w:right w:w="108" w:type="dxa"/>
        </w:tblCellMar>
      </w:tblPr>
      <w:tblGrid>
        <w:gridCol w:w="2552"/>
        <w:gridCol w:w="6568"/>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本基金选定的信息披露报纸名称</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中国证券报</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登载基金年度报告正文的管理人互联网网址</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www.cjhxfund.com</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基金年度报告备置地点</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深圳市福田中心区福华一路115号投行大厦15层</w:t>
            </w:r>
          </w:p>
        </w:tc>
      </w:tr>
    </w:tbl>
    <w:p>
      <w:pPr>
        <w:pStyle w:val="19"/>
        <w:rPr>
          <w:rFonts w:hint="eastAsia"/>
        </w:rPr>
      </w:pPr>
      <w:r>
        <w:rPr>
          <w:rFonts w:hint="eastAsia"/>
        </w:rPr>
        <w:t>注：本基金自2019年1月19日起信息披露报纸由《上海证券报》变更为《中国证券报》。</w:t>
      </w:r>
    </w:p>
    <w:p>
      <w:pPr>
        <w:widowControl/>
        <w:jc w:val="left"/>
        <w:rPr>
          <w:rFonts w:hint="eastAsia" w:ascii="宋体" w:hAnsi="宋体" w:cs="宋体"/>
          <w:kern w:val="0"/>
          <w:sz w:val="24"/>
          <w:szCs w:val="24"/>
        </w:rPr>
      </w:pPr>
    </w:p>
    <w:p>
      <w:pPr>
        <w:pStyle w:val="13"/>
        <w:rPr>
          <w:rFonts w:hint="eastAsia"/>
        </w:rPr>
      </w:pPr>
      <w:bookmarkStart w:id="8" w:name="_Toc4487464"/>
      <w:r>
        <w:rPr>
          <w:rFonts w:hint="eastAsia"/>
          <w:b/>
          <w:bCs/>
        </w:rPr>
        <w:t>2.5 其他相关资料</w:t>
      </w:r>
      <w:bookmarkEnd w:id="8"/>
    </w:p>
    <w:tbl>
      <w:tblPr>
        <w:tblStyle w:val="7"/>
        <w:tblW w:w="9120" w:type="dxa"/>
        <w:tblInd w:w="108" w:type="dxa"/>
        <w:tblLayout w:type="autofit"/>
        <w:tblCellMar>
          <w:top w:w="0" w:type="dxa"/>
          <w:left w:w="108" w:type="dxa"/>
          <w:bottom w:w="0" w:type="dxa"/>
          <w:right w:w="108" w:type="dxa"/>
        </w:tblCellMar>
      </w:tblPr>
      <w:tblGrid>
        <w:gridCol w:w="1823"/>
        <w:gridCol w:w="3284"/>
        <w:gridCol w:w="4013"/>
      </w:tblGrid>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名称</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办公地址</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会计师事务所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毕马威华振会计师事务所（特殊普通合伙）</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北京市东城区东长安街1号东方广场东2座办公楼8层</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注册登记机构</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创金合信基金管理有限公司</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深圳市福田中心区福华一路115号投行大厦15层</w:t>
            </w:r>
          </w:p>
        </w:tc>
      </w:tr>
    </w:tbl>
    <w:p>
      <w:pPr>
        <w:widowControl/>
        <w:jc w:val="left"/>
        <w:rPr>
          <w:rFonts w:hint="eastAsia" w:ascii="宋体" w:hAnsi="宋体" w:cs="宋体"/>
          <w:kern w:val="0"/>
          <w:sz w:val="24"/>
          <w:szCs w:val="24"/>
        </w:rPr>
      </w:pPr>
    </w:p>
    <w:p>
      <w:pPr>
        <w:pStyle w:val="12"/>
        <w:rPr>
          <w:rFonts w:hint="eastAsia"/>
        </w:rPr>
      </w:pPr>
      <w:bookmarkStart w:id="9" w:name="_Toc4487465"/>
      <w:r>
        <w:rPr>
          <w:rFonts w:hint="eastAsia" w:hAnsi="Calibri"/>
          <w:b/>
          <w:color w:val="000000"/>
        </w:rPr>
        <w:t>§3  主要财务指标、基金净值表现及利润分配情况</w:t>
      </w:r>
      <w:bookmarkEnd w:id="9"/>
    </w:p>
    <w:p>
      <w:pPr>
        <w:widowControl/>
        <w:jc w:val="left"/>
        <w:rPr>
          <w:rFonts w:hint="eastAsia" w:ascii="宋体" w:hAnsi="宋体" w:cs="宋体"/>
          <w:kern w:val="0"/>
          <w:sz w:val="24"/>
          <w:szCs w:val="24"/>
        </w:rPr>
      </w:pPr>
    </w:p>
    <w:p>
      <w:pPr>
        <w:pStyle w:val="13"/>
        <w:rPr>
          <w:rFonts w:hint="eastAsia"/>
        </w:rPr>
      </w:pPr>
      <w:bookmarkStart w:id="10" w:name="_Toc4487466"/>
      <w:r>
        <w:rPr>
          <w:rFonts w:hint="eastAsia"/>
          <w:b/>
          <w:bCs/>
        </w:rPr>
        <w:t>3.1 主要会计数据和财务指标</w:t>
      </w:r>
      <w:bookmarkEnd w:id="10"/>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3110"/>
        <w:gridCol w:w="1216"/>
        <w:gridCol w:w="1340"/>
        <w:gridCol w:w="3379"/>
      </w:tblGrid>
      <w:tr>
        <w:tblPrEx>
          <w:tblCellMar>
            <w:top w:w="0" w:type="dxa"/>
            <w:left w:w="108" w:type="dxa"/>
            <w:bottom w:w="0" w:type="dxa"/>
            <w:right w:w="108" w:type="dxa"/>
          </w:tblCellMar>
        </w:tblPrEx>
        <w:trPr>
          <w:wBefore w:w="0" w:type="auto"/>
        </w:trPr>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14"/>
              <w:wordWrap w:val="0"/>
              <w:rPr>
                <w:rFonts w:hint="eastAsia"/>
              </w:rPr>
            </w:pPr>
            <w:r>
              <w:rPr>
                <w:rFonts w:hint="eastAsia"/>
                <w:b/>
                <w:bCs/>
              </w:rPr>
              <w:t>3.1.1 期间数据和指标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2018年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2017年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2016年02月26日（基金合同生效日）-2016年12月31日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本期已实现收益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54,186,088.34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52,594,363.62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17,241,205.09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73,413,859.89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44,564,774.79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11,451,510.54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加权平均基金份额本期利润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0.0652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0.0359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0.0248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本期加权平均净值利润率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本期基金份额净值增长率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4"/>
              <w:wordWrap w:val="0"/>
              <w:rPr>
                <w:rFonts w:hint="eastAsia"/>
              </w:rPr>
            </w:pPr>
            <w:r>
              <w:rPr>
                <w:rFonts w:hint="eastAsia"/>
                <w:b/>
                <w:bCs/>
              </w:rPr>
              <w:t>3.1.2 期末数据和指标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2018年末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2017年末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2016年末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期末可供分配利润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3,137,945.55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3,040,249.51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11,548,189.41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期末可供分配基金份额利润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0.0214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期末基金资产净值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983,072,854.59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1,382,922,664.34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551,479,904.89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期末基金份额净值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4"/>
              <w:wordWrap w:val="0"/>
              <w:rPr>
                <w:rFonts w:hint="eastAsia"/>
              </w:rPr>
            </w:pPr>
            <w:r>
              <w:rPr>
                <w:rFonts w:hint="eastAsia"/>
                <w:b/>
                <w:bCs/>
              </w:rPr>
              <w:t>3.1.3 累计期末指标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2018年末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2017年末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2016年末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基金份额累计净值增长率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2.10%</w:t>
            </w:r>
          </w:p>
        </w:tc>
      </w:tr>
    </w:tbl>
    <w:p>
      <w:pPr>
        <w:pStyle w:val="19"/>
        <w:rPr>
          <w:rFonts w:hint="eastAsia"/>
        </w:rPr>
      </w:pPr>
      <w:r>
        <w:rPr>
          <w:rFonts w:hint="eastAsia"/>
        </w:rPr>
        <w:t>注：1.上述基金业绩指标不包括持有人认购或交易基金的各项费用,计入费用后实际收益水平要低于所列数字。</w:t>
      </w:r>
      <w:r>
        <w:rPr>
          <w:rFonts w:hint="eastAsia"/>
        </w:rPr>
        <w:br w:type="textWrapping"/>
      </w:r>
      <w:r>
        <w:rPr>
          <w:rFonts w:hint="eastAsia"/>
        </w:rPr>
        <w:t>2.本期已实现收益指基金本期利息收入、投资收益、其他收入(不含公允价值变动收益)扣除相关费用后的余额,本期利润为本期已实现收益加上本期公允价值变动收益。</w:t>
      </w:r>
      <w:r>
        <w:rPr>
          <w:rFonts w:hint="eastAsia"/>
        </w:rPr>
        <w:br w:type="textWrapping"/>
      </w:r>
      <w:r>
        <w:rPr>
          <w:rFonts w:hint="eastAsia"/>
        </w:rPr>
        <w:t>3.期末可供分配利润是采用期末资产负债表中未分配利润与未分配利润中已实现部分的孰低数。</w:t>
      </w:r>
    </w:p>
    <w:p>
      <w:pPr>
        <w:widowControl/>
        <w:jc w:val="left"/>
        <w:rPr>
          <w:rFonts w:hint="eastAsia" w:ascii="宋体" w:hAnsi="宋体" w:cs="宋体"/>
          <w:kern w:val="0"/>
          <w:sz w:val="24"/>
          <w:szCs w:val="24"/>
        </w:rPr>
      </w:pPr>
    </w:p>
    <w:p>
      <w:pPr>
        <w:pStyle w:val="13"/>
        <w:rPr>
          <w:rFonts w:hint="eastAsia"/>
        </w:rPr>
      </w:pPr>
      <w:bookmarkStart w:id="11" w:name="_Toc4487467"/>
      <w:r>
        <w:rPr>
          <w:rFonts w:hint="eastAsia"/>
          <w:b/>
          <w:bCs/>
        </w:rPr>
        <w:t>3.2 基金净值表现</w:t>
      </w:r>
      <w:bookmarkEnd w:id="11"/>
    </w:p>
    <w:p>
      <w:pPr>
        <w:pStyle w:val="14"/>
        <w:rPr>
          <w:rFonts w:hint="eastAsia"/>
        </w:rPr>
      </w:pPr>
      <w:r>
        <w:rPr>
          <w:rFonts w:hint="eastAsia"/>
          <w:b/>
          <w:bCs/>
        </w:rPr>
        <w:t>3.2.1 基金份额净值增长率及其与同期业绩比较基准收益率的比较</w:t>
      </w:r>
    </w:p>
    <w:tbl>
      <w:tblPr>
        <w:tblStyle w:val="7"/>
        <w:tblW w:w="9120" w:type="dxa"/>
        <w:jc w:val="center"/>
        <w:tblLayout w:type="autofit"/>
        <w:tblCellMar>
          <w:top w:w="0" w:type="dxa"/>
          <w:left w:w="108" w:type="dxa"/>
          <w:bottom w:w="0" w:type="dxa"/>
          <w:right w:w="108" w:type="dxa"/>
        </w:tblCellMar>
      </w:tblPr>
      <w:tblGrid>
        <w:gridCol w:w="1094"/>
        <w:gridCol w:w="1368"/>
        <w:gridCol w:w="1368"/>
        <w:gridCol w:w="1368"/>
        <w:gridCol w:w="1368"/>
        <w:gridCol w:w="1277"/>
        <w:gridCol w:w="1277"/>
      </w:tblGrid>
      <w:tr>
        <w:tblPrEx>
          <w:tblCellMar>
            <w:top w:w="0" w:type="dxa"/>
            <w:left w:w="108" w:type="dxa"/>
            <w:bottom w:w="0" w:type="dxa"/>
            <w:right w:w="108" w:type="dxa"/>
          </w:tblCellMar>
        </w:tblPrEx>
        <w:trPr>
          <w:wBefore w:w="0" w:type="auto"/>
          <w:jc w:val="center"/>
        </w:trPr>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阶段</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份额净值增长率①</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份额净值增长率标准差②</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业绩比较基准收益率③</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0.01%</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过去一年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-0.02%</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12.61%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13.07%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-0.01%</w:t>
            </w:r>
          </w:p>
        </w:tc>
      </w:tr>
    </w:tbl>
    <w:p>
      <w:pPr>
        <w:widowControl/>
        <w:jc w:val="left"/>
        <w:rPr>
          <w:rFonts w:hint="eastAsia" w:ascii="宋体" w:hAnsi="宋体" w:cs="宋体"/>
          <w:kern w:val="0"/>
          <w:sz w:val="24"/>
          <w:szCs w:val="24"/>
        </w:rPr>
      </w:pPr>
    </w:p>
    <w:p>
      <w:pPr>
        <w:pStyle w:val="14"/>
        <w:rPr>
          <w:rFonts w:hint="eastAsia"/>
        </w:rPr>
      </w:pPr>
      <w:r>
        <w:rPr>
          <w:rFonts w:hint="eastAsia"/>
          <w:b/>
          <w:bCs/>
        </w:rPr>
        <w:t>3.2.2 自基金合同生效以来基金份额累计净值增长率变动及其与同期业绩比较基准收益率变动的比较</w:t>
      </w:r>
    </w:p>
    <w:p>
      <w:pPr>
        <w:pStyle w:val="16"/>
        <w:rPr>
          <w:rFonts w:hint="eastAsia"/>
        </w:rPr>
      </w:pPr>
      <w:r>
        <w:rPr>
          <w:rFonts w:hAnsi="Calibri"/>
          <w:color w:val="000000"/>
          <w:lang/>
        </w:rPr>
        <w:pict>
          <v:shape id="_x0000_i1025" o:spt="75" alt="D:\fcsc\HSFA\Bin\Bin\MOD\TMP\CN_50990000_002438_FB010010_20190002_1.jpg" type="#_x0000_t75" style="height:286.5pt;width:441pt;" filled="f" stroked="f" coordsize="21600,21600">
            <v:path/>
            <v:fill on="f" focussize="0,0"/>
            <v:stroke on="f"/>
            <v:imagedata r:id="rId7" grayscale="f" bilevel="f" o:title="CN_50990000_002438_FB010010_20190002_1"/>
            <o:lock v:ext="edit" grouping="f" rotation="f" aspectratio="t"/>
            <w10:wrap type="none"/>
            <w10:anchorlock/>
          </v:shape>
        </w:pict>
      </w:r>
    </w:p>
    <w:p>
      <w:pPr>
        <w:widowControl/>
        <w:jc w:val="left"/>
        <w:rPr>
          <w:rFonts w:hint="eastAsia" w:ascii="宋体" w:hAnsi="宋体" w:cs="宋体"/>
          <w:kern w:val="0"/>
          <w:sz w:val="24"/>
          <w:szCs w:val="24"/>
        </w:rPr>
      </w:pPr>
    </w:p>
    <w:p>
      <w:pPr>
        <w:pStyle w:val="14"/>
        <w:rPr>
          <w:rFonts w:hint="eastAsia"/>
        </w:rPr>
      </w:pPr>
      <w:r>
        <w:rPr>
          <w:rFonts w:hint="eastAsia"/>
          <w:b/>
          <w:bCs/>
        </w:rPr>
        <w:t>3.2.3 自基金合同生效以来基金每年净值增长率及其与同期业绩比较基准收益率的比较</w:t>
      </w:r>
    </w:p>
    <w:p>
      <w:pPr>
        <w:pStyle w:val="16"/>
        <w:rPr>
          <w:rFonts w:hint="eastAsia"/>
        </w:rPr>
      </w:pPr>
      <w:r>
        <w:rPr>
          <w:rFonts w:hAnsi="Calibri"/>
          <w:color w:val="000000"/>
          <w:lang/>
        </w:rPr>
        <w:pict>
          <v:shape id="_x0000_i1026" o:spt="75" alt="D:\fcsc\HSFA\Bin\Bin\MOD\TMP\CN_50990000_002438_FB010010_20190002_3.jpg" type="#_x0000_t75" style="height:286.5pt;width:441pt;" filled="f" stroked="f" coordsize="21600,21600">
            <v:path/>
            <v:fill on="f" focussize="0,0"/>
            <v:stroke on="f"/>
            <v:imagedata r:id="rId8" grayscale="f" bilevel="f" o:title="CN_50990000_002438_FB010010_20190002_3"/>
            <o:lock v:ext="edit" grouping="f" rotation="f" aspectratio="t"/>
            <w10:wrap type="none"/>
            <w10:anchorlock/>
          </v:shape>
        </w:pict>
      </w:r>
    </w:p>
    <w:p>
      <w:pPr>
        <w:widowControl/>
        <w:jc w:val="left"/>
        <w:rPr>
          <w:rFonts w:hint="eastAsia" w:ascii="宋体" w:hAnsi="宋体" w:cs="宋体"/>
          <w:kern w:val="0"/>
          <w:sz w:val="24"/>
          <w:szCs w:val="24"/>
        </w:rPr>
      </w:pPr>
    </w:p>
    <w:p>
      <w:pPr>
        <w:pStyle w:val="13"/>
        <w:rPr>
          <w:rFonts w:hint="eastAsia"/>
        </w:rPr>
      </w:pPr>
      <w:bookmarkStart w:id="12" w:name="_Toc4487468"/>
      <w:r>
        <w:rPr>
          <w:rFonts w:hint="eastAsia" w:hAnsi="Calibri"/>
          <w:b/>
          <w:color w:val="000000"/>
        </w:rPr>
        <w:t>3.3 过去三年基金的利润分配情况</w:t>
      </w:r>
      <w:bookmarkEnd w:id="12"/>
    </w:p>
    <w:p>
      <w:pPr>
        <w:pStyle w:val="21"/>
        <w:jc w:val="right"/>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1508"/>
        <w:gridCol w:w="1508"/>
        <w:gridCol w:w="1508"/>
        <w:gridCol w:w="1507"/>
        <w:gridCol w:w="1507"/>
        <w:gridCol w:w="1507"/>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年度</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每10份基金份额分红数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现金形式发放总额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再投资形式发放总额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年度利润分配合计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备注</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2018年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0.640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72,713,605.90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409.65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72,714,015.55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2017年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0.530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73,133,141.48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73,133,178.21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145,846,747.38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446.38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145,847,193.76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bl>
    <w:p>
      <w:pPr>
        <w:widowControl/>
        <w:jc w:val="left"/>
        <w:rPr>
          <w:rFonts w:hint="eastAsia" w:ascii="宋体" w:hAnsi="宋体" w:cs="宋体"/>
          <w:kern w:val="0"/>
          <w:sz w:val="24"/>
          <w:szCs w:val="24"/>
        </w:rPr>
      </w:pPr>
    </w:p>
    <w:p>
      <w:pPr>
        <w:pStyle w:val="12"/>
        <w:rPr>
          <w:rFonts w:hint="eastAsia"/>
        </w:rPr>
      </w:pPr>
      <w:bookmarkStart w:id="13" w:name="_Toc4487469"/>
      <w:r>
        <w:rPr>
          <w:rFonts w:hint="eastAsia" w:hAnsi="Calibri"/>
          <w:b/>
          <w:color w:val="000000"/>
        </w:rPr>
        <w:t>§4  管理人报告</w:t>
      </w:r>
      <w:bookmarkEnd w:id="13"/>
    </w:p>
    <w:p>
      <w:pPr>
        <w:widowControl/>
        <w:jc w:val="left"/>
        <w:rPr>
          <w:rFonts w:hint="eastAsia" w:ascii="宋体" w:hAnsi="宋体" w:cs="宋体"/>
          <w:kern w:val="0"/>
          <w:sz w:val="24"/>
          <w:szCs w:val="24"/>
        </w:rPr>
      </w:pPr>
    </w:p>
    <w:p>
      <w:pPr>
        <w:pStyle w:val="13"/>
        <w:rPr>
          <w:rFonts w:hint="eastAsia"/>
        </w:rPr>
      </w:pPr>
      <w:bookmarkStart w:id="14" w:name="_Toc4487470"/>
      <w:r>
        <w:rPr>
          <w:rFonts w:hint="eastAsia"/>
          <w:b/>
          <w:bCs/>
        </w:rPr>
        <w:t>4.1 基金管理人及基金经理情况</w:t>
      </w:r>
      <w:bookmarkEnd w:id="14"/>
    </w:p>
    <w:p>
      <w:pPr>
        <w:pStyle w:val="14"/>
        <w:rPr>
          <w:rFonts w:hint="eastAsia"/>
        </w:rPr>
      </w:pPr>
      <w:r>
        <w:rPr>
          <w:rFonts w:hint="eastAsia"/>
          <w:b/>
          <w:bCs/>
        </w:rPr>
        <w:t>4.1.1 基金管理人及其管理基金的经验</w:t>
      </w:r>
    </w:p>
    <w:p>
      <w:pPr>
        <w:pStyle w:val="19"/>
        <w:spacing w:before="0"/>
        <w:ind w:left="0" w:firstLine="480"/>
        <w:rPr>
          <w:rFonts w:hint="eastAsia"/>
        </w:rPr>
      </w:pPr>
      <w:r>
        <w:rPr>
          <w:rFonts w:hint="eastAsia"/>
        </w:rPr>
        <w:t>创金合信基金管理有限公司于2014年7月3日获得中国证监会批复，2014年7月9日正式注册设立，注册地为深圳市。公司由第一创业证券股份有限公司、深圳市金合信投资合伙企业（有限合伙）共同出资设立。公司注册资本1.7亿元人民币，股东出资情况为：第一创业证券股份有限公司出资11,900万元，占公司注册资本的70%；深圳市金合信投资合伙企业（有限合伙）出资5,100万元，占公司注册资本的30%。</w:t>
      </w:r>
    </w:p>
    <w:p>
      <w:pPr>
        <w:pStyle w:val="19"/>
        <w:spacing w:before="0"/>
        <w:ind w:left="0" w:firstLine="480"/>
        <w:rPr>
          <w:rFonts w:hint="eastAsia"/>
        </w:rPr>
      </w:pPr>
      <w:r>
        <w:rPr>
          <w:rFonts w:hint="eastAsia"/>
        </w:rPr>
        <w:t>公司始终坚持"客户利益至上"，致力于为客户实现长期稳定的投资回报，做客户投资理财的亲密伙伴。</w:t>
      </w:r>
    </w:p>
    <w:p>
      <w:pPr>
        <w:pStyle w:val="19"/>
        <w:spacing w:before="0"/>
        <w:ind w:left="0" w:firstLine="480"/>
        <w:rPr>
          <w:rFonts w:hint="eastAsia"/>
        </w:rPr>
      </w:pPr>
      <w:r>
        <w:rPr>
          <w:rFonts w:hint="eastAsia"/>
        </w:rPr>
        <w:t>报告期内，本公司共发行11只公募基金。截至2018年12月31日，本公司共管理39只公募基金，其中混合型产品9只、指数型产品8只、债券型产品12只、股票型产品9只、货币型产品1只；管理的公募基金规模约150.47亿元。</w:t>
      </w:r>
    </w:p>
    <w:p>
      <w:pPr>
        <w:widowControl/>
        <w:jc w:val="left"/>
        <w:rPr>
          <w:rFonts w:hint="eastAsia" w:ascii="宋体" w:hAnsi="宋体" w:cs="宋体"/>
          <w:kern w:val="0"/>
          <w:sz w:val="24"/>
          <w:szCs w:val="24"/>
        </w:rPr>
      </w:pPr>
    </w:p>
    <w:p>
      <w:pPr>
        <w:pStyle w:val="14"/>
        <w:rPr>
          <w:rFonts w:hint="eastAsia"/>
        </w:rPr>
      </w:pPr>
      <w:r>
        <w:rPr>
          <w:rFonts w:hint="eastAsia"/>
          <w:b/>
          <w:bCs/>
        </w:rPr>
        <w:t>4.1.2 基金经理（或基金经理小组）及基金经理助理简介</w:t>
      </w:r>
    </w:p>
    <w:tbl>
      <w:tblPr>
        <w:tblStyle w:val="7"/>
        <w:tblW w:w="0" w:type="auto"/>
        <w:tblInd w:w="108" w:type="dxa"/>
        <w:tblLayout w:type="autofit"/>
        <w:tblCellMar>
          <w:top w:w="0" w:type="dxa"/>
          <w:left w:w="108" w:type="dxa"/>
          <w:bottom w:w="0" w:type="dxa"/>
          <w:right w:w="108" w:type="dxa"/>
        </w:tblCellMar>
      </w:tblPr>
      <w:tblGrid>
        <w:gridCol w:w="920"/>
        <w:gridCol w:w="2943"/>
        <w:gridCol w:w="920"/>
        <w:gridCol w:w="920"/>
        <w:gridCol w:w="552"/>
        <w:gridCol w:w="2943"/>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姓名</w:t>
            </w:r>
          </w:p>
        </w:tc>
        <w:tc>
          <w:tcPr>
            <w:tcW w:w="1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职务</w:t>
            </w:r>
          </w:p>
        </w:tc>
        <w:tc>
          <w:tcPr>
            <w:tcW w:w="1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任本基金的基金经理（助理）期限</w:t>
            </w:r>
          </w:p>
        </w:tc>
        <w:tc>
          <w:tcPr>
            <w:tcW w:w="3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证券从业年限</w:t>
            </w:r>
          </w:p>
        </w:tc>
        <w:tc>
          <w:tcPr>
            <w:tcW w:w="1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说明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任职日期</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离任日期</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郑振源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本基金基金经理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2016-02-26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9年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郑振源先生，中国国籍，中国人民银行研究生部经济学硕士。2009年7月加入第一创业证券研究所，担任宏观债券研究员。2012年7月加入第一创业证券资产管理部，先后担任宏观债券研究员、投资主办等职务。2014年8月加入创金合信基金管理有限公司，现任基金经理。</w:t>
            </w:r>
          </w:p>
        </w:tc>
      </w:tr>
    </w:tbl>
    <w:p>
      <w:pPr>
        <w:pStyle w:val="19"/>
        <w:rPr>
          <w:rFonts w:hint="eastAsia"/>
        </w:rPr>
      </w:pPr>
      <w:r>
        <w:rPr>
          <w:rFonts w:hint="eastAsia"/>
        </w:rPr>
        <w:t>注：1、本基金首任基金经理的任职日期为本基金合同生效日，离任日期、后任基金经理的任职日期指公司作出决定的日期；</w:t>
      </w:r>
      <w:r>
        <w:rPr>
          <w:rFonts w:hint="eastAsia"/>
        </w:rPr>
        <w:br w:type="textWrapping"/>
      </w:r>
      <w:r>
        <w:rPr>
          <w:rFonts w:hint="eastAsia"/>
        </w:rPr>
        <w:t>2、证券从业年限的含义遵从行业协会《证券业从业人员资格管理办法》的相关规定。</w:t>
      </w:r>
    </w:p>
    <w:p>
      <w:pPr>
        <w:widowControl/>
        <w:jc w:val="left"/>
        <w:rPr>
          <w:rFonts w:hint="eastAsia" w:ascii="宋体" w:hAnsi="宋体" w:cs="宋体"/>
          <w:kern w:val="0"/>
          <w:sz w:val="24"/>
          <w:szCs w:val="24"/>
        </w:rPr>
      </w:pPr>
    </w:p>
    <w:p>
      <w:pPr>
        <w:pStyle w:val="13"/>
        <w:rPr>
          <w:rFonts w:hint="eastAsia"/>
        </w:rPr>
      </w:pPr>
      <w:bookmarkStart w:id="15" w:name="_Toc4487471"/>
      <w:r>
        <w:rPr>
          <w:rFonts w:hint="eastAsia" w:hAnsi="Calibri"/>
          <w:b/>
          <w:color w:val="000000"/>
        </w:rPr>
        <w:t>4.2 管理人对报告期内本基金运作遵规守信情况的说明</w:t>
      </w:r>
      <w:bookmarkEnd w:id="15"/>
    </w:p>
    <w:p>
      <w:pPr>
        <w:pStyle w:val="19"/>
        <w:spacing w:before="0"/>
        <w:ind w:left="0" w:firstLine="480"/>
        <w:rPr>
          <w:rFonts w:hint="eastAsia" w:hAnsi="Calibri"/>
          <w:color w:val="000000"/>
        </w:rPr>
      </w:pPr>
      <w:r>
        <w:rPr>
          <w:rFonts w:hint="eastAsia" w:hAnsi="Calibri"/>
          <w:color w:val="000000"/>
        </w:rPr>
        <w:t>本报告期内，本基金管理人严格遵守《中华人民共和国证券投资基金法》《公开募集证券投资基金运作管理办法》《证券投资基金销售管理办法》和《证券投资基金信息披露管理办法》等有关法律法规及各项实施准则、本基金基金合同和其他有关法律法规的规定，本着诚实信用、勤勉尽责的原则管理和运用基金资产，在严格控制风险的基础上，为基金持有人谋求最大利益。本报告期内，基金运作整体合法合规，未发现损害基金持有人利益的行为。本基金的投资范围、投资比例及投资组合符合有关法律法规及基金合同的规定。</w:t>
      </w:r>
    </w:p>
    <w:p>
      <w:pPr>
        <w:widowControl/>
        <w:jc w:val="left"/>
        <w:rPr>
          <w:rFonts w:hint="eastAsia" w:ascii="宋体" w:hAnsi="宋体" w:cs="宋体"/>
          <w:kern w:val="0"/>
          <w:sz w:val="24"/>
          <w:szCs w:val="24"/>
        </w:rPr>
      </w:pPr>
    </w:p>
    <w:p>
      <w:pPr>
        <w:pStyle w:val="13"/>
        <w:rPr>
          <w:rFonts w:hint="eastAsia"/>
        </w:rPr>
      </w:pPr>
      <w:bookmarkStart w:id="16" w:name="_Toc4487472"/>
      <w:r>
        <w:rPr>
          <w:rFonts w:hint="eastAsia" w:hAnsi="Calibri"/>
          <w:b/>
          <w:color w:val="000000"/>
        </w:rPr>
        <w:t>4.3 管理人对报告期内公平交易情况的专项说明</w:t>
      </w:r>
      <w:bookmarkEnd w:id="16"/>
    </w:p>
    <w:p>
      <w:pPr>
        <w:pStyle w:val="14"/>
        <w:rPr>
          <w:rFonts w:hint="eastAsia"/>
        </w:rPr>
      </w:pPr>
      <w:r>
        <w:rPr>
          <w:rFonts w:hint="eastAsia" w:hAnsi="Calibri"/>
          <w:b/>
          <w:color w:val="000000"/>
        </w:rPr>
        <w:t>4.3.1 公平交易制度和控制方法</w:t>
      </w:r>
    </w:p>
    <w:p>
      <w:pPr>
        <w:pStyle w:val="19"/>
        <w:spacing w:before="0"/>
        <w:ind w:left="0" w:firstLine="480"/>
        <w:rPr>
          <w:rFonts w:hint="eastAsia" w:hAnsi="Calibri"/>
          <w:color w:val="000000"/>
        </w:rPr>
      </w:pPr>
      <w:r>
        <w:rPr>
          <w:rFonts w:hint="eastAsia" w:hAnsi="Calibri"/>
          <w:color w:val="000000"/>
        </w:rPr>
        <w:t>为了进一步规范和完善本基金管理人（以下简称"本公司"）投资和交易管理，严格遵守法律法规关于公平交易的相关规定，根据《中华人民共和国证券投资基金法》、《证券投资基金管理公司管理办法》、《证券投资基金管理公司公平交易制度指导意见（2011年修订）》等法律法规，本公司制定了《创金合信基金管理有限公司公平交易制度》，该《制度》涵盖了境内上市股票、债券的一级市场申购、二级市场交易等投资管理活动，同时对授权、研究分析与投资决策、交易执行的内部控制、交易指令的分配执行、公平交易监控、报告措施及信息披露、利益冲突的防范和异常交易的监控等方面进行了全面规范。具体控制措施如下：</w:t>
      </w:r>
    </w:p>
    <w:p>
      <w:pPr>
        <w:pStyle w:val="19"/>
        <w:spacing w:before="0"/>
        <w:ind w:left="0" w:firstLine="480"/>
        <w:rPr>
          <w:rFonts w:hint="eastAsia" w:hAnsi="Calibri"/>
          <w:color w:val="000000"/>
        </w:rPr>
      </w:pPr>
      <w:r>
        <w:rPr>
          <w:rFonts w:hint="eastAsia" w:hAnsi="Calibri"/>
          <w:color w:val="000000"/>
        </w:rPr>
        <w:t>1、授权、研究分析与投资决策的内部控制</w:t>
      </w:r>
    </w:p>
    <w:p>
      <w:pPr>
        <w:pStyle w:val="19"/>
        <w:spacing w:before="0"/>
        <w:ind w:left="0" w:firstLine="480"/>
        <w:rPr>
          <w:rFonts w:hint="eastAsia" w:hAnsi="Calibri"/>
          <w:color w:val="000000"/>
        </w:rPr>
      </w:pPr>
      <w:r>
        <w:rPr>
          <w:rFonts w:hint="eastAsia" w:hAnsi="Calibri"/>
          <w:color w:val="000000"/>
        </w:rPr>
        <w:t>建立投资授权制度，明确各投资决策主体的职责和权限划分；建立客观的研究方法，任何投资分析和建议均应有充分的事实和数据支持，避免主观臆断，严禁利用内幕信息作为投资依据；确保所有投资组合平等地享有研究成果；根据不同投资组合的投资目标、投资风格、投资范围和投资限制等，建立不同投资组合的投资风格库和交易对手备选库，投资组合经理在此基础上根据投资授权构建具体的投资组合并独立进行投资决策。</w:t>
      </w:r>
    </w:p>
    <w:p>
      <w:pPr>
        <w:pStyle w:val="19"/>
        <w:spacing w:before="0"/>
        <w:ind w:left="0" w:firstLine="480"/>
        <w:rPr>
          <w:rFonts w:hint="eastAsia" w:hAnsi="Calibri"/>
          <w:color w:val="000000"/>
        </w:rPr>
      </w:pPr>
      <w:r>
        <w:rPr>
          <w:rFonts w:hint="eastAsia" w:hAnsi="Calibri"/>
          <w:color w:val="000000"/>
        </w:rPr>
        <w:t>2、交易执行的内部控制</w:t>
      </w:r>
    </w:p>
    <w:p>
      <w:pPr>
        <w:pStyle w:val="19"/>
        <w:spacing w:before="0"/>
        <w:ind w:left="0" w:firstLine="480"/>
        <w:rPr>
          <w:rFonts w:hint="eastAsia" w:hAnsi="Calibri"/>
          <w:color w:val="000000"/>
        </w:rPr>
      </w:pPr>
      <w:r>
        <w:rPr>
          <w:rFonts w:hint="eastAsia" w:hAnsi="Calibri"/>
          <w:color w:val="000000"/>
        </w:rPr>
        <w:t>本公司实行集中交易制度，将投资管理职能和交易执行职能相隔离；建立公平的交易分配机制，确保各投资组合享有公平的交易执行机会。同时严格控制不同投资组合之间的同日反向交易，严格禁止可能导致不公平交易和利益输送的同日反向交易。</w:t>
      </w:r>
    </w:p>
    <w:p>
      <w:pPr>
        <w:pStyle w:val="19"/>
        <w:spacing w:before="0"/>
        <w:ind w:left="0" w:firstLine="480"/>
        <w:rPr>
          <w:rFonts w:hint="eastAsia" w:hAnsi="Calibri"/>
          <w:color w:val="000000"/>
        </w:rPr>
      </w:pPr>
      <w:r>
        <w:rPr>
          <w:rFonts w:hint="eastAsia" w:hAnsi="Calibri"/>
          <w:color w:val="000000"/>
        </w:rPr>
        <w:t>3、交易指令分配的控制</w:t>
      </w:r>
    </w:p>
    <w:p>
      <w:pPr>
        <w:pStyle w:val="19"/>
        <w:spacing w:before="0"/>
        <w:ind w:left="0" w:firstLine="480"/>
        <w:rPr>
          <w:rFonts w:hint="eastAsia" w:hAnsi="Calibri"/>
          <w:color w:val="000000"/>
        </w:rPr>
      </w:pPr>
      <w:r>
        <w:rPr>
          <w:rFonts w:hint="eastAsia" w:hAnsi="Calibri"/>
          <w:color w:val="000000"/>
        </w:rPr>
        <w:t>所有投资对象的投资指令必须经由交易室总监或其授权人审核后分配至交易员执行。</w:t>
      </w:r>
    </w:p>
    <w:p>
      <w:pPr>
        <w:pStyle w:val="19"/>
        <w:spacing w:before="0"/>
        <w:ind w:left="0" w:firstLine="480"/>
        <w:rPr>
          <w:rFonts w:hint="eastAsia" w:hAnsi="Calibri"/>
          <w:color w:val="000000"/>
        </w:rPr>
      </w:pPr>
      <w:r>
        <w:rPr>
          <w:rFonts w:hint="eastAsia" w:hAnsi="Calibri"/>
          <w:color w:val="000000"/>
        </w:rPr>
        <w:t>交易员对于接收到的交易指令依照时间优先、价格优先的顺序执行。在执行多个投资组合在同一时点就同一证券下达的相同方向的投资指令时，需根据价格优先、比例分配的原则，经过公平性审核，公平对待多个不同投资组合的投资指令。</w:t>
      </w:r>
    </w:p>
    <w:p>
      <w:pPr>
        <w:pStyle w:val="19"/>
        <w:spacing w:before="0"/>
        <w:ind w:left="0" w:firstLine="480"/>
        <w:rPr>
          <w:rFonts w:hint="eastAsia" w:hAnsi="Calibri"/>
          <w:color w:val="000000"/>
        </w:rPr>
      </w:pPr>
      <w:r>
        <w:rPr>
          <w:rFonts w:hint="eastAsia" w:hAnsi="Calibri"/>
          <w:color w:val="000000"/>
        </w:rPr>
        <w:t>4、公平交易监控</w:t>
      </w:r>
    </w:p>
    <w:p>
      <w:pPr>
        <w:pStyle w:val="19"/>
        <w:spacing w:before="0"/>
        <w:ind w:left="0" w:firstLine="480"/>
        <w:rPr>
          <w:rFonts w:hint="eastAsia"/>
        </w:rPr>
      </w:pPr>
      <w:r>
        <w:rPr>
          <w:rFonts w:hint="eastAsia" w:hAnsi="Calibri"/>
          <w:color w:val="000000"/>
        </w:rPr>
        <w:t>本公司建立异常交易行为日常监控和分析评估制度。交易室负责异常交易的日常实时监控，监察稽核部于每季度和每年度对公司管理的不同投资组合的整体收益率差异、分投资类别（股票、债券）的收益率差异进行分析，对连续四个季度期间内、不同时间窗内（如1日内、3日、5日内）公司管理的不同投资组合的同向交易的交易价差进行分析，对不同投资组合临近交易日的反向交易的交易价差进行分析。相关投资组合经理应对异常交易情况进行合理性解释，由投资组合经理、督察长、总经理签署后，妥善保存分析报告备查。</w:t>
      </w:r>
    </w:p>
    <w:p>
      <w:pPr>
        <w:widowControl/>
        <w:jc w:val="left"/>
        <w:rPr>
          <w:rFonts w:hint="eastAsia" w:ascii="宋体" w:hAnsi="宋体" w:cs="宋体"/>
          <w:kern w:val="0"/>
          <w:sz w:val="24"/>
          <w:szCs w:val="24"/>
        </w:rPr>
      </w:pPr>
    </w:p>
    <w:p>
      <w:pPr>
        <w:pStyle w:val="14"/>
        <w:rPr>
          <w:rFonts w:hint="eastAsia"/>
        </w:rPr>
      </w:pPr>
      <w:r>
        <w:rPr>
          <w:rFonts w:hint="eastAsia" w:hAnsi="Calibri"/>
          <w:b/>
          <w:color w:val="000000"/>
        </w:rPr>
        <w:t>4.3.2 公平交易制度的执行情况</w:t>
      </w:r>
    </w:p>
    <w:p>
      <w:pPr>
        <w:pStyle w:val="19"/>
        <w:spacing w:before="0"/>
        <w:ind w:left="0" w:firstLine="480"/>
        <w:rPr>
          <w:rFonts w:hint="eastAsia"/>
        </w:rPr>
      </w:pPr>
      <w:r>
        <w:rPr>
          <w:rFonts w:hint="eastAsia" w:hAnsi="Calibri"/>
          <w:color w:val="000000"/>
        </w:rPr>
        <w:t>本基金管理人严格执行《证券投资基金管理公司公平交易制度指导意见（2011年修订）》，通过建立有纪律、规范化的投资研究和决策流程、交易流程、强化事后监控及分析手段等各种方式在各业务环节严格控制交易公平执行，公平对待旗下管理的所有投资组合，切实防范利益输送。本报告期，公平交易制度总体执行情况良好。</w:t>
      </w:r>
    </w:p>
    <w:p>
      <w:pPr>
        <w:widowControl/>
        <w:jc w:val="left"/>
        <w:rPr>
          <w:rFonts w:hint="eastAsia" w:ascii="宋体" w:hAnsi="宋体" w:cs="宋体"/>
          <w:kern w:val="0"/>
          <w:sz w:val="24"/>
          <w:szCs w:val="24"/>
        </w:rPr>
      </w:pPr>
    </w:p>
    <w:p>
      <w:pPr>
        <w:pStyle w:val="14"/>
        <w:rPr>
          <w:rFonts w:hint="eastAsia"/>
        </w:rPr>
      </w:pPr>
      <w:r>
        <w:rPr>
          <w:rFonts w:hint="eastAsia" w:hAnsi="Calibri"/>
          <w:b/>
          <w:color w:val="000000"/>
        </w:rPr>
        <w:t>4.3.3 异常交易行为的专项说明</w:t>
      </w:r>
    </w:p>
    <w:p>
      <w:pPr>
        <w:pStyle w:val="19"/>
        <w:spacing w:before="0"/>
        <w:ind w:left="0" w:firstLine="480"/>
        <w:rPr>
          <w:rFonts w:hint="eastAsia"/>
        </w:rPr>
      </w:pPr>
      <w:r>
        <w:rPr>
          <w:rFonts w:hint="eastAsia" w:hAnsi="Calibri"/>
          <w:color w:val="000000"/>
        </w:rPr>
        <w:t>本报告期内，未发现本基金有可能导致不公平交易和利益输送的异常交易。</w:t>
      </w:r>
    </w:p>
    <w:p>
      <w:pPr>
        <w:widowControl/>
        <w:jc w:val="left"/>
        <w:rPr>
          <w:rFonts w:hint="eastAsia" w:ascii="宋体" w:hAnsi="宋体" w:cs="宋体"/>
          <w:kern w:val="0"/>
          <w:sz w:val="24"/>
          <w:szCs w:val="24"/>
        </w:rPr>
      </w:pPr>
    </w:p>
    <w:p>
      <w:pPr>
        <w:pStyle w:val="13"/>
        <w:rPr>
          <w:rFonts w:hint="eastAsia"/>
        </w:rPr>
      </w:pPr>
      <w:bookmarkStart w:id="17" w:name="_Toc4487473"/>
      <w:r>
        <w:rPr>
          <w:rFonts w:hint="eastAsia" w:hAnsi="Calibri"/>
          <w:b/>
          <w:color w:val="000000"/>
        </w:rPr>
        <w:t>4.4 管理人对报告期内基金的投资策略和业绩表现的说明</w:t>
      </w:r>
      <w:bookmarkEnd w:id="17"/>
    </w:p>
    <w:p>
      <w:pPr>
        <w:pStyle w:val="14"/>
        <w:rPr>
          <w:rFonts w:hint="eastAsia"/>
        </w:rPr>
      </w:pPr>
      <w:r>
        <w:rPr>
          <w:rFonts w:hint="eastAsia" w:hAnsi="Calibri"/>
          <w:b/>
          <w:color w:val="000000"/>
        </w:rPr>
        <w:t>4.4.1 报告期内基金投资策略和运作分析</w:t>
      </w:r>
    </w:p>
    <w:p>
      <w:pPr>
        <w:pStyle w:val="19"/>
        <w:spacing w:before="0"/>
        <w:ind w:left="0" w:firstLine="480"/>
        <w:rPr>
          <w:rFonts w:hint="eastAsia"/>
        </w:rPr>
      </w:pPr>
      <w:r>
        <w:rPr>
          <w:rFonts w:hint="eastAsia" w:hAnsi="Calibri"/>
          <w:color w:val="000000"/>
        </w:rPr>
        <w:t>2018年债券市场行情走牛，收益率整体明显下行，期限利差和信用利差总体压缩，呈现牛平态势。1年AAA信用债大幅下行160bp，10年国开债明显下行120bp至3.64%左右。债市总体走牛的主要原因在于经济整体走弱，且货币政策从2017年偏紧转向持续偏宽的状态。一方面，上半年中美贸易摩擦不断且加剧，构成中国经济的外部下行担忧，同时2017年政策收紧导致的信用收缩未得到有效缓解和社会融资成本总体上行，构成内部下行压力，因此经济持续偏弱，形成长端利率的下行动力；另一方面，稳增长的内在压力，打通货币政策传导机制推动信用恢复，需要货币政策利率维持相对偏宽松的环境。在资金中枢水平下移的环境下，短端利率跟随下行，同时具备较好利差空间的优质信用债也成为市场加杠杆的选择，也压缩了信用利差。信用方面，2018年产业债违约频发，低等级信用风险加剧。</w:t>
      </w:r>
    </w:p>
    <w:p>
      <w:pPr>
        <w:widowControl/>
        <w:jc w:val="left"/>
        <w:rPr>
          <w:rFonts w:hint="eastAsia" w:ascii="宋体" w:hAnsi="宋体" w:cs="宋体"/>
          <w:kern w:val="0"/>
          <w:sz w:val="24"/>
          <w:szCs w:val="24"/>
        </w:rPr>
      </w:pPr>
    </w:p>
    <w:p>
      <w:pPr>
        <w:pStyle w:val="14"/>
        <w:rPr>
          <w:rFonts w:hint="eastAsia"/>
        </w:rPr>
      </w:pPr>
      <w:r>
        <w:rPr>
          <w:rFonts w:hint="eastAsia" w:hAnsi="Calibri"/>
          <w:b/>
          <w:color w:val="000000"/>
        </w:rPr>
        <w:t>4.4.2 报告期内基金的业绩表现</w:t>
      </w:r>
    </w:p>
    <w:p>
      <w:pPr>
        <w:pStyle w:val="19"/>
        <w:spacing w:before="0"/>
        <w:ind w:left="0" w:firstLine="480"/>
        <w:rPr>
          <w:rFonts w:hint="eastAsia"/>
        </w:rPr>
      </w:pPr>
      <w:r>
        <w:rPr>
          <w:rFonts w:hint="eastAsia" w:hAnsi="Calibri"/>
          <w:color w:val="000000"/>
        </w:rPr>
        <w:t>截至报告期末创金合信尊盛纯债债券基金份额净值为1.003元，本报告期内，基金份额净值增长率为6.64%，同期业绩比较基准收益率为4.79%。</w:t>
      </w:r>
    </w:p>
    <w:p>
      <w:pPr>
        <w:widowControl/>
        <w:jc w:val="left"/>
        <w:rPr>
          <w:rFonts w:hint="eastAsia" w:ascii="宋体" w:hAnsi="宋体" w:cs="宋体"/>
          <w:kern w:val="0"/>
          <w:sz w:val="24"/>
          <w:szCs w:val="24"/>
        </w:rPr>
      </w:pPr>
    </w:p>
    <w:p>
      <w:pPr>
        <w:pStyle w:val="13"/>
        <w:rPr>
          <w:rFonts w:hint="eastAsia"/>
        </w:rPr>
      </w:pPr>
      <w:bookmarkStart w:id="18" w:name="_Toc4487474"/>
      <w:r>
        <w:rPr>
          <w:rFonts w:hint="eastAsia" w:hAnsi="Calibri"/>
          <w:b/>
          <w:color w:val="000000"/>
        </w:rPr>
        <w:t>4.5 管理人对宏观经济、证券市场及行业走势的简要展望</w:t>
      </w:r>
      <w:bookmarkEnd w:id="18"/>
    </w:p>
    <w:p>
      <w:pPr>
        <w:pStyle w:val="19"/>
        <w:spacing w:before="0"/>
        <w:ind w:left="0" w:firstLine="480"/>
        <w:rPr>
          <w:rFonts w:hint="eastAsia"/>
        </w:rPr>
      </w:pPr>
      <w:r>
        <w:rPr>
          <w:rFonts w:hint="eastAsia" w:hAnsi="Calibri"/>
          <w:color w:val="000000"/>
        </w:rPr>
        <w:t>向前看，2019年债市利率趋于下行。一方面，经济缺乏有效的增长动力，刺激政策的力度和效果都将有限，也决定了宽信用不能快速有效回升；另一方面，货币政策持续偏宽构成债市的相对有利环境。但经济不失速、货币政策不会过度宽松，当前不高的无风险利率水平向下的空间并不大。从策略上来看，组合久期维持适中；持续便宜的资金成本下，套息操作仍是较好策略，从而可能继续压缩信用利差水平。鉴于当前低风险债券资产的绝对收益和利差水平均不高，2019年债券的整体预期回报将较2018年有明显降低。策略更适于维持不激进的均衡状态。宽货币向宽信用的继续转化，将整体改善信用基本面，信用债违约事件将减少；当前政策对真实经营的优质民企融资支持较大，市场偏见尚未显著改观，投资价值突出；公募城投债发生系统性违约概率仍极低，尤其是公益类城投债，而产业类城投则需谨慎；对于资质较差的企业，融资难以得到根本改善，信用风险依旧较高，需要维持谨慎。本基金将继续秉承稳健的投资思路，合理配置资产品种和仓位，努力为投资者获取稳健优异的投资回报。</w:t>
      </w:r>
    </w:p>
    <w:p>
      <w:pPr>
        <w:widowControl/>
        <w:jc w:val="left"/>
        <w:rPr>
          <w:rFonts w:hint="eastAsia" w:ascii="宋体" w:hAnsi="宋体" w:cs="宋体"/>
          <w:kern w:val="0"/>
          <w:sz w:val="24"/>
          <w:szCs w:val="24"/>
        </w:rPr>
      </w:pPr>
    </w:p>
    <w:p>
      <w:pPr>
        <w:pStyle w:val="13"/>
        <w:rPr>
          <w:rFonts w:hint="eastAsia"/>
        </w:rPr>
      </w:pPr>
      <w:bookmarkStart w:id="19" w:name="_Toc4487475"/>
      <w:r>
        <w:rPr>
          <w:rFonts w:hint="eastAsia" w:hAnsi="Calibri"/>
          <w:b/>
          <w:color w:val="000000"/>
        </w:rPr>
        <w:t>4.6 管理人内部有关本基金的监察稽核工作情况</w:t>
      </w:r>
      <w:bookmarkEnd w:id="19"/>
    </w:p>
    <w:p>
      <w:pPr>
        <w:pStyle w:val="19"/>
        <w:spacing w:before="0"/>
        <w:ind w:left="0" w:firstLine="480"/>
        <w:rPr>
          <w:rFonts w:hint="eastAsia"/>
        </w:rPr>
      </w:pPr>
      <w:r>
        <w:rPr>
          <w:rFonts w:hint="eastAsia"/>
        </w:rPr>
        <w:t>本报告期内，本基金管理人严格遵守相关法律法规，坚持一切从规范运作、防范风险、保护基金持有人利益出发，依照公司内部控制的整体要求，继续致力于内控机制的完善，加强内部风险的控制与防范，确保各项法规和管理制度的落实，保证基金合同得到严格履行。</w:t>
      </w:r>
    </w:p>
    <w:p>
      <w:pPr>
        <w:pStyle w:val="19"/>
        <w:spacing w:before="0"/>
        <w:ind w:left="0" w:firstLine="480"/>
        <w:rPr>
          <w:rFonts w:hint="eastAsia"/>
        </w:rPr>
      </w:pPr>
      <w:r>
        <w:rPr>
          <w:rFonts w:hint="eastAsia"/>
        </w:rPr>
        <w:t>本报告期内，本基金管理人的主要内部监察稽核工作如下：</w:t>
      </w:r>
    </w:p>
    <w:p>
      <w:pPr>
        <w:pStyle w:val="19"/>
        <w:spacing w:before="0"/>
        <w:ind w:left="0" w:firstLine="480"/>
        <w:rPr>
          <w:rFonts w:hint="eastAsia"/>
        </w:rPr>
      </w:pPr>
      <w:r>
        <w:rPr>
          <w:rFonts w:hint="eastAsia"/>
        </w:rPr>
        <w:t>（1）开展全面自查工作，排查各项业务活动中存在的问题或潜在的风险隐患，制定整改计划，并督促按计划完成整改；</w:t>
      </w:r>
    </w:p>
    <w:p>
      <w:pPr>
        <w:pStyle w:val="19"/>
        <w:spacing w:before="0"/>
        <w:ind w:left="0" w:firstLine="480"/>
        <w:rPr>
          <w:rFonts w:hint="eastAsia"/>
        </w:rPr>
      </w:pPr>
      <w:r>
        <w:rPr>
          <w:rFonts w:hint="eastAsia"/>
        </w:rPr>
        <w:t>（2）开展公司专项稽核工作，了解合规风险现状、发现薄弱环节，并持续督导改进；</w:t>
      </w:r>
    </w:p>
    <w:p>
      <w:pPr>
        <w:pStyle w:val="19"/>
        <w:spacing w:before="0"/>
        <w:ind w:left="0" w:firstLine="480"/>
        <w:rPr>
          <w:rFonts w:hint="eastAsia"/>
        </w:rPr>
      </w:pPr>
      <w:r>
        <w:rPr>
          <w:rFonts w:hint="eastAsia"/>
        </w:rPr>
        <w:t>（3）强化合规法务工作。严格审核公司业务、产品及其合同等法律文件，解读最新的法律法规，发布合规提示或警示，举办合规培训；</w:t>
      </w:r>
    </w:p>
    <w:p>
      <w:pPr>
        <w:pStyle w:val="19"/>
        <w:spacing w:before="0"/>
        <w:ind w:left="0" w:firstLine="480"/>
        <w:rPr>
          <w:rFonts w:hint="eastAsia"/>
        </w:rPr>
      </w:pPr>
      <w:r>
        <w:rPr>
          <w:rFonts w:hint="eastAsia"/>
        </w:rPr>
        <w:t>（4）建立健全全面风险管理体系。全面梳理各业务部门的职责与权限，理顺工作流程；同时加强权限管理，健全事前、事中和事后的风险管理体系；</w:t>
      </w:r>
    </w:p>
    <w:p>
      <w:pPr>
        <w:pStyle w:val="19"/>
        <w:spacing w:before="0"/>
        <w:ind w:left="0" w:firstLine="480"/>
        <w:rPr>
          <w:rFonts w:hint="eastAsia"/>
        </w:rPr>
      </w:pPr>
      <w:r>
        <w:rPr>
          <w:rFonts w:hint="eastAsia"/>
        </w:rPr>
        <w:t>（5）完善信息披露工作。修订完善《信息披露制度》等制度，建立统一规范信息披露流程，明确各部门信息披露的职责分工，及时履行信息披露工作；</w:t>
      </w:r>
    </w:p>
    <w:p>
      <w:pPr>
        <w:pStyle w:val="19"/>
        <w:spacing w:before="0"/>
        <w:ind w:left="0" w:firstLine="480"/>
        <w:rPr>
          <w:rFonts w:hint="eastAsia"/>
        </w:rPr>
      </w:pPr>
      <w:r>
        <w:rPr>
          <w:rFonts w:hint="eastAsia"/>
        </w:rPr>
        <w:t>（6）加强关联交易管理。修订《关联交易管理制度》，履行关联交易决策审批程序；</w:t>
      </w:r>
    </w:p>
    <w:p>
      <w:pPr>
        <w:pStyle w:val="19"/>
        <w:spacing w:before="0"/>
        <w:ind w:left="0" w:firstLine="480"/>
        <w:rPr>
          <w:rFonts w:hint="eastAsia"/>
        </w:rPr>
      </w:pPr>
      <w:r>
        <w:rPr>
          <w:rFonts w:hint="eastAsia"/>
        </w:rPr>
        <w:t>（7）建立内幕交易防控机制。公司建立了《内幕交易防控管理办法》，定期开展关于防止内幕交易的合规培训，严防内幕信息传递和内幕交易发生；</w:t>
      </w:r>
    </w:p>
    <w:p>
      <w:pPr>
        <w:pStyle w:val="19"/>
        <w:spacing w:before="0"/>
        <w:ind w:left="0" w:firstLine="480"/>
        <w:rPr>
          <w:rFonts w:hint="eastAsia"/>
        </w:rPr>
      </w:pPr>
      <w:r>
        <w:rPr>
          <w:rFonts w:hint="eastAsia"/>
        </w:rPr>
        <w:t>（8）建立健全公平交易与异常交易管理机制。严格按照法律法规以及公司《公平交易制度》、《异常交易监控与报告制度》的要求，对所管理的不同投资组合之间发生的同向交易和反向交易进行监控，严格禁止同一投资组合在同一交易日内进行反向交易及其他可能导致不公平交易和利益输送的交易行为；</w:t>
      </w:r>
    </w:p>
    <w:p>
      <w:pPr>
        <w:pStyle w:val="19"/>
        <w:spacing w:before="0"/>
        <w:ind w:left="0" w:firstLine="480"/>
        <w:rPr>
          <w:rFonts w:hint="eastAsia"/>
        </w:rPr>
      </w:pPr>
      <w:r>
        <w:rPr>
          <w:rFonts w:hint="eastAsia"/>
        </w:rPr>
        <w:t>（9）建立员工投资行为管理机制，规范员工的证券投资行为。</w:t>
      </w:r>
    </w:p>
    <w:p>
      <w:pPr>
        <w:pStyle w:val="19"/>
        <w:spacing w:before="0"/>
        <w:ind w:left="0" w:firstLine="480"/>
        <w:rPr>
          <w:rFonts w:hint="eastAsia"/>
        </w:rPr>
      </w:pPr>
      <w:r>
        <w:rPr>
          <w:rFonts w:hint="eastAsia"/>
        </w:rPr>
        <w:t>本基金管理人将坚持诚实信用、勤勉尽责的原则管理和运用基金资产，积极健全内部管理制度，不断提高内部监察稽核工作的科学性和有效性，努力防范各种风险，切实保护基金资产的安全与利益。</w:t>
      </w:r>
    </w:p>
    <w:p>
      <w:pPr>
        <w:widowControl/>
        <w:jc w:val="left"/>
        <w:rPr>
          <w:rFonts w:hint="eastAsia" w:ascii="宋体" w:hAnsi="宋体" w:cs="宋体"/>
          <w:kern w:val="0"/>
          <w:sz w:val="24"/>
          <w:szCs w:val="24"/>
        </w:rPr>
      </w:pPr>
    </w:p>
    <w:p>
      <w:pPr>
        <w:pStyle w:val="13"/>
        <w:rPr>
          <w:rFonts w:hint="eastAsia"/>
        </w:rPr>
      </w:pPr>
      <w:bookmarkStart w:id="20" w:name="_Toc4487476"/>
      <w:r>
        <w:rPr>
          <w:rFonts w:hint="eastAsia" w:hAnsi="Calibri"/>
          <w:b/>
          <w:color w:val="000000"/>
        </w:rPr>
        <w:t>4.7 管理人对报告期内基金估值程序等事项的说明</w:t>
      </w:r>
      <w:bookmarkEnd w:id="20"/>
    </w:p>
    <w:p>
      <w:pPr>
        <w:pStyle w:val="19"/>
        <w:spacing w:before="0"/>
        <w:ind w:left="0" w:firstLine="480"/>
        <w:rPr>
          <w:rFonts w:hint="eastAsia"/>
        </w:rPr>
      </w:pPr>
      <w:r>
        <w:rPr>
          <w:rFonts w:hint="eastAsia"/>
        </w:rPr>
        <w:t>本基金管理人严格按照企业会计准则、《中国证监会关于证券投资基金估值业务的指导意见》等中国证监会相关规定和基金合同关于估值的约定，对基金所持有的投资品种进行估值。本基金托管人根据法律法规要求履行估值及净值计算的复核责任。</w:t>
      </w:r>
    </w:p>
    <w:p>
      <w:pPr>
        <w:pStyle w:val="19"/>
        <w:spacing w:before="0"/>
        <w:ind w:left="0" w:firstLine="480"/>
        <w:rPr>
          <w:rFonts w:hint="eastAsia"/>
        </w:rPr>
      </w:pPr>
      <w:r>
        <w:rPr>
          <w:rFonts w:hint="eastAsia"/>
        </w:rPr>
        <w:t>本基金管理人已与中央国债登记结算有限责任公司及中证指数有限公司签署服务协议，由中央国债登记结算有限责任公司按约定提供银行间同业市场的估值数据，由中证指数有限公司按约定提供交易所交易的债券品种的估值数据和流通受限股票的折扣率数据。</w:t>
      </w:r>
    </w:p>
    <w:p>
      <w:pPr>
        <w:widowControl/>
        <w:jc w:val="left"/>
        <w:rPr>
          <w:rFonts w:hint="eastAsia" w:ascii="宋体" w:hAnsi="宋体" w:cs="宋体"/>
          <w:kern w:val="0"/>
          <w:sz w:val="24"/>
          <w:szCs w:val="24"/>
        </w:rPr>
      </w:pPr>
    </w:p>
    <w:p>
      <w:pPr>
        <w:pStyle w:val="13"/>
        <w:rPr>
          <w:rFonts w:hint="eastAsia"/>
        </w:rPr>
      </w:pPr>
      <w:bookmarkStart w:id="21" w:name="_Toc4487477"/>
      <w:r>
        <w:rPr>
          <w:rFonts w:hint="eastAsia"/>
          <w:b/>
          <w:bCs/>
        </w:rPr>
        <w:t>4.8 管理人对报告期内基金利润分配情况的说明</w:t>
      </w:r>
      <w:bookmarkEnd w:id="21"/>
    </w:p>
    <w:p>
      <w:pPr>
        <w:pStyle w:val="19"/>
        <w:spacing w:before="0"/>
        <w:ind w:left="0" w:firstLine="480"/>
        <w:rPr>
          <w:rFonts w:hint="eastAsia"/>
        </w:rPr>
      </w:pPr>
      <w:r>
        <w:rPr>
          <w:rFonts w:hint="eastAsia"/>
        </w:rPr>
        <w:t>本报告期内，本基金已实施利润分配72,714,015.55元，符合合同约定。</w:t>
      </w:r>
    </w:p>
    <w:p>
      <w:pPr>
        <w:widowControl/>
        <w:jc w:val="left"/>
        <w:rPr>
          <w:rFonts w:hint="eastAsia" w:ascii="宋体" w:hAnsi="宋体" w:cs="宋体"/>
          <w:kern w:val="0"/>
          <w:sz w:val="24"/>
          <w:szCs w:val="24"/>
        </w:rPr>
      </w:pPr>
    </w:p>
    <w:p>
      <w:pPr>
        <w:pStyle w:val="13"/>
        <w:rPr>
          <w:rFonts w:hint="eastAsia"/>
        </w:rPr>
      </w:pPr>
      <w:bookmarkStart w:id="22" w:name="_Toc4487478"/>
      <w:r>
        <w:rPr>
          <w:rFonts w:hint="eastAsia"/>
          <w:b/>
          <w:bCs/>
        </w:rPr>
        <w:t>4.9 报告期内管理人对本基金持有人数或基金资产净值预警情形的说明</w:t>
      </w:r>
      <w:bookmarkEnd w:id="22"/>
    </w:p>
    <w:p>
      <w:pPr>
        <w:pStyle w:val="19"/>
        <w:spacing w:before="0"/>
        <w:ind w:left="0" w:firstLine="480"/>
        <w:rPr>
          <w:rFonts w:hint="eastAsia"/>
        </w:rPr>
      </w:pPr>
      <w:r>
        <w:rPr>
          <w:rFonts w:hint="eastAsia"/>
        </w:rPr>
        <w:t>本基金本报告期未出现连续二十个工作日基金份额持有人数量不满二百人或者基金资产净值低于五千万元的情形。</w:t>
      </w:r>
    </w:p>
    <w:p>
      <w:pPr>
        <w:widowControl/>
        <w:jc w:val="left"/>
        <w:rPr>
          <w:rFonts w:hint="eastAsia" w:ascii="宋体" w:hAnsi="宋体" w:cs="宋体"/>
          <w:kern w:val="0"/>
          <w:sz w:val="24"/>
          <w:szCs w:val="24"/>
        </w:rPr>
      </w:pPr>
    </w:p>
    <w:p>
      <w:pPr>
        <w:pStyle w:val="12"/>
        <w:rPr>
          <w:rFonts w:hint="eastAsia"/>
        </w:rPr>
      </w:pPr>
      <w:bookmarkStart w:id="23" w:name="_Toc4487479"/>
      <w:r>
        <w:rPr>
          <w:rFonts w:hint="eastAsia" w:hAnsi="Calibri"/>
          <w:b/>
          <w:color w:val="000000"/>
        </w:rPr>
        <w:t>§5  托管人报告</w:t>
      </w:r>
      <w:bookmarkEnd w:id="23"/>
    </w:p>
    <w:p>
      <w:pPr>
        <w:widowControl/>
        <w:jc w:val="left"/>
        <w:rPr>
          <w:rFonts w:hint="eastAsia" w:ascii="宋体" w:hAnsi="宋体" w:cs="宋体"/>
          <w:kern w:val="0"/>
          <w:sz w:val="24"/>
          <w:szCs w:val="24"/>
        </w:rPr>
      </w:pPr>
    </w:p>
    <w:p>
      <w:pPr>
        <w:pStyle w:val="13"/>
        <w:rPr>
          <w:rFonts w:hint="eastAsia"/>
        </w:rPr>
      </w:pPr>
      <w:bookmarkStart w:id="24" w:name="_Toc4487480"/>
      <w:r>
        <w:rPr>
          <w:rFonts w:hint="eastAsia"/>
          <w:b/>
          <w:bCs/>
        </w:rPr>
        <w:t>5.1 报告期内本基金托管人遵规守信情况声明</w:t>
      </w:r>
      <w:bookmarkEnd w:id="24"/>
    </w:p>
    <w:p>
      <w:pPr>
        <w:pStyle w:val="19"/>
        <w:spacing w:before="0"/>
        <w:ind w:left="0" w:firstLine="480"/>
        <w:rPr>
          <w:rFonts w:hint="eastAsia"/>
        </w:rPr>
      </w:pPr>
      <w:r>
        <w:rPr>
          <w:rFonts w:hint="eastAsia"/>
        </w:rPr>
        <w:t>招商银行具备完善的公司治理结构、内部稽核监控制度和风险控制制度，我行在履行托管职责中，严格遵守有关法律法规、托管协议的规定，尽职尽责地履行托管义务并安全保管托管资产。</w:t>
      </w:r>
    </w:p>
    <w:p>
      <w:pPr>
        <w:widowControl/>
        <w:jc w:val="left"/>
        <w:rPr>
          <w:rFonts w:hint="eastAsia" w:ascii="宋体" w:hAnsi="宋体" w:cs="宋体"/>
          <w:kern w:val="0"/>
          <w:sz w:val="24"/>
          <w:szCs w:val="24"/>
        </w:rPr>
      </w:pPr>
    </w:p>
    <w:p>
      <w:pPr>
        <w:pStyle w:val="13"/>
        <w:rPr>
          <w:rFonts w:hint="eastAsia"/>
        </w:rPr>
      </w:pPr>
      <w:bookmarkStart w:id="25" w:name="_Toc4487481"/>
      <w:r>
        <w:rPr>
          <w:rFonts w:hint="eastAsia"/>
          <w:b/>
          <w:bCs/>
        </w:rPr>
        <w:t>5.2 托管人对报告期内本基金投资运作遵规守信、净值计算、利润分配等情况的说明</w:t>
      </w:r>
      <w:bookmarkEnd w:id="25"/>
    </w:p>
    <w:p>
      <w:pPr>
        <w:pStyle w:val="19"/>
        <w:spacing w:before="0"/>
        <w:ind w:left="0" w:firstLine="480"/>
        <w:rPr>
          <w:rFonts w:hint="eastAsia"/>
        </w:rPr>
      </w:pPr>
      <w:r>
        <w:rPr>
          <w:rFonts w:hint="eastAsia"/>
        </w:rPr>
        <w:t>招商银行根据法律法规、托管协议约定的投资监督条款，对托管产品的投资行为进行监督，并根据监管要求履行报告义务。</w:t>
      </w:r>
    </w:p>
    <w:p>
      <w:pPr>
        <w:pStyle w:val="19"/>
        <w:spacing w:before="0"/>
        <w:ind w:left="0" w:firstLine="480"/>
        <w:rPr>
          <w:rFonts w:hint="eastAsia"/>
        </w:rPr>
      </w:pPr>
      <w:r>
        <w:rPr>
          <w:rFonts w:hint="eastAsia"/>
        </w:rPr>
        <w:t>招商银行按照托管协议约定的统一记账方法和会计处理原则，独立地设置、登录和保管本产品的全套账册，进行会计核算和资产估值并与管理人建立对账机制。</w:t>
      </w:r>
    </w:p>
    <w:p>
      <w:pPr>
        <w:pStyle w:val="19"/>
        <w:spacing w:before="0"/>
        <w:ind w:left="0" w:firstLine="480"/>
        <w:rPr>
          <w:rFonts w:hint="eastAsia"/>
        </w:rPr>
      </w:pPr>
      <w:r>
        <w:rPr>
          <w:rFonts w:hint="eastAsia"/>
        </w:rPr>
        <w:t>本年度报告中利润分配情况真实、准确。</w:t>
      </w:r>
    </w:p>
    <w:p>
      <w:pPr>
        <w:widowControl/>
        <w:jc w:val="left"/>
        <w:rPr>
          <w:rFonts w:hint="eastAsia" w:ascii="宋体" w:hAnsi="宋体" w:cs="宋体"/>
          <w:kern w:val="0"/>
          <w:sz w:val="24"/>
          <w:szCs w:val="24"/>
        </w:rPr>
      </w:pPr>
    </w:p>
    <w:p>
      <w:pPr>
        <w:pStyle w:val="13"/>
        <w:rPr>
          <w:rFonts w:hint="eastAsia"/>
        </w:rPr>
      </w:pPr>
      <w:bookmarkStart w:id="26" w:name="_Toc4487482"/>
      <w:r>
        <w:rPr>
          <w:rFonts w:hint="eastAsia"/>
          <w:b/>
          <w:bCs/>
        </w:rPr>
        <w:t>5.3 托管人对本年度报告中财务信息等内容的真实、准确和完整发表意见</w:t>
      </w:r>
      <w:bookmarkEnd w:id="26"/>
    </w:p>
    <w:p>
      <w:pPr>
        <w:pStyle w:val="19"/>
        <w:spacing w:before="0"/>
        <w:ind w:left="0" w:firstLine="480"/>
        <w:rPr>
          <w:rFonts w:hint="eastAsia"/>
        </w:rPr>
      </w:pPr>
      <w:r>
        <w:rPr>
          <w:rFonts w:hint="eastAsia"/>
        </w:rPr>
        <w:t>本年度报告中财务指标、净值表现、财务会计报告、投资组合报告内容真实、准确，不存在虚假记载、误导性陈述或者重大遗漏。</w:t>
      </w:r>
    </w:p>
    <w:p>
      <w:pPr>
        <w:widowControl/>
        <w:jc w:val="left"/>
        <w:rPr>
          <w:rFonts w:hint="eastAsia" w:ascii="宋体" w:hAnsi="宋体" w:cs="宋体"/>
          <w:kern w:val="0"/>
          <w:sz w:val="24"/>
          <w:szCs w:val="24"/>
        </w:rPr>
      </w:pPr>
    </w:p>
    <w:p>
      <w:pPr>
        <w:pStyle w:val="12"/>
        <w:rPr>
          <w:rFonts w:hint="eastAsia"/>
        </w:rPr>
      </w:pPr>
      <w:bookmarkStart w:id="27" w:name="_Toc4487483"/>
      <w:r>
        <w:rPr>
          <w:rFonts w:hint="eastAsia" w:hAnsi="Calibri"/>
          <w:b/>
          <w:color w:val="000000"/>
        </w:rPr>
        <w:t>§6  审计报告</w:t>
      </w:r>
      <w:bookmarkEnd w:id="27"/>
    </w:p>
    <w:p>
      <w:pPr>
        <w:widowControl/>
        <w:jc w:val="left"/>
        <w:rPr>
          <w:rFonts w:hint="eastAsia" w:ascii="宋体" w:hAnsi="宋体" w:cs="宋体"/>
          <w:kern w:val="0"/>
          <w:sz w:val="24"/>
          <w:szCs w:val="24"/>
        </w:rPr>
      </w:pPr>
    </w:p>
    <w:p>
      <w:pPr>
        <w:pStyle w:val="13"/>
        <w:rPr>
          <w:rFonts w:hint="eastAsia"/>
        </w:rPr>
      </w:pPr>
      <w:bookmarkStart w:id="28" w:name="_Toc4487484"/>
      <w:r>
        <w:rPr>
          <w:rFonts w:hint="eastAsia"/>
          <w:b/>
          <w:bCs/>
        </w:rPr>
        <w:t>6.1 审计报告基本信息</w:t>
      </w:r>
      <w:bookmarkEnd w:id="28"/>
    </w:p>
    <w:tbl>
      <w:tblPr>
        <w:tblStyle w:val="7"/>
        <w:tblW w:w="9045" w:type="dxa"/>
        <w:tblInd w:w="108" w:type="dxa"/>
        <w:tblLayout w:type="autofit"/>
        <w:tblCellMar>
          <w:top w:w="0" w:type="dxa"/>
          <w:left w:w="108" w:type="dxa"/>
          <w:bottom w:w="0" w:type="dxa"/>
          <w:right w:w="108" w:type="dxa"/>
        </w:tblCellMar>
      </w:tblPr>
      <w:tblGrid>
        <w:gridCol w:w="3375"/>
        <w:gridCol w:w="5670"/>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财务报表是否经过审计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是</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审计意见类型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标准无保留意见</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审计报告编号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毕马威华振审字第1901229号</w:t>
            </w:r>
          </w:p>
        </w:tc>
      </w:tr>
    </w:tbl>
    <w:p>
      <w:pPr>
        <w:widowControl/>
        <w:jc w:val="left"/>
        <w:rPr>
          <w:rFonts w:hint="eastAsia" w:ascii="宋体" w:hAnsi="宋体" w:cs="宋体"/>
          <w:kern w:val="0"/>
          <w:sz w:val="24"/>
          <w:szCs w:val="24"/>
        </w:rPr>
      </w:pPr>
    </w:p>
    <w:p>
      <w:pPr>
        <w:pStyle w:val="13"/>
        <w:rPr>
          <w:rFonts w:hint="eastAsia"/>
        </w:rPr>
      </w:pPr>
      <w:bookmarkStart w:id="29" w:name="_Toc4487485"/>
      <w:r>
        <w:rPr>
          <w:rFonts w:hint="eastAsia"/>
          <w:b/>
          <w:bCs/>
        </w:rPr>
        <w:t>6.2 审计报告的基本内容</w:t>
      </w:r>
      <w:bookmarkEnd w:id="29"/>
    </w:p>
    <w:tbl>
      <w:tblPr>
        <w:tblStyle w:val="7"/>
        <w:tblW w:w="9045" w:type="dxa"/>
        <w:tblInd w:w="108" w:type="dxa"/>
        <w:tblLayout w:type="autofit"/>
        <w:tblCellMar>
          <w:top w:w="0" w:type="dxa"/>
          <w:left w:w="108" w:type="dxa"/>
          <w:bottom w:w="0" w:type="dxa"/>
          <w:right w:w="108" w:type="dxa"/>
        </w:tblCellMar>
      </w:tblPr>
      <w:tblGrid>
        <w:gridCol w:w="3831"/>
        <w:gridCol w:w="5214"/>
      </w:tblGrid>
      <w:tr>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审计报告标题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审计报告</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审计报告收件人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创金合信尊盛纯债债券型证券投资基金全体基金份额持有人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审计意见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我们审计了后附的第1页至第33页的创金合信尊盛纯债债券型证券投资基金 (以下简称“创金合信尊盛纯债债券基金”) 财务报表，包括2018年12月31日的资产负债表、2018年度的利润表、所有者权益 (基金净值) 变动表以及财务报表附注。 我们认为，后附的财务报表在所有重大方面按照中华人民共和国财政部颁布的企业会计准则、在财务报表附注7.4.2中所列示的中国证券监督管理委员会 (以下简称“中国证监会”) 和中国证券投资基金业协会发布的有关基金行业实务操作的规定编制，公允反映了创金合信尊盛纯债债券基金2018年12月31日的财务状况以及2018年度的经营成果及基金净值变动情况。</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形成审计意见的基础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我们按照中国注册会计师审计准则 (以下简称“审计准则”) 的规定执行了审计工作。审计报告的“注册会计师对财务报表审计的责任”部分进一步阐述了我们在这些准则下的责任。按照中国注册会计师职业道德守则，我们独立于创金合信尊盛纯债债券基金，并履行了职业道德方面的其他责任。我们相信，我们获取的审计证据是充分、适当的，为发表审计意见提供了基础。</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强调事项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pPr>
            <w:r>
              <w:rPr>
                <w:rFonts w:hint="eastAsia"/>
              </w:rPr>
              <w:t>其他事项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pPr>
            <w:r>
              <w:rPr>
                <w:rFonts w:hint="eastAsia"/>
              </w:rPr>
              <w:t>其他信息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创金合信尊盛纯债债券基金管理人创金合信基金管理有限公司对其他信息负责。其他信息包括创金合信尊盛纯债债券基金2018年年度报告中涵盖的信息，但不包括财务报表和我们的审计报告。 我们对财务报表发表的审计意见不涵盖其他信息，我们也不对其他信息发表任何形式的鉴证结论。 结合我们对财务报表的审计，我们的责任是阅读其他信息，在此过程中，考虑其他信息是否与财务报表或我们在审计过程中了解到的情况存在重大不一致或者似乎存在重大错报。 基于我们已执行的工作，如果我们确定其他信息存在重大错报，我们应当报告该事实。在这方面，我们无任何事项需要报告。</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管理层和治理层对财务报表的责任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创金合信尊盛纯债债券基金管理人创金合信基金管理有限公司管理层负责按照中华人民共和国财政部颁布的企业会计准则、中国证监会和中国证券投资基金业协会发布的有关基金行业实务操作的规定编制财务报表，使其实现公允反映，并设计、执行和维护必要的内部控制，以使财务报表不存在由于舞弊或错误导致的重大错报。 在编制财务报表时，创金合信尊盛纯债债券基金管理人创金合信基金管理有限公司管理层负责评估创金合信尊盛纯债债券基金的持续经营能力，披露与持续经营相关的事项 (如适用)，并运用持续经营假设，除非创金合信尊盛纯债债券基金计划进行清算、终止运营或别无其他现实的选择。 创金合信尊盛纯债债券基金管理人创金合信基金管理有限公司治理层负责监督创金合信尊盛纯债债券基金的财务报告过程。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注册会计师对财务报表审计的责任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 在按照审计准则执行审计工作的过程中，我们运用职业判断，并保持职业怀疑。同时，我们也执行以下工作： (1) 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 (2) 了解与审计相关的内部控制，以设计恰当的审计程序，但目的并非对内部控制的有效性发表意见。 (3) 评价创金合信尊盛纯债债券基金管理人创金合信基金管理有限公司管理层选用会计政策的恰当性和作出会计估计及相关披露的合理性。 (4) 对创金合信尊盛纯债债券基金管理人创金合信基金管理有限公司管理层使用持续经营假设的恰当性得出结论。同时，根据获取的审计证据，就可能导致对创金合信尊盛纯债债券基金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创金合信尊盛纯债债券基金不能持续经营。 (5) 评价财务报表的总体列报、结构和内容 (包括披露)，并评价财务报表是否公允反映相关交易和事项。 我们与创金合信尊盛纯债债券基金管理人创金合信基金管理有限公司治理层就计划的审计范围、时间安排和重大审计发现等事项进行沟通，包括沟通我们在审计中识别出的值得关注的内部控制缺陷。</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会计师事务所的名称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毕马威华振会计师事务所（特殊普通合伙）</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注册会计师的姓名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薛晨俊、王磊</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会计师事务所的地址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北京市东城区东长安街1号东方广场东2座办公楼8层</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审计报告日期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2019-03-22</w:t>
            </w:r>
          </w:p>
        </w:tc>
      </w:tr>
    </w:tbl>
    <w:p>
      <w:pPr>
        <w:widowControl/>
        <w:jc w:val="left"/>
        <w:rPr>
          <w:rFonts w:hint="eastAsia" w:ascii="宋体" w:hAnsi="宋体" w:cs="宋体"/>
          <w:kern w:val="0"/>
          <w:sz w:val="24"/>
          <w:szCs w:val="24"/>
        </w:rPr>
      </w:pPr>
    </w:p>
    <w:p>
      <w:pPr>
        <w:pStyle w:val="12"/>
        <w:rPr>
          <w:rFonts w:hint="eastAsia"/>
        </w:rPr>
      </w:pPr>
      <w:bookmarkStart w:id="30" w:name="_Toc4487486"/>
      <w:r>
        <w:rPr>
          <w:rFonts w:hint="eastAsia" w:hAnsi="Calibri"/>
          <w:b/>
          <w:color w:val="000000"/>
        </w:rPr>
        <w:t>§7  年度财务报表</w:t>
      </w:r>
      <w:bookmarkEnd w:id="30"/>
    </w:p>
    <w:p>
      <w:pPr>
        <w:widowControl/>
        <w:jc w:val="left"/>
        <w:rPr>
          <w:rFonts w:hint="eastAsia" w:ascii="宋体" w:hAnsi="宋体" w:cs="宋体"/>
          <w:kern w:val="0"/>
          <w:sz w:val="24"/>
          <w:szCs w:val="24"/>
        </w:rPr>
      </w:pPr>
    </w:p>
    <w:p>
      <w:pPr>
        <w:pStyle w:val="13"/>
        <w:rPr>
          <w:rFonts w:hint="eastAsia"/>
        </w:rPr>
      </w:pPr>
      <w:bookmarkStart w:id="31" w:name="_Toc4487487"/>
      <w:r>
        <w:rPr>
          <w:rFonts w:hint="eastAsia"/>
          <w:b/>
          <w:bCs/>
        </w:rPr>
        <w:t>7.1 资产负债表</w:t>
      </w:r>
      <w:bookmarkEnd w:id="31"/>
    </w:p>
    <w:p>
      <w:pPr>
        <w:pStyle w:val="16"/>
        <w:rPr>
          <w:rFonts w:hint="eastAsia"/>
        </w:rPr>
      </w:pPr>
      <w:r>
        <w:rPr>
          <w:rFonts w:hint="eastAsia"/>
        </w:rPr>
        <w:t>会计主体：创金合信尊盛纯债债券型证券投资基金</w:t>
      </w:r>
    </w:p>
    <w:p>
      <w:pPr>
        <w:pStyle w:val="16"/>
        <w:rPr>
          <w:rFonts w:hint="eastAsia"/>
        </w:rPr>
      </w:pPr>
      <w:r>
        <w:rPr>
          <w:rFonts w:hint="eastAsia"/>
        </w:rPr>
        <w:t>报告截止日：2018年12月31日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2608"/>
        <w:gridCol w:w="1363"/>
        <w:gridCol w:w="2529"/>
        <w:gridCol w:w="2620"/>
      </w:tblGrid>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资 产 </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本期末 </w:t>
            </w:r>
          </w:p>
          <w:p>
            <w:pPr>
              <w:pStyle w:val="17"/>
              <w:wordWrap w:val="0"/>
              <w:rPr>
                <w:rFonts w:hint="eastAsia"/>
              </w:rPr>
            </w:pPr>
            <w:r>
              <w:rPr>
                <w:rFonts w:hint="eastAsia" w:hAnsi="Calibri"/>
                <w:color w:val="000000"/>
              </w:rPr>
              <w:t>2018年12月31日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上年度末 </w:t>
            </w:r>
          </w:p>
          <w:p>
            <w:pPr>
              <w:pStyle w:val="17"/>
              <w:wordWrap w:val="0"/>
              <w:rPr>
                <w:rFonts w:hint="eastAsia"/>
              </w:rPr>
            </w:pPr>
            <w:r>
              <w:rPr>
                <w:rFonts w:hint="eastAsia" w:hAnsi="Calibri"/>
                <w:color w:val="000000"/>
              </w:rPr>
              <w:t>2017年12月31日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资 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pPr>
            <w:r>
              <w:rPr>
                <w:rFonts w:hint="eastAsia"/>
              </w:rPr>
              <w:t>银行存款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6,407,903.79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4,476,587.42</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结算备付金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存出保证金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交易性金融资产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1,189,869,800.00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1,572,714,400.00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其中：股票投资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基金投资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债券投资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1,189,869,800.00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1,547,791,900.00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资产支持证券投资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24,922,500.00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贵金属投资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衍生金融资产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买入返售金融资产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18,709,336.06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22,384,223.11</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应收股利</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应收申购款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递延所得税资产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资产总计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1,214,987,039.85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1,599,575,210.53</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负债和所有者权益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 </w:t>
            </w:r>
          </w:p>
          <w:p>
            <w:pPr>
              <w:pStyle w:val="17"/>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 </w:t>
            </w:r>
          </w:p>
          <w:p>
            <w:pPr>
              <w:pStyle w:val="17"/>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负 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短期借款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交易性金融负债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衍生金融负债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卖出回购金融资产款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231,039,253.44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215,839,356.24</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应付赎回款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rPr>
              <w:t>252,391.89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353,393.31</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84,130.64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117,797.79</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12,036.76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12,387.53</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应交税费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103,723.97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255,148.56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167,611.32</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递延所得税负债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167,500.00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162,000.00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负债合计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231,914,185.26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216,652,546.19</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pPr>
            <w:r>
              <w:rPr>
                <w:rFonts w:hint="eastAsia"/>
              </w:rPr>
              <w:t>实收基金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979,934,909.04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1,379,882,414.83</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未分配利润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3,137,945.55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3,040,249.51</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所有者权益合计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983,072,854.59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1,382,922,664.34</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负债和所有者权益总计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1,214,987,039.85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1,599,575,210.53</w:t>
            </w:r>
          </w:p>
        </w:tc>
      </w:tr>
    </w:tbl>
    <w:p>
      <w:pPr>
        <w:pStyle w:val="19"/>
        <w:rPr>
          <w:rFonts w:hint="eastAsia"/>
        </w:rPr>
      </w:pPr>
      <w:r>
        <w:rPr>
          <w:rFonts w:hint="eastAsia"/>
        </w:rPr>
        <w:t>注：报告截止日2018年12月31日,基金份额净值1.003元,基金份额总额979,934,909.04份。</w:t>
      </w:r>
    </w:p>
    <w:p>
      <w:pPr>
        <w:widowControl/>
        <w:jc w:val="left"/>
        <w:rPr>
          <w:rFonts w:hint="eastAsia" w:ascii="宋体" w:hAnsi="宋体" w:cs="宋体"/>
          <w:kern w:val="0"/>
          <w:sz w:val="24"/>
          <w:szCs w:val="24"/>
        </w:rPr>
      </w:pPr>
    </w:p>
    <w:p>
      <w:pPr>
        <w:pStyle w:val="13"/>
        <w:rPr>
          <w:rFonts w:hint="eastAsia"/>
        </w:rPr>
      </w:pPr>
      <w:bookmarkStart w:id="32" w:name="_Toc4487488"/>
      <w:r>
        <w:rPr>
          <w:rFonts w:hint="eastAsia"/>
          <w:b/>
          <w:bCs/>
        </w:rPr>
        <w:t>7.2 利润表</w:t>
      </w:r>
      <w:bookmarkEnd w:id="32"/>
    </w:p>
    <w:p>
      <w:pPr>
        <w:pStyle w:val="16"/>
        <w:rPr>
          <w:rFonts w:hint="eastAsia"/>
        </w:rPr>
      </w:pPr>
      <w:r>
        <w:rPr>
          <w:rFonts w:hint="eastAsia"/>
        </w:rPr>
        <w:t>会计主体：创金合信尊盛纯债债券型证券投资基金</w:t>
      </w:r>
    </w:p>
    <w:p>
      <w:pPr>
        <w:pStyle w:val="16"/>
        <w:rPr>
          <w:rFonts w:hint="eastAsia"/>
        </w:rPr>
      </w:pPr>
      <w:r>
        <w:rPr>
          <w:rFonts w:hint="eastAsia"/>
        </w:rPr>
        <w:t>本报告期：2018年01月01日至2018年12月31日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2969"/>
        <w:gridCol w:w="1363"/>
        <w:gridCol w:w="2168"/>
        <w:gridCol w:w="2620"/>
      </w:tblGrid>
      <w:tr>
        <w:tblPrEx>
          <w:tblCellMar>
            <w:top w:w="0" w:type="dxa"/>
            <w:left w:w="108" w:type="dxa"/>
            <w:bottom w:w="0" w:type="dxa"/>
            <w:right w:w="108" w:type="dxa"/>
          </w:tblCellMar>
        </w:tblPrEx>
        <w:trPr>
          <w:wBefore w:w="0" w:type="auto"/>
          <w:trHeight w:val="374" w:hRule="atLeast"/>
        </w:trPr>
        <w:tc>
          <w:tcPr>
            <w:tcW w:w="296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项 目</w:t>
            </w:r>
          </w:p>
        </w:tc>
        <w:tc>
          <w:tcPr>
            <w:tcW w:w="1363"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附注号 </w:t>
            </w:r>
          </w:p>
        </w:tc>
        <w:tc>
          <w:tcPr>
            <w:tcW w:w="2168"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本期2018年01月01日至2018年12月31日 </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 </w:t>
            </w:r>
          </w:p>
          <w:p>
            <w:pPr>
              <w:pStyle w:val="17"/>
              <w:wordWrap w:val="0"/>
              <w:rPr>
                <w:rFonts w:hint="eastAsia"/>
              </w:rPr>
            </w:pPr>
            <w:r>
              <w:rPr>
                <w:rFonts w:hint="eastAsia"/>
              </w:rPr>
              <w:t>2017年01月01日至2017年12月31日 </w:t>
            </w:r>
          </w:p>
        </w:tc>
      </w:tr>
      <w:tr>
        <w:tblPrEx>
          <w:tblCellMar>
            <w:top w:w="0" w:type="dxa"/>
            <w:left w:w="108" w:type="dxa"/>
            <w:bottom w:w="0" w:type="dxa"/>
            <w:right w:w="108" w:type="dxa"/>
          </w:tblCellMar>
        </w:tblPrEx>
        <w:trPr>
          <w:wBefore w:w="0" w:type="auto"/>
          <w:trHeight w:val="311" w:hRule="atLeast"/>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一、收入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83,281,352.76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50,907,910.42</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1.利息收入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64,091,350.78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55,279,385.07</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其中：存款利息收入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7.4.7.11</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46,131.35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71,124.86</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债券利息收入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63,559,431.99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52,504,406.90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资产支持证券利息收入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241,563.68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2,316,939.54</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买入返售金融资产收入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244,223.76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386,913.77</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其他利息收入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2.投资收益（损失以“-”填列）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-38,386.77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3,658,048.27</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其中：股票投资收益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基金投资收益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债券投资收益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-38,386.77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3,536,033.02</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资产支持证券投资收益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xml:space="preserve">7.4.7.13.3 </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122,015.25</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贵金属投资收益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衍生工具收益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7.4.7.14</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股利收益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7.4.7.15</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3.公允价值变动收益（损失以“-”号填列）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7.4.7.16</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19,227,771.55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-8,029,588.83</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4.汇兑收益（损失以“－”号填列）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5.其他收入（损失以“-”号填列）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7.4.7.17</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617.20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65.91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减：二、费用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9,867,492.87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6,343,135.63</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1．管理人报酬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xml:space="preserve">7.4.10.2.1 </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3,435,277.84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3,729,990.91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2．托管费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7.4.10.2.2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1,145,092.55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1,243,330.31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3．销售服务费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4．交易费用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7.4.7.18</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20,144.90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5．利息支出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4,940,800.05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1,141,331.59</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其中：卖出回购金融资产支出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4,940,800.05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1,141,331.59</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6．税金及附加</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127,840.92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7．其他费用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7.4.7.19</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208,381.51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208,337.92</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三、利润总额（亏损总额以“-”号填列）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73,413,859.89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44,564,774.79</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减：所得税费用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四、净利润（净亏损以“-”号填列）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73,413,859.89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44,564,774.79</w:t>
            </w:r>
          </w:p>
        </w:tc>
      </w:tr>
    </w:tbl>
    <w:p>
      <w:pPr>
        <w:widowControl/>
        <w:jc w:val="left"/>
        <w:rPr>
          <w:rFonts w:hint="eastAsia" w:ascii="宋体" w:hAnsi="宋体" w:cs="宋体"/>
          <w:kern w:val="0"/>
          <w:sz w:val="24"/>
          <w:szCs w:val="24"/>
        </w:rPr>
      </w:pPr>
    </w:p>
    <w:p>
      <w:pPr>
        <w:pStyle w:val="13"/>
        <w:rPr>
          <w:rFonts w:hint="eastAsia"/>
        </w:rPr>
      </w:pPr>
      <w:bookmarkStart w:id="33" w:name="_Toc4487489"/>
      <w:r>
        <w:rPr>
          <w:rFonts w:hint="eastAsia"/>
          <w:b/>
          <w:bCs/>
        </w:rPr>
        <w:t>7.3 所有者权益（基金净值）变动表</w:t>
      </w:r>
      <w:bookmarkEnd w:id="33"/>
    </w:p>
    <w:p>
      <w:pPr>
        <w:pStyle w:val="16"/>
        <w:rPr>
          <w:rFonts w:hint="eastAsia"/>
        </w:rPr>
      </w:pPr>
      <w:r>
        <w:rPr>
          <w:rFonts w:hint="eastAsia"/>
        </w:rPr>
        <w:t>会计主体：创金合信尊盛纯债债券型证券投资基金</w:t>
      </w:r>
    </w:p>
    <w:p>
      <w:pPr>
        <w:pStyle w:val="16"/>
        <w:rPr>
          <w:rFonts w:hint="eastAsia"/>
        </w:rPr>
      </w:pPr>
      <w:r>
        <w:rPr>
          <w:rFonts w:hint="eastAsia"/>
        </w:rPr>
        <w:t>本报告期：2018年01月01日至2018年12月31日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2299"/>
        <w:gridCol w:w="2156"/>
        <w:gridCol w:w="2156"/>
        <w:gridCol w:w="2587"/>
      </w:tblGrid>
      <w:tr>
        <w:tblPrEx>
          <w:tblCellMar>
            <w:top w:w="0" w:type="dxa"/>
            <w:left w:w="108" w:type="dxa"/>
            <w:bottom w:w="0" w:type="dxa"/>
            <w:right w:w="108" w:type="dxa"/>
          </w:tblCellMar>
        </w:tblPrEx>
        <w:trPr>
          <w:wBefore w:w="0" w:type="auto"/>
        </w:trPr>
        <w:tc>
          <w:tcPr>
            <w:tcW w:w="12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 </w:t>
            </w:r>
          </w:p>
          <w:p>
            <w:pPr>
              <w:pStyle w:val="17"/>
              <w:wordWrap w:val="0"/>
              <w:rPr>
                <w:rFonts w:hint="eastAsia"/>
              </w:rPr>
            </w:pPr>
            <w:r>
              <w:rPr>
                <w:rFonts w:hint="eastAsia"/>
              </w:rPr>
              <w:t>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1,379,882,414.83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3,040,249.51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1,382,922,664.34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73,413,859.89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73,413,859.89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-399,947,505.79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-602,148.30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-400,549,654.09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1,141,348.32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13,019.26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1,154,367.58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-401,088,854.11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-615,167.56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-401,704,021.67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-72,714,015.55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-72,714,015.55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979,934,909.04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3,137,945.55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983,072,854.59</w:t>
            </w:r>
          </w:p>
        </w:tc>
      </w:tr>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 </w:t>
            </w:r>
          </w:p>
          <w:p>
            <w:pPr>
              <w:pStyle w:val="17"/>
              <w:wordWrap w:val="0"/>
              <w:rPr>
                <w:rFonts w:hint="eastAsia"/>
              </w:rPr>
            </w:pPr>
            <w:r>
              <w:rPr>
                <w:rFonts w:hint="eastAsia"/>
              </w:rPr>
              <w:t>2017年01月01日至2017年12月31日 </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539,931,715.48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11,548,189.41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551,479,904.89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44,564,774.79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44,564,774.79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839,950,699.35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20,060,463.52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860,011,162.87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840,096,648.28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20,063,819.69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860,160,467.97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-145,948.93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-3,356.17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-149,305.10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-73,133,178.21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-73,133,178.21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1,379,882,414.83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3,040,249.51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1,382,922,664.34</w:t>
            </w:r>
          </w:p>
        </w:tc>
      </w:tr>
    </w:tbl>
    <w:p>
      <w:pPr>
        <w:pStyle w:val="16"/>
        <w:rPr>
          <w:rFonts w:hint="eastAsia"/>
        </w:rPr>
      </w:pPr>
      <w:r>
        <w:rPr>
          <w:rFonts w:hint="eastAsia"/>
        </w:rPr>
        <w:t>报表附注为财务报表的组成部分。</w:t>
      </w:r>
    </w:p>
    <w:p>
      <w:pPr>
        <w:pStyle w:val="16"/>
        <w:rPr>
          <w:rFonts w:hint="eastAsia"/>
        </w:rPr>
      </w:pPr>
      <w:r>
        <w:rPr>
          <w:rFonts w:hint="eastAsia"/>
        </w:rPr>
        <w:t>本报告7.1至7.4财务报表由下列负责人签署:</w:t>
      </w:r>
    </w:p>
    <w:tbl>
      <w:tblPr>
        <w:tblStyle w:val="7"/>
        <w:tblW w:w="0" w:type="auto"/>
        <w:tblInd w:w="108" w:type="dxa"/>
        <w:tblLayout w:type="autofit"/>
        <w:tblCellMar>
          <w:top w:w="0" w:type="dxa"/>
          <w:left w:w="108" w:type="dxa"/>
          <w:bottom w:w="0" w:type="dxa"/>
          <w:right w:w="108" w:type="dxa"/>
        </w:tblCellMar>
      </w:tblPr>
      <w:tblGrid>
        <w:gridCol w:w="3249"/>
        <w:gridCol w:w="2889"/>
        <w:gridCol w:w="2890"/>
      </w:tblGrid>
      <w:tr>
        <w:tblPrEx>
          <w:tblCellMar>
            <w:top w:w="0" w:type="dxa"/>
            <w:left w:w="108" w:type="dxa"/>
            <w:bottom w:w="0" w:type="dxa"/>
            <w:right w:w="108" w:type="dxa"/>
          </w:tblCellMar>
        </w:tblPrEx>
        <w:trPr>
          <w:wBefore w:w="0" w:type="auto"/>
        </w:trPr>
        <w:tc>
          <w:tcPr>
            <w:tcW w:w="3249" w:type="dxa"/>
            <w:tcBorders>
              <w:top w:val="nil"/>
              <w:left w:val="nil"/>
              <w:bottom w:val="nil"/>
              <w:right w:val="nil"/>
            </w:tcBorders>
            <w:noWrap w:val="0"/>
            <w:vAlign w:val="top"/>
          </w:tcPr>
          <w:p>
            <w:pPr>
              <w:pStyle w:val="16"/>
              <w:wordWrap w:val="0"/>
              <w:rPr>
                <w:rFonts w:hint="eastAsia"/>
              </w:rPr>
            </w:pPr>
            <w:r>
              <w:rPr>
                <w:rFonts w:hint="eastAsia" w:hAnsi="Calibri"/>
                <w:color w:val="000000"/>
              </w:rPr>
              <w:t>苏彦祝</w:t>
            </w:r>
          </w:p>
          <w:p>
            <w:pPr>
              <w:pStyle w:val="16"/>
              <w:wordWrap w:val="0"/>
              <w:rPr>
                <w:rFonts w:hint="eastAsia"/>
              </w:rPr>
            </w:pPr>
            <w:r>
              <w:rPr>
                <w:rFonts w:hint="eastAsia"/>
              </w:rPr>
              <w:t>—————————</w:t>
            </w:r>
          </w:p>
          <w:p>
            <w:pPr>
              <w:pStyle w:val="16"/>
              <w:wordWrap w:val="0"/>
              <w:rPr>
                <w:rFonts w:hint="eastAsia"/>
              </w:rPr>
            </w:pPr>
            <w:r>
              <w:rPr>
                <w:rFonts w:hint="eastAsia"/>
              </w:rPr>
              <w:t>基金管理人负责人</w:t>
            </w:r>
          </w:p>
        </w:tc>
        <w:tc>
          <w:tcPr>
            <w:tcW w:w="2889" w:type="dxa"/>
            <w:tcBorders>
              <w:top w:val="nil"/>
              <w:left w:val="nil"/>
              <w:bottom w:val="nil"/>
              <w:right w:val="nil"/>
            </w:tcBorders>
            <w:noWrap w:val="0"/>
            <w:vAlign w:val="top"/>
          </w:tcPr>
          <w:p>
            <w:pPr>
              <w:pStyle w:val="16"/>
              <w:wordWrap w:val="0"/>
              <w:rPr>
                <w:rFonts w:hint="eastAsia"/>
              </w:rPr>
            </w:pPr>
            <w:r>
              <w:rPr>
                <w:rFonts w:hint="eastAsia"/>
              </w:rPr>
              <w:t>黄越岷</w:t>
            </w:r>
          </w:p>
          <w:p>
            <w:pPr>
              <w:pStyle w:val="16"/>
              <w:wordWrap w:val="0"/>
              <w:rPr>
                <w:rFonts w:hint="eastAsia"/>
              </w:rPr>
            </w:pPr>
            <w:r>
              <w:rPr>
                <w:rFonts w:hint="eastAsia"/>
              </w:rPr>
              <w:t>—————————</w:t>
            </w:r>
          </w:p>
          <w:p>
            <w:pPr>
              <w:pStyle w:val="16"/>
              <w:wordWrap w:val="0"/>
              <w:rPr>
                <w:rFonts w:hint="eastAsia"/>
              </w:rPr>
            </w:pPr>
            <w:r>
              <w:rPr>
                <w:rFonts w:hint="eastAsia"/>
              </w:rPr>
              <w:t>主管会计工作负责人</w:t>
            </w:r>
          </w:p>
        </w:tc>
        <w:tc>
          <w:tcPr>
            <w:tcW w:w="2890" w:type="dxa"/>
            <w:tcBorders>
              <w:top w:val="nil"/>
              <w:left w:val="nil"/>
              <w:bottom w:val="nil"/>
              <w:right w:val="nil"/>
            </w:tcBorders>
            <w:noWrap w:val="0"/>
            <w:vAlign w:val="top"/>
          </w:tcPr>
          <w:p>
            <w:pPr>
              <w:pStyle w:val="16"/>
              <w:wordWrap w:val="0"/>
              <w:rPr>
                <w:rFonts w:hint="eastAsia"/>
              </w:rPr>
            </w:pPr>
            <w:r>
              <w:rPr>
                <w:rFonts w:hint="eastAsia"/>
              </w:rPr>
              <w:t>安兆国</w:t>
            </w:r>
          </w:p>
          <w:p>
            <w:pPr>
              <w:pStyle w:val="16"/>
              <w:wordWrap w:val="0"/>
              <w:rPr>
                <w:rFonts w:hint="eastAsia"/>
              </w:rPr>
            </w:pPr>
            <w:r>
              <w:rPr>
                <w:rFonts w:hint="eastAsia"/>
              </w:rPr>
              <w:t>—————————</w:t>
            </w:r>
          </w:p>
          <w:p>
            <w:pPr>
              <w:pStyle w:val="16"/>
              <w:wordWrap w:val="0"/>
              <w:rPr>
                <w:rFonts w:hint="eastAsia"/>
              </w:rPr>
            </w:pPr>
            <w:r>
              <w:rPr>
                <w:rFonts w:hint="eastAsia"/>
              </w:rPr>
              <w:t>会计机构负责人</w:t>
            </w:r>
          </w:p>
        </w:tc>
      </w:tr>
    </w:tbl>
    <w:p>
      <w:pPr>
        <w:widowControl/>
        <w:jc w:val="left"/>
        <w:rPr>
          <w:rFonts w:hint="eastAsia" w:ascii="宋体" w:hAnsi="宋体" w:cs="宋体"/>
          <w:kern w:val="0"/>
          <w:sz w:val="24"/>
          <w:szCs w:val="24"/>
        </w:rPr>
      </w:pPr>
    </w:p>
    <w:p>
      <w:pPr>
        <w:pStyle w:val="13"/>
        <w:rPr>
          <w:rFonts w:hint="eastAsia"/>
        </w:rPr>
      </w:pPr>
      <w:bookmarkStart w:id="34" w:name="_Toc4487490"/>
      <w:r>
        <w:rPr>
          <w:rFonts w:hint="eastAsia"/>
          <w:b/>
          <w:bCs/>
        </w:rPr>
        <w:t>7.4 报表附注</w:t>
      </w:r>
      <w:bookmarkEnd w:id="34"/>
    </w:p>
    <w:p>
      <w:pPr>
        <w:pStyle w:val="14"/>
        <w:rPr>
          <w:rFonts w:hint="eastAsia"/>
        </w:rPr>
      </w:pPr>
      <w:r>
        <w:rPr>
          <w:rFonts w:hint="eastAsia"/>
          <w:b/>
          <w:bCs/>
        </w:rPr>
        <w:t>7.4.1 基金基本情况</w:t>
      </w:r>
    </w:p>
    <w:p>
      <w:pPr>
        <w:pStyle w:val="19"/>
        <w:spacing w:before="0"/>
        <w:ind w:left="0" w:firstLine="480"/>
        <w:rPr>
          <w:rFonts w:hint="eastAsia"/>
        </w:rPr>
      </w:pPr>
      <w:r>
        <w:rPr>
          <w:rFonts w:hint="eastAsia"/>
        </w:rPr>
        <w:t>创金合信尊盛纯债债券型证券投资基金 (以下简称 "本基金") 经中国证券监督管理委员会 (以下简称"中国证监会")《关于准予创金合信尊盛纯债债券型证券投资基金注册的批复》(证监许可 [2016] 195号文) 批准，由创金合信基金管理有限公司依照《中华人民共和国证券投资基金法》及其配套规则和《创金合信尊盛纯债债券型证券投资基金基金合同》发售，基金合同于2016年2月26日生效。本基金为契约型开放式，存续期限不定，首次设立募集规模为200,164,018.44份基金份额。本基金的基金管理人为创金合信基金管理有限公司，基金托管人为招商银行股份有限公司 (以下简称"招商银行")。</w:t>
      </w:r>
    </w:p>
    <w:p>
      <w:pPr>
        <w:pStyle w:val="19"/>
        <w:spacing w:before="0"/>
        <w:ind w:left="0" w:firstLine="480"/>
        <w:rPr>
          <w:rFonts w:hint="eastAsia"/>
        </w:rPr>
      </w:pPr>
      <w:r>
        <w:rPr>
          <w:rFonts w:hint="eastAsia"/>
        </w:rPr>
        <w:t>本基金于2016年2月22日至2016年2月23日募集，募集期间净认购资金人民币200,162,350.80元，认购资金在募集期间产生的利息人民币1,667.64元，募集的有效认购份额及利息结转的基金份额合计200,164,018.44份。上述募集资金已由毕马威华振会计师事务所 (特殊普通合伙) 验证，并出具了毕马威华振验字第1600198号验资报告。</w:t>
      </w:r>
    </w:p>
    <w:p>
      <w:pPr>
        <w:pStyle w:val="19"/>
        <w:spacing w:before="0"/>
        <w:ind w:left="0" w:firstLine="480"/>
        <w:rPr>
          <w:rFonts w:hint="eastAsia"/>
        </w:rPr>
      </w:pPr>
      <w:r>
        <w:rPr>
          <w:rFonts w:hint="eastAsia"/>
        </w:rPr>
        <w:t>根据《中华人民共和国证券投资基金法》及其配套规则、《创金合信尊盛纯债债券型证券投资基金基金合同》和截至报告期末最新公告的《创金合信尊盛纯债债券型证券投资基金招募说明书》的有关规定，本基金主要投资于固定收益类品种，包括国债、央行票据、地方政府债、金融债、企业债、公司债、中小企业私募债、次级债、中期票据、短期融资券、可分离交易可转债的纯债部分、资产支持证券、债券回购、银行存款等。本基金不投资股票、权证等权益类资产，可转债仅投资二级市场可分离交易可转债的纯债部分。本基金的业绩比较基准为：中债综合 (全价) 指数收益率。</w:t>
      </w:r>
    </w:p>
    <w:p>
      <w:pPr>
        <w:widowControl/>
        <w:jc w:val="left"/>
        <w:rPr>
          <w:rFonts w:hint="eastAsia" w:ascii="宋体" w:hAnsi="宋体" w:cs="宋体"/>
          <w:kern w:val="0"/>
          <w:sz w:val="24"/>
          <w:szCs w:val="24"/>
        </w:rPr>
      </w:pPr>
    </w:p>
    <w:p>
      <w:pPr>
        <w:pStyle w:val="14"/>
        <w:rPr>
          <w:rFonts w:hint="eastAsia"/>
        </w:rPr>
      </w:pPr>
      <w:r>
        <w:rPr>
          <w:rFonts w:hint="eastAsia"/>
          <w:b/>
          <w:bCs/>
        </w:rPr>
        <w:t>7.4.2 会计报表的编制基础</w:t>
      </w:r>
    </w:p>
    <w:p>
      <w:pPr>
        <w:pStyle w:val="19"/>
        <w:spacing w:before="0"/>
        <w:ind w:left="0" w:firstLine="480"/>
        <w:rPr>
          <w:rFonts w:hint="eastAsia"/>
        </w:rPr>
      </w:pPr>
      <w:r>
        <w:rPr>
          <w:rFonts w:hint="eastAsia"/>
        </w:rPr>
        <w:t>本基金以持续经营为基础。本财务报表符合中华人民共和国财政部(以下简称"财政部")颁布的企业会计准则的要求，同时亦按照中国证监会颁布的《证券投资基金信息披露XBRL模板第3号&lt;年度报告和半年度报告&gt;》以及中国证券投资基金业协会于2012年11月16日颁布的《证券投资基金会计核算业务指引》编制财务报表。</w:t>
      </w:r>
    </w:p>
    <w:p>
      <w:pPr>
        <w:widowControl/>
        <w:jc w:val="left"/>
        <w:rPr>
          <w:rFonts w:hint="eastAsia" w:ascii="宋体" w:hAnsi="宋体" w:cs="宋体"/>
          <w:kern w:val="0"/>
          <w:sz w:val="24"/>
          <w:szCs w:val="24"/>
        </w:rPr>
      </w:pPr>
    </w:p>
    <w:p>
      <w:pPr>
        <w:pStyle w:val="14"/>
        <w:rPr>
          <w:rFonts w:hint="eastAsia"/>
        </w:rPr>
      </w:pPr>
      <w:r>
        <w:rPr>
          <w:rFonts w:hint="eastAsia"/>
          <w:b/>
          <w:bCs/>
        </w:rPr>
        <w:t>7.4.3 遵循企业会计准则及其他有关规定的声明</w:t>
      </w:r>
    </w:p>
    <w:p>
      <w:pPr>
        <w:pStyle w:val="19"/>
        <w:spacing w:before="0"/>
        <w:ind w:left="0" w:firstLine="480"/>
        <w:rPr>
          <w:rFonts w:hint="eastAsia"/>
        </w:rPr>
      </w:pPr>
      <w:r>
        <w:rPr>
          <w:rFonts w:hint="eastAsia"/>
        </w:rPr>
        <w:t>本财务报表符合财政部颁布的企业会计准则及附注7.4.2中所列示的中国证监会和中国证券投资基金业协会发布的有关基金行业实务操作的规定的要求，真实、完整地反映了本基金2018年12月31日的财务状况、2018年度的经营成果和基金净值变动情况。</w:t>
      </w:r>
    </w:p>
    <w:p>
      <w:pPr>
        <w:widowControl/>
        <w:jc w:val="left"/>
        <w:rPr>
          <w:rFonts w:hint="eastAsia" w:ascii="宋体" w:hAnsi="宋体" w:cs="宋体"/>
          <w:kern w:val="0"/>
          <w:sz w:val="24"/>
          <w:szCs w:val="24"/>
        </w:rPr>
      </w:pPr>
    </w:p>
    <w:p>
      <w:pPr>
        <w:pStyle w:val="14"/>
        <w:rPr>
          <w:rFonts w:hint="eastAsia"/>
        </w:rPr>
      </w:pPr>
      <w:r>
        <w:rPr>
          <w:rFonts w:hint="eastAsia"/>
          <w:b/>
          <w:bCs/>
        </w:rPr>
        <w:t>7.4.4 重要会计政策和会计估计</w:t>
      </w:r>
    </w:p>
    <w:p>
      <w:pPr>
        <w:pStyle w:val="14"/>
        <w:rPr>
          <w:rFonts w:hint="eastAsia"/>
        </w:rPr>
      </w:pPr>
      <w:r>
        <w:rPr>
          <w:rFonts w:hint="eastAsia"/>
          <w:b/>
          <w:bCs/>
        </w:rPr>
        <w:t>7.4.4.1 会计年度</w:t>
      </w:r>
    </w:p>
    <w:p>
      <w:pPr>
        <w:pStyle w:val="19"/>
        <w:spacing w:before="0"/>
        <w:ind w:left="0" w:firstLine="480"/>
        <w:rPr>
          <w:rFonts w:hint="eastAsia"/>
        </w:rPr>
      </w:pPr>
      <w:r>
        <w:rPr>
          <w:rFonts w:hint="eastAsia"/>
        </w:rPr>
        <w:t>本基金的会计年度自公历1月1日至12月31日止。</w:t>
      </w:r>
    </w:p>
    <w:p>
      <w:pPr>
        <w:widowControl/>
        <w:jc w:val="left"/>
        <w:rPr>
          <w:rFonts w:hint="eastAsia" w:ascii="宋体" w:hAnsi="宋体" w:cs="宋体"/>
          <w:kern w:val="0"/>
          <w:sz w:val="24"/>
          <w:szCs w:val="24"/>
        </w:rPr>
      </w:pPr>
    </w:p>
    <w:p>
      <w:pPr>
        <w:pStyle w:val="14"/>
        <w:rPr>
          <w:rFonts w:hint="eastAsia"/>
        </w:rPr>
      </w:pPr>
      <w:r>
        <w:rPr>
          <w:rFonts w:hint="eastAsia"/>
          <w:b/>
          <w:bCs/>
        </w:rPr>
        <w:t>7.4.4.2 记账本位币</w:t>
      </w:r>
    </w:p>
    <w:p>
      <w:pPr>
        <w:pStyle w:val="19"/>
        <w:spacing w:before="0"/>
        <w:ind w:left="0" w:firstLine="480"/>
        <w:rPr>
          <w:rFonts w:hint="eastAsia"/>
        </w:rPr>
      </w:pPr>
      <w:r>
        <w:rPr>
          <w:rFonts w:hint="eastAsia"/>
        </w:rPr>
        <w:t>本基金的记账本位币为人民币，编制财务报表采用的货币为人民币。本基金选定记账本位币的依据是主要业务收支的计价和结算币种。</w:t>
      </w:r>
    </w:p>
    <w:p>
      <w:pPr>
        <w:widowControl/>
        <w:jc w:val="left"/>
        <w:rPr>
          <w:rFonts w:hint="eastAsia" w:ascii="宋体" w:hAnsi="宋体" w:cs="宋体"/>
          <w:kern w:val="0"/>
          <w:sz w:val="24"/>
          <w:szCs w:val="24"/>
        </w:rPr>
      </w:pPr>
    </w:p>
    <w:p>
      <w:pPr>
        <w:pStyle w:val="14"/>
        <w:rPr>
          <w:rFonts w:hint="eastAsia"/>
        </w:rPr>
      </w:pPr>
      <w:r>
        <w:rPr>
          <w:rFonts w:hint="eastAsia"/>
          <w:b/>
          <w:bCs/>
        </w:rPr>
        <w:t>7.4.4.3 金融资产和金融负债的分类</w:t>
      </w:r>
    </w:p>
    <w:p>
      <w:pPr>
        <w:pStyle w:val="19"/>
        <w:spacing w:before="0"/>
        <w:ind w:left="0" w:firstLine="480"/>
        <w:rPr>
          <w:rFonts w:hint="eastAsia"/>
        </w:rPr>
      </w:pPr>
      <w:r>
        <w:rPr>
          <w:rFonts w:hint="eastAsia"/>
        </w:rPr>
        <w:t>本基金在初始确认时按取得资产或承担负债的目的，把金融资产和金融负债分为不同类别：以公允价值计量且其变动计入当期损益的金融资产和金融负债、应收款项、持有至到期投资、可供出售金融资产和其他金融负债。本基金现无金融资产分类为持有至到期投资和可供出售金融资产。本基金现无金融负债分类为以公允价值计量且其变动计入当期损益的金融负债。</w:t>
      </w:r>
    </w:p>
    <w:p>
      <w:pPr>
        <w:pStyle w:val="19"/>
        <w:spacing w:before="0"/>
        <w:ind w:left="0" w:firstLine="480"/>
        <w:rPr>
          <w:rFonts w:hint="eastAsia"/>
        </w:rPr>
      </w:pPr>
      <w:r>
        <w:rPr>
          <w:rFonts w:hint="eastAsia"/>
        </w:rPr>
        <w:t>本基金目前持有的债券投资分类为以公允价值计量且其变动计入当期损益的金融资产。以公允价值计量且其变动计入当期损益的金融资产在资产负债表中以交易性金融资产列示。</w:t>
      </w:r>
    </w:p>
    <w:p>
      <w:pPr>
        <w:widowControl/>
        <w:jc w:val="left"/>
        <w:rPr>
          <w:rFonts w:hint="eastAsia" w:ascii="宋体" w:hAnsi="宋体" w:cs="宋体"/>
          <w:kern w:val="0"/>
          <w:sz w:val="24"/>
          <w:szCs w:val="24"/>
        </w:rPr>
      </w:pPr>
    </w:p>
    <w:p>
      <w:pPr>
        <w:pStyle w:val="14"/>
        <w:rPr>
          <w:rFonts w:hint="eastAsia"/>
        </w:rPr>
      </w:pPr>
      <w:r>
        <w:rPr>
          <w:rFonts w:hint="eastAsia"/>
          <w:b/>
          <w:bCs/>
        </w:rPr>
        <w:t>7.4.4.4 金融资产和金融负债的初始确认、后续计量和终止确认</w:t>
      </w:r>
    </w:p>
    <w:p>
      <w:pPr>
        <w:pStyle w:val="19"/>
        <w:spacing w:before="0"/>
        <w:ind w:left="0" w:firstLine="480"/>
        <w:rPr>
          <w:rFonts w:hint="eastAsia"/>
        </w:rPr>
      </w:pPr>
      <w:r>
        <w:rPr>
          <w:rFonts w:hint="eastAsia"/>
        </w:rPr>
        <w:t>金融资产和金融负债在本基金成为相关金融工具合同条款的一方时，于资产负债表内确认。</w:t>
      </w:r>
    </w:p>
    <w:p>
      <w:pPr>
        <w:pStyle w:val="19"/>
        <w:spacing w:before="0"/>
        <w:ind w:left="0" w:firstLine="480"/>
        <w:rPr>
          <w:rFonts w:hint="eastAsia"/>
        </w:rPr>
      </w:pPr>
      <w:r>
        <w:rPr>
          <w:rFonts w:hint="eastAsia"/>
        </w:rPr>
        <w:t>在初始确认时，金融资产及金融负债均以公允价值计量。对于以公允价值计量且其变动计入当期损益的金融资产或金融负债，相关交易费用直接计入当期损益；对于其他类别的金融资产或金融负债，相关交易费用计入初始确认金额。</w:t>
      </w:r>
    </w:p>
    <w:p>
      <w:pPr>
        <w:pStyle w:val="19"/>
        <w:spacing w:before="0"/>
        <w:ind w:left="0" w:firstLine="480"/>
        <w:rPr>
          <w:rFonts w:hint="eastAsia"/>
        </w:rPr>
      </w:pPr>
      <w:r>
        <w:rPr>
          <w:rFonts w:hint="eastAsia"/>
        </w:rPr>
        <w:t>初始确认后，金融资产和金融负债的后续计量如下：</w:t>
      </w:r>
    </w:p>
    <w:p>
      <w:pPr>
        <w:pStyle w:val="19"/>
        <w:spacing w:before="0"/>
        <w:ind w:left="0" w:firstLine="480"/>
        <w:rPr>
          <w:rFonts w:hint="eastAsia"/>
        </w:rPr>
      </w:pPr>
      <w:r>
        <w:rPr>
          <w:rFonts w:hint="eastAsia"/>
        </w:rPr>
        <w:t>以公允价值计量且其变动计入当期损益的金融资产和金融负债以公允价值计量，公允价值变动形成的利得或损失计入当期损益。</w:t>
      </w:r>
    </w:p>
    <w:p>
      <w:pPr>
        <w:pStyle w:val="19"/>
        <w:spacing w:before="0"/>
        <w:ind w:left="0" w:firstLine="480"/>
        <w:rPr>
          <w:rFonts w:hint="eastAsia"/>
        </w:rPr>
      </w:pPr>
      <w:r>
        <w:rPr>
          <w:rFonts w:hint="eastAsia"/>
        </w:rPr>
        <w:t>应收款项以实际利率法按摊余成本计量。</w:t>
      </w:r>
    </w:p>
    <w:p>
      <w:pPr>
        <w:pStyle w:val="19"/>
        <w:spacing w:before="0"/>
        <w:ind w:left="0" w:firstLine="480"/>
        <w:rPr>
          <w:rFonts w:hint="eastAsia"/>
        </w:rPr>
      </w:pPr>
      <w:r>
        <w:rPr>
          <w:rFonts w:hint="eastAsia"/>
        </w:rPr>
        <w:t>除以公允价值计量且其变动计入当期损益的金融负债以外的金融负债采用实际利率法按摊余成本进行后续计量。</w:t>
      </w:r>
    </w:p>
    <w:p>
      <w:pPr>
        <w:pStyle w:val="19"/>
        <w:spacing w:before="0"/>
        <w:ind w:left="0" w:firstLine="480"/>
        <w:rPr>
          <w:rFonts w:hint="eastAsia"/>
        </w:rPr>
      </w:pPr>
      <w:r>
        <w:rPr>
          <w:rFonts w:hint="eastAsia"/>
        </w:rPr>
        <w:t>满足下列条件之一时，本基金终止确认该金融资产：</w:t>
      </w:r>
    </w:p>
    <w:p>
      <w:pPr>
        <w:pStyle w:val="19"/>
        <w:spacing w:before="0"/>
        <w:ind w:left="0" w:firstLine="480"/>
        <w:rPr>
          <w:rFonts w:hint="eastAsia"/>
        </w:rPr>
      </w:pPr>
      <w:r>
        <w:rPr>
          <w:rFonts w:hint="eastAsia"/>
        </w:rPr>
        <w:t>-收取该金融资产现金流量的合同权利终止；</w:t>
      </w:r>
    </w:p>
    <w:p>
      <w:pPr>
        <w:pStyle w:val="19"/>
        <w:spacing w:before="0"/>
        <w:ind w:left="0" w:firstLine="480"/>
        <w:rPr>
          <w:rFonts w:hint="eastAsia"/>
        </w:rPr>
      </w:pPr>
      <w:r>
        <w:rPr>
          <w:rFonts w:hint="eastAsia"/>
        </w:rPr>
        <w:t>-该金融资产已转移，且本基金将金融资产所有权上几乎所有的风险和报酬转移给转入方；</w:t>
      </w:r>
    </w:p>
    <w:p>
      <w:pPr>
        <w:pStyle w:val="19"/>
        <w:spacing w:before="0"/>
        <w:ind w:left="0" w:firstLine="480"/>
        <w:rPr>
          <w:rFonts w:hint="eastAsia"/>
        </w:rPr>
      </w:pPr>
      <w:r>
        <w:rPr>
          <w:rFonts w:hint="eastAsia"/>
        </w:rPr>
        <w:t>-该金融资产已转移，虽然本基金既没有转移也没有保留金融资产所有权上几乎所有的风险和报酬，但是放弃了对该金融资产控制。</w:t>
      </w:r>
    </w:p>
    <w:p>
      <w:pPr>
        <w:pStyle w:val="19"/>
        <w:spacing w:before="0"/>
        <w:ind w:left="0" w:firstLine="480"/>
        <w:rPr>
          <w:rFonts w:hint="eastAsia"/>
        </w:rPr>
      </w:pPr>
      <w:r>
        <w:rPr>
          <w:rFonts w:hint="eastAsia"/>
        </w:rPr>
        <w:t>金融资产整体转移满足终止确认条件的，本基金将下列两项金额的差额计入当期损益：</w:t>
      </w:r>
    </w:p>
    <w:p>
      <w:pPr>
        <w:pStyle w:val="19"/>
        <w:spacing w:before="0"/>
        <w:ind w:left="0" w:firstLine="480"/>
        <w:rPr>
          <w:rFonts w:hint="eastAsia"/>
        </w:rPr>
      </w:pPr>
      <w:r>
        <w:rPr>
          <w:rFonts w:hint="eastAsia"/>
        </w:rPr>
        <w:t>-所转移金融资产的账面价值</w:t>
      </w:r>
    </w:p>
    <w:p>
      <w:pPr>
        <w:pStyle w:val="19"/>
        <w:spacing w:before="0"/>
        <w:ind w:left="0" w:firstLine="480"/>
        <w:rPr>
          <w:rFonts w:hint="eastAsia"/>
        </w:rPr>
      </w:pPr>
      <w:r>
        <w:rPr>
          <w:rFonts w:hint="eastAsia"/>
        </w:rPr>
        <w:t>-因转移而收到的对价</w:t>
      </w:r>
    </w:p>
    <w:p>
      <w:pPr>
        <w:pStyle w:val="19"/>
        <w:spacing w:before="0"/>
        <w:ind w:left="0" w:firstLine="480"/>
        <w:rPr>
          <w:rFonts w:hint="eastAsia"/>
        </w:rPr>
      </w:pPr>
      <w:r>
        <w:rPr>
          <w:rFonts w:hint="eastAsia"/>
        </w:rPr>
        <w:t>金融负债的现时义务全部或部分已经解除的，本基金终止确认该金融负债或其一部分。</w:t>
      </w:r>
    </w:p>
    <w:p>
      <w:pPr>
        <w:widowControl/>
        <w:jc w:val="left"/>
        <w:rPr>
          <w:rFonts w:hint="eastAsia" w:ascii="宋体" w:hAnsi="宋体" w:cs="宋体"/>
          <w:kern w:val="0"/>
          <w:sz w:val="24"/>
          <w:szCs w:val="24"/>
        </w:rPr>
      </w:pPr>
    </w:p>
    <w:p>
      <w:pPr>
        <w:pStyle w:val="14"/>
        <w:rPr>
          <w:rFonts w:hint="eastAsia"/>
        </w:rPr>
      </w:pPr>
      <w:r>
        <w:rPr>
          <w:rFonts w:hint="eastAsia"/>
          <w:b/>
          <w:bCs/>
        </w:rPr>
        <w:t>7.4.4.5 金融资产和金融负债的估值原则</w:t>
      </w:r>
    </w:p>
    <w:p>
      <w:pPr>
        <w:pStyle w:val="19"/>
        <w:spacing w:before="0"/>
        <w:ind w:left="0" w:firstLine="480"/>
        <w:rPr>
          <w:rFonts w:hint="eastAsia"/>
        </w:rPr>
      </w:pPr>
      <w:r>
        <w:rPr>
          <w:rFonts w:hint="eastAsia"/>
        </w:rPr>
        <w:t>除特别声明外，本基金按下述原则计量公允价值：</w:t>
      </w:r>
    </w:p>
    <w:p>
      <w:pPr>
        <w:pStyle w:val="19"/>
        <w:spacing w:before="0"/>
        <w:ind w:left="0" w:firstLine="480"/>
        <w:rPr>
          <w:rFonts w:hint="eastAsia"/>
        </w:rPr>
      </w:pPr>
      <w:r>
        <w:rPr>
          <w:rFonts w:hint="eastAsia"/>
        </w:rPr>
        <w:t>公允价值是指市场参与者在计量日发生的有序交易中，出售一项资产所能收到或者转移一项负债所需支付的价格。</w:t>
      </w:r>
    </w:p>
    <w:p>
      <w:pPr>
        <w:pStyle w:val="19"/>
        <w:spacing w:before="0"/>
        <w:ind w:left="0" w:firstLine="480"/>
        <w:rPr>
          <w:rFonts w:hint="eastAsia"/>
        </w:rPr>
      </w:pPr>
      <w:r>
        <w:rPr>
          <w:rFonts w:hint="eastAsia"/>
        </w:rPr>
        <w:t>本基金在确定相关金融资产和金融负债的公允价值时，根据《企业会计准则》的规定采用在当前情况下适用并且有足够可利用数据和其他信息支持的估值技术。</w:t>
      </w:r>
    </w:p>
    <w:p>
      <w:pPr>
        <w:pStyle w:val="19"/>
        <w:spacing w:before="0"/>
        <w:ind w:left="0" w:firstLine="480"/>
        <w:rPr>
          <w:rFonts w:hint="eastAsia"/>
        </w:rPr>
      </w:pPr>
      <w:r>
        <w:rPr>
          <w:rFonts w:hint="eastAsia"/>
        </w:rPr>
        <w:t>存在活跃市场且能够获取相同资产或负债报价的金融工具，在估值日有报价的，除会计准则规定的情况外，将该报价不加调整地应用于该资产或负债的公允价值计量；估值日无报价且最近交易日后未发生影响公允价值计量的重大事件的，采用最近交易日的报价确定公允价值。有充足证据表明估值日或最近交易日的报价不能真实反映公允价值的，对报价进行调整，确定公允价值。与上述金融工具相同，但具有不同特征的，以相同资产或负债的公允价值为基础，并在估值技术中考虑不同特征因素的影响。特征是指对资产出售或使用的限制等，如果该限制是针对资产持有者的，那么在估值技术中不应将该限制作为特征考虑。此外，本基金不考虑因其大量持有相关资产或负债所产生的溢价或折价。</w:t>
      </w:r>
    </w:p>
    <w:p>
      <w:pPr>
        <w:pStyle w:val="19"/>
        <w:spacing w:before="0"/>
        <w:ind w:left="0" w:firstLine="480"/>
        <w:rPr>
          <w:rFonts w:hint="eastAsia"/>
        </w:rPr>
      </w:pPr>
      <w:r>
        <w:rPr>
          <w:rFonts w:hint="eastAsia"/>
        </w:rPr>
        <w:t>对不存在活跃市场的金融工具，采用在当前情况下适用并且有足够可利用数据和其他信息支持的估值技术确定公允价值。采用估值技术确定公允价值时，优先使用可观察输入值，只有在无法取得相关资产或负债可观察输入值或取得不切实可行的情况下，才可以使用不可观察输入值。</w:t>
      </w:r>
    </w:p>
    <w:p>
      <w:pPr>
        <w:pStyle w:val="19"/>
        <w:spacing w:before="0"/>
        <w:ind w:left="0" w:firstLine="480"/>
        <w:rPr>
          <w:rFonts w:hint="eastAsia"/>
        </w:rPr>
      </w:pPr>
      <w:r>
        <w:rPr>
          <w:rFonts w:hint="eastAsia"/>
        </w:rPr>
        <w:t>如经济环境发生重大变化或证券发行人发生影响证券价格的重大事件，参考类似投资品种的现行市价及重大变化等因素，对估值进行调整并确定公允价值。</w:t>
      </w:r>
    </w:p>
    <w:p>
      <w:pPr>
        <w:widowControl/>
        <w:jc w:val="left"/>
        <w:rPr>
          <w:rFonts w:hint="eastAsia" w:ascii="宋体" w:hAnsi="宋体" w:cs="宋体"/>
          <w:kern w:val="0"/>
          <w:sz w:val="24"/>
          <w:szCs w:val="24"/>
        </w:rPr>
      </w:pPr>
    </w:p>
    <w:p>
      <w:pPr>
        <w:pStyle w:val="14"/>
        <w:rPr>
          <w:rFonts w:hint="eastAsia"/>
        </w:rPr>
      </w:pPr>
      <w:r>
        <w:rPr>
          <w:rFonts w:hint="eastAsia"/>
          <w:b/>
          <w:bCs/>
        </w:rPr>
        <w:t>7.4.4.6 金融资产和金融负债的抵销</w:t>
      </w:r>
    </w:p>
    <w:p>
      <w:pPr>
        <w:pStyle w:val="19"/>
        <w:spacing w:before="0"/>
        <w:ind w:left="0" w:firstLine="480"/>
        <w:rPr>
          <w:rFonts w:hint="eastAsia"/>
        </w:rPr>
      </w:pPr>
      <w:r>
        <w:rPr>
          <w:rFonts w:hint="eastAsia"/>
        </w:rPr>
        <w:t>金融资产和金融负债在资产负债表内分别列示，没有相互抵销。但是，同时满足下列条件的，以相互抵销后的净额在资产负债表内列示：</w:t>
      </w:r>
    </w:p>
    <w:p>
      <w:pPr>
        <w:pStyle w:val="19"/>
        <w:spacing w:before="0"/>
        <w:ind w:left="0" w:firstLine="480"/>
        <w:rPr>
          <w:rFonts w:hint="eastAsia"/>
        </w:rPr>
      </w:pPr>
      <w:r>
        <w:rPr>
          <w:rFonts w:hint="eastAsia"/>
        </w:rPr>
        <w:t>-本基金具有抵销已确认金额的法定权利，且该种法定权利是当前可执行的；</w:t>
      </w:r>
    </w:p>
    <w:p>
      <w:pPr>
        <w:pStyle w:val="19"/>
        <w:spacing w:before="0"/>
        <w:ind w:left="0" w:firstLine="480"/>
        <w:rPr>
          <w:rFonts w:hint="eastAsia"/>
        </w:rPr>
      </w:pPr>
      <w:r>
        <w:rPr>
          <w:rFonts w:hint="eastAsia"/>
        </w:rPr>
        <w:t>-本基金计划以净额结算，或同时变现该金融资产和清偿该金融负债。</w:t>
      </w:r>
    </w:p>
    <w:p>
      <w:pPr>
        <w:widowControl/>
        <w:jc w:val="left"/>
        <w:rPr>
          <w:rFonts w:hint="eastAsia" w:ascii="宋体" w:hAnsi="宋体" w:cs="宋体"/>
          <w:kern w:val="0"/>
          <w:sz w:val="24"/>
          <w:szCs w:val="24"/>
        </w:rPr>
      </w:pPr>
    </w:p>
    <w:p>
      <w:pPr>
        <w:pStyle w:val="14"/>
        <w:rPr>
          <w:rFonts w:hint="eastAsia"/>
        </w:rPr>
      </w:pPr>
      <w:r>
        <w:rPr>
          <w:rFonts w:hint="eastAsia"/>
          <w:b/>
          <w:bCs/>
        </w:rPr>
        <w:t>7.4.4.7 实收基金</w:t>
      </w:r>
    </w:p>
    <w:p>
      <w:pPr>
        <w:pStyle w:val="19"/>
        <w:spacing w:before="0"/>
        <w:ind w:left="0" w:firstLine="480"/>
        <w:rPr>
          <w:rFonts w:hint="eastAsia"/>
        </w:rPr>
      </w:pPr>
      <w:r>
        <w:rPr>
          <w:rFonts w:hint="eastAsia"/>
        </w:rPr>
        <w:t>实收基金为对外发行基金份额所募集的总金额在扣除损益平准金分摊部分后的余额。由于基金份额拆分引起的实收基金份额变动于基金份额拆分日根据拆分前的基金份额数及确定的拆分比例计算认列。由于申购和赎回引起的实收基金份额变动分别于基金申购确认日及基金赎回确认日认列。上述申购和赎回分别包括基金转换所引起的转入基金的实收基金增加和转出基金的实收基金减少。</w:t>
      </w:r>
    </w:p>
    <w:p>
      <w:pPr>
        <w:widowControl/>
        <w:jc w:val="left"/>
        <w:rPr>
          <w:rFonts w:hint="eastAsia" w:ascii="宋体" w:hAnsi="宋体" w:cs="宋体"/>
          <w:kern w:val="0"/>
          <w:sz w:val="24"/>
          <w:szCs w:val="24"/>
        </w:rPr>
      </w:pPr>
    </w:p>
    <w:p>
      <w:pPr>
        <w:pStyle w:val="14"/>
        <w:rPr>
          <w:rFonts w:hint="eastAsia"/>
        </w:rPr>
      </w:pPr>
      <w:r>
        <w:rPr>
          <w:rFonts w:hint="eastAsia"/>
          <w:b/>
          <w:bCs/>
        </w:rPr>
        <w:t>7.4.4.8 损益平准金</w:t>
      </w:r>
    </w:p>
    <w:p>
      <w:pPr>
        <w:pStyle w:val="19"/>
        <w:spacing w:before="0"/>
        <w:ind w:left="0" w:firstLine="480"/>
        <w:rPr>
          <w:rFonts w:hint="eastAsia"/>
        </w:rPr>
      </w:pPr>
      <w:r>
        <w:rPr>
          <w:rFonts w:hint="eastAsia"/>
        </w:rPr>
        <w:t>损益平准金核算在基金份额发生变动时，申购、赎回、转入、转出及红利再投资等款项中包含的未分配利润和公允价值变动损益，包括已实现损益平准金和未实现损益平准金。已实现损益平准金指根据交易申请日申购或赎回款项中包含的按累计未分配的已实现损益占基金净值比例计算的金额。未实现损益平准金指根据交易申请日申购或赎回款项中包含的按累计未分配的未实现损益占基金净值比例计算的金额。损益平准金于基金申购确认日或基金赎回确认日进行确认和计量，并于会计期末全额转入"未分配利润/(累计亏损)"。</w:t>
      </w:r>
    </w:p>
    <w:p>
      <w:pPr>
        <w:widowControl/>
        <w:jc w:val="left"/>
        <w:rPr>
          <w:rFonts w:hint="eastAsia" w:ascii="宋体" w:hAnsi="宋体" w:cs="宋体"/>
          <w:kern w:val="0"/>
          <w:sz w:val="24"/>
          <w:szCs w:val="24"/>
        </w:rPr>
      </w:pPr>
    </w:p>
    <w:p>
      <w:pPr>
        <w:pStyle w:val="14"/>
        <w:rPr>
          <w:rFonts w:hint="eastAsia"/>
        </w:rPr>
      </w:pPr>
      <w:r>
        <w:rPr>
          <w:rFonts w:hint="eastAsia"/>
          <w:b/>
          <w:bCs/>
        </w:rPr>
        <w:t>7.4.4.9 收入/（损失）的确认和计量</w:t>
      </w:r>
    </w:p>
    <w:p>
      <w:pPr>
        <w:pStyle w:val="19"/>
        <w:spacing w:before="0"/>
        <w:ind w:left="0" w:firstLine="480"/>
        <w:rPr>
          <w:rFonts w:hint="eastAsia"/>
        </w:rPr>
      </w:pPr>
      <w:r>
        <w:rPr>
          <w:rFonts w:hint="eastAsia"/>
        </w:rPr>
        <w:t>股票投资收益、债券投资收益和衍生工具收益按相关金融资产于处置日成交金额与其成本的差额确认。</w:t>
      </w:r>
    </w:p>
    <w:p>
      <w:pPr>
        <w:pStyle w:val="19"/>
        <w:spacing w:before="0"/>
        <w:ind w:left="0" w:firstLine="480"/>
        <w:rPr>
          <w:rFonts w:hint="eastAsia"/>
        </w:rPr>
      </w:pPr>
      <w:r>
        <w:rPr>
          <w:rFonts w:hint="eastAsia"/>
        </w:rPr>
        <w:t>股利收益按上市公司宣告的分红派息比例计算的金额扣除应由上市公司代扣代缴的个人所得税后的净额确认。</w:t>
      </w:r>
    </w:p>
    <w:p>
      <w:pPr>
        <w:pStyle w:val="19"/>
        <w:spacing w:before="0"/>
        <w:ind w:left="0" w:firstLine="480"/>
        <w:rPr>
          <w:rFonts w:hint="eastAsia"/>
        </w:rPr>
      </w:pPr>
      <w:r>
        <w:rPr>
          <w:rFonts w:hint="eastAsia"/>
        </w:rPr>
        <w:t>债券利息收入按债券投资的票面价值与票面利率计算的金额扣除应由发行债券的企业代扣代缴的个人所得税 (如适用) 后的净额确认，在债券实际持有期内逐日计提。贴息债视同到期一次性还本付息的附息债，根据其发行价、到期价和发行期限按直线法推算内含票面利率后，逐日计提利息收入。如票面利率与实际利率出现重大差异，按实际利率计算利息收入。</w:t>
      </w:r>
    </w:p>
    <w:p>
      <w:pPr>
        <w:pStyle w:val="19"/>
        <w:spacing w:before="0"/>
        <w:ind w:left="0" w:firstLine="480"/>
        <w:rPr>
          <w:rFonts w:hint="eastAsia"/>
        </w:rPr>
      </w:pPr>
      <w:r>
        <w:rPr>
          <w:rFonts w:hint="eastAsia"/>
        </w:rPr>
        <w:t>利息收入是按借出货币资金的时间和实际利率计算确定。</w:t>
      </w:r>
    </w:p>
    <w:p>
      <w:pPr>
        <w:pStyle w:val="19"/>
        <w:spacing w:before="0"/>
        <w:ind w:left="0" w:firstLine="480"/>
        <w:rPr>
          <w:rFonts w:hint="eastAsia"/>
        </w:rPr>
      </w:pPr>
      <w:r>
        <w:rPr>
          <w:rFonts w:hint="eastAsia"/>
        </w:rPr>
        <w:t>买入返售金融资产收入按到期应收或实际收到的金额与初始确认金额的差额，在资金实际占用期间内按实际利率法逐日确认，直线法与实际利率法确定的收入差异较小的可采用直线法。</w:t>
      </w:r>
    </w:p>
    <w:p>
      <w:pPr>
        <w:pStyle w:val="19"/>
        <w:spacing w:before="0"/>
        <w:ind w:left="0" w:firstLine="480"/>
        <w:rPr>
          <w:rFonts w:hint="eastAsia"/>
        </w:rPr>
      </w:pPr>
      <w:r>
        <w:rPr>
          <w:rFonts w:hint="eastAsia"/>
        </w:rPr>
        <w:t>公允价值变动收益核算基金持有的采用公允价值模式计量的以公允价值计量且变动计入当期损益的金融资产、衍生金融资产、以公允价值计量且变动计入当期损益的金融负债等公允价值变动形成的应计入当期损益的利得或损失。</w:t>
      </w:r>
    </w:p>
    <w:p>
      <w:pPr>
        <w:widowControl/>
        <w:jc w:val="left"/>
        <w:rPr>
          <w:rFonts w:hint="eastAsia" w:ascii="宋体" w:hAnsi="宋体" w:cs="宋体"/>
          <w:kern w:val="0"/>
          <w:sz w:val="24"/>
          <w:szCs w:val="24"/>
        </w:rPr>
      </w:pPr>
    </w:p>
    <w:p>
      <w:pPr>
        <w:pStyle w:val="14"/>
        <w:rPr>
          <w:rFonts w:hint="eastAsia"/>
        </w:rPr>
      </w:pPr>
      <w:r>
        <w:rPr>
          <w:rFonts w:hint="eastAsia"/>
          <w:b/>
          <w:bCs/>
        </w:rPr>
        <w:t>7.4.4.10 费用的确认和计量</w:t>
      </w:r>
    </w:p>
    <w:p>
      <w:pPr>
        <w:pStyle w:val="19"/>
        <w:spacing w:before="0"/>
        <w:ind w:left="0" w:firstLine="480"/>
        <w:rPr>
          <w:rFonts w:hint="eastAsia"/>
        </w:rPr>
      </w:pPr>
      <w:r>
        <w:rPr>
          <w:rFonts w:hint="eastAsia"/>
        </w:rPr>
        <w:t>本基金的管理人报酬和托管费在费用涵盖期间按基金合同约定的费率和计算方法逐日确认。</w:t>
      </w:r>
    </w:p>
    <w:p>
      <w:pPr>
        <w:pStyle w:val="19"/>
        <w:spacing w:before="0"/>
        <w:ind w:left="0" w:firstLine="480"/>
        <w:rPr>
          <w:rFonts w:hint="eastAsia"/>
        </w:rPr>
      </w:pPr>
      <w:r>
        <w:rPr>
          <w:rFonts w:hint="eastAsia"/>
        </w:rPr>
        <w:t>本基金的交易费用于进行股票、债券、权证等交易发生时按照确定的金额确认。</w:t>
      </w:r>
    </w:p>
    <w:p>
      <w:pPr>
        <w:pStyle w:val="19"/>
        <w:spacing w:before="0"/>
        <w:ind w:left="0" w:firstLine="480"/>
        <w:rPr>
          <w:rFonts w:hint="eastAsia"/>
        </w:rPr>
      </w:pPr>
      <w:r>
        <w:rPr>
          <w:rFonts w:hint="eastAsia"/>
        </w:rPr>
        <w:t>本基金的利息支出按资金的本金和适用利率逐日计提。</w:t>
      </w:r>
    </w:p>
    <w:p>
      <w:pPr>
        <w:pStyle w:val="19"/>
        <w:spacing w:before="0"/>
        <w:ind w:left="0" w:firstLine="480"/>
        <w:rPr>
          <w:rFonts w:hint="eastAsia"/>
        </w:rPr>
      </w:pPr>
      <w:r>
        <w:rPr>
          <w:rFonts w:hint="eastAsia"/>
        </w:rPr>
        <w:t>卖出回购金融资产利息支出按到期应付或实际支付的金额与初始确认金额的差额，在资金实际占用期间内以实际利率法逐日确认，直线法与实际利率法确定的支出差异较小的可采用直线法。</w:t>
      </w:r>
    </w:p>
    <w:p>
      <w:pPr>
        <w:pStyle w:val="19"/>
        <w:spacing w:before="0"/>
        <w:ind w:left="0" w:firstLine="480"/>
        <w:rPr>
          <w:rFonts w:hint="eastAsia"/>
        </w:rPr>
      </w:pPr>
      <w:r>
        <w:rPr>
          <w:rFonts w:hint="eastAsia"/>
        </w:rPr>
        <w:t>本基金的其他费用如不影响估值日基金份额净值小数点后第四位，发生时直接计入基金损益；如果影响基金份额净值小数点后第四位的，应采用待摊或预提的方法，待摊或预提计入基金损益。</w:t>
      </w:r>
    </w:p>
    <w:p>
      <w:pPr>
        <w:widowControl/>
        <w:jc w:val="left"/>
        <w:rPr>
          <w:rFonts w:hint="eastAsia" w:ascii="宋体" w:hAnsi="宋体" w:cs="宋体"/>
          <w:kern w:val="0"/>
          <w:sz w:val="24"/>
          <w:szCs w:val="24"/>
        </w:rPr>
      </w:pPr>
    </w:p>
    <w:p>
      <w:pPr>
        <w:pStyle w:val="14"/>
        <w:rPr>
          <w:rFonts w:hint="eastAsia"/>
        </w:rPr>
      </w:pPr>
      <w:r>
        <w:rPr>
          <w:rFonts w:hint="eastAsia"/>
          <w:b/>
          <w:bCs/>
        </w:rPr>
        <w:t>7.4.4.11 基金的收益分配政策</w:t>
      </w:r>
    </w:p>
    <w:p>
      <w:pPr>
        <w:pStyle w:val="19"/>
        <w:spacing w:before="0"/>
        <w:ind w:left="0" w:firstLine="480"/>
        <w:rPr>
          <w:rFonts w:hint="eastAsia"/>
        </w:rPr>
      </w:pPr>
      <w:r>
        <w:rPr>
          <w:rFonts w:hint="eastAsia"/>
        </w:rPr>
        <w:t>(a)本基金收益分配方式分两种：现金分红与红利再投资，投资者可选择现金红利或将现金红利自动转为基金份额进行再投资；若投资者不选择，本基金默认的收益分配方式是现金分红；</w:t>
      </w:r>
    </w:p>
    <w:p>
      <w:pPr>
        <w:pStyle w:val="19"/>
        <w:spacing w:before="0"/>
        <w:ind w:left="0" w:firstLine="480"/>
        <w:rPr>
          <w:rFonts w:hint="eastAsia"/>
        </w:rPr>
      </w:pPr>
      <w:r>
        <w:rPr>
          <w:rFonts w:hint="eastAsia"/>
        </w:rPr>
        <w:t>(b)基金收益分配后基金份额净值不能低于面值；即基金收益分配基准日的基金份额净值减去每单位基金份额收益分配金额后不能低于面值；</w:t>
      </w:r>
    </w:p>
    <w:p>
      <w:pPr>
        <w:pStyle w:val="19"/>
        <w:spacing w:before="0"/>
        <w:ind w:left="0" w:firstLine="480"/>
        <w:rPr>
          <w:rFonts w:hint="eastAsia"/>
        </w:rPr>
      </w:pPr>
      <w:r>
        <w:rPr>
          <w:rFonts w:hint="eastAsia"/>
        </w:rPr>
        <w:t>(c)每一基金份额享有同等分配权；</w:t>
      </w:r>
    </w:p>
    <w:p>
      <w:pPr>
        <w:pStyle w:val="19"/>
        <w:spacing w:before="0"/>
        <w:ind w:left="0" w:firstLine="480"/>
        <w:rPr>
          <w:rFonts w:hint="eastAsia"/>
        </w:rPr>
      </w:pPr>
      <w:r>
        <w:rPr>
          <w:rFonts w:hint="eastAsia"/>
        </w:rPr>
        <w:t>(d)在对基金份额持有人利益无实质不利影响的前提下，基金管理人可调整基金收益的分配原则和支付方式，不需召开基金份额持有人大会审议；</w:t>
      </w:r>
    </w:p>
    <w:p>
      <w:pPr>
        <w:pStyle w:val="19"/>
        <w:spacing w:before="0"/>
        <w:ind w:left="0" w:firstLine="480"/>
        <w:rPr>
          <w:rFonts w:hint="eastAsia"/>
        </w:rPr>
      </w:pPr>
      <w:r>
        <w:rPr>
          <w:rFonts w:hint="eastAsia"/>
        </w:rPr>
        <w:t>(e)法律法规或监管机关另有规定的，从其规定。</w:t>
      </w:r>
    </w:p>
    <w:p>
      <w:pPr>
        <w:widowControl/>
        <w:jc w:val="left"/>
        <w:rPr>
          <w:rFonts w:hint="eastAsia" w:ascii="宋体" w:hAnsi="宋体" w:cs="宋体"/>
          <w:kern w:val="0"/>
          <w:sz w:val="24"/>
          <w:szCs w:val="24"/>
        </w:rPr>
      </w:pPr>
    </w:p>
    <w:p>
      <w:pPr>
        <w:pStyle w:val="14"/>
        <w:rPr>
          <w:rFonts w:hint="eastAsia"/>
        </w:rPr>
      </w:pPr>
      <w:r>
        <w:rPr>
          <w:rFonts w:hint="eastAsia"/>
          <w:b/>
          <w:bCs/>
        </w:rPr>
        <w:t>7.4.4.12 分部报告</w:t>
      </w:r>
    </w:p>
    <w:p>
      <w:pPr>
        <w:pStyle w:val="19"/>
        <w:spacing w:before="0"/>
        <w:ind w:left="0" w:firstLine="480"/>
        <w:rPr>
          <w:rFonts w:hint="eastAsia"/>
        </w:rPr>
      </w:pPr>
      <w:r>
        <w:rPr>
          <w:rFonts w:hint="eastAsia"/>
        </w:rPr>
        <w:t>本基金以内部组织结构、管理要求、内部报告制度为依据确定经营分部，以经营分部为基础确定报告分部。</w:t>
      </w:r>
    </w:p>
    <w:p>
      <w:pPr>
        <w:pStyle w:val="19"/>
        <w:spacing w:before="0"/>
        <w:ind w:left="0" w:firstLine="480"/>
        <w:rPr>
          <w:rFonts w:hint="eastAsia"/>
        </w:rPr>
      </w:pPr>
      <w:r>
        <w:rPr>
          <w:rFonts w:hint="eastAsia"/>
        </w:rPr>
        <w:t>本基金目前以一个经营分部运作，不需要进行分部报告的披露。</w:t>
      </w:r>
    </w:p>
    <w:p>
      <w:pPr>
        <w:widowControl/>
        <w:jc w:val="left"/>
        <w:rPr>
          <w:rFonts w:hint="eastAsia" w:ascii="宋体" w:hAnsi="宋体" w:cs="宋体"/>
          <w:kern w:val="0"/>
          <w:sz w:val="24"/>
          <w:szCs w:val="24"/>
        </w:rPr>
      </w:pPr>
    </w:p>
    <w:p>
      <w:pPr>
        <w:pStyle w:val="14"/>
        <w:rPr>
          <w:rFonts w:hint="eastAsia"/>
        </w:rPr>
      </w:pPr>
      <w:r>
        <w:rPr>
          <w:rFonts w:hint="eastAsia"/>
          <w:b/>
          <w:bCs/>
        </w:rPr>
        <w:t>7.4.4.13 其他重要的会计政策和会计估计</w:t>
      </w:r>
    </w:p>
    <w:p>
      <w:pPr>
        <w:pStyle w:val="19"/>
        <w:spacing w:before="0"/>
        <w:ind w:left="0" w:firstLine="480"/>
        <w:rPr>
          <w:rFonts w:hint="eastAsia"/>
        </w:rPr>
      </w:pPr>
      <w:r>
        <w:rPr>
          <w:rFonts w:hint="eastAsia"/>
        </w:rPr>
        <w:t>对于证券交易所上市的股票，若出现重大事项停牌或交易不活跃(包括涨跌停时的交易不活跃)等情况，本基金根据中国证监会公告[2017]13号《中国证券监督管理委员会关于证券投资基金估值业务的指导意见》，根据具体情况采用《关于发布中基协(AMAC)基金行业股票估值指数的通知》提供的指数收益法、市盈率法、现金流量折现法等估值技术进行估值。</w:t>
      </w:r>
    </w:p>
    <w:p>
      <w:pPr>
        <w:pStyle w:val="19"/>
        <w:spacing w:before="0"/>
        <w:ind w:left="0" w:firstLine="480"/>
        <w:rPr>
          <w:rFonts w:hint="eastAsia"/>
        </w:rPr>
      </w:pPr>
      <w:r>
        <w:rPr>
          <w:rFonts w:hint="eastAsia"/>
        </w:rPr>
        <w:t>对于在发行时明确一定期限限售期的股票，包括但不限于非公开发行股票、首次公开发行股票时公司股东公开发售股份、通过大宗交易取得的带限售期的股票等，不包括停牌、新发行未上市、回购交易中的质押券等流通受限股票，根据中基协发[2017]6号《关于发布&lt;证券投资基金投资流通受限股票估值指引（试行）&gt;的通知》，在估值日按照流通受限股票计算公式确定估值日流通受限股票的价值。</w:t>
      </w:r>
    </w:p>
    <w:p>
      <w:pPr>
        <w:pStyle w:val="19"/>
        <w:spacing w:before="0"/>
        <w:ind w:left="0" w:firstLine="480"/>
        <w:rPr>
          <w:rFonts w:hint="eastAsia"/>
        </w:rPr>
      </w:pPr>
      <w:r>
        <w:rPr>
          <w:rFonts w:hint="eastAsia"/>
        </w:rPr>
        <w:t>根据《中国证券投资基金业协会估值核算工作小组关于2015年1季度固定收益品种的估值处理标准》（以下简称"估值处理标准"），在上海证券交易所、深圳证券交易所及银行间同业市场上市交易或挂牌转让的固定收益品种（估值处理标准另有规定的除外），采用第三方估值机构提供的价格数据进行估值。</w:t>
      </w:r>
    </w:p>
    <w:p>
      <w:pPr>
        <w:widowControl/>
        <w:jc w:val="left"/>
        <w:rPr>
          <w:rFonts w:hint="eastAsia" w:ascii="宋体" w:hAnsi="宋体" w:cs="宋体"/>
          <w:kern w:val="0"/>
          <w:sz w:val="24"/>
          <w:szCs w:val="24"/>
        </w:rPr>
      </w:pPr>
    </w:p>
    <w:p>
      <w:pPr>
        <w:pStyle w:val="14"/>
        <w:rPr>
          <w:rFonts w:hint="eastAsia"/>
        </w:rPr>
      </w:pPr>
      <w:r>
        <w:rPr>
          <w:rFonts w:hint="eastAsia"/>
          <w:b/>
          <w:bCs/>
        </w:rPr>
        <w:t>7.4.5 会计政策和会计估计变更以及差错更正的说明</w:t>
      </w:r>
    </w:p>
    <w:p>
      <w:pPr>
        <w:pStyle w:val="14"/>
        <w:rPr>
          <w:rFonts w:hint="eastAsia"/>
        </w:rPr>
      </w:pPr>
      <w:r>
        <w:rPr>
          <w:rFonts w:hint="eastAsia"/>
          <w:b/>
          <w:bCs/>
        </w:rPr>
        <w:t>7.4.5.1 会计政策变更的说明</w:t>
      </w:r>
    </w:p>
    <w:p>
      <w:pPr>
        <w:pStyle w:val="19"/>
        <w:spacing w:before="0"/>
        <w:ind w:left="0" w:firstLine="480"/>
        <w:rPr>
          <w:rFonts w:hint="eastAsia"/>
        </w:rPr>
      </w:pPr>
      <w:r>
        <w:rPr>
          <w:rFonts w:hint="eastAsia"/>
        </w:rPr>
        <w:t>本基金在本报告期内未发生重大会计政策变更。</w:t>
      </w:r>
    </w:p>
    <w:p>
      <w:pPr>
        <w:widowControl/>
        <w:jc w:val="left"/>
        <w:rPr>
          <w:rFonts w:hint="eastAsia" w:ascii="宋体" w:hAnsi="宋体" w:cs="宋体"/>
          <w:kern w:val="0"/>
          <w:sz w:val="24"/>
          <w:szCs w:val="24"/>
        </w:rPr>
      </w:pPr>
    </w:p>
    <w:p>
      <w:pPr>
        <w:pStyle w:val="14"/>
        <w:rPr>
          <w:rFonts w:hint="eastAsia"/>
        </w:rPr>
      </w:pPr>
      <w:r>
        <w:rPr>
          <w:rFonts w:hint="eastAsia"/>
          <w:b/>
          <w:bCs/>
        </w:rPr>
        <w:t>7.4.5.2 会计估计变更的说明</w:t>
      </w:r>
    </w:p>
    <w:p>
      <w:pPr>
        <w:pStyle w:val="19"/>
        <w:spacing w:before="0"/>
        <w:ind w:left="0" w:firstLine="480"/>
        <w:rPr>
          <w:rFonts w:hint="eastAsia"/>
        </w:rPr>
      </w:pPr>
      <w:r>
        <w:rPr>
          <w:rFonts w:hint="eastAsia"/>
        </w:rPr>
        <w:t>本基金在本报告期内未发生重大会计估计变更。</w:t>
      </w:r>
    </w:p>
    <w:p>
      <w:pPr>
        <w:widowControl/>
        <w:jc w:val="left"/>
        <w:rPr>
          <w:rFonts w:hint="eastAsia" w:ascii="宋体" w:hAnsi="宋体" w:cs="宋体"/>
          <w:kern w:val="0"/>
          <w:sz w:val="24"/>
          <w:szCs w:val="24"/>
        </w:rPr>
      </w:pPr>
    </w:p>
    <w:p>
      <w:pPr>
        <w:pStyle w:val="14"/>
        <w:rPr>
          <w:rFonts w:hint="eastAsia"/>
        </w:rPr>
      </w:pPr>
      <w:r>
        <w:rPr>
          <w:rFonts w:hint="eastAsia"/>
          <w:b/>
          <w:bCs/>
        </w:rPr>
        <w:t>7.4.5.3 差错更正的说明</w:t>
      </w:r>
    </w:p>
    <w:p>
      <w:pPr>
        <w:pStyle w:val="19"/>
        <w:spacing w:before="0"/>
        <w:ind w:left="0" w:firstLine="480"/>
        <w:rPr>
          <w:rFonts w:hint="eastAsia"/>
        </w:rPr>
      </w:pPr>
      <w:r>
        <w:rPr>
          <w:rFonts w:hint="eastAsia"/>
        </w:rPr>
        <w:t>本基金在本报告期内未发生重大会计差错更正。</w:t>
      </w:r>
    </w:p>
    <w:p>
      <w:pPr>
        <w:widowControl/>
        <w:jc w:val="left"/>
        <w:rPr>
          <w:rFonts w:hint="eastAsia" w:ascii="宋体" w:hAnsi="宋体" w:cs="宋体"/>
          <w:kern w:val="0"/>
          <w:sz w:val="24"/>
          <w:szCs w:val="24"/>
        </w:rPr>
      </w:pPr>
    </w:p>
    <w:p>
      <w:pPr>
        <w:pStyle w:val="14"/>
        <w:rPr>
          <w:rFonts w:hint="eastAsia"/>
        </w:rPr>
      </w:pPr>
      <w:r>
        <w:rPr>
          <w:rFonts w:hint="eastAsia"/>
          <w:b/>
          <w:bCs/>
        </w:rPr>
        <w:t>7.4.6 税项</w:t>
      </w:r>
    </w:p>
    <w:p>
      <w:pPr>
        <w:pStyle w:val="19"/>
        <w:spacing w:before="0"/>
        <w:ind w:left="0" w:firstLine="480"/>
        <w:rPr>
          <w:rFonts w:hint="eastAsia"/>
        </w:rPr>
      </w:pPr>
      <w:r>
        <w:rPr>
          <w:rFonts w:hint="eastAsia"/>
        </w:rPr>
        <w:t>根据财政部、国家税务总局财税[2002]128号《关于开放式证券投资基金有关税收问题的通知》、财税 [2004] 78号文《关于证券投资基金税收政策的通知》、财税 [2012] 85号文《财政部、国家税务总局、证监会关于实施上市公司股息红利差别化个人所得税政策有关问题的通知》、财税 [2015] 101号《财政部、国家税务总局、证监会关于上市公司股息红利差别化个人所得税政策有关问题的通知》、财税 [2005] 103号文《关于股权分置试点改革有关税收政策问题的通知》、上证交字 [2008] 16号《关于做好调整证券交易印花税税率相关工作的通知》及深圳证券交易所于2008年9月18日发布的《深圳证券交易所关于做好证券交易印花税征收方式调整工作的通知》、财税 [2008] 1号文《财政部、国家税务总局关于企业所得税若干优惠政策的通知》、财税 [2016] 36号文《财政部、国家税务总局关于全面推开营业税改征增值税试点的通知》、财税[2016]46号《关于进一步明确全面推开营改增试点金融业有关政策的通知》、财税[2016]70号《关于金融机构同业往来等增值税政策的补充通知》、财税 [2016] 140号文《关于明确金融、房地产开发、教育辅助服务等增值税政策的通知》、财税 [2017] 2号文《关于资管产品增值税政策有关问题的补充通知》、财税 [2017] 56号《关于资管产品增值税有关问题的通知》及其他相关税务法规和实务操作，本基金适用的主要税项列示如下：</w:t>
      </w:r>
    </w:p>
    <w:p>
      <w:pPr>
        <w:pStyle w:val="19"/>
        <w:spacing w:before="0"/>
        <w:ind w:left="0" w:firstLine="480"/>
        <w:rPr>
          <w:rFonts w:hint="eastAsia"/>
        </w:rPr>
      </w:pPr>
      <w:r>
        <w:rPr>
          <w:rFonts w:hint="eastAsia"/>
        </w:rPr>
        <w:t>(a)对证券投资基金管理人运用基金买卖股票、债券的差价收入，暂不征收企业所得税。</w:t>
      </w:r>
    </w:p>
    <w:p>
      <w:pPr>
        <w:pStyle w:val="19"/>
        <w:spacing w:before="0"/>
        <w:ind w:left="0" w:firstLine="480"/>
        <w:rPr>
          <w:rFonts w:hint="eastAsia"/>
        </w:rPr>
      </w:pPr>
      <w:r>
        <w:rPr>
          <w:rFonts w:hint="eastAsia"/>
        </w:rPr>
        <w:t>(b)自2016年5月1日起，在全国范围内全面推开营业税改征增值税 (以下称营改增) 试点，建筑业、房地产业、金融业、生活服务业等全部营业税纳税人，纳入试点范围，由缴纳营业税改为缴纳增值税。</w:t>
      </w:r>
    </w:p>
    <w:p>
      <w:pPr>
        <w:pStyle w:val="19"/>
        <w:spacing w:before="0"/>
        <w:ind w:left="0" w:firstLine="480"/>
        <w:rPr>
          <w:rFonts w:hint="eastAsia"/>
        </w:rPr>
      </w:pPr>
      <w:r>
        <w:rPr>
          <w:rFonts w:hint="eastAsia"/>
        </w:rPr>
        <w:t>2018年1月1日 (含) 以后，资管产品管理人 (以下称管理人) 运营资管产品过程中发生的增值税应税行为，以管理人为增值税纳税人，暂适用简易计税方法，按照3%的征收率缴纳增值税。对资管产品在2018年1月1日以前运营过程中发生的增值税应税行为，未缴纳增值税的，不再缴纳；已缴纳增值税的，已纳税额从管理人以后月份的增值税应纳税额中抵减。</w:t>
      </w:r>
    </w:p>
    <w:p>
      <w:pPr>
        <w:pStyle w:val="19"/>
        <w:spacing w:before="0"/>
        <w:ind w:left="0" w:firstLine="480"/>
        <w:rPr>
          <w:rFonts w:hint="eastAsia"/>
        </w:rPr>
      </w:pPr>
      <w:r>
        <w:rPr>
          <w:rFonts w:hint="eastAsia"/>
        </w:rPr>
        <w:t>证券投资基金管理人运用基金买卖股票、债券收入取得的金融商品转让收入免征增值税；对国债、地方政府债利息收入以及金融同业往来取得的利息收入免征增值税；同业存款利息收入免征增值税以及一般存款利息收入不征收增值税。</w:t>
      </w:r>
    </w:p>
    <w:p>
      <w:pPr>
        <w:pStyle w:val="19"/>
        <w:spacing w:before="0"/>
        <w:ind w:left="0" w:firstLine="480"/>
        <w:rPr>
          <w:rFonts w:hint="eastAsia"/>
        </w:rPr>
      </w:pPr>
      <w:r>
        <w:rPr>
          <w:rFonts w:hint="eastAsia"/>
        </w:rPr>
        <w:t>(c)基金作为流通股股东在股权分置改革过程中收到由非流通股股东支付的股份、现金对价，暂免征收印花税、企业所得税和个人所得税。</w:t>
      </w:r>
    </w:p>
    <w:p>
      <w:pPr>
        <w:pStyle w:val="19"/>
        <w:spacing w:before="0"/>
        <w:ind w:left="0" w:firstLine="480"/>
        <w:rPr>
          <w:rFonts w:hint="eastAsia"/>
        </w:rPr>
      </w:pPr>
      <w:r>
        <w:rPr>
          <w:rFonts w:hint="eastAsia"/>
        </w:rPr>
        <w:t>(d)对基金从上市公司取得的股息、红利所得，由上市公司在向基金支付上述收入时代扣代缴20%的个人所得税。自2013年1月1日起，对所取得的股息红利收入根据持股期限差别化计算个人所得税的应纳税所得额：持股期限在1个月以内 (含1个月) 的，其股息红利所得全额计入应纳税所得额；持股期限在1个月以上至1年 (含1年) 的，暂减按50%计入应纳税所得额；持股期限超过1年的，暂免征收个人所得税。对基金持有的上市公司限售股，解禁后取得的股息、红利收入，按照上述规定计算纳税，持股时间自解禁日起计算；解禁前取得的股息、红利收入继续暂减按50%计入个人所得税应纳税所得额。</w:t>
      </w:r>
    </w:p>
    <w:p>
      <w:pPr>
        <w:pStyle w:val="19"/>
        <w:spacing w:before="0"/>
        <w:ind w:left="0" w:firstLine="480"/>
        <w:rPr>
          <w:rFonts w:hint="eastAsia"/>
        </w:rPr>
      </w:pPr>
      <w:r>
        <w:rPr>
          <w:rFonts w:hint="eastAsia"/>
        </w:rPr>
        <w:t>(e)基金卖出股票按0.1%的税率缴纳股票交易印花税，买入股票不征收股票交易印花税。</w:t>
      </w:r>
    </w:p>
    <w:p>
      <w:pPr>
        <w:pStyle w:val="19"/>
        <w:spacing w:before="0"/>
        <w:ind w:left="0" w:firstLine="480"/>
        <w:rPr>
          <w:rFonts w:hint="eastAsia"/>
        </w:rPr>
      </w:pPr>
      <w:r>
        <w:rPr>
          <w:rFonts w:hint="eastAsia"/>
        </w:rPr>
        <w:t>(f)对投资者从证券投资基金分配中取得的收入，暂不征收企业所得税。</w:t>
      </w:r>
    </w:p>
    <w:p>
      <w:pPr>
        <w:pStyle w:val="19"/>
        <w:spacing w:before="0"/>
        <w:ind w:left="0" w:firstLine="480"/>
        <w:rPr>
          <w:rFonts w:hint="eastAsia"/>
        </w:rPr>
      </w:pPr>
      <w:r>
        <w:rPr>
          <w:rFonts w:hint="eastAsia"/>
        </w:rPr>
        <w:t>(g)对基金在2018年1月1日 (含) 以后运营过程中缴纳的增值税，分别按照证券投资基金管理人所在地适用的税率，计算缴纳城市维护建设税、教育费附加和地方教育费附加。</w:t>
      </w:r>
    </w:p>
    <w:p>
      <w:pPr>
        <w:widowControl/>
        <w:jc w:val="left"/>
        <w:rPr>
          <w:rFonts w:hint="eastAsia" w:ascii="宋体" w:hAnsi="宋体" w:cs="宋体"/>
          <w:kern w:val="0"/>
          <w:sz w:val="24"/>
          <w:szCs w:val="24"/>
        </w:rPr>
      </w:pPr>
    </w:p>
    <w:p>
      <w:pPr>
        <w:pStyle w:val="14"/>
        <w:rPr>
          <w:rFonts w:hint="eastAsia"/>
        </w:rPr>
      </w:pPr>
      <w:r>
        <w:rPr>
          <w:rFonts w:hint="eastAsia"/>
          <w:b/>
          <w:bCs/>
        </w:rPr>
        <w:t>7.4.7 重要财务报表项目的说明</w:t>
      </w:r>
    </w:p>
    <w:p>
      <w:pPr>
        <w:pStyle w:val="14"/>
        <w:rPr>
          <w:rFonts w:hint="eastAsia"/>
        </w:rPr>
      </w:pPr>
      <w:r>
        <w:rPr>
          <w:rFonts w:hint="eastAsia"/>
          <w:b/>
          <w:bCs/>
        </w:rPr>
        <w:t>7.4.7.1 银行存款</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075"/>
        <w:gridCol w:w="2985"/>
        <w:gridCol w:w="2985"/>
      </w:tblGrid>
      <w:tr>
        <w:tblPrEx>
          <w:tblCellMar>
            <w:top w:w="0" w:type="dxa"/>
            <w:left w:w="108" w:type="dxa"/>
            <w:bottom w:w="0" w:type="dxa"/>
            <w:right w:w="108" w:type="dxa"/>
          </w:tblCellMar>
        </w:tblPrEx>
        <w:trPr>
          <w:wBefore w:w="0" w:type="auto"/>
        </w:trPr>
        <w:tc>
          <w:tcPr>
            <w:tcW w:w="1700" w:type="pct"/>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本期末</w:t>
            </w:r>
          </w:p>
          <w:p>
            <w:pPr>
              <w:pStyle w:val="17"/>
              <w:wordWrap w:val="0"/>
              <w:rPr>
                <w:rFonts w:hint="eastAsia"/>
              </w:rPr>
            </w:pPr>
            <w:r>
              <w:rPr>
                <w:rFonts w:hint="eastAsia" w:hAnsi="Calibri"/>
                <w:color w:val="000000"/>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上年度末</w:t>
            </w:r>
          </w:p>
          <w:p>
            <w:pPr>
              <w:pStyle w:val="17"/>
              <w:wordWrap w:val="0"/>
              <w:rPr>
                <w:rFonts w:hint="eastAsia"/>
              </w:rPr>
            </w:pPr>
            <w:r>
              <w:rPr>
                <w:rFonts w:hint="eastAsia" w:hAnsi="Calibri"/>
                <w:color w:val="000000"/>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活期存款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6,407,903.79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4,476,587.42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定期存款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其中：存款期限1个月以内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存款期限1-3个月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存款期限3个月以上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6,407,903.79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4,476,587.42</w:t>
            </w:r>
          </w:p>
        </w:tc>
      </w:tr>
    </w:tbl>
    <w:p>
      <w:pPr>
        <w:widowControl/>
        <w:jc w:val="left"/>
        <w:rPr>
          <w:rFonts w:hint="eastAsia" w:ascii="宋体" w:hAnsi="宋体" w:cs="宋体"/>
          <w:kern w:val="0"/>
          <w:sz w:val="24"/>
          <w:szCs w:val="24"/>
        </w:rPr>
      </w:pPr>
    </w:p>
    <w:p>
      <w:pPr>
        <w:pStyle w:val="14"/>
        <w:rPr>
          <w:rFonts w:hint="eastAsia"/>
        </w:rPr>
      </w:pPr>
      <w:r>
        <w:rPr>
          <w:rFonts w:hint="eastAsia"/>
          <w:b/>
          <w:bCs/>
        </w:rPr>
        <w:t>7.4.7.2 交易性金融资产</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20"/>
        <w:gridCol w:w="1806"/>
        <w:gridCol w:w="2168"/>
        <w:gridCol w:w="2167"/>
        <w:gridCol w:w="2167"/>
      </w:tblGrid>
      <w:tr>
        <w:tblPrEx>
          <w:tblCellMar>
            <w:top w:w="0" w:type="dxa"/>
            <w:left w:w="108" w:type="dxa"/>
            <w:bottom w:w="0" w:type="dxa"/>
            <w:right w:w="108" w:type="dxa"/>
          </w:tblCellMar>
        </w:tblPrEx>
        <w:trPr>
          <w:wBefore w:w="0" w:type="auto"/>
        </w:trPr>
        <w:tc>
          <w:tcPr>
            <w:tcW w:w="1350"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本期末2018年12月31日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1,184,461,311.83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1,189,869,800.00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5,408,488.17</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1,184,461,311.83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1,189,869,800.00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5,408,488.17</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1,184,461,311.83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1,189,869,800.00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5,408,488.17</w:t>
            </w:r>
          </w:p>
        </w:tc>
      </w:tr>
      <w:tr>
        <w:tblPrEx>
          <w:tblCellMar>
            <w:top w:w="0" w:type="dxa"/>
            <w:left w:w="108" w:type="dxa"/>
            <w:bottom w:w="0" w:type="dxa"/>
            <w:right w:w="108" w:type="dxa"/>
          </w:tblCellMar>
        </w:tblPrEx>
        <w:trPr>
          <w:wBefore w:w="0" w:type="auto"/>
        </w:trPr>
        <w:tc>
          <w:tcPr>
            <w:tcW w:w="1350"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上年度末2017年12月31日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1,561,533,683.38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1,547,791,900.00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-13,741,783.38</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1,561,533,683.38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1,547,791,900.00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-13,741,783.38</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25,000,000.00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24,922,500.00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-77,500.00</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1,586,533,683.38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1,572,714,400.00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-13,819,283.38</w:t>
            </w:r>
          </w:p>
        </w:tc>
      </w:tr>
    </w:tbl>
    <w:p>
      <w:pPr>
        <w:widowControl/>
        <w:jc w:val="left"/>
        <w:rPr>
          <w:rFonts w:hint="eastAsia" w:ascii="宋体" w:hAnsi="宋体" w:cs="宋体"/>
          <w:kern w:val="0"/>
          <w:sz w:val="24"/>
          <w:szCs w:val="24"/>
        </w:rPr>
      </w:pPr>
    </w:p>
    <w:p>
      <w:pPr>
        <w:pStyle w:val="14"/>
        <w:rPr>
          <w:rFonts w:hint="eastAsia"/>
        </w:rPr>
      </w:pPr>
      <w:r>
        <w:rPr>
          <w:rFonts w:hint="eastAsia"/>
          <w:b/>
          <w:bCs/>
        </w:rPr>
        <w:t>7.4.7.3 衍生金融资产/负债</w:t>
      </w:r>
    </w:p>
    <w:p>
      <w:pPr>
        <w:pStyle w:val="19"/>
        <w:rPr>
          <w:rFonts w:hint="eastAsia"/>
        </w:rPr>
      </w:pPr>
      <w:r>
        <w:rPr>
          <w:rFonts w:hint="eastAsia"/>
        </w:rPr>
        <w:t>本基金本报告期末及上年度末未持有衍生金融资产/负债。</w:t>
      </w:r>
    </w:p>
    <w:p>
      <w:pPr>
        <w:widowControl/>
        <w:jc w:val="left"/>
        <w:rPr>
          <w:rFonts w:hint="eastAsia" w:ascii="宋体" w:hAnsi="宋体" w:cs="宋体"/>
          <w:kern w:val="0"/>
          <w:sz w:val="24"/>
          <w:szCs w:val="24"/>
        </w:rPr>
      </w:pPr>
    </w:p>
    <w:p>
      <w:pPr>
        <w:pStyle w:val="14"/>
        <w:rPr>
          <w:rFonts w:hint="eastAsia"/>
        </w:rPr>
      </w:pPr>
      <w:r>
        <w:rPr>
          <w:rFonts w:hint="eastAsia"/>
          <w:b/>
          <w:bCs/>
        </w:rPr>
        <w:t>7.4.7.4 买入返售金融资产</w:t>
      </w:r>
    </w:p>
    <w:p>
      <w:pPr>
        <w:pStyle w:val="14"/>
        <w:rPr>
          <w:rFonts w:hint="eastAsia"/>
        </w:rPr>
      </w:pPr>
      <w:r>
        <w:rPr>
          <w:rFonts w:hint="eastAsia"/>
          <w:b/>
          <w:bCs/>
        </w:rPr>
        <w:t>7.4.7.4.1 各项买入返售金融资产期末余额</w:t>
      </w:r>
    </w:p>
    <w:p>
      <w:pPr>
        <w:pStyle w:val="19"/>
        <w:rPr>
          <w:rFonts w:hint="eastAsia"/>
        </w:rPr>
      </w:pPr>
      <w:r>
        <w:rPr>
          <w:rFonts w:hint="eastAsia"/>
        </w:rPr>
        <w:t>本基金本报告期末及上年度末未持有买入返售金融资产。</w:t>
      </w:r>
    </w:p>
    <w:p>
      <w:pPr>
        <w:widowControl/>
        <w:jc w:val="left"/>
        <w:rPr>
          <w:rFonts w:hint="eastAsia" w:ascii="宋体" w:hAnsi="宋体" w:cs="宋体"/>
          <w:kern w:val="0"/>
          <w:sz w:val="24"/>
          <w:szCs w:val="24"/>
        </w:rPr>
      </w:pPr>
    </w:p>
    <w:p>
      <w:pPr>
        <w:pStyle w:val="14"/>
        <w:rPr>
          <w:rFonts w:hint="eastAsia"/>
        </w:rPr>
      </w:pPr>
      <w:r>
        <w:rPr>
          <w:rFonts w:hint="eastAsia"/>
          <w:b/>
          <w:bCs/>
        </w:rPr>
        <w:t>7.4.7.4.2 期末买断式逆回购交易中取得的债券</w:t>
      </w:r>
    </w:p>
    <w:p>
      <w:pPr>
        <w:pStyle w:val="19"/>
        <w:rPr>
          <w:rFonts w:hint="eastAsia"/>
        </w:rPr>
      </w:pPr>
      <w:r>
        <w:rPr>
          <w:rFonts w:hint="eastAsia"/>
        </w:rPr>
        <w:t>本基金本报告期末及上年度末未持有买断式逆回购交易中取得的债券。</w:t>
      </w:r>
    </w:p>
    <w:p>
      <w:pPr>
        <w:widowControl/>
        <w:jc w:val="left"/>
        <w:rPr>
          <w:rFonts w:hint="eastAsia" w:ascii="宋体" w:hAnsi="宋体" w:cs="宋体"/>
          <w:kern w:val="0"/>
          <w:sz w:val="24"/>
          <w:szCs w:val="24"/>
        </w:rPr>
      </w:pPr>
    </w:p>
    <w:p>
      <w:pPr>
        <w:pStyle w:val="14"/>
        <w:rPr>
          <w:rFonts w:hint="eastAsia"/>
        </w:rPr>
      </w:pPr>
      <w:r>
        <w:rPr>
          <w:rFonts w:hint="eastAsia"/>
          <w:b/>
          <w:bCs/>
        </w:rPr>
        <w:t>7.4.7.5 应收利息</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p>
            <w:pPr>
              <w:pStyle w:val="17"/>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p>
            <w:pPr>
              <w:pStyle w:val="17"/>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应收活期存款利息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1,171.68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1,256.04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应收定期存款利息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应收其他存款利息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应收结算备付金利息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应收债券利息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18,708,164.38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22,216,391.73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应收资产支持证券利息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166,575.34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应收买入返售证券利息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应收申购款利息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应收黄金合约拆借孳息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18,709,336.06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22,384,223.11</w:t>
            </w:r>
          </w:p>
        </w:tc>
      </w:tr>
    </w:tbl>
    <w:p>
      <w:pPr>
        <w:widowControl/>
        <w:jc w:val="left"/>
        <w:rPr>
          <w:rFonts w:hint="eastAsia" w:ascii="宋体" w:hAnsi="宋体" w:cs="宋体"/>
          <w:kern w:val="0"/>
          <w:sz w:val="24"/>
          <w:szCs w:val="24"/>
        </w:rPr>
      </w:pPr>
    </w:p>
    <w:p>
      <w:pPr>
        <w:pStyle w:val="14"/>
        <w:rPr>
          <w:rFonts w:hint="eastAsia"/>
        </w:rPr>
      </w:pPr>
      <w:r>
        <w:rPr>
          <w:rFonts w:hint="eastAsia"/>
          <w:b/>
          <w:bCs/>
        </w:rPr>
        <w:t>7.4.7.6 其他资产</w:t>
      </w:r>
    </w:p>
    <w:p>
      <w:pPr>
        <w:pStyle w:val="19"/>
        <w:rPr>
          <w:rFonts w:hint="eastAsia"/>
        </w:rPr>
      </w:pPr>
      <w:r>
        <w:rPr>
          <w:rFonts w:hint="eastAsia"/>
        </w:rPr>
        <w:t>本基金本报告期末及上年度末未持有其他资产。</w:t>
      </w:r>
    </w:p>
    <w:p>
      <w:pPr>
        <w:widowControl/>
        <w:jc w:val="left"/>
        <w:rPr>
          <w:rFonts w:hint="eastAsia" w:ascii="宋体" w:hAnsi="宋体" w:cs="宋体"/>
          <w:kern w:val="0"/>
          <w:sz w:val="24"/>
          <w:szCs w:val="24"/>
        </w:rPr>
      </w:pPr>
    </w:p>
    <w:p>
      <w:pPr>
        <w:pStyle w:val="14"/>
        <w:rPr>
          <w:rFonts w:hint="eastAsia"/>
        </w:rPr>
      </w:pPr>
      <w:r>
        <w:rPr>
          <w:rFonts w:hint="eastAsia"/>
          <w:b/>
          <w:bCs/>
        </w:rPr>
        <w:t>7.4.7.7 应付交易费用</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98"/>
        <w:gridCol w:w="289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p>
            <w:pPr>
              <w:pStyle w:val="17"/>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p>
            <w:pPr>
              <w:pStyle w:val="17"/>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交易所市场应付交易费用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银行间市场应付交易费用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12,036.76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12,387.53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12,036.76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12,387.53</w:t>
            </w:r>
          </w:p>
        </w:tc>
      </w:tr>
    </w:tbl>
    <w:p>
      <w:pPr>
        <w:widowControl/>
        <w:jc w:val="left"/>
        <w:rPr>
          <w:rFonts w:hint="eastAsia" w:ascii="宋体" w:hAnsi="宋体" w:cs="宋体"/>
          <w:kern w:val="0"/>
          <w:sz w:val="24"/>
          <w:szCs w:val="24"/>
        </w:rPr>
      </w:pPr>
    </w:p>
    <w:p>
      <w:pPr>
        <w:pStyle w:val="14"/>
        <w:rPr>
          <w:rFonts w:hint="eastAsia"/>
        </w:rPr>
      </w:pPr>
      <w:r>
        <w:rPr>
          <w:rFonts w:hint="eastAsia"/>
          <w:b/>
          <w:bCs/>
        </w:rPr>
        <w:t>7.4.7.8 其他负债</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p>
            <w:pPr>
              <w:pStyle w:val="17"/>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p>
            <w:pPr>
              <w:pStyle w:val="17"/>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应付券商交易单元保证金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应付赎回费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预提费用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167,500.00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162,000.00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167,500.00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162,000.00</w:t>
            </w:r>
          </w:p>
        </w:tc>
      </w:tr>
    </w:tbl>
    <w:p>
      <w:pPr>
        <w:widowControl/>
        <w:jc w:val="left"/>
        <w:rPr>
          <w:rFonts w:hint="eastAsia" w:ascii="宋体" w:hAnsi="宋体" w:cs="宋体"/>
          <w:kern w:val="0"/>
          <w:sz w:val="24"/>
          <w:szCs w:val="24"/>
        </w:rPr>
      </w:pPr>
    </w:p>
    <w:p>
      <w:pPr>
        <w:pStyle w:val="14"/>
        <w:rPr>
          <w:rFonts w:hint="eastAsia"/>
        </w:rPr>
      </w:pPr>
      <w:r>
        <w:rPr>
          <w:rFonts w:hint="eastAsia"/>
          <w:b/>
          <w:bCs/>
        </w:rPr>
        <w:t>7.4.7.9 实收基金</w:t>
      </w:r>
    </w:p>
    <w:p>
      <w:pPr>
        <w:pStyle w:val="18"/>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项目</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本期2018年01月01日至2018年12月31日</w:t>
            </w:r>
          </w:p>
        </w:tc>
      </w:tr>
      <w:tr>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账面金额</w:t>
            </w:r>
          </w:p>
        </w:tc>
      </w:tr>
      <w:tr>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上年度末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1,379,882,414.83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1,379,882,414.83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1,141,348.32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1,141,348.32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-401,088,854.11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-401,088,854.11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979,934,909.04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979,934,909.04</w:t>
            </w:r>
          </w:p>
        </w:tc>
      </w:tr>
    </w:tbl>
    <w:p>
      <w:pPr>
        <w:pStyle w:val="19"/>
        <w:rPr>
          <w:rFonts w:hint="eastAsia"/>
        </w:rPr>
      </w:pPr>
      <w:r>
        <w:rPr>
          <w:rFonts w:hint="eastAsia"/>
        </w:rPr>
        <w:t>注：申购含红利再投、转换入份（金）额，赎回含转换出份（金）额。</w:t>
      </w:r>
    </w:p>
    <w:p>
      <w:pPr>
        <w:widowControl/>
        <w:jc w:val="left"/>
        <w:rPr>
          <w:rFonts w:hint="eastAsia" w:ascii="宋体" w:hAnsi="宋体" w:cs="宋体"/>
          <w:kern w:val="0"/>
          <w:sz w:val="24"/>
          <w:szCs w:val="24"/>
        </w:rPr>
      </w:pPr>
    </w:p>
    <w:p>
      <w:pPr>
        <w:pStyle w:val="14"/>
        <w:rPr>
          <w:rFonts w:hint="eastAsia"/>
        </w:rPr>
      </w:pPr>
      <w:r>
        <w:rPr>
          <w:rFonts w:hint="eastAsia"/>
          <w:b/>
          <w:bCs/>
        </w:rPr>
        <w:t>7.4.7.10 未分配利润</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项目</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上年度末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33,865,067.54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-30,824,818.03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3,040,249.51</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54,186,088.34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19,227,771.55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73,413,859.89</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-6,873,317.96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6,271,169.66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-602,148.30</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22,865.35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-9,846.09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13,019.26</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-6,896,183.31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6,281,015.75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-615,167.56</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-72,714,015.55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-72,714,015.55</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8,463,822.37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-5,325,876.82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3,137,945.55</w:t>
            </w:r>
          </w:p>
        </w:tc>
      </w:tr>
    </w:tbl>
    <w:p>
      <w:pPr>
        <w:widowControl/>
        <w:jc w:val="left"/>
        <w:rPr>
          <w:rFonts w:hint="eastAsia" w:ascii="宋体" w:hAnsi="宋体" w:cs="宋体"/>
          <w:kern w:val="0"/>
          <w:sz w:val="24"/>
          <w:szCs w:val="24"/>
        </w:rPr>
      </w:pPr>
    </w:p>
    <w:p>
      <w:pPr>
        <w:pStyle w:val="14"/>
        <w:rPr>
          <w:rFonts w:hint="eastAsia"/>
        </w:rPr>
      </w:pPr>
      <w:r>
        <w:rPr>
          <w:rFonts w:hint="eastAsia"/>
          <w:b/>
          <w:bCs/>
        </w:rPr>
        <w:t>7.4.7.11 存款利息收入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567"/>
        <w:gridCol w:w="3223"/>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活期存款利息收入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46,131.35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64,321.47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定期存款利息收入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结算备付金利息收入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6,803.39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46,131.35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71,124.86</w:t>
            </w:r>
          </w:p>
        </w:tc>
      </w:tr>
    </w:tbl>
    <w:p>
      <w:pPr>
        <w:widowControl/>
        <w:jc w:val="left"/>
        <w:rPr>
          <w:rFonts w:hint="eastAsia" w:ascii="宋体" w:hAnsi="宋体" w:cs="宋体"/>
          <w:kern w:val="0"/>
          <w:sz w:val="24"/>
          <w:szCs w:val="24"/>
        </w:rPr>
      </w:pPr>
    </w:p>
    <w:p>
      <w:pPr>
        <w:pStyle w:val="14"/>
        <w:rPr>
          <w:rFonts w:hint="eastAsia"/>
        </w:rPr>
      </w:pPr>
      <w:r>
        <w:rPr>
          <w:rFonts w:hint="eastAsia"/>
          <w:b/>
          <w:bCs/>
        </w:rPr>
        <w:t>7.4.7.12 股票投资收益</w:t>
      </w:r>
    </w:p>
    <w:p>
      <w:pPr>
        <w:pStyle w:val="19"/>
        <w:rPr>
          <w:rFonts w:hint="eastAsia"/>
        </w:rPr>
      </w:pPr>
      <w:r>
        <w:rPr>
          <w:rFonts w:hint="eastAsia"/>
        </w:rPr>
        <w:t>本基金本报告期及上年度可比期间无股票投资收益。</w:t>
      </w:r>
    </w:p>
    <w:p>
      <w:pPr>
        <w:widowControl/>
        <w:jc w:val="left"/>
        <w:rPr>
          <w:rFonts w:hint="eastAsia" w:ascii="宋体" w:hAnsi="宋体" w:cs="宋体"/>
          <w:kern w:val="0"/>
          <w:sz w:val="24"/>
          <w:szCs w:val="24"/>
        </w:rPr>
      </w:pPr>
    </w:p>
    <w:p>
      <w:pPr>
        <w:pStyle w:val="14"/>
        <w:rPr>
          <w:rFonts w:hint="eastAsia"/>
        </w:rPr>
      </w:pPr>
      <w:r>
        <w:rPr>
          <w:rFonts w:hint="eastAsia"/>
          <w:b/>
          <w:bCs/>
        </w:rPr>
        <w:t>7.4.7.13 债券投资收益</w:t>
      </w:r>
    </w:p>
    <w:p>
      <w:pPr>
        <w:pStyle w:val="14"/>
        <w:rPr>
          <w:rFonts w:hint="eastAsia"/>
        </w:rPr>
      </w:pPr>
      <w:r>
        <w:rPr>
          <w:rFonts w:hint="eastAsia"/>
          <w:b/>
          <w:bCs/>
        </w:rPr>
        <w:t>7.4.7.13.1 债券投资收益项目构成</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167"/>
        <w:gridCol w:w="2939"/>
        <w:gridCol w:w="2939"/>
      </w:tblGrid>
      <w:tr>
        <w:tblPrEx>
          <w:tblCellMar>
            <w:top w:w="0" w:type="dxa"/>
            <w:left w:w="108" w:type="dxa"/>
            <w:bottom w:w="0" w:type="dxa"/>
            <w:right w:w="108" w:type="dxa"/>
          </w:tblCellMar>
        </w:tblPrEx>
        <w:trPr>
          <w:wBefore w:w="0" w:type="auto"/>
        </w:trPr>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债券投资收益——买卖债券（、债转股及债券到期兑付）差价收入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-38,386.77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3,536,033.02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债券投资收益——赎回差价收入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债券投资收益——申购差价收入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-38,386.77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3,536,033.02</w:t>
            </w:r>
          </w:p>
        </w:tc>
      </w:tr>
    </w:tbl>
    <w:p>
      <w:pPr>
        <w:widowControl/>
        <w:jc w:val="left"/>
        <w:rPr>
          <w:rFonts w:hint="eastAsia" w:ascii="宋体" w:hAnsi="宋体" w:cs="宋体"/>
          <w:kern w:val="0"/>
          <w:sz w:val="24"/>
          <w:szCs w:val="24"/>
        </w:rPr>
      </w:pPr>
    </w:p>
    <w:p>
      <w:pPr>
        <w:pStyle w:val="14"/>
        <w:rPr>
          <w:rFonts w:hint="eastAsia"/>
        </w:rPr>
      </w:pPr>
      <w:r>
        <w:rPr>
          <w:rFonts w:hint="eastAsia"/>
          <w:b/>
          <w:bCs/>
        </w:rPr>
        <w:t>7.4.7.13.2 债券投资收益——买卖债券差价收入</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261"/>
        <w:gridCol w:w="3392"/>
        <w:gridCol w:w="3392"/>
      </w:tblGrid>
      <w:tr>
        <w:tblPrEx>
          <w:tblCellMar>
            <w:top w:w="0" w:type="dxa"/>
            <w:left w:w="108" w:type="dxa"/>
            <w:bottom w:w="0" w:type="dxa"/>
            <w:right w:w="108" w:type="dxa"/>
          </w:tblCellMar>
        </w:tblPrEx>
        <w:trPr>
          <w:wBefore w:w="0" w:type="auto"/>
        </w:trPr>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卖出债券（、债转股及债券到期兑付）成交总额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1,620,846,545.05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1,838,155,576.59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减：卖出债券（、债转股及债券到期兑付）成本总额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1,573,303,299.22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1,807,959,160.31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减：应收利息总额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47,581,632.60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26,660,383.26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买卖债券差价收入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-38,386.77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3,536,033.02</w:t>
            </w:r>
          </w:p>
        </w:tc>
      </w:tr>
    </w:tbl>
    <w:p>
      <w:pPr>
        <w:widowControl/>
        <w:jc w:val="left"/>
        <w:rPr>
          <w:rFonts w:hint="eastAsia" w:ascii="宋体" w:hAnsi="宋体" w:cs="宋体"/>
          <w:kern w:val="0"/>
          <w:sz w:val="24"/>
          <w:szCs w:val="24"/>
        </w:rPr>
      </w:pPr>
    </w:p>
    <w:p>
      <w:pPr>
        <w:pStyle w:val="14"/>
        <w:rPr>
          <w:rFonts w:hint="eastAsia"/>
        </w:rPr>
      </w:pPr>
      <w:r>
        <w:rPr>
          <w:rFonts w:hint="eastAsia"/>
          <w:b/>
          <w:bCs/>
        </w:rPr>
        <w:t>7.4.7.13.3 资产支持证券投资收益</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167"/>
        <w:gridCol w:w="2939"/>
        <w:gridCol w:w="2939"/>
      </w:tblGrid>
      <w:tr>
        <w:tblPrEx>
          <w:tblCellMar>
            <w:top w:w="0" w:type="dxa"/>
            <w:left w:w="108" w:type="dxa"/>
            <w:bottom w:w="0" w:type="dxa"/>
            <w:right w:w="108" w:type="dxa"/>
          </w:tblCellMar>
        </w:tblPrEx>
        <w:trPr>
          <w:wBefore w:w="0" w:type="auto"/>
        </w:trPr>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卖出资产支持证券成交总额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25,332,309.05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71,200,650.05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减：卖出资产支持证券成本总额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69,959,400.00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减：应收利息总额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332,309.05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1,119,234.80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资产支持证券投资收益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122,015.25</w:t>
            </w:r>
          </w:p>
        </w:tc>
      </w:tr>
    </w:tbl>
    <w:p>
      <w:pPr>
        <w:widowControl/>
        <w:jc w:val="left"/>
        <w:rPr>
          <w:rFonts w:hint="eastAsia" w:ascii="宋体" w:hAnsi="宋体" w:cs="宋体"/>
          <w:kern w:val="0"/>
          <w:sz w:val="24"/>
          <w:szCs w:val="24"/>
        </w:rPr>
      </w:pPr>
    </w:p>
    <w:p>
      <w:pPr>
        <w:pStyle w:val="14"/>
        <w:rPr>
          <w:rFonts w:hint="eastAsia"/>
        </w:rPr>
      </w:pPr>
      <w:r>
        <w:rPr>
          <w:rFonts w:hint="eastAsia"/>
          <w:b/>
          <w:bCs/>
        </w:rPr>
        <w:t>7.4.7.14 衍生工具收益</w:t>
      </w:r>
    </w:p>
    <w:p>
      <w:pPr>
        <w:pStyle w:val="19"/>
        <w:rPr>
          <w:rFonts w:hint="eastAsia"/>
        </w:rPr>
      </w:pPr>
      <w:r>
        <w:rPr>
          <w:rFonts w:hint="eastAsia"/>
        </w:rPr>
        <w:t>本基金本报告期及上年度可比期间无衍生工具收益。</w:t>
      </w:r>
    </w:p>
    <w:p>
      <w:pPr>
        <w:widowControl/>
        <w:jc w:val="left"/>
        <w:rPr>
          <w:rFonts w:hint="eastAsia" w:ascii="宋体" w:hAnsi="宋体" w:cs="宋体"/>
          <w:kern w:val="0"/>
          <w:sz w:val="24"/>
          <w:szCs w:val="24"/>
        </w:rPr>
      </w:pPr>
    </w:p>
    <w:p>
      <w:pPr>
        <w:pStyle w:val="14"/>
        <w:rPr>
          <w:rFonts w:hint="eastAsia"/>
        </w:rPr>
      </w:pPr>
      <w:r>
        <w:rPr>
          <w:rFonts w:hint="eastAsia"/>
          <w:b/>
          <w:bCs/>
        </w:rPr>
        <w:t>7.4.7.15 股利收益</w:t>
      </w:r>
    </w:p>
    <w:p>
      <w:pPr>
        <w:pStyle w:val="19"/>
        <w:rPr>
          <w:rFonts w:hint="eastAsia"/>
        </w:rPr>
      </w:pPr>
      <w:r>
        <w:rPr>
          <w:rFonts w:hint="eastAsia"/>
        </w:rPr>
        <w:t>本基金本报告期及上年度可比期间无股利收益。</w:t>
      </w:r>
    </w:p>
    <w:p>
      <w:pPr>
        <w:widowControl/>
        <w:jc w:val="left"/>
        <w:rPr>
          <w:rFonts w:hint="eastAsia" w:ascii="宋体" w:hAnsi="宋体" w:cs="宋体"/>
          <w:kern w:val="0"/>
          <w:sz w:val="24"/>
          <w:szCs w:val="24"/>
        </w:rPr>
      </w:pPr>
    </w:p>
    <w:p>
      <w:pPr>
        <w:pStyle w:val="14"/>
        <w:rPr>
          <w:rFonts w:hint="eastAsia"/>
        </w:rPr>
      </w:pPr>
      <w:r>
        <w:rPr>
          <w:rFonts w:hint="eastAsia"/>
          <w:b/>
          <w:bCs/>
        </w:rPr>
        <w:t>7.4.7.16 公允价值变动收益</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713"/>
        <w:gridCol w:w="3166"/>
        <w:gridCol w:w="3166"/>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1.交易性金融资产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19,227,771.55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-8,029,588.83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——股票投资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——债券投资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19,150,271.55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-8,107,088.83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——资产支持证券投资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77,500.00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77,500.00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——贵金属投资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2.衍生工具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——权证投资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3.其他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减：应税金融商品公允价值变动产生的预估增值税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19,227,771.55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-8,029,588.83</w:t>
            </w:r>
          </w:p>
        </w:tc>
      </w:tr>
    </w:tbl>
    <w:p>
      <w:pPr>
        <w:widowControl/>
        <w:jc w:val="left"/>
        <w:rPr>
          <w:rFonts w:hint="eastAsia" w:ascii="宋体" w:hAnsi="宋体" w:cs="宋体"/>
          <w:kern w:val="0"/>
          <w:sz w:val="24"/>
          <w:szCs w:val="24"/>
        </w:rPr>
      </w:pPr>
    </w:p>
    <w:p>
      <w:pPr>
        <w:pStyle w:val="14"/>
        <w:rPr>
          <w:rFonts w:hint="eastAsia"/>
        </w:rPr>
      </w:pPr>
      <w:r>
        <w:rPr>
          <w:rFonts w:hint="eastAsia"/>
          <w:b/>
          <w:bCs/>
        </w:rPr>
        <w:t>7.4.7.17 其他收入</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基金赎回费收入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617.20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65.91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617.20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65.91</w:t>
            </w:r>
          </w:p>
        </w:tc>
      </w:tr>
    </w:tbl>
    <w:p>
      <w:pPr>
        <w:widowControl/>
        <w:jc w:val="left"/>
        <w:rPr>
          <w:rFonts w:hint="eastAsia" w:ascii="宋体" w:hAnsi="宋体" w:cs="宋体"/>
          <w:kern w:val="0"/>
          <w:sz w:val="24"/>
          <w:szCs w:val="24"/>
        </w:rPr>
      </w:pPr>
    </w:p>
    <w:p>
      <w:pPr>
        <w:pStyle w:val="14"/>
        <w:rPr>
          <w:rFonts w:hint="eastAsia"/>
        </w:rPr>
      </w:pPr>
      <w:r>
        <w:rPr>
          <w:rFonts w:hint="eastAsia"/>
          <w:b/>
          <w:bCs/>
        </w:rPr>
        <w:t>7.4.7.18 交易费用</w:t>
      </w:r>
    </w:p>
    <w:p>
      <w:pPr>
        <w:pStyle w:val="18"/>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交易所市场交易费用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银行间市场交易费用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20,144.90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20,144.90</w:t>
            </w:r>
          </w:p>
        </w:tc>
      </w:tr>
    </w:tbl>
    <w:p>
      <w:pPr>
        <w:widowControl/>
        <w:jc w:val="left"/>
        <w:rPr>
          <w:rFonts w:hint="eastAsia" w:ascii="宋体" w:hAnsi="宋体" w:cs="宋体"/>
          <w:kern w:val="0"/>
          <w:sz w:val="24"/>
          <w:szCs w:val="24"/>
        </w:rPr>
      </w:pPr>
    </w:p>
    <w:p>
      <w:pPr>
        <w:pStyle w:val="14"/>
        <w:rPr>
          <w:rFonts w:hint="eastAsia"/>
        </w:rPr>
      </w:pPr>
      <w:r>
        <w:rPr>
          <w:rFonts w:hint="eastAsia"/>
          <w:b/>
          <w:bCs/>
        </w:rPr>
        <w:t>7.4.7.19 其他费用</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58,500.00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53,000.00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信息披露费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汇划手续费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12,681.51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18,137.92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账户维护费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36,000.00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查询服务费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208,381.51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208,337.92</w:t>
            </w:r>
          </w:p>
        </w:tc>
      </w:tr>
    </w:tbl>
    <w:p>
      <w:pPr>
        <w:widowControl/>
        <w:jc w:val="left"/>
        <w:rPr>
          <w:rFonts w:hint="eastAsia" w:ascii="宋体" w:hAnsi="宋体" w:cs="宋体"/>
          <w:kern w:val="0"/>
          <w:sz w:val="24"/>
          <w:szCs w:val="24"/>
        </w:rPr>
      </w:pPr>
    </w:p>
    <w:p>
      <w:pPr>
        <w:pStyle w:val="14"/>
        <w:rPr>
          <w:rFonts w:hint="eastAsia"/>
        </w:rPr>
      </w:pPr>
      <w:r>
        <w:rPr>
          <w:rFonts w:hint="eastAsia"/>
          <w:b/>
          <w:bCs/>
        </w:rPr>
        <w:t>7.4.8 或有事项、资产负债表日后事项的说明</w:t>
      </w:r>
    </w:p>
    <w:p>
      <w:pPr>
        <w:pStyle w:val="14"/>
        <w:rPr>
          <w:rFonts w:hint="eastAsia"/>
        </w:rPr>
      </w:pPr>
      <w:r>
        <w:rPr>
          <w:rFonts w:hint="eastAsia"/>
          <w:b/>
          <w:bCs/>
        </w:rPr>
        <w:t>7.4.8.1 或有事项</w:t>
      </w:r>
    </w:p>
    <w:p>
      <w:pPr>
        <w:pStyle w:val="19"/>
        <w:spacing w:before="0"/>
        <w:ind w:left="0" w:firstLine="480"/>
        <w:rPr>
          <w:rFonts w:hint="eastAsia"/>
        </w:rPr>
      </w:pPr>
      <w:r>
        <w:rPr>
          <w:rFonts w:hint="eastAsia"/>
        </w:rPr>
        <w:t>截至资产负债表日，本基金无须作披露的或有事项。</w:t>
      </w:r>
    </w:p>
    <w:p>
      <w:pPr>
        <w:widowControl/>
        <w:jc w:val="left"/>
        <w:rPr>
          <w:rFonts w:hint="eastAsia" w:ascii="宋体" w:hAnsi="宋体" w:cs="宋体"/>
          <w:kern w:val="0"/>
          <w:sz w:val="24"/>
          <w:szCs w:val="24"/>
        </w:rPr>
      </w:pPr>
    </w:p>
    <w:p>
      <w:pPr>
        <w:pStyle w:val="14"/>
        <w:rPr>
          <w:rFonts w:hint="eastAsia"/>
        </w:rPr>
      </w:pPr>
      <w:r>
        <w:rPr>
          <w:rFonts w:hint="eastAsia"/>
          <w:b/>
          <w:bCs/>
        </w:rPr>
        <w:t>7.4.8.2 资产负债表日后事项</w:t>
      </w:r>
    </w:p>
    <w:p>
      <w:pPr>
        <w:pStyle w:val="19"/>
        <w:spacing w:before="0"/>
        <w:ind w:left="0" w:firstLine="480"/>
        <w:rPr>
          <w:rFonts w:hint="eastAsia"/>
        </w:rPr>
      </w:pPr>
      <w:r>
        <w:rPr>
          <w:rFonts w:hint="eastAsia"/>
        </w:rPr>
        <w:t>截至本财务报表批准报出日，本基金无须作披露的资产负债表日后事项。</w:t>
      </w:r>
    </w:p>
    <w:p>
      <w:pPr>
        <w:widowControl/>
        <w:jc w:val="left"/>
        <w:rPr>
          <w:rFonts w:hint="eastAsia" w:ascii="宋体" w:hAnsi="宋体" w:cs="宋体"/>
          <w:kern w:val="0"/>
          <w:sz w:val="24"/>
          <w:szCs w:val="24"/>
        </w:rPr>
      </w:pPr>
    </w:p>
    <w:p>
      <w:pPr>
        <w:pStyle w:val="14"/>
        <w:rPr>
          <w:b/>
          <w:bCs/>
        </w:rPr>
      </w:pPr>
      <w:r>
        <w:rPr>
          <w:rFonts w:hint="eastAsia"/>
          <w:b/>
          <w:bCs/>
        </w:rPr>
        <w:t>7.4.9 关联方关系</w:t>
      </w:r>
    </w:p>
    <w:p>
      <w:pPr>
        <w:pStyle w:val="14"/>
        <w:rPr>
          <w:b/>
        </w:rPr>
      </w:pPr>
      <w:r>
        <w:rPr>
          <w:rFonts w:hint="eastAsia"/>
          <w:b/>
          <w:bCs/>
        </w:rPr>
        <w:t>7.4.9.1</w:t>
      </w:r>
      <w:r>
        <w:rPr>
          <w:b/>
          <w:bCs/>
        </w:rPr>
        <w:t xml:space="preserve"> </w:t>
      </w:r>
      <w:r>
        <w:rPr>
          <w:rFonts w:hint="eastAsia"/>
          <w:b/>
        </w:rPr>
        <w:t>本报告期存在控制关系或其他重大利害关系的关联方发生变化的情况</w:t>
      </w:r>
    </w:p>
    <w:p>
      <w:pPr>
        <w:pStyle w:val="14"/>
      </w:pPr>
      <w:r>
        <w:rPr>
          <w:rFonts w:hint="eastAsia"/>
        </w:rPr>
        <w:t>本报告期不存在重大关联方发生变化的情况。</w:t>
      </w:r>
    </w:p>
    <w:p>
      <w:pPr>
        <w:pStyle w:val="14"/>
        <w:rPr>
          <w:rFonts w:hint="eastAsia"/>
        </w:rPr>
      </w:pPr>
      <w:r>
        <w:rPr>
          <w:rFonts w:hint="eastAsia"/>
          <w:b/>
          <w:bCs/>
        </w:rPr>
        <w:t xml:space="preserve">7.4.9.2 </w:t>
      </w:r>
      <w:r>
        <w:rPr>
          <w:rFonts w:hint="eastAsia"/>
          <w:b/>
        </w:rPr>
        <w:t>本报告期与基金发生关联交易的各关联方</w:t>
      </w:r>
    </w:p>
    <w:tbl>
      <w:tblPr>
        <w:tblStyle w:val="7"/>
        <w:tblW w:w="9045" w:type="dxa"/>
        <w:tblInd w:w="108" w:type="dxa"/>
        <w:tblLayout w:type="autofit"/>
        <w:tblCellMar>
          <w:top w:w="0" w:type="dxa"/>
          <w:left w:w="108" w:type="dxa"/>
          <w:bottom w:w="0" w:type="dxa"/>
          <w:right w:w="108" w:type="dxa"/>
        </w:tblCellMar>
      </w:tblPr>
      <w:tblGrid>
        <w:gridCol w:w="4741"/>
        <w:gridCol w:w="4304"/>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关联方名称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与本基金的关系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基金管理人、注册登记机构、基金销售机构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招商银行股份有限公司(“招商银行”)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基金托管人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第一创业证券股份有限公司(“第一创业证券”)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基金管理人的股东</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深圳市金合信投资合伙企业（有限合伙）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基金管理人的股东</w:t>
            </w:r>
          </w:p>
        </w:tc>
      </w:tr>
    </w:tbl>
    <w:p>
      <w:pPr>
        <w:pStyle w:val="19"/>
        <w:rPr>
          <w:rFonts w:hint="eastAsia"/>
        </w:rPr>
      </w:pPr>
      <w:r>
        <w:rPr>
          <w:rFonts w:hint="eastAsia"/>
        </w:rPr>
        <w:t>注：下述关联交易均在正常业务范围内按一般商业条款订立。</w:t>
      </w:r>
    </w:p>
    <w:p>
      <w:pPr>
        <w:widowControl/>
        <w:jc w:val="left"/>
        <w:rPr>
          <w:rFonts w:hint="eastAsia" w:ascii="宋体" w:hAnsi="宋体" w:cs="宋体"/>
          <w:kern w:val="0"/>
          <w:sz w:val="24"/>
          <w:szCs w:val="24"/>
        </w:rPr>
      </w:pPr>
    </w:p>
    <w:p>
      <w:pPr>
        <w:pStyle w:val="14"/>
        <w:rPr>
          <w:rFonts w:hint="eastAsia"/>
        </w:rPr>
      </w:pPr>
      <w:r>
        <w:rPr>
          <w:rFonts w:hint="eastAsia"/>
          <w:b/>
          <w:bCs/>
        </w:rPr>
        <w:t>7.4.10 本报告期及上年度可比期间的关联方交易</w:t>
      </w:r>
    </w:p>
    <w:p>
      <w:pPr>
        <w:pStyle w:val="14"/>
        <w:rPr>
          <w:rFonts w:hint="eastAsia"/>
        </w:rPr>
      </w:pPr>
      <w:r>
        <w:rPr>
          <w:rFonts w:hint="eastAsia"/>
          <w:b/>
          <w:bCs/>
        </w:rPr>
        <w:t>7.4.10.1 通过关联方交易单元进行的交易</w:t>
      </w:r>
    </w:p>
    <w:p>
      <w:pPr>
        <w:pStyle w:val="14"/>
        <w:rPr>
          <w:rFonts w:hint="eastAsia"/>
        </w:rPr>
      </w:pPr>
      <w:r>
        <w:rPr>
          <w:rFonts w:hint="eastAsia"/>
          <w:b/>
          <w:bCs/>
        </w:rPr>
        <w:t>7.4.10.1.1 股票交易</w:t>
      </w:r>
    </w:p>
    <w:p>
      <w:pPr>
        <w:pStyle w:val="19"/>
        <w:rPr>
          <w:rFonts w:hint="eastAsia"/>
        </w:rPr>
      </w:pPr>
      <w:r>
        <w:rPr>
          <w:rFonts w:hint="eastAsia"/>
        </w:rPr>
        <w:t>本基金于本报告期及上年度可比期间均未通过关联方交易单元进行股票交易。 </w:t>
      </w:r>
    </w:p>
    <w:p>
      <w:pPr>
        <w:widowControl/>
        <w:jc w:val="left"/>
        <w:rPr>
          <w:rFonts w:hint="eastAsia" w:ascii="宋体" w:hAnsi="宋体" w:cs="宋体"/>
          <w:kern w:val="0"/>
          <w:sz w:val="24"/>
          <w:szCs w:val="24"/>
        </w:rPr>
      </w:pPr>
    </w:p>
    <w:p>
      <w:pPr>
        <w:pStyle w:val="14"/>
        <w:rPr>
          <w:rFonts w:hint="eastAsia"/>
        </w:rPr>
      </w:pPr>
      <w:r>
        <w:rPr>
          <w:rFonts w:hint="eastAsia"/>
          <w:b/>
          <w:bCs/>
        </w:rPr>
        <w:t>7.4.10.1.2 权证交易</w:t>
      </w:r>
    </w:p>
    <w:p>
      <w:pPr>
        <w:pStyle w:val="19"/>
        <w:rPr>
          <w:rFonts w:hint="eastAsia"/>
        </w:rPr>
      </w:pPr>
      <w:r>
        <w:rPr>
          <w:rFonts w:hint="eastAsia"/>
        </w:rPr>
        <w:t>本基金于本报告期及上年度可比期间均未通过关联方交易单元进行权证交易。</w:t>
      </w:r>
    </w:p>
    <w:p>
      <w:pPr>
        <w:widowControl/>
        <w:jc w:val="left"/>
        <w:rPr>
          <w:rFonts w:hint="eastAsia" w:ascii="宋体" w:hAnsi="宋体" w:cs="宋体"/>
          <w:kern w:val="0"/>
          <w:sz w:val="24"/>
          <w:szCs w:val="24"/>
        </w:rPr>
      </w:pPr>
    </w:p>
    <w:p>
      <w:pPr>
        <w:pStyle w:val="14"/>
        <w:rPr>
          <w:rFonts w:hint="eastAsia"/>
        </w:rPr>
      </w:pPr>
      <w:r>
        <w:rPr>
          <w:rFonts w:hint="eastAsia"/>
          <w:b/>
          <w:bCs/>
        </w:rPr>
        <w:t>7.4.10.1.3 债券回购交易</w:t>
      </w:r>
    </w:p>
    <w:p>
      <w:pPr>
        <w:pStyle w:val="18"/>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1265"/>
        <w:gridCol w:w="2714"/>
        <w:gridCol w:w="1176"/>
        <w:gridCol w:w="2714"/>
        <w:gridCol w:w="1176"/>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关联方名称</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r>
              <w:rPr>
                <w:rFonts w:hint="eastAsia"/>
              </w:rPr>
              <w:br w:type="textWrapping"/>
            </w:r>
            <w:r>
              <w:rPr>
                <w:rFonts w:hint="eastAsia"/>
              </w:rPr>
              <w:t>2018年01月01日至2018年12月31日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r>
              <w:rPr>
                <w:rFonts w:hint="eastAsia"/>
              </w:rPr>
              <w:br w:type="textWrapping"/>
            </w: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占当期债券回购成交总额的比例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占当期债券回购成交总额的比例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14"/>
        <w:rPr>
          <w:rFonts w:hint="eastAsia"/>
        </w:rPr>
      </w:pPr>
      <w:r>
        <w:rPr>
          <w:rFonts w:hint="eastAsia"/>
          <w:b/>
          <w:bCs/>
        </w:rPr>
        <w:t>7.4.10.1.4 应支付关联方的佣金</w:t>
      </w:r>
    </w:p>
    <w:p>
      <w:pPr>
        <w:pStyle w:val="19"/>
        <w:rPr>
          <w:rFonts w:hint="eastAsia"/>
        </w:rPr>
      </w:pPr>
      <w:r>
        <w:rPr>
          <w:rFonts w:hint="eastAsia"/>
        </w:rPr>
        <w:t>本基金于本报告期末及上年度末均无应支付关联方的佣金。</w:t>
      </w:r>
    </w:p>
    <w:p>
      <w:pPr>
        <w:widowControl/>
        <w:jc w:val="left"/>
        <w:rPr>
          <w:rFonts w:hint="eastAsia" w:ascii="宋体" w:hAnsi="宋体" w:cs="宋体"/>
          <w:kern w:val="0"/>
          <w:sz w:val="24"/>
          <w:szCs w:val="24"/>
        </w:rPr>
      </w:pPr>
    </w:p>
    <w:p>
      <w:pPr>
        <w:pStyle w:val="14"/>
        <w:rPr>
          <w:rFonts w:hint="eastAsia"/>
        </w:rPr>
      </w:pPr>
      <w:r>
        <w:rPr>
          <w:rFonts w:hint="eastAsia"/>
          <w:b/>
          <w:bCs/>
        </w:rPr>
        <w:t>7.4.10.2 关联方报酬</w:t>
      </w:r>
    </w:p>
    <w:p>
      <w:pPr>
        <w:pStyle w:val="14"/>
        <w:rPr>
          <w:rFonts w:hint="eastAsia"/>
        </w:rPr>
      </w:pPr>
      <w:r>
        <w:rPr>
          <w:rFonts w:hint="eastAsia"/>
          <w:b/>
          <w:bCs/>
        </w:rPr>
        <w:t>7.4.10.2.1 基金管理费</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831"/>
        <w:gridCol w:w="2607"/>
        <w:gridCol w:w="260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当期发生的基金应支付的管理费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3,435,277.84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3,729,990.91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其中：支付销售机构的客户维护费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138.81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53.63</w:t>
            </w:r>
          </w:p>
        </w:tc>
      </w:tr>
    </w:tbl>
    <w:p>
      <w:pPr>
        <w:pStyle w:val="19"/>
        <w:rPr>
          <w:rFonts w:hint="eastAsia"/>
        </w:rPr>
      </w:pPr>
      <w:r>
        <w:rPr>
          <w:rFonts w:hint="eastAsia"/>
        </w:rPr>
        <w:t>注:本基金的管理费按前一日基金资产净值的0.30%年费率计提。管理费的计算方法如下：</w:t>
      </w:r>
      <w:r>
        <w:rPr>
          <w:rFonts w:hint="eastAsia"/>
        </w:rPr>
        <w:br w:type="textWrapping"/>
      </w:r>
      <w:r>
        <w:rPr>
          <w:rFonts w:hint="eastAsia"/>
        </w:rPr>
        <w:t>H＝E×0.30%÷当年天数</w:t>
      </w:r>
      <w:r>
        <w:rPr>
          <w:rFonts w:hint="eastAsia"/>
        </w:rPr>
        <w:br w:type="textWrapping"/>
      </w:r>
      <w:r>
        <w:rPr>
          <w:rFonts w:hint="eastAsia"/>
        </w:rPr>
        <w:t>H为每日应计提的基金管理费</w:t>
      </w:r>
      <w:r>
        <w:rPr>
          <w:rFonts w:hint="eastAsia"/>
        </w:rPr>
        <w:br w:type="textWrapping"/>
      </w:r>
      <w:r>
        <w:rPr>
          <w:rFonts w:hint="eastAsia"/>
        </w:rPr>
        <w:t>E为前一日的基金资产净值</w:t>
      </w:r>
      <w:r>
        <w:rPr>
          <w:rFonts w:hint="eastAsia"/>
        </w:rPr>
        <w:br w:type="textWrapping"/>
      </w:r>
      <w:r>
        <w:rPr>
          <w:rFonts w:hint="eastAsia"/>
        </w:rPr>
        <w:t>基金管理费每日计算，逐日累计至每月月末，按月支付，经基金管理人与基金托管人双方核对无误后，基金托管人按照与基金管理人协商一致的方式于次月前5个工作日内从基金财产中一次性支付给基金管理人。若遇法定节假日、公休假等，支付日期顺延。</w:t>
      </w:r>
    </w:p>
    <w:p>
      <w:pPr>
        <w:widowControl/>
        <w:jc w:val="left"/>
        <w:rPr>
          <w:rFonts w:hint="eastAsia" w:ascii="宋体" w:hAnsi="宋体" w:cs="宋体"/>
          <w:kern w:val="0"/>
          <w:sz w:val="24"/>
          <w:szCs w:val="24"/>
        </w:rPr>
      </w:pPr>
    </w:p>
    <w:p>
      <w:pPr>
        <w:pStyle w:val="14"/>
        <w:rPr>
          <w:rFonts w:hint="eastAsia"/>
        </w:rPr>
      </w:pPr>
      <w:r>
        <w:rPr>
          <w:rFonts w:hint="eastAsia"/>
          <w:b/>
          <w:bCs/>
        </w:rPr>
        <w:t>7.4.10.2.2 基金托管费</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591"/>
        <w:gridCol w:w="2727"/>
        <w:gridCol w:w="27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当期发生的基金应支付的托管费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1,145,092.55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1,243,330.31</w:t>
            </w:r>
          </w:p>
        </w:tc>
      </w:tr>
    </w:tbl>
    <w:p>
      <w:pPr>
        <w:pStyle w:val="19"/>
        <w:rPr>
          <w:rFonts w:hint="eastAsia"/>
        </w:rPr>
      </w:pPr>
      <w:r>
        <w:rPr>
          <w:rFonts w:hint="eastAsia"/>
        </w:rPr>
        <w:t>注：本基金的托管费按前一日基金资产净值的0.10%的年费率计提。托管费的计算方法如下：</w:t>
      </w:r>
      <w:r>
        <w:rPr>
          <w:rFonts w:hint="eastAsia"/>
        </w:rPr>
        <w:br w:type="textWrapping"/>
      </w:r>
      <w:r>
        <w:rPr>
          <w:rFonts w:hint="eastAsia"/>
        </w:rPr>
        <w:t>H＝E×0.10%÷当年天数</w:t>
      </w:r>
      <w:r>
        <w:rPr>
          <w:rFonts w:hint="eastAsia"/>
        </w:rPr>
        <w:br w:type="textWrapping"/>
      </w:r>
      <w:r>
        <w:rPr>
          <w:rFonts w:hint="eastAsia"/>
        </w:rPr>
        <w:t>H为每日应计提的基金托管费</w:t>
      </w:r>
      <w:r>
        <w:rPr>
          <w:rFonts w:hint="eastAsia"/>
        </w:rPr>
        <w:br w:type="textWrapping"/>
      </w:r>
      <w:r>
        <w:rPr>
          <w:rFonts w:hint="eastAsia"/>
        </w:rPr>
        <w:t>E为前一日的基金资产净值</w:t>
      </w:r>
      <w:r>
        <w:rPr>
          <w:rFonts w:hint="eastAsia"/>
        </w:rPr>
        <w:br w:type="textWrapping"/>
      </w:r>
      <w:r>
        <w:rPr>
          <w:rFonts w:hint="eastAsia"/>
        </w:rPr>
        <w:t>基金托管费每日计算，逐日累计至每月月末，按月支付，经基金管理人与基金托管人双方核对无误后，基金托管人按照与基金管理人协商一致的方式于次月前5个工作日内从基金财产中一次性支取。若遇法定节假日、公休日等，支付日期顺延。</w:t>
      </w:r>
    </w:p>
    <w:p>
      <w:pPr>
        <w:widowControl/>
        <w:jc w:val="left"/>
        <w:rPr>
          <w:rFonts w:hint="eastAsia" w:ascii="宋体" w:hAnsi="宋体" w:cs="宋体"/>
          <w:kern w:val="0"/>
          <w:sz w:val="24"/>
          <w:szCs w:val="24"/>
        </w:rPr>
      </w:pPr>
    </w:p>
    <w:p>
      <w:pPr>
        <w:pStyle w:val="14"/>
        <w:rPr>
          <w:rFonts w:hint="eastAsia"/>
        </w:rPr>
      </w:pPr>
      <w:r>
        <w:rPr>
          <w:rFonts w:hint="eastAsia"/>
          <w:b/>
          <w:bCs/>
        </w:rPr>
        <w:t>7.4.10.3 与关联方进行银行间同业市场的债券(含回购)交易</w:t>
      </w:r>
    </w:p>
    <w:p>
      <w:pPr>
        <w:pStyle w:val="19"/>
        <w:rPr>
          <w:rFonts w:hint="eastAsia"/>
        </w:rPr>
      </w:pPr>
      <w:r>
        <w:rPr>
          <w:rFonts w:hint="eastAsia"/>
        </w:rPr>
        <w:t>本基金本报告期内及上年度可比期间均未与关联方进行银行间同业市场的债券(含回购)交易。</w:t>
      </w:r>
    </w:p>
    <w:p>
      <w:pPr>
        <w:widowControl/>
        <w:jc w:val="left"/>
        <w:rPr>
          <w:rFonts w:hint="eastAsia" w:ascii="宋体" w:hAnsi="宋体" w:cs="宋体"/>
          <w:kern w:val="0"/>
          <w:sz w:val="24"/>
          <w:szCs w:val="24"/>
        </w:rPr>
      </w:pPr>
    </w:p>
    <w:p>
      <w:pPr>
        <w:pStyle w:val="14"/>
        <w:rPr>
          <w:rFonts w:hint="eastAsia"/>
        </w:rPr>
      </w:pPr>
      <w:r>
        <w:rPr>
          <w:rFonts w:hint="eastAsia"/>
          <w:b/>
          <w:bCs/>
        </w:rPr>
        <w:t>7.4.10.4 各关联方投资本基金的情况</w:t>
      </w:r>
    </w:p>
    <w:p>
      <w:pPr>
        <w:pStyle w:val="14"/>
        <w:rPr>
          <w:rFonts w:hint="eastAsia"/>
        </w:rPr>
      </w:pPr>
      <w:r>
        <w:rPr>
          <w:rFonts w:hint="eastAsia"/>
          <w:b/>
          <w:bCs/>
        </w:rPr>
        <w:t>7.4.10.4.1 报告期内基金管理人运用固有资金投资本基金的情况</w:t>
      </w:r>
    </w:p>
    <w:p>
      <w:pPr>
        <w:pStyle w:val="19"/>
        <w:rPr>
          <w:rFonts w:hint="eastAsia"/>
        </w:rPr>
      </w:pPr>
      <w:r>
        <w:rPr>
          <w:rFonts w:hint="eastAsia"/>
        </w:rPr>
        <w:t>本报告期及上年度可比期间内无基金管理人运用固有资金投资本基金的情况。</w:t>
      </w:r>
    </w:p>
    <w:p>
      <w:pPr>
        <w:widowControl/>
        <w:jc w:val="left"/>
        <w:rPr>
          <w:rFonts w:hint="eastAsia" w:ascii="宋体" w:hAnsi="宋体" w:cs="宋体"/>
          <w:kern w:val="0"/>
          <w:sz w:val="24"/>
          <w:szCs w:val="24"/>
        </w:rPr>
      </w:pPr>
    </w:p>
    <w:p>
      <w:pPr>
        <w:pStyle w:val="14"/>
        <w:rPr>
          <w:rFonts w:hint="eastAsia"/>
        </w:rPr>
      </w:pPr>
      <w:r>
        <w:rPr>
          <w:rFonts w:hint="eastAsia"/>
          <w:b/>
          <w:bCs/>
        </w:rPr>
        <w:t>7.4.10.4.2 报告期末除基金管理人之外的其他关联方投资本基金的情况</w:t>
      </w:r>
    </w:p>
    <w:p>
      <w:pPr>
        <w:pStyle w:val="19"/>
        <w:rPr>
          <w:rFonts w:hint="eastAsia"/>
        </w:rPr>
      </w:pPr>
      <w:r>
        <w:rPr>
          <w:rFonts w:hint="eastAsia"/>
        </w:rPr>
        <w:t>本报告期末及上年度末无除管理人之外的其他关联方投资本基金的情况。</w:t>
      </w:r>
    </w:p>
    <w:p>
      <w:pPr>
        <w:widowControl/>
        <w:jc w:val="left"/>
        <w:rPr>
          <w:rFonts w:hint="eastAsia" w:ascii="宋体" w:hAnsi="宋体" w:cs="宋体"/>
          <w:kern w:val="0"/>
          <w:sz w:val="24"/>
          <w:szCs w:val="24"/>
        </w:rPr>
      </w:pPr>
    </w:p>
    <w:p>
      <w:pPr>
        <w:pStyle w:val="14"/>
        <w:rPr>
          <w:rFonts w:hint="eastAsia"/>
        </w:rPr>
      </w:pPr>
      <w:r>
        <w:rPr>
          <w:rFonts w:hint="eastAsia"/>
          <w:b/>
          <w:bCs/>
        </w:rPr>
        <w:t>7.4.10.5 由关联方保管的银行存款余额及当期产生的利息收入</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265"/>
        <w:gridCol w:w="1945"/>
        <w:gridCol w:w="1945"/>
        <w:gridCol w:w="1945"/>
        <w:gridCol w:w="1945"/>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2018年01月01日至2018年12月31日</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当期利息收入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当期利息收入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招商银行股份有限公司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6,407,903.79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46,131.35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4,476,587.42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64,321.47</w:t>
            </w:r>
          </w:p>
        </w:tc>
      </w:tr>
    </w:tbl>
    <w:p>
      <w:pPr>
        <w:pStyle w:val="19"/>
        <w:rPr>
          <w:rFonts w:hint="eastAsia"/>
        </w:rPr>
      </w:pPr>
      <w:r>
        <w:rPr>
          <w:rFonts w:hint="eastAsia"/>
        </w:rPr>
        <w:t>注：本基金的银行存款由基金托管人招商银行保管,按银行同业存款利率计息。</w:t>
      </w:r>
    </w:p>
    <w:p>
      <w:pPr>
        <w:widowControl/>
        <w:jc w:val="left"/>
        <w:rPr>
          <w:rFonts w:hint="eastAsia" w:ascii="宋体" w:hAnsi="宋体" w:cs="宋体"/>
          <w:kern w:val="0"/>
          <w:sz w:val="24"/>
          <w:szCs w:val="24"/>
        </w:rPr>
      </w:pPr>
    </w:p>
    <w:p>
      <w:pPr>
        <w:pStyle w:val="14"/>
        <w:rPr>
          <w:rFonts w:hint="eastAsia"/>
        </w:rPr>
      </w:pPr>
      <w:r>
        <w:rPr>
          <w:rFonts w:hint="eastAsia"/>
          <w:b/>
          <w:bCs/>
        </w:rPr>
        <w:t>7.4.10.6 本基金在承销期内参与关联方承销证券的情况</w:t>
      </w:r>
    </w:p>
    <w:p>
      <w:pPr>
        <w:pStyle w:val="19"/>
        <w:rPr>
          <w:rFonts w:hint="eastAsia"/>
        </w:rPr>
      </w:pPr>
      <w:r>
        <w:rPr>
          <w:rFonts w:hint="eastAsia"/>
        </w:rPr>
        <w:t>本基金本报告期及上年度可比期间均未在承销期内参与关联方承销证券。</w:t>
      </w:r>
    </w:p>
    <w:p>
      <w:pPr>
        <w:widowControl/>
        <w:jc w:val="left"/>
        <w:rPr>
          <w:rFonts w:hint="eastAsia" w:ascii="宋体" w:hAnsi="宋体" w:cs="宋体"/>
          <w:kern w:val="0"/>
          <w:sz w:val="24"/>
          <w:szCs w:val="24"/>
        </w:rPr>
      </w:pPr>
    </w:p>
    <w:p>
      <w:pPr>
        <w:pStyle w:val="14"/>
        <w:rPr>
          <w:rFonts w:hint="eastAsia"/>
        </w:rPr>
      </w:pPr>
      <w:r>
        <w:rPr>
          <w:rFonts w:hint="eastAsia"/>
          <w:b/>
          <w:bCs/>
        </w:rPr>
        <w:t>7.4.10.7 其他关联交易事项的说明</w:t>
      </w:r>
    </w:p>
    <w:p>
      <w:pPr>
        <w:pStyle w:val="19"/>
        <w:spacing w:before="0"/>
        <w:ind w:left="0" w:firstLine="480"/>
        <w:rPr>
          <w:rFonts w:hint="eastAsia"/>
        </w:rPr>
      </w:pPr>
      <w:r>
        <w:rPr>
          <w:rFonts w:hint="eastAsia"/>
        </w:rPr>
        <w:t>本基金本报告期及上年度可比期间无需作说明的其他关联交易事项。</w:t>
      </w:r>
    </w:p>
    <w:p>
      <w:pPr>
        <w:widowControl/>
        <w:jc w:val="left"/>
        <w:rPr>
          <w:rFonts w:hint="eastAsia" w:ascii="宋体" w:hAnsi="宋体" w:cs="宋体"/>
          <w:kern w:val="0"/>
          <w:sz w:val="24"/>
          <w:szCs w:val="24"/>
        </w:rPr>
      </w:pPr>
    </w:p>
    <w:p>
      <w:pPr>
        <w:pStyle w:val="14"/>
        <w:rPr>
          <w:rFonts w:hint="eastAsia"/>
        </w:rPr>
      </w:pPr>
      <w:r>
        <w:rPr>
          <w:rFonts w:hint="eastAsia"/>
          <w:b/>
          <w:bCs/>
        </w:rPr>
        <w:t>7.4.11 利润分配情况--非货币市场基金</w:t>
      </w:r>
    </w:p>
    <w:p>
      <w:pPr>
        <w:widowControl/>
        <w:spacing w:before="100" w:beforeAutospacing="1" w:after="100" w:afterAutospacing="1"/>
        <w:jc w:val="right"/>
        <w:rPr>
          <w:rFonts w:hint="eastAsia" w:ascii="宋体" w:hAnsi="宋体" w:cs="宋体"/>
          <w:kern w:val="0"/>
          <w:sz w:val="24"/>
          <w:szCs w:val="24"/>
        </w:rPr>
      </w:pPr>
      <w:r>
        <w:rPr>
          <w:rFonts w:hint="eastAsia" w:ascii="宋体" w:hAnsi="宋体" w:cs="宋体"/>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690"/>
        <w:gridCol w:w="1152"/>
        <w:gridCol w:w="1162"/>
        <w:gridCol w:w="1343"/>
        <w:gridCol w:w="1408"/>
        <w:gridCol w:w="1343"/>
        <w:gridCol w:w="1408"/>
        <w:gridCol w:w="692"/>
      </w:tblGrid>
      <w:tr>
        <w:trPr>
          <w:wBefore w:w="0" w:type="auto"/>
        </w:trPr>
        <w:tc>
          <w:tcPr>
            <w:tcW w:w="78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序号</w:t>
            </w:r>
          </w:p>
        </w:tc>
        <w:tc>
          <w:tcPr>
            <w:tcW w:w="109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权益</w:t>
            </w:r>
          </w:p>
          <w:p>
            <w:pPr>
              <w:pStyle w:val="17"/>
              <w:wordWrap w:val="0"/>
              <w:rPr>
                <w:rFonts w:hint="eastAsia"/>
              </w:rPr>
            </w:pPr>
            <w:r>
              <w:rPr>
                <w:rFonts w:hint="eastAsia"/>
              </w:rPr>
              <w:t>登记日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除息日</w:t>
            </w:r>
          </w:p>
        </w:tc>
        <w:tc>
          <w:tcPr>
            <w:tcW w:w="17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每10份基金</w:t>
            </w:r>
          </w:p>
          <w:p>
            <w:pPr>
              <w:pStyle w:val="17"/>
              <w:wordWrap w:val="0"/>
              <w:rPr>
                <w:rFonts w:hint="eastAsia"/>
              </w:rPr>
            </w:pPr>
            <w:r>
              <w:rPr>
                <w:rFonts w:hint="eastAsia"/>
              </w:rPr>
              <w:t>份额分红数</w:t>
            </w:r>
          </w:p>
        </w:tc>
        <w:tc>
          <w:tcPr>
            <w:tcW w:w="14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现金形式</w:t>
            </w:r>
          </w:p>
          <w:p>
            <w:pPr>
              <w:pStyle w:val="17"/>
              <w:wordWrap w:val="0"/>
              <w:rPr>
                <w:rFonts w:hint="eastAsia"/>
              </w:rPr>
            </w:pPr>
            <w:r>
              <w:rPr>
                <w:rFonts w:hint="eastAsia"/>
              </w:rPr>
              <w:t>发放总额</w:t>
            </w:r>
          </w:p>
        </w:tc>
        <w:tc>
          <w:tcPr>
            <w:tcW w:w="17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再投资形式发放总额</w:t>
            </w:r>
          </w:p>
        </w:tc>
        <w:tc>
          <w:tcPr>
            <w:tcW w:w="14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p>
            <w:pPr>
              <w:pStyle w:val="17"/>
              <w:wordWrap w:val="0"/>
              <w:rPr>
                <w:rFonts w:hint="eastAsia"/>
              </w:rPr>
            </w:pPr>
            <w:r>
              <w:rPr>
                <w:rFonts w:hint="eastAsia"/>
              </w:rPr>
              <w:t>分配合计</w:t>
            </w:r>
          </w:p>
        </w:tc>
        <w:tc>
          <w:tcPr>
            <w:tcW w:w="78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2018-05-08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2018-05-08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34,497,274.92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113.69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34,497,388.61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2018-09-13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2018-09-13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19,597,740.17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144.58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19,597,884.75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2018-12-17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2018-12-17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0.190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18,618,590.81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151.38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18,618,742.19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80"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合计</w:t>
            </w:r>
          </w:p>
        </w:tc>
        <w:tc>
          <w:tcPr>
            <w:tcW w:w="109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17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0.640</w:t>
            </w:r>
          </w:p>
        </w:tc>
        <w:tc>
          <w:tcPr>
            <w:tcW w:w="14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72,713,605.90</w:t>
            </w:r>
          </w:p>
        </w:tc>
        <w:tc>
          <w:tcPr>
            <w:tcW w:w="17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409.65</w:t>
            </w:r>
          </w:p>
        </w:tc>
        <w:tc>
          <w:tcPr>
            <w:tcW w:w="14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72,714,015.55</w:t>
            </w:r>
          </w:p>
        </w:tc>
        <w:tc>
          <w:tcPr>
            <w:tcW w:w="78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bl>
    <w:p>
      <w:pPr>
        <w:widowControl/>
        <w:jc w:val="left"/>
        <w:rPr>
          <w:rFonts w:hint="eastAsia" w:ascii="宋体" w:hAnsi="宋体" w:cs="宋体"/>
          <w:kern w:val="0"/>
          <w:sz w:val="24"/>
          <w:szCs w:val="24"/>
        </w:rPr>
      </w:pPr>
    </w:p>
    <w:p>
      <w:pPr>
        <w:pStyle w:val="14"/>
        <w:rPr>
          <w:rFonts w:hint="eastAsia"/>
        </w:rPr>
      </w:pPr>
      <w:r>
        <w:rPr>
          <w:rFonts w:hint="eastAsia"/>
          <w:b/>
          <w:bCs/>
        </w:rPr>
        <w:t>7.4.12 期末（2018年12月31日）本基金持有的流通受限证券</w:t>
      </w:r>
    </w:p>
    <w:p>
      <w:pPr>
        <w:pStyle w:val="14"/>
        <w:rPr>
          <w:rFonts w:hint="eastAsia"/>
        </w:rPr>
      </w:pPr>
      <w:r>
        <w:rPr>
          <w:rFonts w:hint="eastAsia"/>
          <w:b/>
          <w:bCs/>
        </w:rPr>
        <w:t>7.4.12.1 因认购新发/增发证券而于期末持有的流通受限证券</w:t>
      </w:r>
    </w:p>
    <w:p>
      <w:pPr>
        <w:pStyle w:val="19"/>
        <w:rPr>
          <w:rFonts w:hint="eastAsia"/>
        </w:rPr>
      </w:pPr>
      <w:r>
        <w:rPr>
          <w:rFonts w:hint="eastAsia"/>
        </w:rPr>
        <w:t>本基金本报告期末未持有因认购新发/增发证券而流通受限的证券。</w:t>
      </w:r>
    </w:p>
    <w:p>
      <w:pPr>
        <w:widowControl/>
        <w:jc w:val="left"/>
        <w:rPr>
          <w:rFonts w:hint="eastAsia" w:ascii="宋体" w:hAnsi="宋体" w:cs="宋体"/>
          <w:kern w:val="0"/>
          <w:sz w:val="24"/>
          <w:szCs w:val="24"/>
        </w:rPr>
      </w:pPr>
    </w:p>
    <w:p>
      <w:pPr>
        <w:pStyle w:val="14"/>
        <w:rPr>
          <w:rFonts w:hint="eastAsia"/>
        </w:rPr>
      </w:pPr>
      <w:r>
        <w:rPr>
          <w:rFonts w:hint="eastAsia"/>
          <w:b/>
          <w:bCs/>
        </w:rPr>
        <w:t>7.4.12.2 期末持有的暂时停牌等流通受限股票</w:t>
      </w:r>
    </w:p>
    <w:p>
      <w:pPr>
        <w:pStyle w:val="19"/>
        <w:rPr>
          <w:rFonts w:hint="eastAsia"/>
        </w:rPr>
      </w:pPr>
      <w:r>
        <w:rPr>
          <w:rFonts w:hint="eastAsia"/>
        </w:rPr>
        <w:t>本基金本报告期末未持有股票。</w:t>
      </w:r>
    </w:p>
    <w:p>
      <w:pPr>
        <w:widowControl/>
        <w:jc w:val="left"/>
        <w:rPr>
          <w:rFonts w:hint="eastAsia" w:ascii="宋体" w:hAnsi="宋体" w:cs="宋体"/>
          <w:kern w:val="0"/>
          <w:sz w:val="24"/>
          <w:szCs w:val="24"/>
        </w:rPr>
      </w:pPr>
    </w:p>
    <w:p>
      <w:pPr>
        <w:pStyle w:val="14"/>
        <w:rPr>
          <w:rFonts w:hint="eastAsia"/>
        </w:rPr>
      </w:pPr>
      <w:r>
        <w:rPr>
          <w:rFonts w:hint="eastAsia"/>
          <w:b/>
          <w:bCs/>
        </w:rPr>
        <w:t>7.4.12.3 期末债券正回购交易中作为抵押的债券</w:t>
      </w:r>
    </w:p>
    <w:p>
      <w:pPr>
        <w:pStyle w:val="14"/>
        <w:rPr>
          <w:rFonts w:hint="eastAsia"/>
        </w:rPr>
      </w:pPr>
      <w:r>
        <w:rPr>
          <w:rFonts w:hint="eastAsia"/>
          <w:b/>
          <w:bCs/>
        </w:rPr>
        <w:t>7.4.12.3.1 银行间市场债券正回购</w:t>
      </w:r>
    </w:p>
    <w:p>
      <w:pPr>
        <w:pStyle w:val="19"/>
        <w:spacing w:before="0"/>
        <w:ind w:left="0" w:firstLine="480"/>
        <w:rPr>
          <w:rFonts w:hint="eastAsia"/>
        </w:rPr>
      </w:pPr>
      <w:r>
        <w:rPr>
          <w:rFonts w:hint="eastAsia"/>
        </w:rPr>
        <w:t>截至本报告期末2018年12月31日止，本基金从事银行间市场债券正回购交易形成的卖出回购证券款余额231,039,253.44元，是以如下债券作为抵押：</w:t>
      </w:r>
    </w:p>
    <w:p>
      <w:pPr>
        <w:pStyle w:val="18"/>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1379"/>
        <w:gridCol w:w="1839"/>
        <w:gridCol w:w="1564"/>
        <w:gridCol w:w="1012"/>
        <w:gridCol w:w="1380"/>
        <w:gridCol w:w="2024"/>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债券代码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债券名称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回购到期日</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期末估值单价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数量（张）</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期末估值总额</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101801392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18北控集MTN002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2019-01-16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50,155,000.00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101801163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18京汽集MTN002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2019-01-09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102.01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30,603,000.00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101468005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14中铝业MTN001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2019-01-16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101.84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50,920,000.00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101656015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16岳阳城投MTN001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2019-01-09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98.83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49,415,000.00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101800466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18锡产业MTN003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2019-01-16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102.16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38,820,800.00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101751025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17越秀集团MTN001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2019-01-09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102.62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23,602,600.00</w:t>
            </w:r>
          </w:p>
        </w:tc>
      </w:tr>
      <w:tr>
        <w:tblPrEx>
          <w:tblCellMar>
            <w:top w:w="0" w:type="dxa"/>
            <w:left w:w="108" w:type="dxa"/>
            <w:bottom w:w="0" w:type="dxa"/>
            <w:right w:w="108" w:type="dxa"/>
          </w:tblCellMar>
        </w:tblPrEx>
        <w:trPr>
          <w:wBefore w:w="0" w:type="auto"/>
        </w:trPr>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rPr>
            </w:pPr>
            <w:r>
              <w:rPr>
                <w:rFonts w:hint="eastAsia"/>
              </w:rPr>
              <w:t>合计</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550" w:type="pct"/>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pPr>
            <w:r>
              <w:rPr>
                <w:rFonts w:hint="eastAsia"/>
              </w:rPr>
              <w:t>2,410,000</w:t>
            </w:r>
          </w:p>
        </w:tc>
        <w:tc>
          <w:tcPr>
            <w:tcW w:w="12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rPr>
            </w:pPr>
            <w:r>
              <w:rPr>
                <w:rFonts w:hint="eastAsia"/>
              </w:rPr>
              <w:t>243,516,400.00</w:t>
            </w:r>
          </w:p>
        </w:tc>
      </w:tr>
    </w:tbl>
    <w:p>
      <w:pPr>
        <w:widowControl/>
        <w:jc w:val="left"/>
        <w:rPr>
          <w:rFonts w:hint="eastAsia" w:ascii="宋体" w:hAnsi="宋体" w:cs="宋体"/>
          <w:kern w:val="0"/>
          <w:sz w:val="24"/>
          <w:szCs w:val="24"/>
        </w:rPr>
      </w:pPr>
    </w:p>
    <w:p>
      <w:pPr>
        <w:pStyle w:val="14"/>
        <w:rPr>
          <w:rFonts w:hint="eastAsia"/>
        </w:rPr>
      </w:pPr>
      <w:r>
        <w:rPr>
          <w:rFonts w:hint="eastAsia"/>
          <w:b/>
          <w:bCs/>
        </w:rPr>
        <w:t>7.4.12.3.2 交易所市场债券正回购</w:t>
      </w:r>
    </w:p>
    <w:p>
      <w:pPr>
        <w:pStyle w:val="19"/>
        <w:spacing w:before="0"/>
        <w:ind w:left="0" w:firstLine="480"/>
        <w:rPr>
          <w:rFonts w:hint="eastAsia"/>
        </w:rPr>
      </w:pPr>
      <w:r>
        <w:rPr>
          <w:rFonts w:hint="eastAsia"/>
        </w:rPr>
        <w:t>截至本报告期末2018年12月31日止，本基金从事交易所债券正回购交易形成的卖出回购证券款余额为0，无抵押债券。</w:t>
      </w:r>
    </w:p>
    <w:p>
      <w:pPr>
        <w:widowControl/>
        <w:jc w:val="left"/>
        <w:rPr>
          <w:rFonts w:hint="eastAsia" w:ascii="宋体" w:hAnsi="宋体" w:cs="宋体"/>
          <w:kern w:val="0"/>
          <w:sz w:val="24"/>
          <w:szCs w:val="24"/>
        </w:rPr>
      </w:pPr>
    </w:p>
    <w:p>
      <w:pPr>
        <w:pStyle w:val="14"/>
        <w:rPr>
          <w:rFonts w:hint="eastAsia"/>
        </w:rPr>
      </w:pPr>
      <w:r>
        <w:rPr>
          <w:rFonts w:hint="eastAsia"/>
          <w:b/>
          <w:bCs/>
        </w:rPr>
        <w:t>7.4.13 金融工具风险及管理</w:t>
      </w:r>
    </w:p>
    <w:p>
      <w:pPr>
        <w:pStyle w:val="14"/>
        <w:rPr>
          <w:rFonts w:hint="eastAsia"/>
        </w:rPr>
      </w:pPr>
      <w:r>
        <w:rPr>
          <w:rFonts w:hint="eastAsia"/>
          <w:b/>
          <w:bCs/>
        </w:rPr>
        <w:t>7.4.13.1 风险管理政策和组织架构</w:t>
      </w:r>
    </w:p>
    <w:p>
      <w:pPr>
        <w:pStyle w:val="19"/>
        <w:spacing w:before="0"/>
        <w:ind w:left="0" w:firstLine="480"/>
        <w:rPr>
          <w:rFonts w:hint="eastAsia"/>
        </w:rPr>
      </w:pPr>
      <w:r>
        <w:rPr>
          <w:rFonts w:hint="eastAsia"/>
        </w:rPr>
        <w:t>本基金在日常经营活动中涉及的金融工具风险主要包括信用风险、流动性风险及市场风险。本基金管理人制定了政策和程序来识别及分析这些风险，并设定适当的风险限额及内部控制流程，通过可靠的管理及信息系统持续监控上述各类风险。</w:t>
      </w:r>
    </w:p>
    <w:p>
      <w:pPr>
        <w:pStyle w:val="19"/>
        <w:spacing w:before="0"/>
        <w:ind w:left="0" w:firstLine="480"/>
        <w:rPr>
          <w:rFonts w:hint="eastAsia"/>
        </w:rPr>
      </w:pPr>
      <w:r>
        <w:rPr>
          <w:rFonts w:hint="eastAsia"/>
        </w:rPr>
        <w:t>本基金的基金管理人奉行全面风险管理体系的建设，建立了以风控与审计委员会为核心的、由督察长、风险控制办公会、监察稽核部和相关业务部门构成的四级风险管理架构体系。</w:t>
      </w:r>
    </w:p>
    <w:p>
      <w:pPr>
        <w:widowControl/>
        <w:jc w:val="left"/>
        <w:rPr>
          <w:rFonts w:hint="eastAsia" w:ascii="宋体" w:hAnsi="宋体" w:cs="宋体"/>
          <w:kern w:val="0"/>
          <w:sz w:val="24"/>
          <w:szCs w:val="24"/>
        </w:rPr>
      </w:pPr>
    </w:p>
    <w:p>
      <w:pPr>
        <w:pStyle w:val="14"/>
        <w:rPr>
          <w:rFonts w:hint="eastAsia"/>
        </w:rPr>
      </w:pPr>
      <w:r>
        <w:rPr>
          <w:rFonts w:hint="eastAsia"/>
          <w:b/>
          <w:bCs/>
        </w:rPr>
        <w:t>7.4.13.2 信用风险</w:t>
      </w:r>
    </w:p>
    <w:p>
      <w:pPr>
        <w:pStyle w:val="19"/>
        <w:spacing w:before="0"/>
        <w:ind w:left="0" w:firstLine="480"/>
        <w:rPr>
          <w:rFonts w:hint="eastAsia"/>
        </w:rPr>
      </w:pPr>
      <w:r>
        <w:rPr>
          <w:rFonts w:hint="eastAsia"/>
        </w:rPr>
        <w:t>信用风险是指基金在交易过程中因交易对手未履行合约责任，或者基金所投资证券之发行人出现违约、拒绝支付到期本息等情况，导致基金资产损失和收益变化的风险。</w:t>
      </w:r>
    </w:p>
    <w:p>
      <w:pPr>
        <w:pStyle w:val="19"/>
        <w:spacing w:before="0"/>
        <w:ind w:left="0" w:firstLine="480"/>
        <w:rPr>
          <w:rFonts w:hint="eastAsia"/>
        </w:rPr>
      </w:pPr>
      <w:r>
        <w:rPr>
          <w:rFonts w:hint="eastAsia"/>
        </w:rPr>
        <w:t>本基金的基金管理人在交易前对交易对手和债券的资信状况进行了充分的评估。本基金的活期银行存款存放在本基金的托管行招商银行，因而与银行存款相关的信用风险不重大。本基金在交易所（场内）进行的交易均以中国证券登记结算有限责任公司为交易对手完成证券交收和款项清算，违约风险很小；在银行间同业市场或其他场外市场进行交易前均对交易对手和债券资质进行信用评估并对证券交割方式进行限制以控制相应的信用风险。</w:t>
      </w:r>
    </w:p>
    <w:p>
      <w:pPr>
        <w:pStyle w:val="19"/>
        <w:spacing w:before="0"/>
        <w:ind w:left="0" w:firstLine="480"/>
        <w:rPr>
          <w:rFonts w:hint="eastAsia"/>
        </w:rPr>
      </w:pPr>
      <w:r>
        <w:rPr>
          <w:rFonts w:hint="eastAsia"/>
        </w:rPr>
        <w:t>本基金的基金管理人建立了信用风险管理流程，通过对投资品种信用等级评估来控制证券发行人的信用风险，且通过分散化投资以分散信用风险。</w:t>
      </w:r>
    </w:p>
    <w:p>
      <w:pPr>
        <w:pStyle w:val="19"/>
        <w:spacing w:before="0"/>
        <w:ind w:left="0" w:firstLine="480"/>
        <w:rPr>
          <w:rFonts w:hint="eastAsia"/>
        </w:rPr>
      </w:pPr>
      <w:r>
        <w:rPr>
          <w:rFonts w:hint="eastAsia"/>
        </w:rPr>
        <w:t>本基金债券投资的信用评级情况按《中国人民银行信用评级管理指导意见》设定的标准统计及汇总。</w:t>
      </w:r>
    </w:p>
    <w:p>
      <w:pPr>
        <w:widowControl/>
        <w:jc w:val="left"/>
        <w:rPr>
          <w:rFonts w:hint="eastAsia" w:ascii="宋体" w:hAnsi="宋体" w:cs="宋体"/>
          <w:kern w:val="0"/>
          <w:sz w:val="24"/>
          <w:szCs w:val="24"/>
        </w:rPr>
      </w:pPr>
    </w:p>
    <w:p>
      <w:pPr>
        <w:pStyle w:val="14"/>
        <w:rPr>
          <w:rFonts w:hint="eastAsia"/>
        </w:rPr>
      </w:pPr>
      <w:r>
        <w:rPr>
          <w:rFonts w:hint="eastAsia"/>
          <w:b/>
          <w:bCs/>
        </w:rPr>
        <w:t>7.4.13.2.1 按短期信用评级列示的债券投资</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89"/>
        <w:gridCol w:w="290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短期信用评级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p>
            <w:pPr>
              <w:pStyle w:val="17"/>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p>
            <w:pPr>
              <w:pStyle w:val="17"/>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A-1</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200,295,000.00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A-1以下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50,133,000.00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597,870,800.00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50,133,000.00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798,165,800.00</w:t>
            </w:r>
          </w:p>
        </w:tc>
      </w:tr>
    </w:tbl>
    <w:p>
      <w:pPr>
        <w:widowControl/>
        <w:jc w:val="left"/>
        <w:rPr>
          <w:rFonts w:hint="eastAsia" w:ascii="宋体" w:hAnsi="宋体" w:cs="宋体"/>
          <w:kern w:val="0"/>
          <w:sz w:val="24"/>
          <w:szCs w:val="24"/>
        </w:rPr>
      </w:pPr>
    </w:p>
    <w:p>
      <w:pPr>
        <w:pStyle w:val="14"/>
        <w:rPr>
          <w:rFonts w:hint="eastAsia"/>
        </w:rPr>
      </w:pPr>
      <w:r>
        <w:rPr>
          <w:rFonts w:hint="eastAsia"/>
          <w:b/>
          <w:bCs/>
        </w:rPr>
        <w:t>7.4.13.2.2 按短期信用评级列示的同业存单投资</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89"/>
        <w:gridCol w:w="290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短期信用评级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p>
            <w:pPr>
              <w:pStyle w:val="17"/>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p>
            <w:pPr>
              <w:pStyle w:val="17"/>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A-1</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A-1以下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383,389,000.00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383,389,000.00</w:t>
            </w:r>
          </w:p>
        </w:tc>
      </w:tr>
    </w:tbl>
    <w:p>
      <w:pPr>
        <w:widowControl/>
        <w:jc w:val="left"/>
        <w:rPr>
          <w:rFonts w:hint="eastAsia" w:ascii="宋体" w:hAnsi="宋体" w:cs="宋体"/>
          <w:kern w:val="0"/>
          <w:sz w:val="24"/>
          <w:szCs w:val="24"/>
        </w:rPr>
      </w:pPr>
    </w:p>
    <w:p>
      <w:pPr>
        <w:pStyle w:val="14"/>
        <w:rPr>
          <w:rFonts w:hint="eastAsia"/>
        </w:rPr>
      </w:pPr>
      <w:r>
        <w:rPr>
          <w:rFonts w:hint="eastAsia"/>
          <w:b/>
          <w:bCs/>
        </w:rPr>
        <w:t>7.4.13.2.3 按长期信用评级列示的债券投资</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89"/>
        <w:gridCol w:w="290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长期信用评级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p>
            <w:pPr>
              <w:pStyle w:val="17"/>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p>
            <w:pPr>
              <w:pStyle w:val="17"/>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AAA</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615,832,000.00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AAA以下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419,184,800.00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366,237,100.00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104,720,000.00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1,139,736,800.00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366,237,100.00</w:t>
            </w:r>
          </w:p>
        </w:tc>
      </w:tr>
    </w:tbl>
    <w:p>
      <w:pPr>
        <w:widowControl/>
        <w:jc w:val="left"/>
        <w:rPr>
          <w:rFonts w:hint="eastAsia" w:ascii="宋体" w:hAnsi="宋体" w:cs="宋体"/>
          <w:kern w:val="0"/>
          <w:sz w:val="24"/>
          <w:szCs w:val="24"/>
        </w:rPr>
      </w:pPr>
    </w:p>
    <w:p>
      <w:pPr>
        <w:pStyle w:val="14"/>
        <w:rPr>
          <w:rFonts w:hint="eastAsia"/>
        </w:rPr>
      </w:pPr>
      <w:r>
        <w:rPr>
          <w:rFonts w:hint="eastAsia"/>
          <w:b/>
          <w:bCs/>
        </w:rPr>
        <w:t>7.4.13.2.4 按长期信用评级列示的资产支持证券投资</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89"/>
        <w:gridCol w:w="290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长期信用评级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p>
            <w:pPr>
              <w:pStyle w:val="17"/>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p>
            <w:pPr>
              <w:pStyle w:val="17"/>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AAA</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AAA以下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24,922,500.00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24,922,500.00</w:t>
            </w:r>
          </w:p>
        </w:tc>
      </w:tr>
    </w:tbl>
    <w:p>
      <w:pPr>
        <w:widowControl/>
        <w:jc w:val="left"/>
        <w:rPr>
          <w:rFonts w:hint="eastAsia" w:ascii="宋体" w:hAnsi="宋体" w:cs="宋体"/>
          <w:kern w:val="0"/>
          <w:sz w:val="24"/>
          <w:szCs w:val="24"/>
        </w:rPr>
      </w:pPr>
    </w:p>
    <w:p>
      <w:pPr>
        <w:pStyle w:val="14"/>
        <w:rPr>
          <w:rFonts w:hint="eastAsia"/>
        </w:rPr>
      </w:pPr>
      <w:r>
        <w:rPr>
          <w:rFonts w:hint="eastAsia"/>
          <w:b/>
          <w:bCs/>
        </w:rPr>
        <w:t>7.4.13.3 流动性风险</w:t>
      </w:r>
    </w:p>
    <w:p>
      <w:pPr>
        <w:pStyle w:val="19"/>
        <w:spacing w:before="0"/>
        <w:ind w:left="0" w:firstLine="480"/>
        <w:rPr>
          <w:rFonts w:hint="eastAsia"/>
        </w:rPr>
      </w:pPr>
      <w:r>
        <w:rPr>
          <w:rFonts w:hint="eastAsia"/>
        </w:rPr>
        <w:t>流动性风险是指基金在履行与金融负债有关的义务时遇到资金短缺的风险。本基金的流动性风险一方面来自于基金份额持有人可随时要求赎回其持有的基金份额，另一方面来自于投资品种所处的交易市场不活跃而带来的变现困难或因投资集中而无法在市场出现剧烈波动的情况下以合理的价格变现。</w:t>
      </w:r>
    </w:p>
    <w:p>
      <w:pPr>
        <w:pStyle w:val="19"/>
        <w:spacing w:before="0"/>
        <w:ind w:left="0" w:firstLine="480"/>
        <w:rPr>
          <w:rFonts w:hint="eastAsia"/>
        </w:rPr>
      </w:pPr>
      <w:r>
        <w:rPr>
          <w:rFonts w:hint="eastAsia"/>
        </w:rPr>
        <w:t>针对兑付赎回资金的流动性风险，本基金的基金管理人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p>
    <w:p>
      <w:pPr>
        <w:pStyle w:val="19"/>
        <w:spacing w:before="0"/>
        <w:ind w:left="0" w:firstLine="480"/>
        <w:rPr>
          <w:rFonts w:hint="eastAsia"/>
        </w:rPr>
      </w:pPr>
      <w:r>
        <w:rPr>
          <w:rFonts w:hint="eastAsia"/>
        </w:rPr>
        <w:t>于2018年12月31日，除卖出回购金融资产款余额中有231,039,253.44元将在一个月以内到期且计息(该利息金额不重大)外，本基金所承担的其他金融负债的合约约定到期日均为一个月以内且不计息，可赎回基金份额净值(所有者权益)无固定到期日且不计息，因此账面余额约为未折现的合约到期现金流量。</w:t>
      </w:r>
    </w:p>
    <w:p>
      <w:pPr>
        <w:pStyle w:val="14"/>
        <w:rPr>
          <w:rFonts w:hint="eastAsia"/>
        </w:rPr>
      </w:pPr>
      <w:r>
        <w:rPr>
          <w:rFonts w:hint="eastAsia"/>
          <w:b/>
          <w:bCs/>
        </w:rPr>
        <w:t>7.4.13.3.1 金融资产和金融负债的到期期限分析</w:t>
      </w:r>
    </w:p>
    <w:p>
      <w:pPr>
        <w:pStyle w:val="19"/>
        <w:rPr>
          <w:rFonts w:hint="eastAsia"/>
        </w:rPr>
      </w:pPr>
      <w:r>
        <w:rPr>
          <w:rFonts w:hint="eastAsia"/>
        </w:rPr>
        <w:t>注：无。</w:t>
      </w:r>
    </w:p>
    <w:p>
      <w:pPr>
        <w:widowControl/>
        <w:jc w:val="left"/>
        <w:rPr>
          <w:rFonts w:hint="eastAsia" w:ascii="宋体" w:hAnsi="宋体" w:cs="宋体"/>
          <w:kern w:val="0"/>
          <w:sz w:val="24"/>
          <w:szCs w:val="24"/>
        </w:rPr>
      </w:pPr>
    </w:p>
    <w:p>
      <w:pPr>
        <w:pStyle w:val="14"/>
        <w:rPr>
          <w:rFonts w:hint="eastAsia"/>
        </w:rPr>
      </w:pPr>
      <w:r>
        <w:rPr>
          <w:rFonts w:hint="eastAsia"/>
          <w:b/>
          <w:bCs/>
        </w:rPr>
        <w:t>7.4.13.3.2 报告期内本基金组合资产的流动性风险分析</w:t>
      </w:r>
    </w:p>
    <w:p>
      <w:pPr>
        <w:pStyle w:val="19"/>
        <w:spacing w:before="0"/>
        <w:ind w:left="0" w:firstLine="480"/>
        <w:rPr>
          <w:rFonts w:hint="eastAsia"/>
        </w:rPr>
      </w:pPr>
      <w:r>
        <w:rPr>
          <w:rFonts w:hint="eastAsia"/>
        </w:rPr>
        <w:t>本基金的基金管理人在基金运作过程中严格按照《公开募集证券投资基金运作管理办法》及《公开募集开放式证券投资基金流动性风险管理规定》(自2017年10月1日起施行)等法规的要求对本基金组合资产的流动性风险进行管理，通过独立的风险管理部门对本基金的组合持仓集中度指标、流通受限制的投资品种比例以及组合在短时间内变现能力的综合指标等流动性指标进行持续的监测和分析。</w:t>
      </w:r>
    </w:p>
    <w:p>
      <w:pPr>
        <w:pStyle w:val="19"/>
        <w:spacing w:before="0"/>
        <w:ind w:left="0" w:firstLine="480"/>
        <w:rPr>
          <w:rFonts w:hint="eastAsia"/>
        </w:rPr>
      </w:pPr>
      <w:r>
        <w:rPr>
          <w:rFonts w:hint="eastAsia"/>
        </w:rPr>
        <w:t>本基金投资于一家公司发行的证券市值不超过基金资产净值的10%，且本基金与由本基金的基金管理人管理的其他基金共同持有一家公司发行的证券不得超过该证券的10%。本基金与由本基金的基金管理人管理的其他开放式基金共同持有一家上市公司发行的可流通股票不得超过该上市公司可流通股票的15%，本基金与由本基金的基金管理人管理的全部投资组合持有一家上市公司发行的可流通股票，不得超过该上市公司可流通股票的30%(完全按照有关指数构成比例进行证券投资的开放式基金及中国证监会认定的特殊投资组合不受该比例限制)。</w:t>
      </w:r>
    </w:p>
    <w:p>
      <w:pPr>
        <w:pStyle w:val="19"/>
        <w:spacing w:before="0"/>
        <w:ind w:left="0" w:firstLine="480"/>
        <w:rPr>
          <w:rFonts w:hint="eastAsia"/>
        </w:rPr>
      </w:pPr>
      <w:r>
        <w:rPr>
          <w:rFonts w:hint="eastAsia"/>
        </w:rPr>
        <w:t>本基金所持部分证券在证券交易所上市，其余亦可在银行间同业市场交易，部分基金资产流通暂时受限制不能自由转让的情况参见附注7.4.12。此外，本基金可通过卖出回购金融资产方式借入短期资金应对流动性需求，其上限一般不超过基金持有的债券投资的公允价值。本基金主动投资于流动性受限资产的市值合计不得超过基金资产净值的15%。于2018年12月31日，本基金持有的流动性受限资产的估值占基金资产净值的比例为0.00%。</w:t>
      </w:r>
    </w:p>
    <w:p>
      <w:pPr>
        <w:pStyle w:val="19"/>
        <w:spacing w:before="0"/>
        <w:ind w:left="0" w:firstLine="480"/>
        <w:rPr>
          <w:rFonts w:hint="eastAsia"/>
        </w:rPr>
      </w:pPr>
      <w:r>
        <w:rPr>
          <w:rFonts w:hint="eastAsia"/>
        </w:rPr>
        <w:t>本基金的基金管理人每日对基金组合资产中7个工作日可变现资产的可变现价值进行审慎评估与测算，确保每日确认的净赎回申请不得超过7个工作日可变现资产的可变现价值。于2018年12月31日，本基金组合资产中7个工作日可变现资产的账面价值为1,214,985,868.17元，超过经确认的当日净赎回金额。</w:t>
      </w:r>
    </w:p>
    <w:p>
      <w:pPr>
        <w:pStyle w:val="19"/>
        <w:spacing w:before="0"/>
        <w:ind w:left="0" w:firstLine="480"/>
        <w:rPr>
          <w:rFonts w:hint="eastAsia"/>
        </w:rPr>
      </w:pPr>
      <w:r>
        <w:rPr>
          <w:rFonts w:hint="eastAsia"/>
        </w:rPr>
        <w:t>同时，本基金的基金管理人通过合理分散逆回购交易的到期日与交易对手的集中度；按照穿透原则对交易对手的财务状况、偿付能力及杠杆水平等进行必要的尽职调查与严格的准入管理，以及对不同的交易对手实施交易额度管理并进行动态调整等措施严格管理本基金从事逆回购交易的流动性风险和交易对手风险。此外，本基金的基金管理人建立了逆回购交易质押品管理制度：根据质押品的资质确定质押率水平；持续监测质押品的风险状况与价值变动以确保质押品按公允价值计算足额；并在与私募类证券资管产品及中国证监会认定的其他主体为交易对手开展逆回购交易时，可接受质押品的资质要求与基金合同约定的投资范围保持一致。</w:t>
      </w:r>
    </w:p>
    <w:p>
      <w:pPr>
        <w:pStyle w:val="19"/>
        <w:spacing w:before="0"/>
        <w:ind w:left="0" w:firstLine="480"/>
        <w:rPr>
          <w:rFonts w:hint="eastAsia"/>
        </w:rPr>
      </w:pPr>
      <w:r>
        <w:rPr>
          <w:rFonts w:hint="eastAsia"/>
        </w:rPr>
        <w:t>综合上述各项流动性指标的监测结果及流动性风险管理措施的实施，本基金在本报告期内流动性情况良好。</w:t>
      </w:r>
    </w:p>
    <w:p>
      <w:pPr>
        <w:widowControl/>
        <w:jc w:val="left"/>
        <w:rPr>
          <w:rFonts w:hint="eastAsia" w:ascii="宋体" w:hAnsi="宋体" w:cs="宋体"/>
          <w:kern w:val="0"/>
          <w:sz w:val="24"/>
          <w:szCs w:val="24"/>
        </w:rPr>
      </w:pPr>
    </w:p>
    <w:p>
      <w:pPr>
        <w:pStyle w:val="14"/>
        <w:rPr>
          <w:rFonts w:hint="eastAsia"/>
        </w:rPr>
      </w:pPr>
      <w:r>
        <w:rPr>
          <w:rFonts w:hint="eastAsia"/>
          <w:b/>
          <w:bCs/>
        </w:rPr>
        <w:t>7.4.13.4 市场风险</w:t>
      </w:r>
    </w:p>
    <w:p>
      <w:pPr>
        <w:pStyle w:val="19"/>
        <w:spacing w:before="0"/>
        <w:ind w:left="0" w:firstLine="480"/>
        <w:rPr>
          <w:rFonts w:hint="eastAsia"/>
        </w:rPr>
      </w:pPr>
      <w:r>
        <w:rPr>
          <w:rFonts w:hint="eastAsia"/>
        </w:rPr>
        <w:t>市场风险是指基金所持金融工具的公允价值或未来现金流量因所处市场各类价格因素的变动而发生波动的风险，包括利率风险、外汇风险和其他价格风险。</w:t>
      </w:r>
    </w:p>
    <w:p>
      <w:pPr>
        <w:pStyle w:val="14"/>
        <w:rPr>
          <w:rFonts w:hint="eastAsia"/>
        </w:rPr>
      </w:pPr>
      <w:r>
        <w:rPr>
          <w:rFonts w:hint="eastAsia"/>
          <w:b/>
          <w:bCs/>
        </w:rPr>
        <w:t>7.4.13.4.1 利率风险</w:t>
      </w:r>
    </w:p>
    <w:p>
      <w:pPr>
        <w:pStyle w:val="19"/>
        <w:spacing w:before="0"/>
        <w:ind w:left="0" w:firstLine="480"/>
        <w:rPr>
          <w:rFonts w:hint="eastAsia"/>
        </w:rPr>
      </w:pPr>
      <w:r>
        <w:rPr>
          <w:rFonts w:hint="eastAsia"/>
        </w:rPr>
        <w:t>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p>
    <w:p>
      <w:pPr>
        <w:pStyle w:val="19"/>
        <w:spacing w:before="0"/>
        <w:ind w:left="0" w:firstLine="480"/>
        <w:rPr>
          <w:rFonts w:hint="eastAsia"/>
        </w:rPr>
      </w:pPr>
      <w:r>
        <w:rPr>
          <w:rFonts w:hint="eastAsia"/>
        </w:rPr>
        <w:t>本基金的基金管理人定期对本基金面临的利率敏感性缺口进行监控，并通过调整投资组合的久期等方法对上述利率风险进行管理。</w:t>
      </w:r>
    </w:p>
    <w:p>
      <w:pPr>
        <w:pStyle w:val="19"/>
        <w:spacing w:before="0"/>
        <w:ind w:left="0" w:firstLine="480"/>
        <w:rPr>
          <w:rFonts w:hint="eastAsia"/>
        </w:rPr>
      </w:pPr>
      <w:r>
        <w:rPr>
          <w:rFonts w:hint="eastAsia"/>
        </w:rPr>
        <w:t>本基金主要投资于交易所及银行间市场交易的固定收益品种，因此存在相应的利率风险。</w:t>
      </w:r>
    </w:p>
    <w:p>
      <w:pPr>
        <w:pStyle w:val="14"/>
        <w:rPr>
          <w:rFonts w:hint="eastAsia"/>
        </w:rPr>
      </w:pPr>
      <w:r>
        <w:rPr>
          <w:rFonts w:hint="eastAsia"/>
          <w:b/>
          <w:bCs/>
        </w:rPr>
        <w:t>7.4.13.4.1.1 利率风险敞口</w:t>
      </w:r>
    </w:p>
    <w:p>
      <w:pPr>
        <w:pStyle w:val="18"/>
        <w:rPr>
          <w:rFonts w:hint="eastAsia"/>
        </w:rPr>
      </w:pPr>
      <w:r>
        <w:rPr>
          <w:rFonts w:hint="eastAsia" w:hAnsi="Calibri"/>
          <w:color w:val="000000"/>
        </w:rPr>
        <w:t>单位：人民币元</w:t>
      </w:r>
    </w:p>
    <w:tbl>
      <w:tblPr>
        <w:tblStyle w:val="7"/>
        <w:tblW w:w="10200" w:type="dxa"/>
        <w:tblInd w:w="108" w:type="dxa"/>
        <w:tblLayout w:type="autofit"/>
        <w:tblCellMar>
          <w:top w:w="0" w:type="dxa"/>
          <w:left w:w="108" w:type="dxa"/>
          <w:bottom w:w="0" w:type="dxa"/>
          <w:right w:w="108" w:type="dxa"/>
        </w:tblCellMar>
      </w:tblPr>
      <w:tblGrid>
        <w:gridCol w:w="1021"/>
        <w:gridCol w:w="1989"/>
        <w:gridCol w:w="1770"/>
        <w:gridCol w:w="1770"/>
        <w:gridCol w:w="1661"/>
        <w:gridCol w:w="1989"/>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本期末2018年12月31日</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1年以内</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1-5年</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5年以上</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不计息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sz w:val="21"/>
                <w:szCs w:val="21"/>
              </w:rPr>
            </w:pPr>
            <w:r>
              <w:rPr>
                <w:rFonts w:hint="eastAsia"/>
                <w:sz w:val="21"/>
                <w:szCs w:val="21"/>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6,407,903.79</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6,407,903.79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237,611,000.00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724,170,000.00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228,088,800.00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1,189,869,800.00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18,709,336.06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18,709,336.06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244,018,903.79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724,170,000.00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228,088,800.00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18,709,336.06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1,214,987,039.85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sz w:val="21"/>
                <w:szCs w:val="21"/>
              </w:rPr>
            </w:pPr>
            <w:r>
              <w:rPr>
                <w:rFonts w:hint="eastAsia"/>
                <w:sz w:val="21"/>
                <w:szCs w:val="21"/>
              </w:rPr>
              <w:t>卖出回购金融资产款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231,039,253.44</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231,039,253.44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252,391.89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252,391.89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84,130.64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84,130.64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12,036.76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12,036.76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应交税费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103,723.97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103,723.97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应付利息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255,148.56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255,148.56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167,500.00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167,500.00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231,039,253.44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874,931.82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231,914,185.26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12,979,650.35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724,170,000.00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228,088,800.00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17,834,404.24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983,072,854.59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上年度末2017年12月31日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1年以内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1-5年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5年以上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不计息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4,476,587.42</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4,476,587.42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1,206,477,300.00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145,091,500.00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221,145,600.00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1,572,714,400.00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22,384,223.11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22,384,223.11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1,210,953,887.42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145,091,500.00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221,145,600.00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22,384,223.11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1,599,575,210.53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卖出回购金融资产款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215,839,356.24</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215,839,356.24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353,393.31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353,393.31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117,797.79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117,797.79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12,387.53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12,387.53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应付利息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167,611.32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167,611.32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162,000.00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162,000.00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215,839,356.24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813,189.95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216,652,546.19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995,114,531.18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145,091,500.00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221,145,600.00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21,571,033.16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1,382,922,664.34</w:t>
            </w:r>
          </w:p>
        </w:tc>
      </w:tr>
    </w:tbl>
    <w:p>
      <w:pPr>
        <w:pStyle w:val="19"/>
        <w:rPr>
          <w:rFonts w:hint="eastAsia"/>
        </w:rPr>
      </w:pPr>
      <w:r>
        <w:rPr>
          <w:rFonts w:hint="eastAsia"/>
        </w:rPr>
        <w:t>注：表中所示为本基金资产及负债的账面价值，并按照合约规定的利率重新定价日或到期日孰早者予以分类。</w:t>
      </w:r>
    </w:p>
    <w:p>
      <w:pPr>
        <w:widowControl/>
        <w:jc w:val="left"/>
        <w:rPr>
          <w:rFonts w:hint="eastAsia" w:ascii="宋体" w:hAnsi="宋体" w:cs="宋体"/>
          <w:kern w:val="0"/>
          <w:sz w:val="24"/>
          <w:szCs w:val="24"/>
        </w:rPr>
      </w:pPr>
    </w:p>
    <w:p>
      <w:pPr>
        <w:pStyle w:val="14"/>
        <w:rPr>
          <w:rFonts w:hint="eastAsia"/>
        </w:rPr>
      </w:pPr>
      <w:r>
        <w:rPr>
          <w:rFonts w:hint="eastAsia"/>
          <w:b/>
          <w:bCs/>
        </w:rPr>
        <w:t>7.4.13.4.1.2 利率风险的敏感性分析</w:t>
      </w:r>
    </w:p>
    <w:tbl>
      <w:tblPr>
        <w:tblStyle w:val="7"/>
        <w:tblW w:w="9120" w:type="dxa"/>
        <w:tblInd w:w="108" w:type="dxa"/>
        <w:tblLayout w:type="autofit"/>
        <w:tblCellMar>
          <w:top w:w="0" w:type="dxa"/>
          <w:left w:w="108" w:type="dxa"/>
          <w:bottom w:w="0" w:type="dxa"/>
          <w:right w:w="108" w:type="dxa"/>
        </w:tblCellMar>
      </w:tblPr>
      <w:tblGrid>
        <w:gridCol w:w="1081"/>
        <w:gridCol w:w="2889"/>
        <w:gridCol w:w="2575"/>
        <w:gridCol w:w="2575"/>
      </w:tblGrid>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分析</w:t>
            </w:r>
          </w:p>
        </w:tc>
        <w:tc>
          <w:tcPr>
            <w:tcW w:w="288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相关风险变量的变动</w:t>
            </w:r>
          </w:p>
        </w:tc>
        <w:tc>
          <w:tcPr>
            <w:tcW w:w="5055"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对资产负债表日基金资产净值的影响金额（单位：人民币元）</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本期末</w:t>
            </w:r>
          </w:p>
          <w:p>
            <w:pPr>
              <w:pStyle w:val="17"/>
              <w:wordWrap w:val="0"/>
              <w:rPr>
                <w:rFonts w:hint="eastAsia"/>
              </w:rPr>
            </w:pPr>
            <w:r>
              <w:rPr>
                <w:rFonts w:hint="eastAsia" w:hAnsi="Calibri"/>
                <w:color w:val="000000"/>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上年度末</w:t>
            </w:r>
          </w:p>
          <w:p>
            <w:pPr>
              <w:pStyle w:val="17"/>
              <w:wordWrap w:val="0"/>
              <w:rPr>
                <w:rFonts w:hint="eastAsia"/>
              </w:rPr>
            </w:pPr>
            <w:r>
              <w:rPr>
                <w:rFonts w:hint="eastAsia" w:hAnsi="Calibri"/>
                <w:color w:val="000000"/>
              </w:rPr>
              <w:t>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市场利率上升25个基点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-7,312,839.74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-3,327,771.81</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市场利率下降25个基点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7,389,917.45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3,348,925.16</w:t>
            </w:r>
          </w:p>
        </w:tc>
      </w:tr>
    </w:tbl>
    <w:p>
      <w:pPr>
        <w:widowControl/>
        <w:jc w:val="left"/>
        <w:rPr>
          <w:rFonts w:hint="eastAsia" w:ascii="宋体" w:hAnsi="宋体" w:cs="宋体"/>
          <w:kern w:val="0"/>
          <w:sz w:val="24"/>
          <w:szCs w:val="24"/>
        </w:rPr>
      </w:pPr>
    </w:p>
    <w:p>
      <w:pPr>
        <w:pStyle w:val="14"/>
        <w:rPr>
          <w:rFonts w:hint="eastAsia"/>
        </w:rPr>
      </w:pPr>
      <w:r>
        <w:rPr>
          <w:rFonts w:hint="eastAsia"/>
          <w:b/>
          <w:bCs/>
        </w:rPr>
        <w:t>7.4.13.4.2 外汇风险</w:t>
      </w:r>
    </w:p>
    <w:p>
      <w:pPr>
        <w:pStyle w:val="19"/>
        <w:spacing w:before="0"/>
        <w:ind w:left="0" w:firstLine="480"/>
        <w:rPr>
          <w:rFonts w:hint="eastAsia"/>
        </w:rPr>
      </w:pPr>
      <w:r>
        <w:rPr>
          <w:rFonts w:hint="eastAsia"/>
        </w:rPr>
        <w:t>外汇风险是指金融工具的公允价值或未来现金流量因外汇汇率变动而发生波动的风险。本基金的所有资产及负债以人民币计价，因此无重大外汇风险。</w:t>
      </w:r>
    </w:p>
    <w:p>
      <w:pPr>
        <w:widowControl/>
        <w:jc w:val="left"/>
        <w:rPr>
          <w:rFonts w:hint="eastAsia" w:ascii="宋体" w:hAnsi="宋体" w:cs="宋体"/>
          <w:kern w:val="0"/>
          <w:sz w:val="24"/>
          <w:szCs w:val="24"/>
        </w:rPr>
      </w:pPr>
    </w:p>
    <w:p>
      <w:pPr>
        <w:pStyle w:val="14"/>
        <w:rPr>
          <w:rFonts w:hint="eastAsia"/>
        </w:rPr>
      </w:pPr>
      <w:r>
        <w:rPr>
          <w:rFonts w:hint="eastAsia"/>
          <w:b/>
          <w:bCs/>
        </w:rPr>
        <w:t>7.4.13.4.3 其他价格风险</w:t>
      </w:r>
    </w:p>
    <w:p>
      <w:pPr>
        <w:pStyle w:val="19"/>
        <w:spacing w:before="0"/>
        <w:ind w:left="0" w:firstLine="480"/>
        <w:rPr>
          <w:rFonts w:hint="eastAsia"/>
        </w:rPr>
      </w:pPr>
      <w:r>
        <w:rPr>
          <w:rFonts w:hint="eastAsia"/>
        </w:rPr>
        <w:t>其他价格风险是指基金所持金融工具的公允价值或未来现金流量因除市场利率和外汇汇率以外的市场价格因素变动而发生波动的风险。本基金主要投资于证券交易所上市或银行间同业市场交易的股票和债券，所面临的其他价格风险来源于单个证券发行主体自身经营情况或特殊事项的影响，也可能来源于证券市场整体波动的影响。</w:t>
      </w:r>
    </w:p>
    <w:p>
      <w:pPr>
        <w:pStyle w:val="19"/>
        <w:spacing w:before="0"/>
        <w:ind w:left="0" w:firstLine="480"/>
        <w:rPr>
          <w:rFonts w:hint="eastAsia"/>
        </w:rPr>
      </w:pPr>
      <w:r>
        <w:rPr>
          <w:rFonts w:hint="eastAsia"/>
        </w:rPr>
        <w:t>本基金的基金管理人在构建和管理投资组合的过程中，采用"自上而下"的策略，通过对宏观经济情况及政策的分析，结合证券市场运行情况，做出资产配置及组合构建的决定；通过对单个证券的定性分析及定量分析，选择符合基金合同约定范围的投资品种进行投资。本基金的基金管理人定期结合宏观及微观环境的变化，对投资策略、资产配置、投资组合进行修正，来主动应对可能发生的市场价格风险。</w:t>
      </w:r>
    </w:p>
    <w:p>
      <w:pPr>
        <w:pStyle w:val="14"/>
        <w:rPr>
          <w:rFonts w:hint="eastAsia"/>
        </w:rPr>
      </w:pPr>
      <w:r>
        <w:rPr>
          <w:rFonts w:hint="eastAsia"/>
          <w:b/>
          <w:bCs/>
        </w:rPr>
        <w:t>7.4.13.4.3.1 其他价格风险敞口</w:t>
      </w:r>
    </w:p>
    <w:p>
      <w:pPr>
        <w:pStyle w:val="19"/>
        <w:rPr>
          <w:rFonts w:hint="eastAsia"/>
        </w:rPr>
      </w:pPr>
      <w:r>
        <w:rPr>
          <w:rFonts w:hint="eastAsia"/>
        </w:rPr>
        <w:t>本基金本报告期末未持有交易性权益类投资，因此除市场利率和外汇汇率以外的市场价格因素的变动对于本基金资产净值无重大影响。</w:t>
      </w:r>
    </w:p>
    <w:p>
      <w:pPr>
        <w:widowControl/>
        <w:jc w:val="left"/>
        <w:rPr>
          <w:rFonts w:hint="eastAsia" w:ascii="宋体" w:hAnsi="宋体" w:cs="宋体"/>
          <w:kern w:val="0"/>
          <w:sz w:val="24"/>
          <w:szCs w:val="24"/>
        </w:rPr>
      </w:pPr>
    </w:p>
    <w:p>
      <w:pPr>
        <w:pStyle w:val="14"/>
        <w:rPr>
          <w:rFonts w:hint="eastAsia"/>
        </w:rPr>
      </w:pPr>
      <w:r>
        <w:rPr>
          <w:rFonts w:hint="eastAsia"/>
          <w:b/>
          <w:bCs/>
        </w:rPr>
        <w:t>7.4.14 有助于理解和分析会计报表需要说明的其他事项</w:t>
      </w:r>
    </w:p>
    <w:p>
      <w:pPr>
        <w:pStyle w:val="19"/>
        <w:spacing w:before="0"/>
        <w:ind w:left="0" w:firstLine="480"/>
        <w:rPr>
          <w:rFonts w:hint="eastAsia"/>
        </w:rPr>
      </w:pPr>
      <w:r>
        <w:rPr>
          <w:rFonts w:hint="eastAsia"/>
        </w:rPr>
        <w:t>(a) 金融工具公允价值计量的方法</w:t>
      </w:r>
    </w:p>
    <w:p>
      <w:pPr>
        <w:pStyle w:val="19"/>
        <w:spacing w:before="0"/>
        <w:ind w:left="0" w:firstLine="480"/>
        <w:rPr>
          <w:rFonts w:hint="eastAsia"/>
        </w:rPr>
      </w:pPr>
      <w:r>
        <w:rPr>
          <w:rFonts w:hint="eastAsia"/>
        </w:rPr>
        <w:t>公允价值计量结果所属的层次，由对公允价值计量整体而言具有重要意义的输入值所属的最低层次决定：</w:t>
      </w:r>
    </w:p>
    <w:p>
      <w:pPr>
        <w:pStyle w:val="19"/>
        <w:spacing w:before="0"/>
        <w:ind w:left="0" w:firstLine="480"/>
        <w:rPr>
          <w:rFonts w:hint="eastAsia"/>
        </w:rPr>
      </w:pPr>
      <w:r>
        <w:rPr>
          <w:rFonts w:hint="eastAsia"/>
        </w:rPr>
        <w:t>第一层次：相同资产或负债在活跃市场上未经调整的报价。</w:t>
      </w:r>
    </w:p>
    <w:p>
      <w:pPr>
        <w:pStyle w:val="19"/>
        <w:spacing w:before="0"/>
        <w:ind w:left="0" w:firstLine="480"/>
        <w:rPr>
          <w:rFonts w:hint="eastAsia"/>
        </w:rPr>
      </w:pPr>
      <w:r>
        <w:rPr>
          <w:rFonts w:hint="eastAsia"/>
        </w:rPr>
        <w:t>第二层次：除第一层次输入值外相关资产或负债直接或间接可观察的输入值。</w:t>
      </w:r>
    </w:p>
    <w:p>
      <w:pPr>
        <w:pStyle w:val="19"/>
        <w:spacing w:before="0"/>
        <w:ind w:left="0" w:firstLine="480"/>
        <w:rPr>
          <w:rFonts w:hint="eastAsia"/>
        </w:rPr>
      </w:pPr>
      <w:r>
        <w:rPr>
          <w:rFonts w:hint="eastAsia"/>
        </w:rPr>
        <w:t>第三层次：相关资产或负债的不可观察输入值。</w:t>
      </w:r>
    </w:p>
    <w:p>
      <w:pPr>
        <w:pStyle w:val="19"/>
        <w:spacing w:before="0"/>
        <w:ind w:left="0" w:firstLine="480"/>
        <w:rPr>
          <w:rFonts w:hint="eastAsia"/>
        </w:rPr>
      </w:pPr>
      <w:r>
        <w:rPr>
          <w:rFonts w:hint="eastAsia"/>
        </w:rPr>
        <w:t>(b) 持续的以公允价值计量的金融工具</w:t>
      </w:r>
    </w:p>
    <w:p>
      <w:pPr>
        <w:pStyle w:val="19"/>
        <w:spacing w:before="0"/>
        <w:ind w:left="0" w:firstLine="480"/>
        <w:rPr>
          <w:rFonts w:hint="eastAsia"/>
        </w:rPr>
      </w:pPr>
      <w:r>
        <w:rPr>
          <w:rFonts w:hint="eastAsia"/>
        </w:rPr>
        <w:t>(i) 各层次金融工具公允价值</w:t>
      </w:r>
    </w:p>
    <w:p>
      <w:pPr>
        <w:pStyle w:val="19"/>
        <w:spacing w:before="0"/>
        <w:ind w:left="0" w:firstLine="480"/>
        <w:rPr>
          <w:rFonts w:hint="eastAsia"/>
        </w:rPr>
      </w:pPr>
      <w:r>
        <w:rPr>
          <w:rFonts w:hint="eastAsia"/>
        </w:rPr>
        <w:t>于2018年12月31日，本基金持有的以公允价值计量且其变动计入当期损益的金融资产中属于第二层次的余额为1,189,869,800.00元，无属于第一层次和第三层次的余额 (2017年12月31日：第二层次1,572,714,400.00元，无属于第一层次和第三层次的余额）。</w:t>
      </w:r>
    </w:p>
    <w:p>
      <w:pPr>
        <w:pStyle w:val="19"/>
        <w:spacing w:before="0"/>
        <w:ind w:left="0" w:firstLine="480"/>
        <w:rPr>
          <w:rFonts w:hint="eastAsia"/>
        </w:rPr>
      </w:pPr>
      <w:r>
        <w:rPr>
          <w:rFonts w:hint="eastAsia"/>
        </w:rPr>
        <w:t>(ii) 公允价值所属层次间的重大变动</w:t>
      </w:r>
    </w:p>
    <w:p>
      <w:pPr>
        <w:pStyle w:val="19"/>
        <w:spacing w:before="0"/>
        <w:ind w:left="0" w:firstLine="480"/>
        <w:rPr>
          <w:rFonts w:hint="eastAsia"/>
        </w:rPr>
      </w:pPr>
      <w:r>
        <w:rPr>
          <w:rFonts w:hint="eastAsia"/>
        </w:rPr>
        <w:t>对于证券交易所上市的股票和债券，若出现重大事项停牌、交易不活跃 (包括涨跌停时的交易不活跃) 、或属于非公开发行等情况，本基金不会于停牌日至交易恢复活跃日期间、交易不活跃期间及限售期间将相关股票和债券的公允价值列入第一层次；并根据估值调整中采用的不可观察输入值对于公允价值的影响程度，确定相关股票和债券公允价值应属第二层次还是第三层次。</w:t>
      </w:r>
    </w:p>
    <w:p>
      <w:pPr>
        <w:pStyle w:val="19"/>
        <w:spacing w:before="0"/>
        <w:ind w:left="0" w:firstLine="480"/>
        <w:rPr>
          <w:rFonts w:hint="eastAsia"/>
        </w:rPr>
      </w:pPr>
      <w:r>
        <w:rPr>
          <w:rFonts w:hint="eastAsia"/>
        </w:rPr>
        <w:t>本基金本期持有的以公允价值计量的金融工具的公允价值所属层次未发生重大变动。</w:t>
      </w:r>
    </w:p>
    <w:p>
      <w:pPr>
        <w:pStyle w:val="19"/>
        <w:spacing w:before="0"/>
        <w:ind w:left="0" w:firstLine="480"/>
        <w:rPr>
          <w:rFonts w:hint="eastAsia"/>
        </w:rPr>
      </w:pPr>
      <w:r>
        <w:rPr>
          <w:rFonts w:hint="eastAsia"/>
        </w:rPr>
        <w:t>(iii) 第三层次公允价值余额和本期变动金额</w:t>
      </w:r>
    </w:p>
    <w:p>
      <w:pPr>
        <w:pStyle w:val="19"/>
        <w:spacing w:before="0"/>
        <w:ind w:left="0" w:firstLine="480"/>
        <w:rPr>
          <w:rFonts w:hint="eastAsia"/>
        </w:rPr>
      </w:pPr>
      <w:r>
        <w:rPr>
          <w:rFonts w:hint="eastAsia"/>
        </w:rPr>
        <w:t>无。</w:t>
      </w:r>
    </w:p>
    <w:p>
      <w:pPr>
        <w:pStyle w:val="19"/>
        <w:spacing w:before="0"/>
        <w:ind w:left="0" w:firstLine="480"/>
        <w:rPr>
          <w:rFonts w:hint="eastAsia"/>
        </w:rPr>
      </w:pPr>
      <w:r>
        <w:rPr>
          <w:rFonts w:hint="eastAsia"/>
        </w:rPr>
        <w:t>(c) 非持续的以公允价值计量的金融工具</w:t>
      </w:r>
    </w:p>
    <w:p>
      <w:pPr>
        <w:pStyle w:val="19"/>
        <w:spacing w:before="0"/>
        <w:ind w:left="0" w:firstLine="480"/>
        <w:rPr>
          <w:rFonts w:hint="eastAsia"/>
        </w:rPr>
      </w:pPr>
      <w:r>
        <w:rPr>
          <w:rFonts w:hint="eastAsia"/>
        </w:rPr>
        <w:t>于2018年12月31日，本基金未持有非持续的以公允价值计量的金融资产(2017年12月31日：无) 。</w:t>
      </w:r>
    </w:p>
    <w:p>
      <w:pPr>
        <w:pStyle w:val="19"/>
        <w:spacing w:before="0"/>
        <w:ind w:left="0" w:firstLine="480"/>
        <w:rPr>
          <w:rFonts w:hint="eastAsia"/>
        </w:rPr>
      </w:pPr>
      <w:r>
        <w:rPr>
          <w:rFonts w:hint="eastAsia"/>
        </w:rPr>
        <w:t>(d) 不以公允价值计量的金融工具</w:t>
      </w:r>
    </w:p>
    <w:p>
      <w:pPr>
        <w:pStyle w:val="19"/>
        <w:spacing w:before="0"/>
        <w:ind w:left="0" w:firstLine="480"/>
        <w:rPr>
          <w:rFonts w:hint="eastAsia"/>
        </w:rPr>
      </w:pPr>
      <w:r>
        <w:rPr>
          <w:rFonts w:hint="eastAsia"/>
        </w:rPr>
        <w:t>不以公允价值计量的金融资产和负债主要包括应收款项和其他金融负债，其账面价值与公允价值相差很小。</w:t>
      </w:r>
    </w:p>
    <w:p>
      <w:pPr>
        <w:pStyle w:val="19"/>
        <w:spacing w:before="0"/>
        <w:ind w:left="0" w:firstLine="480"/>
        <w:rPr>
          <w:rFonts w:hint="eastAsia"/>
        </w:rPr>
      </w:pPr>
      <w:r>
        <w:rPr>
          <w:rFonts w:hint="eastAsia"/>
        </w:rPr>
        <w:t>7.4.14.2 除公允价值外，截至资产负债表日本基金无需要说明的其他重要事项。</w:t>
      </w:r>
    </w:p>
    <w:p>
      <w:pPr>
        <w:widowControl/>
        <w:jc w:val="left"/>
        <w:rPr>
          <w:rFonts w:hint="eastAsia" w:ascii="宋体" w:hAnsi="宋体" w:cs="宋体"/>
          <w:kern w:val="0"/>
          <w:sz w:val="24"/>
          <w:szCs w:val="24"/>
        </w:rPr>
      </w:pPr>
    </w:p>
    <w:p>
      <w:pPr>
        <w:pStyle w:val="12"/>
        <w:rPr>
          <w:rFonts w:hint="eastAsia"/>
        </w:rPr>
      </w:pPr>
      <w:bookmarkStart w:id="35" w:name="_Toc4487491"/>
      <w:r>
        <w:rPr>
          <w:rFonts w:hint="eastAsia" w:hAnsi="Calibri"/>
          <w:b/>
          <w:color w:val="000000"/>
        </w:rPr>
        <w:t>§8 投资组合报告</w:t>
      </w:r>
      <w:bookmarkEnd w:id="35"/>
    </w:p>
    <w:p>
      <w:pPr>
        <w:widowControl/>
        <w:jc w:val="left"/>
        <w:rPr>
          <w:rFonts w:hint="eastAsia" w:ascii="宋体" w:hAnsi="宋体" w:cs="宋体"/>
          <w:kern w:val="0"/>
          <w:sz w:val="24"/>
          <w:szCs w:val="24"/>
        </w:rPr>
      </w:pPr>
    </w:p>
    <w:p>
      <w:pPr>
        <w:pStyle w:val="13"/>
        <w:rPr>
          <w:rFonts w:hint="eastAsia"/>
        </w:rPr>
      </w:pPr>
      <w:bookmarkStart w:id="36" w:name="_Toc4487492"/>
      <w:r>
        <w:rPr>
          <w:rFonts w:hint="eastAsia"/>
          <w:b/>
          <w:bCs/>
        </w:rPr>
        <w:t>8.1 期末基金资产组合情况</w:t>
      </w:r>
      <w:bookmarkEnd w:id="36"/>
    </w:p>
    <w:p>
      <w:pPr>
        <w:pStyle w:val="18"/>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3612"/>
        <w:gridCol w:w="2529"/>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金额</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占基金总资产的比例(%)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权益投资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其中：股票</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固定收益投资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1,189,869,800.00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97.93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其中：债券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1,189,869,800.00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97.93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资产支持证券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贵金属投资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金融衍生品投资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其中：买断式回购的买入返售金融资产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银行存款和结算备付金合计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6,407,903.79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0.53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其他各项资产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18,709,336.06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1,214,987,039.85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13"/>
        <w:rPr>
          <w:rFonts w:hint="eastAsia"/>
        </w:rPr>
      </w:pPr>
      <w:bookmarkStart w:id="37" w:name="_Toc4487493"/>
      <w:r>
        <w:rPr>
          <w:rFonts w:hint="eastAsia"/>
          <w:b/>
          <w:bCs/>
        </w:rPr>
        <w:t>8.2 报告期末按行业分类的股票投资组合</w:t>
      </w:r>
      <w:bookmarkEnd w:id="37"/>
    </w:p>
    <w:p>
      <w:pPr>
        <w:pStyle w:val="19"/>
        <w:rPr>
          <w:rFonts w:hint="eastAsia"/>
        </w:rPr>
      </w:pPr>
      <w:r>
        <w:rPr>
          <w:rFonts w:hint="eastAsia"/>
        </w:rPr>
        <w:t>本基金本报告期末未持有股票。</w:t>
      </w:r>
    </w:p>
    <w:p>
      <w:pPr>
        <w:widowControl/>
        <w:jc w:val="left"/>
        <w:rPr>
          <w:rFonts w:hint="eastAsia" w:ascii="宋体" w:hAnsi="宋体" w:cs="宋体"/>
          <w:kern w:val="0"/>
          <w:sz w:val="24"/>
          <w:szCs w:val="24"/>
        </w:rPr>
      </w:pPr>
    </w:p>
    <w:p>
      <w:pPr>
        <w:pStyle w:val="13"/>
        <w:rPr>
          <w:rFonts w:hint="eastAsia"/>
        </w:rPr>
      </w:pPr>
      <w:bookmarkStart w:id="38" w:name="_Toc4487494"/>
      <w:r>
        <w:rPr>
          <w:rFonts w:hint="eastAsia"/>
          <w:b/>
          <w:bCs/>
        </w:rPr>
        <w:t>8.3 期末按公允价值占基金资产净值比例大小排序的所有股票投资明细</w:t>
      </w:r>
      <w:bookmarkEnd w:id="38"/>
    </w:p>
    <w:p>
      <w:pPr>
        <w:pStyle w:val="19"/>
        <w:rPr>
          <w:rFonts w:hint="eastAsia"/>
        </w:rPr>
      </w:pPr>
      <w:r>
        <w:rPr>
          <w:rFonts w:hint="eastAsia"/>
        </w:rPr>
        <w:t>本基金本报告期末未持有股票。</w:t>
      </w:r>
    </w:p>
    <w:p>
      <w:pPr>
        <w:widowControl/>
        <w:jc w:val="left"/>
        <w:rPr>
          <w:rFonts w:hint="eastAsia" w:ascii="宋体" w:hAnsi="宋体" w:cs="宋体"/>
          <w:kern w:val="0"/>
          <w:sz w:val="24"/>
          <w:szCs w:val="24"/>
        </w:rPr>
      </w:pPr>
    </w:p>
    <w:p>
      <w:pPr>
        <w:pStyle w:val="13"/>
        <w:rPr>
          <w:rFonts w:hint="eastAsia"/>
        </w:rPr>
      </w:pPr>
      <w:bookmarkStart w:id="39" w:name="_Toc4487495"/>
      <w:r>
        <w:rPr>
          <w:rFonts w:hint="eastAsia"/>
          <w:b/>
          <w:bCs/>
        </w:rPr>
        <w:t>8.4 报告期内股票投资组合的重大变动</w:t>
      </w:r>
      <w:bookmarkEnd w:id="39"/>
    </w:p>
    <w:p>
      <w:pPr>
        <w:pStyle w:val="14"/>
        <w:rPr>
          <w:rFonts w:hint="eastAsia"/>
        </w:rPr>
      </w:pPr>
      <w:r>
        <w:rPr>
          <w:rFonts w:hint="eastAsia"/>
          <w:b/>
          <w:bCs/>
        </w:rPr>
        <w:t>8.4.1 累计买入金额超出期初基金资产净值2%或前20名的股票明细</w:t>
      </w:r>
    </w:p>
    <w:p>
      <w:pPr>
        <w:pStyle w:val="19"/>
        <w:rPr>
          <w:rFonts w:hint="eastAsia"/>
        </w:rPr>
      </w:pPr>
      <w:r>
        <w:rPr>
          <w:rFonts w:hint="eastAsia"/>
        </w:rPr>
        <w:t>本基金本报告期内未持有股票。</w:t>
      </w:r>
    </w:p>
    <w:p>
      <w:pPr>
        <w:widowControl/>
        <w:jc w:val="left"/>
        <w:rPr>
          <w:rFonts w:hint="eastAsia" w:ascii="宋体" w:hAnsi="宋体" w:cs="宋体"/>
          <w:kern w:val="0"/>
          <w:sz w:val="24"/>
          <w:szCs w:val="24"/>
        </w:rPr>
      </w:pPr>
    </w:p>
    <w:p>
      <w:pPr>
        <w:pStyle w:val="14"/>
        <w:rPr>
          <w:rFonts w:hint="eastAsia"/>
        </w:rPr>
      </w:pPr>
      <w:r>
        <w:rPr>
          <w:rFonts w:hint="eastAsia"/>
          <w:b/>
          <w:bCs/>
        </w:rPr>
        <w:t>8.4.2 累计卖出金额超出期初基金资产净值2%或前20名的股票明细</w:t>
      </w:r>
    </w:p>
    <w:p>
      <w:pPr>
        <w:pStyle w:val="19"/>
        <w:rPr>
          <w:rFonts w:hint="eastAsia"/>
        </w:rPr>
      </w:pPr>
      <w:r>
        <w:rPr>
          <w:rFonts w:hint="eastAsia"/>
        </w:rPr>
        <w:t>本基金本报告期内未持有股票。</w:t>
      </w:r>
    </w:p>
    <w:p>
      <w:pPr>
        <w:widowControl/>
        <w:jc w:val="left"/>
        <w:rPr>
          <w:rFonts w:hint="eastAsia" w:ascii="宋体" w:hAnsi="宋体" w:cs="宋体"/>
          <w:kern w:val="0"/>
          <w:sz w:val="24"/>
          <w:szCs w:val="24"/>
        </w:rPr>
      </w:pPr>
    </w:p>
    <w:p>
      <w:pPr>
        <w:pStyle w:val="14"/>
        <w:rPr>
          <w:rFonts w:hint="eastAsia"/>
        </w:rPr>
      </w:pPr>
      <w:r>
        <w:rPr>
          <w:rFonts w:hint="eastAsia"/>
          <w:b/>
          <w:bCs/>
        </w:rPr>
        <w:t>8.4.3 买入股票的成本总额及卖出股票的收入总额</w:t>
      </w:r>
    </w:p>
    <w:p>
      <w:pPr>
        <w:pStyle w:val="19"/>
        <w:rPr>
          <w:rFonts w:hint="eastAsia"/>
        </w:rPr>
      </w:pPr>
      <w:r>
        <w:rPr>
          <w:rFonts w:hint="eastAsia"/>
        </w:rPr>
        <w:t>本基金本报告期内未持有股票。</w:t>
      </w:r>
    </w:p>
    <w:p>
      <w:pPr>
        <w:widowControl/>
        <w:jc w:val="left"/>
        <w:rPr>
          <w:rFonts w:hint="eastAsia" w:ascii="宋体" w:hAnsi="宋体" w:cs="宋体"/>
          <w:kern w:val="0"/>
          <w:sz w:val="24"/>
          <w:szCs w:val="24"/>
        </w:rPr>
      </w:pPr>
    </w:p>
    <w:p>
      <w:pPr>
        <w:pStyle w:val="13"/>
        <w:rPr>
          <w:rFonts w:hint="eastAsia"/>
        </w:rPr>
      </w:pPr>
      <w:bookmarkStart w:id="40" w:name="_Toc4487496"/>
      <w:r>
        <w:rPr>
          <w:rFonts w:hint="eastAsia"/>
          <w:b/>
          <w:bCs/>
        </w:rPr>
        <w:t>8.5 期末按债券品种分类的债券投资组合</w:t>
      </w:r>
      <w:bookmarkEnd w:id="40"/>
    </w:p>
    <w:p>
      <w:pPr>
        <w:pStyle w:val="18"/>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2529"/>
        <w:gridCol w:w="2528"/>
        <w:gridCol w:w="3251"/>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序号</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债券品种</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国家债券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央行票据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金融债券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509,069,800.00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51.78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其中：政策性金融债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154,853,000.00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15.75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企业债券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10,240,000.00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企业短期融资券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中期票据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670,560,000.00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68.21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可转债(可交换债)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同业存单</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1,189,869,800.00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121.04</w:t>
            </w:r>
          </w:p>
        </w:tc>
      </w:tr>
    </w:tbl>
    <w:p>
      <w:pPr>
        <w:widowControl/>
        <w:jc w:val="left"/>
        <w:rPr>
          <w:rFonts w:hint="eastAsia" w:ascii="宋体" w:hAnsi="宋体" w:cs="宋体"/>
          <w:kern w:val="0"/>
          <w:sz w:val="24"/>
          <w:szCs w:val="24"/>
        </w:rPr>
      </w:pPr>
    </w:p>
    <w:p>
      <w:pPr>
        <w:pStyle w:val="13"/>
        <w:rPr>
          <w:rFonts w:hint="eastAsia"/>
        </w:rPr>
      </w:pPr>
      <w:bookmarkStart w:id="41" w:name="_Toc4487497"/>
      <w:r>
        <w:rPr>
          <w:rFonts w:hint="eastAsia"/>
          <w:b/>
          <w:bCs/>
        </w:rPr>
        <w:t>8.6 期末按公允价值占基金资产净值比例大小排序的前五名债券投资明细</w:t>
      </w:r>
      <w:bookmarkEnd w:id="41"/>
    </w:p>
    <w:p>
      <w:pPr>
        <w:pStyle w:val="18"/>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92"/>
        <w:gridCol w:w="1543"/>
        <w:gridCol w:w="1543"/>
        <w:gridCol w:w="1734"/>
        <w:gridCol w:w="1995"/>
        <w:gridCol w:w="1591"/>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债券代码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债券名称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数量（张）</w:t>
            </w:r>
          </w:p>
        </w:tc>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180204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18国开04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104,720,000.00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101800773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18首钢MTN002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61,092,000.00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101751038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17陕延油MTN002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52,030,000.00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101800398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18广州地铁MTN002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51,995,000.00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101468005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14中铝业MTN001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50,920,000.00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5.18</w:t>
            </w:r>
          </w:p>
        </w:tc>
      </w:tr>
    </w:tbl>
    <w:p>
      <w:pPr>
        <w:widowControl/>
        <w:jc w:val="left"/>
        <w:rPr>
          <w:rFonts w:hint="eastAsia" w:ascii="宋体" w:hAnsi="宋体" w:cs="宋体"/>
          <w:kern w:val="0"/>
          <w:sz w:val="24"/>
          <w:szCs w:val="24"/>
        </w:rPr>
      </w:pPr>
    </w:p>
    <w:p>
      <w:pPr>
        <w:pStyle w:val="13"/>
        <w:rPr>
          <w:rFonts w:hint="eastAsia"/>
        </w:rPr>
      </w:pPr>
      <w:bookmarkStart w:id="42" w:name="_Toc4487498"/>
      <w:r>
        <w:rPr>
          <w:rFonts w:hint="eastAsia"/>
          <w:b/>
          <w:bCs/>
        </w:rPr>
        <w:t>8.7 期末按公允价值占基金资产净值比例大小排序的所有资产支持证券投资明细</w:t>
      </w:r>
      <w:bookmarkEnd w:id="42"/>
    </w:p>
    <w:p>
      <w:pPr>
        <w:pStyle w:val="19"/>
        <w:rPr>
          <w:rFonts w:hint="eastAsia"/>
        </w:rPr>
      </w:pPr>
      <w:r>
        <w:rPr>
          <w:rFonts w:hint="eastAsia"/>
        </w:rPr>
        <w:t>本基金本报告期末未持有资产支持证券。</w:t>
      </w:r>
    </w:p>
    <w:p>
      <w:pPr>
        <w:widowControl/>
        <w:jc w:val="left"/>
        <w:rPr>
          <w:rFonts w:hint="eastAsia" w:ascii="宋体" w:hAnsi="宋体" w:cs="宋体"/>
          <w:kern w:val="0"/>
          <w:sz w:val="24"/>
          <w:szCs w:val="24"/>
        </w:rPr>
      </w:pPr>
    </w:p>
    <w:p>
      <w:pPr>
        <w:pStyle w:val="13"/>
        <w:rPr>
          <w:rFonts w:hint="eastAsia"/>
        </w:rPr>
      </w:pPr>
      <w:bookmarkStart w:id="43" w:name="_Toc4487499"/>
      <w:r>
        <w:rPr>
          <w:rFonts w:hint="eastAsia"/>
          <w:b/>
          <w:bCs/>
        </w:rPr>
        <w:t>8.8 报告期末按公允价值占基金资产净值比例大小排序的前五名贵金属投资明细</w:t>
      </w:r>
      <w:bookmarkEnd w:id="43"/>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9"/>
      </w:pPr>
      <w:r>
        <w:rPr>
          <w:rFonts w:hint="eastAsia"/>
        </w:rPr>
        <w:t>本基金本报告期末未持有贵金属。</w:t>
      </w:r>
    </w:p>
    <w:p>
      <w:pPr>
        <w:widowControl/>
        <w:jc w:val="left"/>
        <w:rPr>
          <w:rFonts w:hint="eastAsia" w:ascii="宋体" w:hAnsi="宋体" w:cs="宋体"/>
          <w:kern w:val="0"/>
          <w:sz w:val="24"/>
          <w:szCs w:val="24"/>
        </w:rPr>
      </w:pPr>
    </w:p>
    <w:p>
      <w:pPr>
        <w:pStyle w:val="13"/>
        <w:rPr>
          <w:rFonts w:hint="eastAsia"/>
        </w:rPr>
      </w:pPr>
      <w:bookmarkStart w:id="44" w:name="_Toc4487500"/>
      <w:r>
        <w:rPr>
          <w:rFonts w:hint="eastAsia"/>
          <w:b/>
          <w:bCs/>
        </w:rPr>
        <w:t>8.9 期末按公允价值占基金资产净值比例大小排序的前五名权证投资明细</w:t>
      </w:r>
      <w:bookmarkEnd w:id="44"/>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9"/>
      </w:pPr>
      <w:r>
        <w:rPr>
          <w:rFonts w:hint="eastAsia"/>
        </w:rPr>
        <w:t>本基金本报告期末未持有权证。</w:t>
      </w:r>
    </w:p>
    <w:p>
      <w:pPr>
        <w:widowControl/>
        <w:jc w:val="left"/>
        <w:rPr>
          <w:rFonts w:hint="eastAsia" w:ascii="宋体" w:hAnsi="宋体" w:cs="宋体"/>
          <w:kern w:val="0"/>
          <w:sz w:val="24"/>
          <w:szCs w:val="24"/>
        </w:rPr>
      </w:pPr>
    </w:p>
    <w:p>
      <w:pPr>
        <w:pStyle w:val="13"/>
        <w:rPr>
          <w:rFonts w:hint="eastAsia"/>
        </w:rPr>
      </w:pPr>
      <w:bookmarkStart w:id="45" w:name="_Toc4487501"/>
      <w:r>
        <w:rPr>
          <w:rFonts w:hint="eastAsia"/>
          <w:b/>
          <w:bCs/>
        </w:rPr>
        <w:t>8.10 报告期末本基金投资的股指期货交易情况说明</w:t>
      </w:r>
      <w:bookmarkEnd w:id="45"/>
    </w:p>
    <w:tbl>
      <w:tblPr>
        <w:tblStyle w:val="7"/>
        <w:tblW w:w="0" w:type="auto"/>
        <w:tblInd w:w="108" w:type="dxa"/>
        <w:tblLayout w:type="autofit"/>
        <w:tblCellMar>
          <w:top w:w="0" w:type="dxa"/>
          <w:left w:w="108" w:type="dxa"/>
          <w:bottom w:w="0" w:type="dxa"/>
          <w:right w:w="108" w:type="dxa"/>
        </w:tblCellMar>
      </w:tblPr>
      <w:tblGrid>
        <w:gridCol w:w="222"/>
      </w:tblGrid>
      <w:tr>
        <w:trPr>
          <w:wBefore w:w="0" w:type="auto"/>
        </w:trPr>
        <w:tc>
          <w:tcPr>
            <w:tcW w:w="0" w:type="auto"/>
            <w:noWrap w:val="0"/>
            <w:vAlign w:val="center"/>
          </w:tcPr>
          <w:p>
            <w:pPr>
              <w:rPr>
                <w:rFonts w:hint="eastAsia"/>
              </w:rPr>
            </w:pPr>
          </w:p>
        </w:tc>
      </w:tr>
    </w:tbl>
    <w:p>
      <w:pPr>
        <w:pStyle w:val="19"/>
      </w:pPr>
      <w:r>
        <w:rPr>
          <w:rFonts w:hint="eastAsia"/>
        </w:rPr>
        <w:t>本基金本报告期未投资股指期货。</w:t>
      </w:r>
    </w:p>
    <w:p>
      <w:pPr>
        <w:widowControl/>
        <w:jc w:val="left"/>
        <w:rPr>
          <w:rFonts w:hint="eastAsia" w:ascii="宋体" w:hAnsi="宋体" w:cs="宋体"/>
          <w:kern w:val="0"/>
          <w:sz w:val="24"/>
          <w:szCs w:val="24"/>
        </w:rPr>
      </w:pPr>
    </w:p>
    <w:p>
      <w:pPr>
        <w:pStyle w:val="13"/>
        <w:rPr>
          <w:rFonts w:hint="eastAsia"/>
        </w:rPr>
      </w:pPr>
      <w:bookmarkStart w:id="46" w:name="_Toc4487502"/>
      <w:r>
        <w:rPr>
          <w:rFonts w:hint="eastAsia"/>
          <w:b/>
          <w:bCs/>
        </w:rPr>
        <w:t>8.11 报告期末本基金投资的国债期货交易情况说明</w:t>
      </w:r>
      <w:bookmarkEnd w:id="46"/>
    </w:p>
    <w:p>
      <w:pPr>
        <w:pStyle w:val="19"/>
        <w:rPr>
          <w:rFonts w:hint="eastAsia"/>
        </w:rPr>
      </w:pPr>
      <w:r>
        <w:rPr>
          <w:rFonts w:hint="eastAsia"/>
        </w:rPr>
        <w:t>本基金本报告期未投资国债期货。</w:t>
      </w:r>
    </w:p>
    <w:p>
      <w:pPr>
        <w:widowControl/>
        <w:jc w:val="left"/>
        <w:rPr>
          <w:rFonts w:hint="eastAsia" w:ascii="宋体" w:hAnsi="宋体" w:cs="宋体"/>
          <w:kern w:val="0"/>
          <w:sz w:val="24"/>
          <w:szCs w:val="24"/>
        </w:rPr>
      </w:pPr>
    </w:p>
    <w:p>
      <w:pPr>
        <w:pStyle w:val="13"/>
        <w:rPr>
          <w:rFonts w:hint="eastAsia"/>
        </w:rPr>
      </w:pPr>
      <w:bookmarkStart w:id="47" w:name="_Toc4487503"/>
      <w:r>
        <w:rPr>
          <w:rFonts w:hint="eastAsia"/>
          <w:b/>
          <w:bCs/>
        </w:rPr>
        <w:t>8.12 投资组合报告附注</w:t>
      </w:r>
      <w:bookmarkEnd w:id="47"/>
    </w:p>
    <w:p>
      <w:pPr>
        <w:pStyle w:val="14"/>
        <w:rPr>
          <w:rFonts w:hint="eastAsia"/>
        </w:rPr>
      </w:pPr>
      <w:r>
        <w:rPr>
          <w:rFonts w:hint="eastAsia"/>
          <w:b/>
          <w:bCs/>
        </w:rPr>
        <w:t>8.12.1 本报告期内，未出现基金投资前十名证券的发行主体被监管部门立案调查或编制日前一年内受到公开谴责、处罚的情况。</w:t>
      </w:r>
    </w:p>
    <w:p>
      <w:pPr>
        <w:widowControl/>
        <w:jc w:val="left"/>
        <w:rPr>
          <w:rFonts w:hint="eastAsia" w:ascii="宋体" w:hAnsi="宋体" w:cs="宋体"/>
          <w:kern w:val="0"/>
          <w:sz w:val="24"/>
          <w:szCs w:val="24"/>
        </w:rPr>
      </w:pPr>
    </w:p>
    <w:p>
      <w:pPr>
        <w:pStyle w:val="14"/>
        <w:rPr>
          <w:rFonts w:hint="eastAsia"/>
        </w:rPr>
      </w:pPr>
      <w:r>
        <w:rPr>
          <w:rFonts w:hint="eastAsia"/>
          <w:b/>
          <w:bCs/>
        </w:rPr>
        <w:t>8.12.2 本报告期内未投资股票。</w:t>
      </w:r>
    </w:p>
    <w:p>
      <w:pPr>
        <w:widowControl/>
        <w:jc w:val="left"/>
        <w:rPr>
          <w:rFonts w:hint="eastAsia" w:ascii="宋体" w:hAnsi="宋体" w:cs="宋体"/>
          <w:kern w:val="0"/>
          <w:sz w:val="24"/>
          <w:szCs w:val="24"/>
        </w:rPr>
      </w:pPr>
    </w:p>
    <w:p>
      <w:pPr>
        <w:pStyle w:val="14"/>
        <w:rPr>
          <w:rFonts w:hint="eastAsia"/>
        </w:rPr>
      </w:pPr>
      <w:r>
        <w:rPr>
          <w:rFonts w:hint="eastAsia"/>
          <w:b/>
          <w:bCs/>
        </w:rPr>
        <w:t>8.12.3 期末其他各项资产构成</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16"/>
        <w:gridCol w:w="3889"/>
        <w:gridCol w:w="4593"/>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金额</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存出保证金</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应收证券清算款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应收股利</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应收利息</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18,709,336.06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应收申购款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其他应收款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待摊费用</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9</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合计</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18,709,336.06</w:t>
            </w:r>
          </w:p>
        </w:tc>
      </w:tr>
    </w:tbl>
    <w:p>
      <w:pPr>
        <w:widowControl/>
        <w:jc w:val="left"/>
        <w:rPr>
          <w:rFonts w:hint="eastAsia" w:ascii="宋体" w:hAnsi="宋体" w:cs="宋体"/>
          <w:kern w:val="0"/>
          <w:sz w:val="24"/>
          <w:szCs w:val="24"/>
        </w:rPr>
      </w:pPr>
    </w:p>
    <w:p>
      <w:pPr>
        <w:pStyle w:val="14"/>
        <w:rPr>
          <w:rFonts w:hint="eastAsia"/>
        </w:rPr>
      </w:pPr>
      <w:r>
        <w:rPr>
          <w:rFonts w:hint="eastAsia"/>
          <w:b/>
          <w:bCs/>
        </w:rPr>
        <w:t>8.12.4 期末持有的处于转股期的可转换债券明细</w:t>
      </w:r>
    </w:p>
    <w:p>
      <w:pPr>
        <w:pStyle w:val="19"/>
        <w:rPr>
          <w:rFonts w:hint="eastAsia"/>
        </w:rPr>
      </w:pPr>
      <w:r>
        <w:rPr>
          <w:rFonts w:hint="eastAsia"/>
        </w:rPr>
        <w:t>本基金本报告期末未持有处于转股期的可转换债券。</w:t>
      </w:r>
    </w:p>
    <w:p>
      <w:pPr>
        <w:widowControl/>
        <w:jc w:val="left"/>
        <w:rPr>
          <w:rFonts w:hint="eastAsia" w:ascii="宋体" w:hAnsi="宋体" w:cs="宋体"/>
          <w:kern w:val="0"/>
          <w:sz w:val="24"/>
          <w:szCs w:val="24"/>
        </w:rPr>
      </w:pPr>
    </w:p>
    <w:p>
      <w:pPr>
        <w:pStyle w:val="14"/>
        <w:rPr>
          <w:rFonts w:hint="eastAsia"/>
        </w:rPr>
      </w:pPr>
      <w:r>
        <w:rPr>
          <w:rFonts w:hint="eastAsia"/>
          <w:b/>
          <w:bCs/>
        </w:rPr>
        <w:t>8.12.5 期末前十名股票中存在流通受限情况的说明</w:t>
      </w:r>
    </w:p>
    <w:p>
      <w:pPr>
        <w:pStyle w:val="19"/>
        <w:rPr>
          <w:rFonts w:hint="eastAsia"/>
        </w:rPr>
      </w:pPr>
      <w:r>
        <w:rPr>
          <w:rFonts w:hint="eastAsia"/>
        </w:rPr>
        <w:t>本基金本报告期末未持有股票。</w:t>
      </w:r>
    </w:p>
    <w:p>
      <w:pPr>
        <w:widowControl/>
        <w:jc w:val="left"/>
        <w:rPr>
          <w:rFonts w:hint="eastAsia" w:ascii="宋体" w:hAnsi="宋体" w:cs="宋体"/>
          <w:kern w:val="0"/>
          <w:sz w:val="24"/>
          <w:szCs w:val="24"/>
        </w:rPr>
      </w:pPr>
    </w:p>
    <w:p>
      <w:pPr>
        <w:pStyle w:val="12"/>
        <w:rPr>
          <w:rFonts w:hint="eastAsia"/>
        </w:rPr>
      </w:pPr>
      <w:bookmarkStart w:id="48" w:name="_Toc4487504"/>
      <w:r>
        <w:rPr>
          <w:rFonts w:hint="eastAsia" w:hAnsi="Calibri"/>
          <w:b/>
          <w:color w:val="000000"/>
        </w:rPr>
        <w:t>§9  基金份额持有人信息</w:t>
      </w:r>
      <w:bookmarkEnd w:id="48"/>
    </w:p>
    <w:p>
      <w:pPr>
        <w:widowControl/>
        <w:jc w:val="left"/>
        <w:rPr>
          <w:rFonts w:hint="eastAsia" w:ascii="宋体" w:hAnsi="宋体" w:cs="宋体"/>
          <w:kern w:val="0"/>
          <w:sz w:val="24"/>
          <w:szCs w:val="24"/>
        </w:rPr>
      </w:pPr>
    </w:p>
    <w:p>
      <w:pPr>
        <w:pStyle w:val="13"/>
        <w:rPr>
          <w:rFonts w:hint="eastAsia"/>
        </w:rPr>
      </w:pPr>
      <w:bookmarkStart w:id="49" w:name="_Toc4487505"/>
      <w:r>
        <w:rPr>
          <w:rFonts w:hint="eastAsia"/>
          <w:b/>
          <w:bCs/>
        </w:rPr>
        <w:t>9.1 期末基金份额持有人户数及持有人结构</w:t>
      </w:r>
      <w:bookmarkEnd w:id="49"/>
    </w:p>
    <w:p>
      <w:pPr>
        <w:pStyle w:val="18"/>
        <w:rPr>
          <w:rFonts w:hint="eastAsia"/>
        </w:rPr>
      </w:pPr>
      <w:r>
        <w:rPr>
          <w:rFonts w:hint="eastAsia" w:hAnsi="Calibri"/>
          <w:color w:val="000000"/>
        </w:rPr>
        <w:t>份额单位：份</w:t>
      </w:r>
    </w:p>
    <w:tbl>
      <w:tblPr>
        <w:tblStyle w:val="7"/>
        <w:tblW w:w="9045" w:type="dxa"/>
        <w:tblInd w:w="108" w:type="dxa"/>
        <w:tblLayout w:type="autofit"/>
        <w:tblCellMar>
          <w:top w:w="0" w:type="dxa"/>
          <w:left w:w="108" w:type="dxa"/>
          <w:bottom w:w="0" w:type="dxa"/>
          <w:right w:w="108" w:type="dxa"/>
        </w:tblCellMar>
      </w:tblPr>
      <w:tblGrid>
        <w:gridCol w:w="904"/>
        <w:gridCol w:w="2261"/>
        <w:gridCol w:w="1809"/>
        <w:gridCol w:w="1131"/>
        <w:gridCol w:w="1809"/>
        <w:gridCol w:w="1131"/>
      </w:tblGrid>
      <w:tr>
        <w:tblPrEx>
          <w:tblCellMar>
            <w:top w:w="0" w:type="dxa"/>
            <w:left w:w="108" w:type="dxa"/>
            <w:bottom w:w="0" w:type="dxa"/>
            <w:right w:w="108" w:type="dxa"/>
          </w:tblCellMar>
        </w:tblPrEx>
        <w:trPr>
          <w:wBefore w:w="0" w:type="auto"/>
        </w:trPr>
        <w:tc>
          <w:tcPr>
            <w:tcW w:w="4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持有人户数(户)</w:t>
            </w:r>
          </w:p>
        </w:tc>
        <w:tc>
          <w:tcPr>
            <w:tcW w:w="10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户均持有的基金份额</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持有人结构</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3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机构投资者</w:t>
            </w:r>
          </w:p>
        </w:tc>
        <w:tc>
          <w:tcPr>
            <w:tcW w:w="13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个人投资者</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8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占总份额比例</w:t>
            </w:r>
          </w:p>
        </w:tc>
        <w:tc>
          <w:tcPr>
            <w:tcW w:w="8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占总份额比例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4,899,674.55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979,833,094.46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101,814.58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0.01%</w:t>
            </w:r>
          </w:p>
        </w:tc>
      </w:tr>
    </w:tbl>
    <w:p>
      <w:pPr>
        <w:widowControl/>
        <w:jc w:val="left"/>
        <w:rPr>
          <w:rFonts w:hint="eastAsia" w:ascii="宋体" w:hAnsi="宋体" w:cs="宋体"/>
          <w:kern w:val="0"/>
          <w:sz w:val="24"/>
          <w:szCs w:val="24"/>
        </w:rPr>
      </w:pPr>
    </w:p>
    <w:p>
      <w:pPr>
        <w:pStyle w:val="13"/>
        <w:rPr>
          <w:rFonts w:hint="eastAsia"/>
        </w:rPr>
      </w:pPr>
      <w:bookmarkStart w:id="50" w:name="_Toc4487506"/>
      <w:r>
        <w:rPr>
          <w:rFonts w:hint="eastAsia" w:hAnsi="Calibri"/>
          <w:b/>
          <w:color w:val="000000"/>
        </w:rPr>
        <w:t>9.2 期末基金管理人的从业人员持有本基金的情况</w:t>
      </w:r>
      <w:bookmarkEnd w:id="50"/>
    </w:p>
    <w:tbl>
      <w:tblPr>
        <w:tblStyle w:val="7"/>
        <w:tblW w:w="9045" w:type="dxa"/>
        <w:tblInd w:w="108" w:type="dxa"/>
        <w:tblLayout w:type="autofit"/>
        <w:tblCellMar>
          <w:top w:w="0" w:type="dxa"/>
          <w:left w:w="108" w:type="dxa"/>
          <w:bottom w:w="0" w:type="dxa"/>
          <w:right w:w="108" w:type="dxa"/>
        </w:tblCellMar>
      </w:tblPr>
      <w:tblGrid>
        <w:gridCol w:w="4116"/>
        <w:gridCol w:w="2336"/>
        <w:gridCol w:w="2593"/>
      </w:tblGrid>
      <w:tr>
        <w:tblPrEx>
          <w:tblCellMar>
            <w:top w:w="0" w:type="dxa"/>
            <w:left w:w="108" w:type="dxa"/>
            <w:bottom w:w="0" w:type="dxa"/>
            <w:right w:w="108" w:type="dxa"/>
          </w:tblCellMar>
        </w:tblPrEx>
        <w:trPr>
          <w:wBefore w:w="0" w:type="auto"/>
        </w:trPr>
        <w:tc>
          <w:tcPr>
            <w:tcW w:w="21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231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持有份额总数（份）</w:t>
            </w:r>
          </w:p>
        </w:tc>
        <w:tc>
          <w:tcPr>
            <w:tcW w:w="256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占基金总份额比例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基金管理人所有从业人员持有本基金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13,282.86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0.0000%</w:t>
            </w:r>
          </w:p>
        </w:tc>
      </w:tr>
    </w:tbl>
    <w:p>
      <w:pPr>
        <w:widowControl/>
        <w:jc w:val="left"/>
        <w:rPr>
          <w:rFonts w:hint="eastAsia" w:ascii="宋体" w:hAnsi="宋体" w:cs="宋体"/>
          <w:kern w:val="0"/>
          <w:sz w:val="24"/>
          <w:szCs w:val="24"/>
        </w:rPr>
      </w:pPr>
    </w:p>
    <w:p>
      <w:pPr>
        <w:pStyle w:val="13"/>
        <w:rPr>
          <w:rFonts w:hint="eastAsia"/>
        </w:rPr>
      </w:pPr>
      <w:bookmarkStart w:id="51" w:name="_Toc4487507"/>
      <w:r>
        <w:rPr>
          <w:rFonts w:hint="eastAsia"/>
          <w:b/>
          <w:bCs/>
        </w:rPr>
        <w:t>9.3 期末基金管理人的从业人员持有本开放式基金份额总量区间情况</w:t>
      </w:r>
      <w:bookmarkEnd w:id="51"/>
    </w:p>
    <w:tbl>
      <w:tblPr>
        <w:tblStyle w:val="7"/>
        <w:tblW w:w="9045" w:type="dxa"/>
        <w:tblInd w:w="108" w:type="dxa"/>
        <w:tblLayout w:type="autofit"/>
        <w:tblCellMar>
          <w:top w:w="0" w:type="dxa"/>
          <w:left w:w="108" w:type="dxa"/>
          <w:bottom w:w="0" w:type="dxa"/>
          <w:right w:w="108" w:type="dxa"/>
        </w:tblCellMar>
      </w:tblPr>
      <w:tblGrid>
        <w:gridCol w:w="4522"/>
        <w:gridCol w:w="4523"/>
      </w:tblGrid>
      <w:tr>
        <w:tblPrEx>
          <w:tblCellMar>
            <w:top w:w="0" w:type="dxa"/>
            <w:left w:w="108" w:type="dxa"/>
            <w:bottom w:w="0" w:type="dxa"/>
            <w:right w:w="108" w:type="dxa"/>
          </w:tblCellMar>
        </w:tblPrEx>
        <w:trPr>
          <w:wBefore w:w="0" w:type="auto"/>
        </w:trPr>
        <w:tc>
          <w:tcPr>
            <w:tcW w:w="2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持有基金份额总量的数量区间（万份）</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本公司高级管理人员、基金投资和研究部门负责人持有本开放式基金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本基金基金经理持有本开放式基金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0~10</w:t>
            </w:r>
          </w:p>
        </w:tc>
      </w:tr>
    </w:tbl>
    <w:p>
      <w:pPr>
        <w:widowControl/>
        <w:jc w:val="left"/>
        <w:rPr>
          <w:rFonts w:hint="eastAsia" w:ascii="宋体" w:hAnsi="宋体" w:cs="宋体"/>
          <w:kern w:val="0"/>
          <w:sz w:val="24"/>
          <w:szCs w:val="24"/>
        </w:rPr>
      </w:pPr>
    </w:p>
    <w:p>
      <w:pPr>
        <w:pStyle w:val="12"/>
        <w:rPr>
          <w:rFonts w:hint="eastAsia"/>
        </w:rPr>
      </w:pPr>
      <w:bookmarkStart w:id="52" w:name="_Toc4487508"/>
      <w:r>
        <w:rPr>
          <w:rFonts w:hint="eastAsia" w:hAnsi="Calibri"/>
          <w:b/>
          <w:color w:val="000000"/>
        </w:rPr>
        <w:t>§10  开放式基金份额变动</w:t>
      </w:r>
      <w:bookmarkEnd w:id="52"/>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单位：份</w:t>
      </w:r>
    </w:p>
    <w:tbl>
      <w:tblPr>
        <w:tblStyle w:val="7"/>
        <w:tblW w:w="0" w:type="auto"/>
        <w:tblInd w:w="108" w:type="dxa"/>
        <w:tblLayout w:type="autofit"/>
        <w:tblCellMar>
          <w:top w:w="0" w:type="dxa"/>
          <w:left w:w="108" w:type="dxa"/>
          <w:bottom w:w="0" w:type="dxa"/>
          <w:right w:w="108" w:type="dxa"/>
        </w:tblCellMar>
      </w:tblPr>
      <w:tblGrid>
        <w:gridCol w:w="6138"/>
        <w:gridCol w:w="2890"/>
      </w:tblGrid>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基金合同生效日(2016年02月26日)基金份额总额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200,164,018.44</w:t>
            </w:r>
          </w:p>
        </w:tc>
      </w:tr>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本报告期期初基金份额总额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1,379,882,414.83</w:t>
            </w:r>
          </w:p>
        </w:tc>
      </w:tr>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本报告期基金总申购份额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1,141,348.32</w:t>
            </w:r>
          </w:p>
        </w:tc>
      </w:tr>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减：本报告期基金总赎回份额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401,088,854.11</w:t>
            </w:r>
          </w:p>
        </w:tc>
      </w:tr>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本报告期基金拆分变动份额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本报告期期末基金份额总额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979,934,909.04</w:t>
            </w:r>
          </w:p>
        </w:tc>
      </w:tr>
    </w:tbl>
    <w:p>
      <w:pPr>
        <w:widowControl/>
        <w:jc w:val="left"/>
        <w:rPr>
          <w:rFonts w:hint="eastAsia" w:ascii="宋体" w:hAnsi="宋体" w:cs="宋体"/>
          <w:kern w:val="0"/>
          <w:sz w:val="24"/>
          <w:szCs w:val="24"/>
        </w:rPr>
      </w:pPr>
    </w:p>
    <w:p>
      <w:pPr>
        <w:pStyle w:val="12"/>
        <w:rPr>
          <w:rFonts w:hint="eastAsia"/>
        </w:rPr>
      </w:pPr>
      <w:bookmarkStart w:id="53" w:name="_Toc4487509"/>
      <w:r>
        <w:rPr>
          <w:rFonts w:hint="eastAsia" w:hAnsi="Calibri"/>
          <w:b/>
          <w:color w:val="000000"/>
        </w:rPr>
        <w:t>§11  重大事件揭示</w:t>
      </w:r>
      <w:bookmarkEnd w:id="53"/>
    </w:p>
    <w:p>
      <w:pPr>
        <w:widowControl/>
        <w:jc w:val="left"/>
        <w:rPr>
          <w:rFonts w:hint="eastAsia" w:ascii="宋体" w:hAnsi="宋体" w:cs="宋体"/>
          <w:kern w:val="0"/>
          <w:sz w:val="24"/>
          <w:szCs w:val="24"/>
        </w:rPr>
      </w:pPr>
    </w:p>
    <w:p>
      <w:pPr>
        <w:pStyle w:val="13"/>
        <w:rPr>
          <w:rFonts w:hint="eastAsia"/>
        </w:rPr>
      </w:pPr>
      <w:bookmarkStart w:id="54" w:name="_Toc4487510"/>
      <w:r>
        <w:rPr>
          <w:rFonts w:hint="eastAsia"/>
          <w:b/>
          <w:bCs/>
        </w:rPr>
        <w:t>11.1 基金份额持有人大会决议</w:t>
      </w:r>
      <w:bookmarkEnd w:id="54"/>
    </w:p>
    <w:p>
      <w:pPr>
        <w:pStyle w:val="19"/>
        <w:spacing w:before="0"/>
        <w:ind w:left="0" w:firstLine="480"/>
        <w:rPr>
          <w:rFonts w:hint="eastAsia"/>
        </w:rPr>
      </w:pPr>
      <w:r>
        <w:rPr>
          <w:rFonts w:hint="eastAsia"/>
        </w:rPr>
        <w:t>本报告期内未召开基金份额持有人大会。</w:t>
      </w:r>
    </w:p>
    <w:p>
      <w:pPr>
        <w:widowControl/>
        <w:jc w:val="left"/>
        <w:rPr>
          <w:rFonts w:hint="eastAsia" w:ascii="宋体" w:hAnsi="宋体" w:cs="宋体"/>
          <w:kern w:val="0"/>
          <w:sz w:val="24"/>
          <w:szCs w:val="24"/>
        </w:rPr>
      </w:pPr>
    </w:p>
    <w:p>
      <w:pPr>
        <w:pStyle w:val="13"/>
        <w:rPr>
          <w:rFonts w:hint="eastAsia"/>
        </w:rPr>
      </w:pPr>
      <w:bookmarkStart w:id="55" w:name="_Toc4487511"/>
      <w:r>
        <w:rPr>
          <w:rFonts w:hint="eastAsia"/>
          <w:b/>
          <w:bCs/>
        </w:rPr>
        <w:t>11.2 基金管理人、基金托管人的专门基金托管部门的重大人事变动</w:t>
      </w:r>
      <w:bookmarkEnd w:id="55"/>
    </w:p>
    <w:p>
      <w:pPr>
        <w:pStyle w:val="19"/>
        <w:spacing w:before="0"/>
        <w:ind w:left="0" w:firstLine="480"/>
        <w:rPr>
          <w:rFonts w:hint="eastAsia"/>
        </w:rPr>
      </w:pPr>
      <w:r>
        <w:rPr>
          <w:rFonts w:hint="eastAsia"/>
        </w:rPr>
        <w:t>本报告期内基金管理人、基金托管人的专门基金托管部门无重大人事变动。</w:t>
      </w:r>
    </w:p>
    <w:p>
      <w:pPr>
        <w:widowControl/>
        <w:jc w:val="left"/>
        <w:rPr>
          <w:rFonts w:hint="eastAsia" w:ascii="宋体" w:hAnsi="宋体" w:cs="宋体"/>
          <w:kern w:val="0"/>
          <w:sz w:val="24"/>
          <w:szCs w:val="24"/>
        </w:rPr>
      </w:pPr>
    </w:p>
    <w:p>
      <w:pPr>
        <w:pStyle w:val="13"/>
        <w:rPr>
          <w:rFonts w:hint="eastAsia"/>
        </w:rPr>
      </w:pPr>
      <w:bookmarkStart w:id="56" w:name="_Toc4487512"/>
      <w:r>
        <w:rPr>
          <w:rFonts w:hint="eastAsia"/>
          <w:b/>
          <w:bCs/>
        </w:rPr>
        <w:t>11.3 涉及基金管理人、基金财产、基金托管业务的诉讼</w:t>
      </w:r>
      <w:bookmarkEnd w:id="56"/>
    </w:p>
    <w:p>
      <w:pPr>
        <w:pStyle w:val="19"/>
        <w:spacing w:before="0"/>
        <w:ind w:left="0" w:firstLine="480"/>
        <w:rPr>
          <w:rFonts w:hint="eastAsia"/>
        </w:rPr>
      </w:pPr>
      <w:r>
        <w:rPr>
          <w:rFonts w:hint="eastAsia"/>
        </w:rPr>
        <w:t>本报告期内，未出现涉及基金管理人、基金财产、基金托管业务的诉讼。</w:t>
      </w:r>
    </w:p>
    <w:p>
      <w:pPr>
        <w:widowControl/>
        <w:jc w:val="left"/>
        <w:rPr>
          <w:rFonts w:hint="eastAsia" w:ascii="宋体" w:hAnsi="宋体" w:cs="宋体"/>
          <w:kern w:val="0"/>
          <w:sz w:val="24"/>
          <w:szCs w:val="24"/>
        </w:rPr>
      </w:pPr>
    </w:p>
    <w:p>
      <w:pPr>
        <w:pStyle w:val="13"/>
        <w:rPr>
          <w:rFonts w:hint="eastAsia"/>
        </w:rPr>
      </w:pPr>
      <w:bookmarkStart w:id="57" w:name="_Toc4487513"/>
      <w:r>
        <w:rPr>
          <w:rFonts w:hint="eastAsia"/>
          <w:b/>
          <w:bCs/>
        </w:rPr>
        <w:t>11.4 基金投资策略的改变</w:t>
      </w:r>
      <w:bookmarkEnd w:id="57"/>
    </w:p>
    <w:p>
      <w:pPr>
        <w:pStyle w:val="19"/>
        <w:spacing w:before="0"/>
        <w:ind w:left="0" w:firstLine="480"/>
        <w:rPr>
          <w:rFonts w:hint="eastAsia"/>
        </w:rPr>
      </w:pPr>
      <w:r>
        <w:rPr>
          <w:rFonts w:hint="eastAsia"/>
        </w:rPr>
        <w:t>本报告期内基金投资策略无重大改变。</w:t>
      </w:r>
    </w:p>
    <w:p>
      <w:pPr>
        <w:widowControl/>
        <w:jc w:val="left"/>
        <w:rPr>
          <w:rFonts w:hint="eastAsia" w:ascii="宋体" w:hAnsi="宋体" w:cs="宋体"/>
          <w:kern w:val="0"/>
          <w:sz w:val="24"/>
          <w:szCs w:val="24"/>
        </w:rPr>
      </w:pPr>
    </w:p>
    <w:p>
      <w:pPr>
        <w:pStyle w:val="13"/>
        <w:rPr>
          <w:rFonts w:hint="eastAsia"/>
        </w:rPr>
      </w:pPr>
      <w:bookmarkStart w:id="58" w:name="_Toc4487514"/>
      <w:r>
        <w:rPr>
          <w:rFonts w:hint="eastAsia"/>
          <w:b/>
          <w:bCs/>
        </w:rPr>
        <w:t>11.5 为基金进行审计的会计师事务所情况</w:t>
      </w:r>
      <w:bookmarkEnd w:id="58"/>
    </w:p>
    <w:p>
      <w:pPr>
        <w:pStyle w:val="19"/>
        <w:spacing w:before="0"/>
        <w:ind w:left="0" w:firstLine="480"/>
        <w:rPr>
          <w:rFonts w:hint="eastAsia"/>
        </w:rPr>
      </w:pPr>
      <w:r>
        <w:rPr>
          <w:rFonts w:hint="eastAsia"/>
        </w:rPr>
        <w:t xml:space="preserve">本报告期内本基金未更换会计师事务所,本年度支付给毕马威华振会计师事务所(特殊普通合伙)审计费用58,500.00元,该审计机构连续提供审计服务的年限为3年。 </w:t>
      </w:r>
    </w:p>
    <w:p>
      <w:pPr>
        <w:widowControl/>
        <w:jc w:val="left"/>
        <w:rPr>
          <w:rFonts w:hint="eastAsia" w:ascii="宋体" w:hAnsi="宋体" w:cs="宋体"/>
          <w:kern w:val="0"/>
          <w:sz w:val="24"/>
          <w:szCs w:val="24"/>
        </w:rPr>
      </w:pPr>
    </w:p>
    <w:p>
      <w:pPr>
        <w:pStyle w:val="13"/>
        <w:rPr>
          <w:rFonts w:hint="eastAsia"/>
        </w:rPr>
      </w:pPr>
      <w:bookmarkStart w:id="59" w:name="_Toc4487515"/>
      <w:r>
        <w:rPr>
          <w:rFonts w:hint="eastAsia"/>
          <w:b/>
          <w:bCs/>
        </w:rPr>
        <w:t>11.6 管理人、托管人及其高级管理人员受稽查或处罚等情况</w:t>
      </w:r>
      <w:bookmarkEnd w:id="59"/>
    </w:p>
    <w:p>
      <w:pPr>
        <w:pStyle w:val="19"/>
        <w:spacing w:before="0"/>
        <w:ind w:left="0" w:firstLine="480"/>
        <w:rPr>
          <w:rFonts w:hint="eastAsia"/>
        </w:rPr>
      </w:pPr>
      <w:r>
        <w:rPr>
          <w:rFonts w:hint="eastAsia"/>
        </w:rPr>
        <w:t>本报告期内，未出现管理人、托管人及其高级管理人员受监管部门稽查或处罚的情况。</w:t>
      </w:r>
    </w:p>
    <w:p>
      <w:pPr>
        <w:widowControl/>
        <w:jc w:val="left"/>
        <w:rPr>
          <w:rFonts w:hint="eastAsia" w:ascii="宋体" w:hAnsi="宋体" w:cs="宋体"/>
          <w:kern w:val="0"/>
          <w:sz w:val="24"/>
          <w:szCs w:val="24"/>
        </w:rPr>
      </w:pPr>
    </w:p>
    <w:p>
      <w:pPr>
        <w:pStyle w:val="13"/>
        <w:rPr>
          <w:rFonts w:hint="eastAsia"/>
        </w:rPr>
      </w:pPr>
      <w:bookmarkStart w:id="60" w:name="_Toc4487516"/>
      <w:r>
        <w:rPr>
          <w:rFonts w:hint="eastAsia"/>
          <w:b/>
          <w:bCs/>
        </w:rPr>
        <w:t>11.7 基金租用证券公司交易单元的有关情况</w:t>
      </w:r>
      <w:bookmarkEnd w:id="60"/>
    </w:p>
    <w:p>
      <w:pPr>
        <w:pStyle w:val="14"/>
        <w:rPr>
          <w:rFonts w:hint="eastAsia"/>
        </w:rPr>
      </w:pPr>
      <w:r>
        <w:rPr>
          <w:rFonts w:hint="eastAsia"/>
          <w:b/>
          <w:bCs/>
        </w:rPr>
        <w:t>11.7.1 基金租用证券公司交易单元进行股票投资及佣金支付情况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871"/>
        <w:gridCol w:w="471"/>
        <w:gridCol w:w="2318"/>
        <w:gridCol w:w="1233"/>
        <w:gridCol w:w="2319"/>
        <w:gridCol w:w="1233"/>
        <w:gridCol w:w="600"/>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券商名称</w:t>
            </w:r>
          </w:p>
        </w:tc>
        <w:tc>
          <w:tcPr>
            <w:tcW w:w="1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交易单元数量</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股票交易</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应支付该券商的佣金</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成交金额</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占当期股票成交总额的比例</w:t>
            </w: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佣金</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占当期佣金总量的比例</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英大证券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bl>
    <w:p>
      <w:pPr>
        <w:pStyle w:val="19"/>
        <w:rPr>
          <w:rFonts w:hint="eastAsia"/>
        </w:rPr>
      </w:pPr>
      <w:r>
        <w:rPr>
          <w:rFonts w:hint="eastAsia"/>
        </w:rPr>
        <w:t>注：交易单元的选择标准和程序：</w:t>
      </w:r>
      <w:r>
        <w:rPr>
          <w:rFonts w:hint="eastAsia"/>
        </w:rPr>
        <w:br w:type="textWrapping"/>
      </w:r>
      <w:r>
        <w:rPr>
          <w:rFonts w:hint="eastAsia"/>
        </w:rPr>
        <w:t>（1）研究实力较强，有固定的研究机构和专门的研究人员，能及时为基金提供高质量的咨询服务，包括宏观经济报告、行业报告、市场分析、个股分析报告及其它专门报告，并能根据基金投资的特定要求，提供专门研究报告；</w:t>
      </w:r>
      <w:r>
        <w:rPr>
          <w:rFonts w:hint="eastAsia"/>
        </w:rPr>
        <w:br w:type="textWrapping"/>
      </w:r>
      <w:r>
        <w:rPr>
          <w:rFonts w:hint="eastAsia"/>
        </w:rPr>
        <w:t>（2）财务状况良好，各项财务指标显示公司经营状况稳定；</w:t>
      </w:r>
      <w:r>
        <w:rPr>
          <w:rFonts w:hint="eastAsia"/>
        </w:rPr>
        <w:br w:type="textWrapping"/>
      </w:r>
      <w:r>
        <w:rPr>
          <w:rFonts w:hint="eastAsia"/>
        </w:rPr>
        <w:t>（3）经营行为规范，内部管理规范、严格，具备健全的内部控制制度，并能满足基金运作高度保密的要求；</w:t>
      </w:r>
      <w:r>
        <w:rPr>
          <w:rFonts w:hint="eastAsia"/>
        </w:rPr>
        <w:br w:type="textWrapping"/>
      </w:r>
      <w:r>
        <w:rPr>
          <w:rFonts w:hint="eastAsia"/>
        </w:rPr>
        <w:t>（4）具备基金运作所需的高效、安全的通讯条件，交易设施符合代理基金进行证券交易的需要，并能为基金提供全面的信息服务。</w:t>
      </w:r>
      <w:r>
        <w:rPr>
          <w:rFonts w:hint="eastAsia"/>
        </w:rPr>
        <w:br w:type="textWrapping"/>
      </w:r>
      <w:r>
        <w:rPr>
          <w:rFonts w:hint="eastAsia"/>
        </w:rPr>
        <w:t>基金管理人根据以上标准进行考察后确定租用券商的交易单元，并与被选中的证券经营机构签订交易单元租用协议。</w:t>
      </w:r>
      <w:r>
        <w:rPr>
          <w:rFonts w:hint="eastAsia"/>
        </w:rPr>
        <w:br w:type="textWrapping"/>
      </w:r>
      <w:r>
        <w:rPr>
          <w:rFonts w:hint="eastAsia"/>
        </w:rPr>
        <w:t>本基金报告期内新增招商证券，广发证券，中信建投证券，英大证券，安信证券，中泰证券、长江证券7家券商的13个交易单元。</w:t>
      </w:r>
    </w:p>
    <w:p>
      <w:pPr>
        <w:widowControl/>
        <w:jc w:val="left"/>
        <w:rPr>
          <w:rFonts w:hint="eastAsia" w:ascii="宋体" w:hAnsi="宋体" w:cs="宋体"/>
          <w:kern w:val="0"/>
          <w:sz w:val="24"/>
          <w:szCs w:val="24"/>
        </w:rPr>
      </w:pPr>
    </w:p>
    <w:p>
      <w:pPr>
        <w:pStyle w:val="14"/>
        <w:rPr>
          <w:rFonts w:hint="eastAsia"/>
        </w:rPr>
      </w:pPr>
      <w:r>
        <w:rPr>
          <w:rFonts w:hint="eastAsia"/>
          <w:b/>
          <w:bCs/>
        </w:rPr>
        <w:t>11.7.2 基金租用证券公司交易单元进行其他证券投资的情况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904"/>
        <w:gridCol w:w="1808"/>
        <w:gridCol w:w="905"/>
        <w:gridCol w:w="1809"/>
        <w:gridCol w:w="905"/>
        <w:gridCol w:w="396"/>
        <w:gridCol w:w="961"/>
        <w:gridCol w:w="396"/>
        <w:gridCol w:w="961"/>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券商名称</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债券交易</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债券回购交易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权证交易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基金交易</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18"/>
                <w:szCs w:val="18"/>
              </w:rPr>
            </w:pP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占当期债券成交总额的比例</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占当期权证成交总额的比例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占当期基金成交总额的比例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英大证券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bl>
    <w:p>
      <w:pPr>
        <w:pStyle w:val="19"/>
        <w:rPr>
          <w:rFonts w:hint="eastAsia"/>
        </w:rPr>
      </w:pPr>
      <w:r>
        <w:rPr>
          <w:rFonts w:hint="eastAsia"/>
        </w:rPr>
        <w:t>本基金报告期内无租用证券公司交易单元进行其他证券投资的情况。</w:t>
      </w:r>
    </w:p>
    <w:p>
      <w:pPr>
        <w:widowControl/>
        <w:jc w:val="left"/>
        <w:rPr>
          <w:rFonts w:hint="eastAsia" w:ascii="宋体" w:hAnsi="宋体" w:cs="宋体"/>
          <w:kern w:val="0"/>
          <w:sz w:val="24"/>
          <w:szCs w:val="24"/>
        </w:rPr>
      </w:pPr>
    </w:p>
    <w:p>
      <w:pPr>
        <w:pStyle w:val="13"/>
        <w:rPr>
          <w:rFonts w:hint="eastAsia"/>
        </w:rPr>
      </w:pPr>
      <w:bookmarkStart w:id="61" w:name="_Toc4487517"/>
      <w:r>
        <w:rPr>
          <w:rFonts w:hint="eastAsia"/>
          <w:b/>
          <w:bCs/>
        </w:rPr>
        <w:t>11.8 其他重大事件</w:t>
      </w:r>
      <w:bookmarkEnd w:id="61"/>
    </w:p>
    <w:tbl>
      <w:tblPr>
        <w:tblStyle w:val="7"/>
        <w:tblW w:w="9045" w:type="dxa"/>
        <w:tblInd w:w="108" w:type="dxa"/>
        <w:tblLayout w:type="autofit"/>
        <w:tblCellMar>
          <w:top w:w="0" w:type="dxa"/>
          <w:left w:w="108" w:type="dxa"/>
          <w:bottom w:w="0" w:type="dxa"/>
          <w:right w:w="108" w:type="dxa"/>
        </w:tblCellMar>
      </w:tblPr>
      <w:tblGrid>
        <w:gridCol w:w="904"/>
        <w:gridCol w:w="3166"/>
        <w:gridCol w:w="3166"/>
        <w:gridCol w:w="1809"/>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序号</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公告事项</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法定披露方式</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法定披露日期</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2018-01-02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创金合信尊盛纯债债券型证券投资基金2017年第4季度报告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2018-01-19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创金合信基金管理有限公司关于创金合信尊盛纯债债券型证券投资基金修订基金合同、托管协议部分条款及调整赎回费相关规则的公告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创金合信尊盛纯债债券型证券投资基金（2017年第2号）招募说明书（更新）（2018年3月修订）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创金合信尊盛纯债债券型证券投资基金（2017年第2号）招募说明书（摘要）（2018年3月修订）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创金合信尊盛纯债债券型证券投资基金基金合同（2018年3月修订）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创金合信尊盛纯债债券型证券投资基金托管协议（2018年3月修订）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创金合信尊盛纯债债券型证券投资基金2017年年度报告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2018-03-31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创金合信尊盛纯债债券型证券投资基金2017年年度报告摘要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2018-03-31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创金合信尊盛纯债债券型证券投资基金（2018年第1号）招募说明书（更新)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2018-04-11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创金合信尊盛纯债债券型证券投资基金招募说明书（更新）摘要（2018年第1号）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2018-04-11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创金合信尊盛纯债债券型证券投资基金2018年第1季度报告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2018-04-19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创金合信尊盛纯债债券型证券投资基金暂停大额申购业务的公告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2018-05-03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创金合信尊盛纯债债券型证券投资基金分红公告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2018-05-04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2018-07-02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创金合信尊盛纯债债券型证券投资基金2018年第2季度报告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2018-07-20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创金合信尊盛纯债债券型证券投资基金2018年半年度报告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2018-08-29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创金合信尊盛纯债债券型证券投资基金暂停大额申购业务的公告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2018-09-08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创金合信尊盛纯债债券型证券投资基金分红公告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2018-09-11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创金合信尊盛纯债债券型证券投资基金（2018年第2号）招募说明书（更新）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2018-10-09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创金合信尊盛纯债债券型证券投资基金招募说明书（更新）摘要（2018年第2号）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2018-10-09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创金合信尊盛纯债债券型证券投资基金2018年第3季度报告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2018-10-25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创金合信尊盛纯债债券型证券投资基金分红公告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2018-12-13</w:t>
            </w:r>
          </w:p>
        </w:tc>
      </w:tr>
    </w:tbl>
    <w:p>
      <w:pPr>
        <w:widowControl/>
        <w:jc w:val="left"/>
        <w:rPr>
          <w:rFonts w:hint="eastAsia" w:ascii="宋体" w:hAnsi="宋体" w:cs="宋体"/>
          <w:kern w:val="0"/>
          <w:sz w:val="24"/>
          <w:szCs w:val="24"/>
        </w:rPr>
      </w:pPr>
    </w:p>
    <w:p>
      <w:pPr>
        <w:pStyle w:val="12"/>
        <w:rPr>
          <w:rFonts w:hint="eastAsia"/>
        </w:rPr>
      </w:pPr>
      <w:bookmarkStart w:id="62" w:name="_Toc4487518"/>
      <w:r>
        <w:rPr>
          <w:rFonts w:hint="eastAsia" w:hAnsi="Calibri"/>
          <w:b/>
          <w:color w:val="000000"/>
        </w:rPr>
        <w:t>§12  影响投资者决策的其他重要信息</w:t>
      </w:r>
      <w:bookmarkEnd w:id="62"/>
    </w:p>
    <w:p>
      <w:pPr>
        <w:widowControl/>
        <w:jc w:val="left"/>
        <w:rPr>
          <w:rFonts w:hint="eastAsia" w:ascii="宋体" w:hAnsi="宋体" w:cs="宋体"/>
          <w:kern w:val="0"/>
          <w:sz w:val="24"/>
          <w:szCs w:val="24"/>
        </w:rPr>
      </w:pPr>
    </w:p>
    <w:p>
      <w:pPr>
        <w:pStyle w:val="13"/>
        <w:rPr>
          <w:rFonts w:hint="eastAsia"/>
        </w:rPr>
      </w:pPr>
      <w:bookmarkStart w:id="63" w:name="_Toc4487519"/>
      <w:r>
        <w:rPr>
          <w:rFonts w:hint="eastAsia"/>
          <w:b/>
          <w:bCs/>
        </w:rPr>
        <w:t>12.1 报告期内单一投资者持有基金份额比例达到或超过20%的情况</w:t>
      </w:r>
      <w:bookmarkEnd w:id="63"/>
    </w:p>
    <w:tbl>
      <w:tblPr>
        <w:tblStyle w:val="7"/>
        <w:tblW w:w="10200" w:type="dxa"/>
        <w:tblInd w:w="108" w:type="dxa"/>
        <w:tblLayout w:type="autofit"/>
        <w:tblCellMar>
          <w:top w:w="0" w:type="dxa"/>
          <w:left w:w="108" w:type="dxa"/>
          <w:bottom w:w="0" w:type="dxa"/>
          <w:right w:w="108" w:type="dxa"/>
        </w:tblCellMar>
      </w:tblPr>
      <w:tblGrid>
        <w:gridCol w:w="510"/>
        <w:gridCol w:w="510"/>
        <w:gridCol w:w="1020"/>
        <w:gridCol w:w="1734"/>
        <w:gridCol w:w="1734"/>
        <w:gridCol w:w="1734"/>
        <w:gridCol w:w="1569"/>
        <w:gridCol w:w="1389"/>
      </w:tblGrid>
      <w:tr>
        <w:tblPrEx>
          <w:tblCellMar>
            <w:top w:w="0" w:type="dxa"/>
            <w:left w:w="108" w:type="dxa"/>
            <w:bottom w:w="0" w:type="dxa"/>
            <w:right w:w="108" w:type="dxa"/>
          </w:tblCellMar>
        </w:tblPrEx>
        <w:trPr>
          <w:wBefore w:w="0" w:type="auto"/>
        </w:trPr>
        <w:tc>
          <w:tcPr>
            <w:tcW w:w="2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b/>
                <w:color w:val="000000"/>
              </w:rPr>
              <w:t>投资者类别</w:t>
            </w:r>
          </w:p>
        </w:tc>
        <w:tc>
          <w:tcPr>
            <w:tcW w:w="3250" w:type="pct"/>
            <w:gridSpan w:val="5"/>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报告期内持有基金份额变化情况</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报告期末持有基金情况</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序号</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持有基金份额比例达到或者超过20%的时间区间</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期初份额</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申购份额</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赎回份额</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份额占比</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机构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rPr>
            </w:pPr>
            <w:r>
              <w:rPr>
                <w:rFonts w:hint="eastAsia"/>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20180101 - 20181231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1,379,833,094.46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400,000,000.00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979,833,094.46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99.99%</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rPr>
            </w:pPr>
            <w:r>
              <w:rPr>
                <w:rFonts w:hint="eastAsia"/>
              </w:rPr>
              <w:t>产品特有风险</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6"/>
              <w:wordWrap w:val="0"/>
              <w:spacing w:before="0" w:beforeAutospacing="0" w:after="0" w:afterAutospacing="0"/>
              <w:ind w:firstLine="480"/>
              <w:rPr>
                <w:rFonts w:hint="eastAsia"/>
              </w:rPr>
            </w:pPr>
            <w:r>
              <w:rPr>
                <w:rFonts w:hint="eastAsia"/>
              </w:rPr>
              <w:t>本基金在报告期内，存在报告期间单一投资者持有基金份额达到或超过20%的情形，可能会存在以下风险：</w:t>
            </w:r>
          </w:p>
          <w:p>
            <w:pPr>
              <w:pStyle w:val="19"/>
              <w:wordWrap w:val="0"/>
              <w:spacing w:before="0"/>
              <w:ind w:left="0" w:firstLine="480"/>
              <w:rPr>
                <w:rFonts w:hint="eastAsia"/>
              </w:rPr>
            </w:pPr>
            <w:r>
              <w:rPr>
                <w:rFonts w:hint="eastAsia"/>
              </w:rPr>
              <w:t>1、大额申购风险</w:t>
            </w:r>
          </w:p>
          <w:p>
            <w:pPr>
              <w:pStyle w:val="19"/>
              <w:wordWrap w:val="0"/>
              <w:spacing w:before="0"/>
              <w:ind w:left="0" w:firstLine="480"/>
              <w:rPr>
                <w:rFonts w:hint="eastAsia"/>
              </w:rPr>
            </w:pPr>
            <w:r>
              <w:rPr>
                <w:rFonts w:hint="eastAsia"/>
              </w:rPr>
              <w:t>在发生投资者大额申购时，若本基金所投资的标的资产未及时准备，则可能降低基金净值涨幅。</w:t>
            </w:r>
          </w:p>
          <w:p>
            <w:pPr>
              <w:pStyle w:val="19"/>
              <w:wordWrap w:val="0"/>
              <w:spacing w:before="0"/>
              <w:ind w:left="0" w:firstLine="480"/>
              <w:rPr>
                <w:rFonts w:hint="eastAsia"/>
              </w:rPr>
            </w:pPr>
            <w:r>
              <w:rPr>
                <w:rFonts w:hint="eastAsia"/>
              </w:rPr>
              <w:t>2、大额赎回风险</w:t>
            </w:r>
          </w:p>
          <w:p>
            <w:pPr>
              <w:pStyle w:val="19"/>
              <w:wordWrap w:val="0"/>
              <w:spacing w:before="0"/>
              <w:ind w:left="0" w:firstLine="480"/>
              <w:rPr>
                <w:rFonts w:hint="eastAsia"/>
              </w:rPr>
            </w:pPr>
            <w:r>
              <w:rPr>
                <w:rFonts w:hint="eastAsia"/>
              </w:rPr>
              <w:t>（1）若本基金在短时间内难以变现足够的资产予以应对，可能导致流动性风险；</w:t>
            </w:r>
          </w:p>
          <w:p>
            <w:pPr>
              <w:pStyle w:val="19"/>
              <w:wordWrap w:val="0"/>
              <w:spacing w:before="0"/>
              <w:ind w:left="0" w:firstLine="480"/>
              <w:rPr>
                <w:rFonts w:hint="eastAsia"/>
              </w:rPr>
            </w:pPr>
            <w:r>
              <w:rPr>
                <w:rFonts w:hint="eastAsia"/>
              </w:rPr>
              <w:t>（2）若持有基金份额比例达到或超过基金份额总额20%的单一投资者大额赎回引发巨额赎回，将可能对基金管理人的管理造成影响；</w:t>
            </w:r>
          </w:p>
          <w:p>
            <w:pPr>
              <w:pStyle w:val="19"/>
              <w:wordWrap w:val="0"/>
              <w:spacing w:before="0"/>
              <w:ind w:left="0" w:firstLine="480"/>
              <w:rPr>
                <w:rFonts w:hint="eastAsia"/>
              </w:rPr>
            </w:pPr>
            <w:r>
              <w:rPr>
                <w:rFonts w:hint="eastAsia"/>
              </w:rPr>
              <w:t>（3）基金管理人被迫大量卖出基金投资标的以赎回现金，可能使基金资产净值受到不利影响，影响基金的投资运作；</w:t>
            </w:r>
          </w:p>
          <w:p>
            <w:pPr>
              <w:pStyle w:val="19"/>
              <w:wordWrap w:val="0"/>
              <w:spacing w:before="0"/>
              <w:ind w:left="0" w:firstLine="480"/>
              <w:rPr>
                <w:rFonts w:hint="eastAsia"/>
              </w:rPr>
            </w:pPr>
            <w:r>
              <w:rPr>
                <w:rFonts w:hint="eastAsia"/>
              </w:rPr>
              <w:t>（4）因基金净值精度计算问题，可能因赎回费归入基金资产，导致基金净值有较大波动；</w:t>
            </w:r>
          </w:p>
          <w:p>
            <w:pPr>
              <w:pStyle w:val="19"/>
              <w:wordWrap w:val="0"/>
              <w:spacing w:before="0"/>
              <w:ind w:left="0" w:firstLine="480"/>
              <w:rPr>
                <w:rFonts w:hint="eastAsia"/>
              </w:rPr>
            </w:pPr>
            <w:r>
              <w:rPr>
                <w:rFonts w:hint="eastAsia"/>
              </w:rPr>
              <w:t>（5）大额赎回导致基金资产规模过小，不能满足存续条件，可能导致基金合同终止、清算等风险。</w:t>
            </w:r>
          </w:p>
          <w:p>
            <w:pPr>
              <w:pStyle w:val="19"/>
              <w:wordWrap w:val="0"/>
              <w:spacing w:before="0"/>
              <w:ind w:left="0" w:firstLine="480"/>
              <w:rPr>
                <w:rFonts w:hint="eastAsia"/>
              </w:rPr>
            </w:pPr>
            <w:r>
              <w:rPr>
                <w:rFonts w:hint="eastAsia"/>
              </w:rPr>
              <w:t>本基金管理人将建立完善的风险管理机制，以有效防止上述风险，最大限度的保护基金份额持有人的合法权益。</w:t>
            </w:r>
          </w:p>
        </w:tc>
      </w:tr>
    </w:tbl>
    <w:p>
      <w:pPr>
        <w:widowControl/>
        <w:jc w:val="left"/>
        <w:rPr>
          <w:rFonts w:hint="eastAsia" w:ascii="宋体" w:hAnsi="宋体" w:cs="宋体"/>
          <w:kern w:val="0"/>
          <w:sz w:val="24"/>
          <w:szCs w:val="24"/>
        </w:rPr>
      </w:pPr>
    </w:p>
    <w:p>
      <w:pPr>
        <w:pStyle w:val="13"/>
        <w:rPr>
          <w:rFonts w:hint="eastAsia"/>
        </w:rPr>
      </w:pPr>
      <w:bookmarkStart w:id="64" w:name="_Toc4487520"/>
      <w:r>
        <w:rPr>
          <w:rFonts w:hint="eastAsia"/>
          <w:b/>
          <w:bCs/>
        </w:rPr>
        <w:t>12.2 影响投资者决策的其他重要信息</w:t>
      </w:r>
      <w:bookmarkEnd w:id="64"/>
    </w:p>
    <w:p>
      <w:pPr>
        <w:pStyle w:val="16"/>
        <w:spacing w:before="0"/>
        <w:ind w:left="0" w:firstLine="480"/>
        <w:rPr>
          <w:rFonts w:hint="eastAsia"/>
        </w:rPr>
      </w:pPr>
      <w:r>
        <w:rPr>
          <w:rFonts w:hint="eastAsia"/>
        </w:rPr>
        <w:t>本报告期，未出现影响投资者决策的其他重要信息。</w:t>
      </w:r>
    </w:p>
    <w:p>
      <w:pPr>
        <w:widowControl/>
        <w:jc w:val="left"/>
        <w:rPr>
          <w:rFonts w:hint="eastAsia" w:ascii="宋体" w:hAnsi="宋体" w:cs="宋体"/>
          <w:kern w:val="0"/>
          <w:sz w:val="24"/>
          <w:szCs w:val="24"/>
        </w:rPr>
      </w:pPr>
    </w:p>
    <w:p>
      <w:pPr>
        <w:pStyle w:val="12"/>
        <w:rPr>
          <w:rFonts w:hint="eastAsia"/>
        </w:rPr>
      </w:pPr>
      <w:bookmarkStart w:id="65" w:name="_Toc4487521"/>
      <w:r>
        <w:rPr>
          <w:rFonts w:hint="eastAsia" w:hAnsi="Calibri"/>
          <w:b/>
          <w:color w:val="000000"/>
        </w:rPr>
        <w:t>§13  备查文件目录</w:t>
      </w:r>
      <w:bookmarkEnd w:id="65"/>
    </w:p>
    <w:p>
      <w:pPr>
        <w:widowControl/>
        <w:jc w:val="left"/>
        <w:rPr>
          <w:rFonts w:hint="eastAsia" w:ascii="宋体" w:hAnsi="宋体" w:cs="宋体"/>
          <w:kern w:val="0"/>
          <w:sz w:val="24"/>
          <w:szCs w:val="24"/>
        </w:rPr>
      </w:pPr>
    </w:p>
    <w:p>
      <w:pPr>
        <w:pStyle w:val="13"/>
        <w:rPr>
          <w:rFonts w:hint="eastAsia"/>
        </w:rPr>
      </w:pPr>
      <w:bookmarkStart w:id="66" w:name="_Toc4487522"/>
      <w:r>
        <w:rPr>
          <w:rFonts w:hint="eastAsia"/>
          <w:b/>
          <w:bCs/>
        </w:rPr>
        <w:t>13.1 备查文件目录</w:t>
      </w:r>
      <w:bookmarkEnd w:id="66"/>
    </w:p>
    <w:p>
      <w:pPr>
        <w:pStyle w:val="19"/>
        <w:spacing w:before="0"/>
        <w:ind w:left="0" w:firstLine="480"/>
        <w:rPr>
          <w:rFonts w:hint="eastAsia"/>
        </w:rPr>
      </w:pPr>
      <w:r>
        <w:rPr>
          <w:rFonts w:hint="eastAsia"/>
        </w:rPr>
        <w:t>1、《创金合信尊盛纯债债券型证券投资基金基金合同》；</w:t>
      </w:r>
    </w:p>
    <w:p>
      <w:pPr>
        <w:pStyle w:val="19"/>
        <w:spacing w:before="0"/>
        <w:ind w:left="0" w:firstLine="480"/>
        <w:rPr>
          <w:rFonts w:hint="eastAsia"/>
        </w:rPr>
      </w:pPr>
      <w:r>
        <w:rPr>
          <w:rFonts w:hint="eastAsia"/>
        </w:rPr>
        <w:t>2、《创金合信尊盛纯债债券型证券投资基金托管协议》；</w:t>
      </w:r>
    </w:p>
    <w:p>
      <w:pPr>
        <w:pStyle w:val="19"/>
        <w:spacing w:before="0"/>
        <w:ind w:left="0" w:firstLine="480"/>
        <w:rPr>
          <w:rFonts w:hint="eastAsia"/>
        </w:rPr>
      </w:pPr>
      <w:r>
        <w:rPr>
          <w:rFonts w:hint="eastAsia"/>
        </w:rPr>
        <w:t>3、创金合信尊盛纯债债券型证券投资基金2018年年度报告。</w:t>
      </w:r>
    </w:p>
    <w:p>
      <w:pPr>
        <w:widowControl/>
        <w:jc w:val="left"/>
        <w:rPr>
          <w:rFonts w:hint="eastAsia" w:ascii="宋体" w:hAnsi="宋体" w:cs="宋体"/>
          <w:kern w:val="0"/>
          <w:sz w:val="24"/>
          <w:szCs w:val="24"/>
        </w:rPr>
      </w:pPr>
    </w:p>
    <w:p>
      <w:pPr>
        <w:pStyle w:val="13"/>
        <w:rPr>
          <w:rFonts w:hint="eastAsia"/>
        </w:rPr>
      </w:pPr>
      <w:bookmarkStart w:id="67" w:name="_Toc4487523"/>
      <w:r>
        <w:rPr>
          <w:rFonts w:hint="eastAsia"/>
          <w:b/>
          <w:bCs/>
        </w:rPr>
        <w:t>13.2 存放地点</w:t>
      </w:r>
      <w:bookmarkEnd w:id="67"/>
    </w:p>
    <w:p>
      <w:pPr>
        <w:pStyle w:val="19"/>
        <w:spacing w:before="0"/>
        <w:ind w:left="0" w:firstLine="480"/>
        <w:rPr>
          <w:rFonts w:hint="eastAsia"/>
        </w:rPr>
      </w:pPr>
      <w:r>
        <w:rPr>
          <w:rFonts w:hint="eastAsia"/>
        </w:rPr>
        <w:t>深圳市福田中心区福华一路115号投行大厦15楼</w:t>
      </w:r>
    </w:p>
    <w:p>
      <w:pPr>
        <w:widowControl/>
        <w:jc w:val="left"/>
        <w:rPr>
          <w:rFonts w:hint="eastAsia" w:ascii="宋体" w:hAnsi="宋体" w:cs="宋体"/>
          <w:kern w:val="0"/>
          <w:sz w:val="24"/>
          <w:szCs w:val="24"/>
        </w:rPr>
      </w:pPr>
    </w:p>
    <w:p>
      <w:pPr>
        <w:pStyle w:val="13"/>
        <w:rPr>
          <w:rFonts w:hint="eastAsia"/>
        </w:rPr>
      </w:pPr>
      <w:bookmarkStart w:id="68" w:name="_Toc4487524"/>
      <w:r>
        <w:rPr>
          <w:rFonts w:hint="eastAsia"/>
          <w:b/>
          <w:bCs/>
        </w:rPr>
        <w:t>13.3 查阅方式</w:t>
      </w:r>
      <w:bookmarkEnd w:id="68"/>
    </w:p>
    <w:p>
      <w:pPr>
        <w:pStyle w:val="19"/>
        <w:spacing w:before="0"/>
        <w:ind w:left="0" w:firstLine="480"/>
        <w:rPr>
          <w:rFonts w:hint="eastAsia"/>
        </w:rPr>
      </w:pPr>
      <w:r>
        <w:rPr>
          <w:rFonts w:hint="eastAsia"/>
        </w:rPr>
        <w:t>www.cjhxfund.com</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8"/>
        <w:rPr>
          <w:rFonts w:hint="eastAsia"/>
        </w:rPr>
      </w:pPr>
      <w:r>
        <w:rPr>
          <w:rFonts w:hint="eastAsia" w:hAnsi="Calibri"/>
          <w:b/>
          <w:bCs/>
          <w:color w:val="000000"/>
        </w:rPr>
        <w:t>创金合信基金管理有限公司</w:t>
      </w:r>
    </w:p>
    <w:p>
      <w:pPr>
        <w:pStyle w:val="18"/>
        <w:rPr>
          <w:rFonts w:hint="eastAsia"/>
        </w:rPr>
      </w:pPr>
      <w:r>
        <w:rPr>
          <w:rFonts w:hint="eastAsia" w:hAnsi="Calibri"/>
          <w:b/>
          <w:bCs/>
          <w:color w:val="000000"/>
        </w:rPr>
        <w:t>二〇一九年三月二十九日</w:t>
      </w:r>
    </w:p>
    <w:p>
      <w:pPr>
        <w:pStyle w:val="23"/>
        <w:autoSpaceDE w:val="0"/>
        <w:autoSpaceDN w:val="0"/>
        <w:adjustRightInd w:val="0"/>
        <w:spacing w:before="145" w:beforeAutospacing="0" w:after="0" w:afterAutospacing="0" w:line="288" w:lineRule="auto"/>
        <w:ind w:left="15"/>
        <w:jc w:val="right"/>
        <w:rPr>
          <w:rFonts w:hint="eastAsia"/>
          <w:b/>
        </w:rPr>
      </w:pPr>
    </w:p>
    <w:sectPr>
      <w:headerReference r:id="rId3" w:type="default"/>
      <w:footerReference r:id="rId4" w:type="default"/>
      <w:footerReference r:id="rId5" w:type="even"/>
      <w:pgSz w:w="11926" w:h="15840"/>
      <w:pgMar w:top="1418" w:right="1418" w:bottom="853" w:left="1418" w:header="851" w:footer="992" w:gutter="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9"/>
      </w:rPr>
    </w:pPr>
    <w:r>
      <w:rPr>
        <w:rStyle w:val="9"/>
      </w:rPr>
      <w:fldChar w:fldCharType="begin"/>
    </w:r>
    <w:r>
      <w:rPr>
        <w:rStyle w:val="9"/>
      </w:rPr>
      <w:instrText xml:space="preserve">PAGE  </w:instrText>
    </w:r>
    <w:r>
      <w:rPr>
        <w:rStyle w:val="9"/>
      </w:rPr>
      <w:fldChar w:fldCharType="separate"/>
    </w:r>
    <w:r>
      <w:rPr>
        <w:rStyle w:val="9"/>
        <w:lang/>
      </w:rPr>
      <w:t>57</w:t>
    </w:r>
    <w:r>
      <w:rPr>
        <w:rStyle w:val="9"/>
      </w:rPr>
      <w:fldChar w:fldCharType="end"/>
    </w:r>
  </w:p>
  <w:p>
    <w:pPr>
      <w:pStyle w:val="2"/>
      <w:jc w:val="center"/>
    </w:pPr>
    <w:r>
      <w:rPr>
        <w:rFonts w:hint="eastAsia"/>
      </w:rPr>
      <w:t xml:space="preserve">                   第       页，共59页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9"/>
      </w:rPr>
    </w:pPr>
    <w:r>
      <w:rPr>
        <w:rStyle w:val="9"/>
      </w:rPr>
      <w:fldChar w:fldCharType="begin"/>
    </w:r>
    <w:r>
      <w:rPr>
        <w:rStyle w:val="9"/>
      </w:rPr>
      <w:instrText xml:space="preserve">PAGE  </w:instrText>
    </w:r>
    <w:r>
      <w:rPr>
        <w:rStyle w:val="9"/>
      </w:rP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p>
    <w:pPr>
      <w:pStyle w:val="3"/>
      <w:jc w:val="right"/>
    </w:pPr>
    <w:r>
      <w:rPr>
        <w:rFonts w:hint="eastAsia"/>
      </w:rPr>
      <w:t>创金合信尊盛纯债债券型证券投资基金2018年年度报告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hyphenationZone w:val="360"/>
  <w:displayHorizontalDrawingGridEvery w:val="1"/>
  <w:displayVerticalDrawingGridEvery w:val="1"/>
  <w:noPunctuationKerning w:val="1"/>
  <w:characterSpacingControl w:val="compressPunctuation"/>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1738F"/>
    <w:rsid w:val="000037D5"/>
    <w:rsid w:val="00477F07"/>
    <w:rsid w:val="006B78AF"/>
    <w:rsid w:val="007C46A8"/>
    <w:rsid w:val="00A42107"/>
    <w:rsid w:val="00B069D1"/>
    <w:rsid w:val="00D1738F"/>
    <w:rsid w:val="00EE3D28"/>
    <w:rsid w:val="45E96A38"/>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Style w:val="7"/>
      <w:tblCellMar>
        <w:top w:w="0" w:type="dxa"/>
        <w:left w:w="108" w:type="dxa"/>
        <w:bottom w:w="0" w:type="dxa"/>
        <w:right w:w="108" w:type="dxa"/>
      </w:tblCellMar>
    </w:tblPr>
    <w:trPr>
      <w:wBefore w:w="0" w:type="dxa"/>
    </w:trPr>
  </w:style>
  <w:style w:type="paragraph" w:styleId="2">
    <w:name w:val="footer"/>
    <w:basedOn w:val="1"/>
    <w:link w:val="25"/>
    <w:unhideWhenUsed/>
    <w:uiPriority w:val="99"/>
    <w:pPr>
      <w:tabs>
        <w:tab w:val="center" w:pos="4153"/>
        <w:tab w:val="right" w:pos="8306"/>
      </w:tabs>
      <w:snapToGrid w:val="0"/>
      <w:jc w:val="left"/>
    </w:pPr>
    <w:rPr>
      <w:sz w:val="18"/>
      <w:szCs w:val="18"/>
    </w:rPr>
  </w:style>
  <w:style w:type="paragraph" w:styleId="3">
    <w:name w:val="header"/>
    <w:basedOn w:val="1"/>
    <w:link w:val="24"/>
    <w:unhideWhenUsed/>
    <w:uiPriority w:val="99"/>
    <w:pPr>
      <w:pBdr>
        <w:bottom w:val="single" w:color="auto" w:sz="6" w:space="1"/>
      </w:pBdr>
      <w:tabs>
        <w:tab w:val="center" w:pos="4153"/>
        <w:tab w:val="right" w:pos="8306"/>
      </w:tabs>
      <w:snapToGrid w:val="0"/>
      <w:jc w:val="center"/>
    </w:pPr>
    <w:rPr>
      <w:sz w:val="18"/>
      <w:szCs w:val="18"/>
    </w:rPr>
  </w:style>
  <w:style w:type="paragraph" w:styleId="4">
    <w:name w:val="toc 1"/>
    <w:basedOn w:val="1"/>
    <w:next w:val="1"/>
    <w:unhideWhenUsed/>
    <w:uiPriority w:val="39"/>
  </w:style>
  <w:style w:type="paragraph" w:styleId="5">
    <w:name w:val="toc 2"/>
    <w:basedOn w:val="1"/>
    <w:next w:val="1"/>
    <w:unhideWhenUsed/>
    <w:uiPriority w:val="39"/>
    <w:pPr>
      <w:ind w:left="420" w:leftChars="200"/>
    </w:pPr>
  </w:style>
  <w:style w:type="paragraph" w:styleId="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page number"/>
    <w:semiHidden/>
    <w:unhideWhenUsed/>
    <w:uiPriority w:val="99"/>
  </w:style>
  <w:style w:type="character" w:styleId="10">
    <w:name w:val="Hyperlink"/>
    <w:unhideWhenUsed/>
    <w:uiPriority w:val="99"/>
    <w:rPr>
      <w:color w:val="0563C1"/>
      <w:u w:val="single"/>
    </w:rPr>
  </w:style>
  <w:style w:type="paragraph" w:customStyle="1" w:styleId="11">
    <w:name w:val="msonormal1"/>
    <w:qFormat/>
    <w:uiPriority w:val="0"/>
    <w:pPr>
      <w:widowControl w:val="0"/>
      <w:jc w:val="both"/>
    </w:pPr>
    <w:rPr>
      <w:kern w:val="2"/>
      <w:sz w:val="21"/>
      <w:szCs w:val="22"/>
      <w:lang w:val="en-US" w:eastAsia="zh-CN" w:bidi="ar-SA"/>
    </w:rPr>
  </w:style>
  <w:style w:type="paragraph" w:customStyle="1" w:styleId="12">
    <w:name w:val="dazhangjie"/>
    <w:basedOn w:val="1"/>
    <w:uiPriority w:val="0"/>
    <w:pPr>
      <w:widowControl/>
      <w:autoSpaceDE w:val="0"/>
      <w:autoSpaceDN w:val="0"/>
      <w:adjustRightInd w:val="0"/>
      <w:spacing w:before="30" w:line="288" w:lineRule="auto"/>
      <w:ind w:left="15"/>
      <w:jc w:val="center"/>
      <w:outlineLvl w:val="0"/>
    </w:pPr>
    <w:rPr>
      <w:rFonts w:ascii="宋体" w:hAnsi="宋体" w:eastAsia="宋体" w:cs="宋体"/>
      <w:kern w:val="0"/>
      <w:sz w:val="24"/>
      <w:szCs w:val="24"/>
    </w:rPr>
  </w:style>
  <w:style w:type="paragraph" w:customStyle="1" w:styleId="13">
    <w:name w:val="zhangjie_p"/>
    <w:basedOn w:val="1"/>
    <w:uiPriority w:val="0"/>
    <w:pPr>
      <w:widowControl/>
      <w:autoSpaceDE w:val="0"/>
      <w:autoSpaceDN w:val="0"/>
      <w:adjustRightInd w:val="0"/>
      <w:spacing w:before="30" w:line="288" w:lineRule="auto"/>
      <w:ind w:left="15"/>
      <w:jc w:val="left"/>
      <w:outlineLvl w:val="1"/>
    </w:pPr>
    <w:rPr>
      <w:rFonts w:ascii="宋体" w:hAnsi="宋体" w:eastAsia="宋体" w:cs="宋体"/>
      <w:kern w:val="0"/>
      <w:sz w:val="24"/>
      <w:szCs w:val="24"/>
    </w:rPr>
  </w:style>
  <w:style w:type="paragraph" w:customStyle="1" w:styleId="14">
    <w:name w:val="zhangjie_p2"/>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5">
    <w:name w:val="zhongyaotishi"/>
    <w:basedOn w:val="1"/>
    <w:uiPriority w:val="0"/>
    <w:pPr>
      <w:widowControl/>
      <w:autoSpaceDE w:val="0"/>
      <w:autoSpaceDN w:val="0"/>
      <w:adjustRightInd w:val="0"/>
      <w:spacing w:before="30" w:line="288" w:lineRule="auto"/>
      <w:ind w:left="15" w:firstLine="482"/>
      <w:jc w:val="left"/>
    </w:pPr>
    <w:rPr>
      <w:rFonts w:ascii="宋体" w:hAnsi="宋体" w:eastAsia="宋体" w:cs="宋体"/>
      <w:kern w:val="0"/>
      <w:sz w:val="24"/>
      <w:szCs w:val="24"/>
    </w:rPr>
  </w:style>
  <w:style w:type="paragraph" w:customStyle="1" w:styleId="16">
    <w:name w:val="biaoge_left"/>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7">
    <w:name w:val="biaoge_center"/>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18">
    <w:name w:val="biaoge_right"/>
    <w:basedOn w:val="1"/>
    <w:uiPriority w:val="0"/>
    <w:pPr>
      <w:widowControl/>
      <w:autoSpaceDE w:val="0"/>
      <w:autoSpaceDN w:val="0"/>
      <w:adjustRightInd w:val="0"/>
      <w:spacing w:before="29" w:line="288" w:lineRule="auto"/>
      <w:ind w:left="15"/>
      <w:jc w:val="right"/>
    </w:pPr>
    <w:rPr>
      <w:rFonts w:ascii="宋体" w:hAnsi="宋体" w:eastAsia="宋体" w:cs="宋体"/>
      <w:kern w:val="0"/>
      <w:sz w:val="24"/>
      <w:szCs w:val="24"/>
    </w:rPr>
  </w:style>
  <w:style w:type="paragraph" w:customStyle="1" w:styleId="19">
    <w:name w:val="neirong"/>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20">
    <w:name w:val="hide"/>
    <w:basedOn w:val="1"/>
    <w:uiPriority w:val="0"/>
    <w:pPr>
      <w:widowControl/>
      <w:spacing w:before="100" w:beforeAutospacing="1" w:after="100" w:afterAutospacing="1"/>
      <w:jc w:val="left"/>
    </w:pPr>
    <w:rPr>
      <w:rFonts w:ascii="宋体" w:hAnsi="宋体" w:eastAsia="宋体" w:cs="宋体"/>
      <w:vanish/>
      <w:kern w:val="0"/>
      <w:sz w:val="24"/>
      <w:szCs w:val="24"/>
    </w:rPr>
  </w:style>
  <w:style w:type="paragraph" w:customStyle="1" w:styleId="21">
    <w:name w:val="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2">
    <w:name w:val="biaoge_center1"/>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23">
    <w:name w:val="align=right"/>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4">
    <w:name w:val="页眉 Char"/>
    <w:link w:val="3"/>
    <w:locked/>
    <w:uiPriority w:val="99"/>
    <w:rPr>
      <w:rFonts w:hint="default" w:ascii="Times New Roman" w:hAnsi="Times New Roman" w:cs="Times New Roman"/>
      <w:sz w:val="18"/>
      <w:szCs w:val="18"/>
    </w:rPr>
  </w:style>
  <w:style w:type="character" w:customStyle="1" w:styleId="25">
    <w:name w:val="页脚 Char"/>
    <w:link w:val="2"/>
    <w:locked/>
    <w:uiPriority w:val="99"/>
    <w:rPr>
      <w:rFonts w:hint="default" w:ascii="Times New Roman" w:hAnsi="Times New Roman"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58</Pages>
  <Words>6784</Words>
  <Characters>38672</Characters>
  <Lines>322</Lines>
  <Paragraphs>90</Paragraphs>
  <TotalTime>0</TotalTime>
  <ScaleCrop>false</ScaleCrop>
  <LinksUpToDate>false</LinksUpToDate>
  <CharactersWithSpaces>45366</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2019-03-26T02:09:00Z</dcterms:created>
  <dc:creator>石怡翔</dc:creator>
  <cp:lastModifiedBy>Administrator</cp:lastModifiedBy>
  <dcterms:modified xsi:type="dcterms:W3CDTF">2019-12-26T14:06:15Z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